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26994" w14:textId="77777777" w:rsidR="00D663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r w:rsidRPr="00D6638C">
        <w:rPr>
          <w:rFonts w:ascii="Calibri" w:eastAsia="Times New Roman" w:hAnsi="Calibri" w:cs="Times New Roman"/>
          <w:caps/>
          <w:spacing w:val="15"/>
        </w:rPr>
        <w:t>Terminal Evaluation Terms of Reference</w:t>
      </w:r>
      <w:bookmarkEnd w:id="0"/>
      <w:bookmarkEnd w:id="1"/>
    </w:p>
    <w:p w14:paraId="2A493D77" w14:textId="77777777" w:rsidR="006C1964" w:rsidRDefault="00B913F1" w:rsidP="00F05366">
      <w:pPr>
        <w:pStyle w:val="Heading51"/>
      </w:pPr>
      <w:bookmarkStart w:id="2" w:name="_Toc299126613"/>
      <w:r>
        <w:t>INTRODUCTION</w:t>
      </w:r>
    </w:p>
    <w:p w14:paraId="56C7CAE2"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(TE) of the</w:t>
      </w:r>
      <w:r w:rsidR="00A36307" w:rsidRPr="00A36307">
        <w:rPr>
          <w:rFonts w:ascii="Calibri" w:eastAsia="Times New Roman" w:hAnsi="Calibri" w:cs="Times New Roman"/>
          <w:i/>
          <w:sz w:val="20"/>
          <w:szCs w:val="20"/>
        </w:rPr>
        <w:t xml:space="preserve"> Ten Island Challenge: De-risking the Transition of the Caribbean from Fossil Fuels to Renewables </w:t>
      </w:r>
      <w:r w:rsidRPr="00D6638C">
        <w:rPr>
          <w:rFonts w:ascii="Calibri" w:eastAsia="Times New Roman" w:hAnsi="Calibri" w:cs="Times New Roman"/>
          <w:sz w:val="20"/>
          <w:szCs w:val="20"/>
        </w:rPr>
        <w:t xml:space="preserve">(PIMS </w:t>
      </w:r>
      <w:r w:rsidR="00A36307">
        <w:rPr>
          <w:rFonts w:ascii="Calibri" w:eastAsia="Times New Roman" w:hAnsi="Calibri" w:cs="Times New Roman"/>
          <w:sz w:val="20"/>
          <w:szCs w:val="20"/>
          <w:highlight w:val="lightGray"/>
        </w:rPr>
        <w:t>5526</w:t>
      </w:r>
      <w:r w:rsidRPr="00D6638C">
        <w:rPr>
          <w:rFonts w:ascii="Calibri" w:eastAsia="Times New Roman" w:hAnsi="Calibri" w:cs="Times New Roman"/>
          <w:sz w:val="20"/>
          <w:szCs w:val="20"/>
          <w:highlight w:val="lightGray"/>
        </w:rPr>
        <w:t>)</w:t>
      </w:r>
    </w:p>
    <w:p w14:paraId="49BF12F9"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essentials of the project to be evaluated are as follows</w:t>
      </w:r>
      <w:r w:rsidR="00DD7B70">
        <w:rPr>
          <w:rFonts w:ascii="Calibri" w:eastAsia="Times New Roman" w:hAnsi="Calibri" w:cs="Times New Roman"/>
          <w:sz w:val="20"/>
          <w:szCs w:val="20"/>
        </w:rPr>
        <w:t>:</w:t>
      </w:r>
      <w:r w:rsidRPr="00D6638C">
        <w:rPr>
          <w:rFonts w:ascii="Calibri" w:eastAsia="Times New Roman" w:hAnsi="Calibri" w:cs="Times New Roman"/>
          <w:sz w:val="20"/>
          <w:szCs w:val="20"/>
        </w:rPr>
        <w:t xml:space="preserve">   </w:t>
      </w:r>
    </w:p>
    <w:p w14:paraId="4247B040" w14:textId="77777777" w:rsidR="00D6638C" w:rsidRPr="00D6638C" w:rsidRDefault="00D6638C" w:rsidP="00F05366">
      <w:pPr>
        <w:pStyle w:val="Heading51"/>
      </w:pPr>
      <w:bookmarkStart w:id="3" w:name="_Toc321341548"/>
      <w:r w:rsidRPr="00D6638C">
        <w:t>Project Summary Table</w:t>
      </w:r>
      <w:bookmarkEnd w:id="3"/>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6"/>
        <w:gridCol w:w="640"/>
        <w:gridCol w:w="1382"/>
        <w:gridCol w:w="2610"/>
        <w:gridCol w:w="355"/>
        <w:gridCol w:w="1642"/>
        <w:gridCol w:w="1825"/>
      </w:tblGrid>
      <w:tr w:rsidR="00D6638C" w:rsidRPr="00D6638C" w14:paraId="1EFA3623" w14:textId="77777777" w:rsidTr="00224F9C">
        <w:trPr>
          <w:trHeight w:val="359"/>
        </w:trPr>
        <w:tc>
          <w:tcPr>
            <w:tcW w:w="455" w:type="pct"/>
            <w:shd w:val="clear" w:color="auto" w:fill="7F7F7F"/>
            <w:vAlign w:val="center"/>
          </w:tcPr>
          <w:p w14:paraId="53416044" w14:textId="77777777"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14:paraId="0E16E274" w14:textId="6F7B4EE6" w:rsidR="00D6638C" w:rsidRPr="00D6638C" w:rsidRDefault="00FE6264" w:rsidP="00D6638C">
            <w:pPr>
              <w:spacing w:after="0"/>
              <w:contextualSpacing/>
              <w:rPr>
                <w:rFonts w:ascii="Calibri" w:eastAsia="Times New Roman" w:hAnsi="Calibri" w:cs="Calibri"/>
                <w:bCs/>
                <w:sz w:val="20"/>
                <w:szCs w:val="20"/>
              </w:rPr>
            </w:pPr>
            <w:r>
              <w:rPr>
                <w:rFonts w:ascii="Calibri" w:eastAsia="Times New Roman" w:hAnsi="Calibri" w:cs="Calibri"/>
                <w:bCs/>
                <w:noProof/>
                <w:sz w:val="20"/>
                <w:szCs w:val="20"/>
              </w:rPr>
              <w:pict w14:anchorId="7685B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4.75pt;height:18pt;mso-width-percent:0;mso-height-percent:0;mso-width-percent:0;mso-height-percent:0">
                  <v:imagedata r:id="rId8" o:title=""/>
                </v:shape>
              </w:pict>
            </w:r>
          </w:p>
        </w:tc>
      </w:tr>
      <w:tr w:rsidR="00D6638C" w:rsidRPr="00D6638C" w14:paraId="605BC601" w14:textId="77777777" w:rsidTr="00DD7B70">
        <w:tblPrEx>
          <w:shd w:val="clear" w:color="auto" w:fill="auto"/>
        </w:tblPrEx>
        <w:trPr>
          <w:trHeight w:val="553"/>
        </w:trPr>
        <w:tc>
          <w:tcPr>
            <w:tcW w:w="799" w:type="pct"/>
            <w:gridSpan w:val="2"/>
            <w:vAlign w:val="center"/>
          </w:tcPr>
          <w:p w14:paraId="7FFBA6D1" w14:textId="77777777" w:rsidR="00D6638C" w:rsidRPr="00D6638C" w:rsidRDefault="00D6638C" w:rsidP="00DD7B70">
            <w:pPr>
              <w:spacing w:after="0"/>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743" w:type="pct"/>
            <w:vAlign w:val="center"/>
          </w:tcPr>
          <w:p w14:paraId="743B926A" w14:textId="77777777" w:rsidR="00D6638C" w:rsidRPr="00D6638C" w:rsidRDefault="00DD7B70" w:rsidP="00DD7B70">
            <w:pPr>
              <w:tabs>
                <w:tab w:val="right" w:pos="0"/>
              </w:tabs>
              <w:spacing w:after="0"/>
              <w:rPr>
                <w:rFonts w:ascii="Calibri" w:eastAsia="Times New Roman" w:hAnsi="Calibri" w:cs="Times New Roman"/>
                <w:sz w:val="20"/>
                <w:szCs w:val="20"/>
              </w:rPr>
            </w:pPr>
            <w:r w:rsidRPr="00DD7B70">
              <w:rPr>
                <w:rFonts w:ascii="Calibri" w:eastAsia="Times New Roman" w:hAnsi="Calibri" w:cs="Times New Roman"/>
                <w:sz w:val="20"/>
                <w:szCs w:val="20"/>
              </w:rPr>
              <w:t>9112</w:t>
            </w:r>
          </w:p>
        </w:tc>
        <w:tc>
          <w:tcPr>
            <w:tcW w:w="1403" w:type="pct"/>
            <w:vAlign w:val="center"/>
          </w:tcPr>
          <w:p w14:paraId="2C6CDB54" w14:textId="77777777" w:rsidR="00D6638C" w:rsidRPr="00D6638C" w:rsidRDefault="00D6638C" w:rsidP="00DD7B70">
            <w:pPr>
              <w:spacing w:after="0"/>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074" w:type="pct"/>
            <w:gridSpan w:val="2"/>
            <w:vAlign w:val="center"/>
          </w:tcPr>
          <w:p w14:paraId="6726F1DE" w14:textId="77777777" w:rsidR="00D6638C" w:rsidRPr="00D6638C" w:rsidRDefault="00D6638C" w:rsidP="00DD7B70">
            <w:pPr>
              <w:spacing w:after="0"/>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981" w:type="pct"/>
            <w:vAlign w:val="center"/>
          </w:tcPr>
          <w:p w14:paraId="5C19AF02" w14:textId="77777777" w:rsidR="00D6638C" w:rsidRPr="009307B4" w:rsidRDefault="00D6638C" w:rsidP="00DD7B70">
            <w:pPr>
              <w:spacing w:after="0"/>
              <w:rPr>
                <w:rFonts w:ascii="Calibri" w:eastAsia="Arial Unicode MS" w:hAnsi="Calibri" w:cs="Times New Roman"/>
                <w:i/>
                <w:color w:val="000000"/>
                <w:sz w:val="20"/>
                <w:szCs w:val="20"/>
                <w:u w:val="single"/>
              </w:rPr>
            </w:pPr>
            <w:r w:rsidRPr="009307B4">
              <w:rPr>
                <w:rFonts w:ascii="Calibri" w:eastAsia="Times New Roman" w:hAnsi="Calibri" w:cs="Times New Roman"/>
                <w:i/>
                <w:color w:val="000000"/>
                <w:sz w:val="20"/>
                <w:szCs w:val="20"/>
                <w:u w:val="single"/>
              </w:rPr>
              <w:t>at completion (Million US$)</w:t>
            </w:r>
          </w:p>
        </w:tc>
      </w:tr>
      <w:tr w:rsidR="00FE6264" w:rsidRPr="00D6638C" w14:paraId="3BE464D4" w14:textId="77777777" w:rsidTr="00FE6264">
        <w:tblPrEx>
          <w:shd w:val="clear" w:color="auto" w:fill="auto"/>
        </w:tblPrEx>
        <w:trPr>
          <w:trHeight w:val="278"/>
        </w:trPr>
        <w:tc>
          <w:tcPr>
            <w:tcW w:w="799" w:type="pct"/>
            <w:gridSpan w:val="2"/>
          </w:tcPr>
          <w:p w14:paraId="3BC7EBE1" w14:textId="77777777" w:rsidR="00FE6264" w:rsidRPr="00D6638C" w:rsidRDefault="00FE6264" w:rsidP="00FE6264">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743" w:type="pct"/>
            <w:vAlign w:val="center"/>
          </w:tcPr>
          <w:p w14:paraId="7FB0F691" w14:textId="77777777" w:rsidR="00FE6264" w:rsidRPr="00FE6264" w:rsidRDefault="00FE6264" w:rsidP="00FE6264">
            <w:pPr>
              <w:tabs>
                <w:tab w:val="right" w:pos="0"/>
              </w:tabs>
              <w:spacing w:after="0"/>
              <w:rPr>
                <w:rFonts w:ascii="Calibri" w:eastAsia="Times New Roman" w:hAnsi="Calibri" w:cs="Times New Roman"/>
                <w:sz w:val="20"/>
                <w:szCs w:val="20"/>
              </w:rPr>
            </w:pPr>
            <w:r w:rsidRPr="00FE6264">
              <w:rPr>
                <w:rFonts w:ascii="Calibri" w:eastAsia="Times New Roman" w:hAnsi="Calibri" w:cs="Times New Roman"/>
                <w:sz w:val="20"/>
                <w:szCs w:val="20"/>
              </w:rPr>
              <w:t>00095631</w:t>
            </w:r>
          </w:p>
        </w:tc>
        <w:tc>
          <w:tcPr>
            <w:tcW w:w="1403" w:type="pct"/>
          </w:tcPr>
          <w:p w14:paraId="42F02517" w14:textId="77777777" w:rsidR="00FE6264" w:rsidRPr="00D6638C" w:rsidRDefault="00FE6264" w:rsidP="00FE6264">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financing:</w:t>
            </w:r>
          </w:p>
        </w:tc>
        <w:tc>
          <w:tcPr>
            <w:tcW w:w="1074" w:type="pct"/>
            <w:gridSpan w:val="2"/>
            <w:vAlign w:val="center"/>
          </w:tcPr>
          <w:p w14:paraId="11CBCC7C" w14:textId="77777777" w:rsidR="00FE6264" w:rsidRPr="00D6638C" w:rsidRDefault="00FE6264" w:rsidP="00FE6264">
            <w:pPr>
              <w:spacing w:after="0"/>
              <w:rPr>
                <w:rFonts w:ascii="Calibri" w:eastAsia="Arial Unicode MS" w:hAnsi="Calibri" w:cs="Times New Roman"/>
                <w:sz w:val="20"/>
                <w:szCs w:val="20"/>
              </w:rPr>
            </w:pPr>
            <w:r>
              <w:rPr>
                <w:rFonts w:ascii="Calibri" w:eastAsia="Times New Roman" w:hAnsi="Calibri" w:cs="Times New Roman"/>
                <w:sz w:val="20"/>
                <w:szCs w:val="20"/>
              </w:rPr>
              <w:t>1,826,484</w:t>
            </w:r>
          </w:p>
        </w:tc>
        <w:tc>
          <w:tcPr>
            <w:tcW w:w="981" w:type="pct"/>
            <w:vAlign w:val="center"/>
          </w:tcPr>
          <w:p w14:paraId="52705E74" w14:textId="34AF7CCD" w:rsidR="00FE6264" w:rsidRPr="009307B4" w:rsidRDefault="00FE6264" w:rsidP="00FE6264">
            <w:pPr>
              <w:spacing w:after="0"/>
              <w:jc w:val="both"/>
              <w:rPr>
                <w:rFonts w:ascii="Calibri" w:eastAsia="Arial Unicode MS" w:hAnsi="Calibri" w:cs="Times New Roman"/>
                <w:sz w:val="20"/>
                <w:szCs w:val="20"/>
              </w:rPr>
            </w:pPr>
            <w:r w:rsidRPr="009307B4">
              <w:rPr>
                <w:rFonts w:ascii="Calibri" w:eastAsia="Times New Roman" w:hAnsi="Calibri" w:cs="Times New Roman"/>
                <w:sz w:val="20"/>
                <w:szCs w:val="20"/>
              </w:rPr>
              <w:t>1,826,484</w:t>
            </w:r>
          </w:p>
        </w:tc>
      </w:tr>
      <w:tr w:rsidR="00FE6264" w:rsidRPr="00D6638C" w14:paraId="453AEF7F" w14:textId="77777777" w:rsidTr="00FE6264">
        <w:tblPrEx>
          <w:shd w:val="clear" w:color="auto" w:fill="auto"/>
        </w:tblPrEx>
        <w:trPr>
          <w:trHeight w:val="269"/>
        </w:trPr>
        <w:tc>
          <w:tcPr>
            <w:tcW w:w="799" w:type="pct"/>
            <w:gridSpan w:val="2"/>
          </w:tcPr>
          <w:p w14:paraId="43FCE6F1" w14:textId="77777777" w:rsidR="00FE6264" w:rsidRPr="00D6638C" w:rsidRDefault="00FE6264" w:rsidP="00FE6264">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743" w:type="pct"/>
            <w:vAlign w:val="center"/>
          </w:tcPr>
          <w:p w14:paraId="583481CB" w14:textId="77777777" w:rsidR="00FE6264" w:rsidRPr="00D6638C" w:rsidRDefault="00FE6264" w:rsidP="00FE6264">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Regional</w:t>
            </w:r>
          </w:p>
        </w:tc>
        <w:tc>
          <w:tcPr>
            <w:tcW w:w="1403" w:type="pct"/>
          </w:tcPr>
          <w:p w14:paraId="71642534" w14:textId="77777777" w:rsidR="00FE6264" w:rsidRPr="00D6638C" w:rsidRDefault="00FE6264" w:rsidP="00FE6264">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IA/EA own:</w:t>
            </w:r>
          </w:p>
        </w:tc>
        <w:tc>
          <w:tcPr>
            <w:tcW w:w="1074" w:type="pct"/>
            <w:gridSpan w:val="2"/>
            <w:vAlign w:val="center"/>
          </w:tcPr>
          <w:p w14:paraId="29F441A4" w14:textId="77777777" w:rsidR="00FE6264" w:rsidRPr="00D6638C" w:rsidRDefault="00FE6264" w:rsidP="00FE6264">
            <w:pPr>
              <w:spacing w:after="0"/>
              <w:rPr>
                <w:rFonts w:ascii="Calibri" w:eastAsia="Arial Unicode MS" w:hAnsi="Calibri" w:cs="Times New Roman"/>
                <w:sz w:val="20"/>
                <w:szCs w:val="20"/>
              </w:rPr>
            </w:pPr>
            <w:r>
              <w:rPr>
                <w:rFonts w:ascii="Calibri" w:eastAsia="Times New Roman" w:hAnsi="Calibri" w:cs="Times New Roman"/>
                <w:sz w:val="20"/>
                <w:szCs w:val="20"/>
              </w:rPr>
              <w:t>4,550,000</w:t>
            </w:r>
          </w:p>
        </w:tc>
        <w:tc>
          <w:tcPr>
            <w:tcW w:w="981" w:type="pct"/>
            <w:vAlign w:val="center"/>
          </w:tcPr>
          <w:p w14:paraId="1A86ECE6" w14:textId="44EE651D" w:rsidR="00FE6264" w:rsidRPr="009307B4" w:rsidRDefault="00FE6264" w:rsidP="00FE6264">
            <w:pPr>
              <w:spacing w:after="0"/>
              <w:jc w:val="both"/>
              <w:rPr>
                <w:rFonts w:ascii="Calibri" w:eastAsia="Arial Unicode MS" w:hAnsi="Calibri" w:cs="Times New Roman"/>
                <w:sz w:val="20"/>
                <w:szCs w:val="20"/>
              </w:rPr>
            </w:pPr>
            <w:r w:rsidRPr="009307B4">
              <w:rPr>
                <w:rFonts w:ascii="Calibri" w:eastAsia="Times New Roman" w:hAnsi="Calibri" w:cs="Times New Roman"/>
                <w:sz w:val="20"/>
                <w:szCs w:val="20"/>
              </w:rPr>
              <w:t>4,</w:t>
            </w:r>
            <w:r w:rsidR="009307B4">
              <w:rPr>
                <w:rFonts w:ascii="Calibri" w:eastAsia="Times New Roman" w:hAnsi="Calibri" w:cs="Times New Roman"/>
                <w:sz w:val="20"/>
                <w:szCs w:val="20"/>
              </w:rPr>
              <w:t>5</w:t>
            </w:r>
            <w:r w:rsidRPr="009307B4">
              <w:rPr>
                <w:rFonts w:ascii="Calibri" w:eastAsia="Times New Roman" w:hAnsi="Calibri" w:cs="Times New Roman"/>
                <w:sz w:val="20"/>
                <w:szCs w:val="20"/>
              </w:rPr>
              <w:t>50,000</w:t>
            </w:r>
          </w:p>
        </w:tc>
      </w:tr>
      <w:tr w:rsidR="00FE6264" w:rsidRPr="00D6638C" w14:paraId="6DB3129F" w14:textId="77777777" w:rsidTr="00FE6264">
        <w:tblPrEx>
          <w:shd w:val="clear" w:color="auto" w:fill="auto"/>
        </w:tblPrEx>
        <w:trPr>
          <w:trHeight w:val="296"/>
        </w:trPr>
        <w:tc>
          <w:tcPr>
            <w:tcW w:w="799" w:type="pct"/>
            <w:gridSpan w:val="2"/>
          </w:tcPr>
          <w:p w14:paraId="0102C0F8" w14:textId="77777777" w:rsidR="00FE6264" w:rsidRPr="00D6638C" w:rsidRDefault="00FE6264" w:rsidP="00FE6264">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743" w:type="pct"/>
            <w:vAlign w:val="center"/>
          </w:tcPr>
          <w:p w14:paraId="61B197CC" w14:textId="77777777" w:rsidR="00FE6264" w:rsidRPr="00D6638C" w:rsidRDefault="00FE6264" w:rsidP="00FE6264">
            <w:pPr>
              <w:tabs>
                <w:tab w:val="right" w:pos="0"/>
              </w:tabs>
              <w:spacing w:after="0"/>
              <w:rPr>
                <w:rFonts w:ascii="Calibri" w:eastAsia="Times New Roman" w:hAnsi="Calibri" w:cs="Times New Roman"/>
                <w:sz w:val="20"/>
                <w:szCs w:val="20"/>
                <w:lang w:val="es-ES_tradnl"/>
              </w:rPr>
            </w:pPr>
            <w:r>
              <w:rPr>
                <w:rFonts w:ascii="Calibri" w:eastAsia="Times New Roman" w:hAnsi="Calibri" w:cs="Times New Roman"/>
                <w:sz w:val="20"/>
                <w:szCs w:val="20"/>
              </w:rPr>
              <w:t>RBLAC</w:t>
            </w:r>
          </w:p>
        </w:tc>
        <w:tc>
          <w:tcPr>
            <w:tcW w:w="1403" w:type="pct"/>
          </w:tcPr>
          <w:p w14:paraId="751965AB" w14:textId="77777777" w:rsidR="00FE6264" w:rsidRPr="00D6638C" w:rsidRDefault="00FE6264" w:rsidP="00FE6264">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1074" w:type="pct"/>
            <w:gridSpan w:val="2"/>
            <w:vAlign w:val="center"/>
          </w:tcPr>
          <w:p w14:paraId="6A5E4063" w14:textId="77777777" w:rsidR="00FE6264" w:rsidRPr="00D6638C" w:rsidRDefault="00FE6264" w:rsidP="00FE6264">
            <w:pPr>
              <w:spacing w:after="0"/>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981" w:type="pct"/>
            <w:vAlign w:val="center"/>
          </w:tcPr>
          <w:p w14:paraId="3CD90C21" w14:textId="1A21E824" w:rsidR="00FE6264" w:rsidRPr="009307B4" w:rsidRDefault="00FE6264" w:rsidP="00FE6264">
            <w:pPr>
              <w:spacing w:after="0"/>
              <w:jc w:val="both"/>
              <w:rPr>
                <w:rFonts w:ascii="Calibri" w:eastAsia="Times New Roman" w:hAnsi="Calibri" w:cs="Times New Roman"/>
                <w:sz w:val="20"/>
                <w:szCs w:val="20"/>
              </w:rPr>
            </w:pPr>
            <w:r w:rsidRPr="009307B4">
              <w:rPr>
                <w:rFonts w:ascii="Calibri" w:eastAsia="Times New Roman" w:hAnsi="Calibri" w:cs="Times New Roman"/>
                <w:sz w:val="20"/>
                <w:szCs w:val="20"/>
              </w:rPr>
              <w:fldChar w:fldCharType="begin">
                <w:ffData>
                  <w:name w:val="Text1"/>
                  <w:enabled/>
                  <w:calcOnExit w:val="0"/>
                  <w:textInput/>
                </w:ffData>
              </w:fldChar>
            </w:r>
            <w:r w:rsidRPr="009307B4">
              <w:rPr>
                <w:rFonts w:ascii="Calibri" w:eastAsia="Times New Roman" w:hAnsi="Calibri" w:cs="Times New Roman"/>
                <w:sz w:val="20"/>
                <w:szCs w:val="20"/>
              </w:rPr>
              <w:instrText xml:space="preserve"> FORMTEXT </w:instrText>
            </w:r>
            <w:r w:rsidRPr="009307B4">
              <w:rPr>
                <w:rFonts w:ascii="Calibri" w:eastAsia="Times New Roman" w:hAnsi="Calibri" w:cs="Times New Roman"/>
                <w:sz w:val="20"/>
                <w:szCs w:val="20"/>
              </w:rPr>
            </w:r>
            <w:r w:rsidRPr="009307B4">
              <w:rPr>
                <w:rFonts w:ascii="Calibri" w:eastAsia="Times New Roman" w:hAnsi="Calibri" w:cs="Times New Roman"/>
                <w:sz w:val="20"/>
                <w:szCs w:val="20"/>
              </w:rPr>
              <w:fldChar w:fldCharType="separate"/>
            </w:r>
            <w:r w:rsidRPr="009307B4">
              <w:rPr>
                <w:rFonts w:ascii="Calibri" w:eastAsia="Times New Roman" w:hAnsi="Calibri" w:cs="Times New Roman"/>
                <w:noProof/>
                <w:sz w:val="20"/>
                <w:szCs w:val="20"/>
              </w:rPr>
              <w:t> </w:t>
            </w:r>
            <w:r w:rsidRPr="009307B4">
              <w:rPr>
                <w:rFonts w:ascii="Calibri" w:eastAsia="Times New Roman" w:hAnsi="Calibri" w:cs="Times New Roman"/>
                <w:noProof/>
                <w:sz w:val="20"/>
                <w:szCs w:val="20"/>
              </w:rPr>
              <w:t> </w:t>
            </w:r>
            <w:r w:rsidRPr="009307B4">
              <w:rPr>
                <w:rFonts w:ascii="Calibri" w:eastAsia="Times New Roman" w:hAnsi="Calibri" w:cs="Times New Roman"/>
                <w:noProof/>
                <w:sz w:val="20"/>
                <w:szCs w:val="20"/>
              </w:rPr>
              <w:t> </w:t>
            </w:r>
            <w:r w:rsidRPr="009307B4">
              <w:rPr>
                <w:rFonts w:ascii="Calibri" w:eastAsia="Times New Roman" w:hAnsi="Calibri" w:cs="Times New Roman"/>
                <w:noProof/>
                <w:sz w:val="20"/>
                <w:szCs w:val="20"/>
              </w:rPr>
              <w:t> </w:t>
            </w:r>
            <w:r w:rsidRPr="009307B4">
              <w:rPr>
                <w:rFonts w:ascii="Calibri" w:eastAsia="Times New Roman" w:hAnsi="Calibri" w:cs="Times New Roman"/>
                <w:noProof/>
                <w:sz w:val="20"/>
                <w:szCs w:val="20"/>
              </w:rPr>
              <w:t> </w:t>
            </w:r>
            <w:r w:rsidRPr="009307B4">
              <w:rPr>
                <w:rFonts w:ascii="Calibri" w:eastAsia="Times New Roman" w:hAnsi="Calibri" w:cs="Times New Roman"/>
                <w:sz w:val="20"/>
                <w:szCs w:val="20"/>
              </w:rPr>
              <w:fldChar w:fldCharType="end"/>
            </w:r>
          </w:p>
        </w:tc>
      </w:tr>
      <w:tr w:rsidR="00FE6264" w:rsidRPr="00D6638C" w14:paraId="0A82979C" w14:textId="77777777" w:rsidTr="00FE6264">
        <w:tblPrEx>
          <w:shd w:val="clear" w:color="auto" w:fill="auto"/>
        </w:tblPrEx>
        <w:trPr>
          <w:trHeight w:val="314"/>
        </w:trPr>
        <w:tc>
          <w:tcPr>
            <w:tcW w:w="799" w:type="pct"/>
            <w:gridSpan w:val="2"/>
          </w:tcPr>
          <w:p w14:paraId="09DE464A" w14:textId="77777777" w:rsidR="00FE6264" w:rsidRPr="00D6638C" w:rsidRDefault="00FE6264" w:rsidP="00FE6264">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743" w:type="pct"/>
            <w:vAlign w:val="center"/>
          </w:tcPr>
          <w:p w14:paraId="2F3B4758" w14:textId="77777777" w:rsidR="00FE6264" w:rsidRPr="00D6638C" w:rsidRDefault="00FE6264" w:rsidP="00FE6264">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Climate Change</w:t>
            </w:r>
          </w:p>
        </w:tc>
        <w:tc>
          <w:tcPr>
            <w:tcW w:w="1403" w:type="pct"/>
          </w:tcPr>
          <w:p w14:paraId="102CD93B" w14:textId="77777777" w:rsidR="00FE6264" w:rsidRPr="00D6638C" w:rsidRDefault="00FE6264" w:rsidP="00FE6264">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Other:</w:t>
            </w:r>
          </w:p>
        </w:tc>
        <w:tc>
          <w:tcPr>
            <w:tcW w:w="1074" w:type="pct"/>
            <w:gridSpan w:val="2"/>
            <w:vAlign w:val="center"/>
          </w:tcPr>
          <w:p w14:paraId="2396733E" w14:textId="77777777" w:rsidR="00FE6264" w:rsidRPr="00D6638C" w:rsidRDefault="00FE6264" w:rsidP="00FE6264">
            <w:pPr>
              <w:spacing w:after="0"/>
              <w:rPr>
                <w:rFonts w:ascii="Calibri" w:eastAsia="Times New Roman" w:hAnsi="Calibri" w:cs="Times New Roman"/>
                <w:sz w:val="20"/>
                <w:szCs w:val="20"/>
              </w:rPr>
            </w:pPr>
            <w:r>
              <w:rPr>
                <w:rFonts w:ascii="Calibri" w:eastAsia="Times New Roman" w:hAnsi="Calibri" w:cs="Times New Roman"/>
                <w:sz w:val="20"/>
                <w:szCs w:val="20"/>
              </w:rPr>
              <w:t>300,000,000</w:t>
            </w:r>
          </w:p>
        </w:tc>
        <w:tc>
          <w:tcPr>
            <w:tcW w:w="981" w:type="pct"/>
            <w:vAlign w:val="center"/>
          </w:tcPr>
          <w:p w14:paraId="5DCFDDF3" w14:textId="489BA8B0" w:rsidR="00FE6264" w:rsidRPr="009307B4" w:rsidRDefault="00FE6264" w:rsidP="00FE6264">
            <w:pPr>
              <w:spacing w:after="0"/>
              <w:jc w:val="both"/>
              <w:rPr>
                <w:rFonts w:ascii="Calibri" w:eastAsia="Times New Roman" w:hAnsi="Calibri" w:cs="Times New Roman"/>
                <w:sz w:val="20"/>
                <w:szCs w:val="20"/>
              </w:rPr>
            </w:pPr>
            <w:r w:rsidRPr="009307B4">
              <w:rPr>
                <w:rFonts w:ascii="Calibri" w:eastAsia="Times New Roman" w:hAnsi="Calibri" w:cs="Times New Roman"/>
                <w:sz w:val="20"/>
                <w:szCs w:val="20"/>
              </w:rPr>
              <w:t>300,000,000</w:t>
            </w:r>
          </w:p>
        </w:tc>
      </w:tr>
      <w:tr w:rsidR="00FE6264" w:rsidRPr="00D6638C" w14:paraId="4D2A45CC" w14:textId="77777777" w:rsidTr="00FE6264">
        <w:tblPrEx>
          <w:shd w:val="clear" w:color="auto" w:fill="auto"/>
        </w:tblPrEx>
        <w:trPr>
          <w:trHeight w:val="553"/>
        </w:trPr>
        <w:tc>
          <w:tcPr>
            <w:tcW w:w="799" w:type="pct"/>
            <w:gridSpan w:val="2"/>
          </w:tcPr>
          <w:p w14:paraId="4EFEF777" w14:textId="77777777" w:rsidR="00FE6264" w:rsidRPr="00D6638C" w:rsidRDefault="00FE6264" w:rsidP="00FE6264">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FA Objectives, (OP/SP):</w:t>
            </w:r>
          </w:p>
        </w:tc>
        <w:tc>
          <w:tcPr>
            <w:tcW w:w="743" w:type="pct"/>
            <w:vAlign w:val="center"/>
          </w:tcPr>
          <w:p w14:paraId="75D4A94C" w14:textId="77777777" w:rsidR="00FE6264" w:rsidRPr="00FE5CA7" w:rsidRDefault="00FE6264" w:rsidP="00FE6264">
            <w:pPr>
              <w:spacing w:after="0"/>
              <w:jc w:val="right"/>
              <w:rPr>
                <w:rFonts w:ascii="Calibri" w:eastAsia="Times New Roman" w:hAnsi="Calibri" w:cs="Times New Roman"/>
                <w:sz w:val="20"/>
                <w:szCs w:val="20"/>
              </w:rPr>
            </w:pPr>
            <w:r w:rsidRPr="00FE5CA7">
              <w:rPr>
                <w:rFonts w:ascii="Calibri" w:eastAsia="Times New Roman" w:hAnsi="Calibri" w:cs="Times New Roman"/>
                <w:sz w:val="20"/>
                <w:szCs w:val="20"/>
              </w:rPr>
              <w:t xml:space="preserve">SP 1. Promoting access to clean and affordable energy services </w:t>
            </w:r>
          </w:p>
          <w:p w14:paraId="26686820" w14:textId="21B18177" w:rsidR="00FE6264" w:rsidRPr="00D6638C" w:rsidRDefault="00FE6264" w:rsidP="00FE6264">
            <w:pPr>
              <w:tabs>
                <w:tab w:val="right" w:pos="0"/>
              </w:tabs>
              <w:spacing w:after="0"/>
              <w:rPr>
                <w:rFonts w:ascii="Calibri" w:eastAsia="Times New Roman" w:hAnsi="Calibri" w:cs="Times New Roman"/>
                <w:sz w:val="20"/>
                <w:szCs w:val="20"/>
              </w:rPr>
            </w:pPr>
            <w:r w:rsidRPr="00FE5CA7">
              <w:rPr>
                <w:rFonts w:ascii="Calibri" w:eastAsia="Times New Roman" w:hAnsi="Calibri" w:cs="Times New Roman"/>
                <w:sz w:val="20"/>
                <w:szCs w:val="20"/>
              </w:rPr>
              <w:t>SP 2. Promoting low emission and climate resilient urban and transport infrastructure (CCM Program 3)</w:t>
            </w:r>
          </w:p>
        </w:tc>
        <w:tc>
          <w:tcPr>
            <w:tcW w:w="1403" w:type="pct"/>
          </w:tcPr>
          <w:p w14:paraId="0E6F4994" w14:textId="77777777" w:rsidR="00FE6264" w:rsidRPr="00D6638C" w:rsidRDefault="00FE6264" w:rsidP="00FE6264">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1074" w:type="pct"/>
            <w:gridSpan w:val="2"/>
            <w:vAlign w:val="center"/>
          </w:tcPr>
          <w:p w14:paraId="5E665DD9" w14:textId="77777777" w:rsidR="00FE6264" w:rsidRPr="00D6638C" w:rsidRDefault="00FE6264" w:rsidP="00FE6264">
            <w:pPr>
              <w:spacing w:after="0"/>
              <w:rPr>
                <w:rFonts w:ascii="Calibri" w:eastAsia="Arial Unicode MS" w:hAnsi="Calibri" w:cs="Times New Roman"/>
                <w:sz w:val="20"/>
                <w:szCs w:val="20"/>
              </w:rPr>
            </w:pPr>
            <w:r>
              <w:rPr>
                <w:rFonts w:ascii="Calibri" w:eastAsia="Times New Roman" w:hAnsi="Calibri" w:cs="Times New Roman"/>
                <w:sz w:val="20"/>
                <w:szCs w:val="20"/>
              </w:rPr>
              <w:t>304,550,000</w:t>
            </w:r>
          </w:p>
        </w:tc>
        <w:tc>
          <w:tcPr>
            <w:tcW w:w="981" w:type="pct"/>
            <w:vAlign w:val="center"/>
          </w:tcPr>
          <w:p w14:paraId="182B38AF" w14:textId="0F6FE8DB" w:rsidR="00FE6264" w:rsidRPr="009307B4" w:rsidRDefault="00FE6264" w:rsidP="00FE6264">
            <w:pPr>
              <w:spacing w:after="0"/>
              <w:jc w:val="both"/>
              <w:rPr>
                <w:rFonts w:ascii="Calibri" w:eastAsia="Times New Roman" w:hAnsi="Calibri" w:cs="Times New Roman"/>
                <w:sz w:val="20"/>
                <w:szCs w:val="20"/>
              </w:rPr>
            </w:pPr>
            <w:r w:rsidRPr="009307B4">
              <w:rPr>
                <w:rFonts w:ascii="Calibri" w:eastAsia="Times New Roman" w:hAnsi="Calibri" w:cs="Times New Roman"/>
                <w:sz w:val="20"/>
                <w:szCs w:val="20"/>
              </w:rPr>
              <w:t>304,550,000</w:t>
            </w:r>
          </w:p>
        </w:tc>
      </w:tr>
      <w:tr w:rsidR="00FE6264" w:rsidRPr="00D6638C" w14:paraId="179ED810" w14:textId="77777777" w:rsidTr="00FE6264">
        <w:tblPrEx>
          <w:shd w:val="clear" w:color="auto" w:fill="auto"/>
        </w:tblPrEx>
        <w:trPr>
          <w:trHeight w:val="341"/>
        </w:trPr>
        <w:tc>
          <w:tcPr>
            <w:tcW w:w="799" w:type="pct"/>
            <w:gridSpan w:val="2"/>
          </w:tcPr>
          <w:p w14:paraId="69C49419" w14:textId="77777777" w:rsidR="00FE6264" w:rsidRPr="00D6638C" w:rsidRDefault="00FE6264" w:rsidP="00FE6264">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743" w:type="pct"/>
            <w:vAlign w:val="center"/>
          </w:tcPr>
          <w:p w14:paraId="35727FFD" w14:textId="77777777" w:rsidR="00FE6264" w:rsidRPr="00D6638C" w:rsidRDefault="00FE6264" w:rsidP="00FE6264">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UNDP</w:t>
            </w:r>
          </w:p>
        </w:tc>
        <w:tc>
          <w:tcPr>
            <w:tcW w:w="1403" w:type="pct"/>
          </w:tcPr>
          <w:p w14:paraId="04A4DEE3" w14:textId="77777777" w:rsidR="00FE6264" w:rsidRPr="00D6638C" w:rsidRDefault="00FE6264" w:rsidP="00FE6264">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1074" w:type="pct"/>
            <w:gridSpan w:val="2"/>
            <w:vAlign w:val="center"/>
          </w:tcPr>
          <w:p w14:paraId="44075300" w14:textId="77777777" w:rsidR="00FE6264" w:rsidRPr="00D6638C" w:rsidRDefault="00FE6264" w:rsidP="00FE6264">
            <w:pPr>
              <w:spacing w:after="0"/>
              <w:rPr>
                <w:rFonts w:ascii="Calibri" w:eastAsia="Arial Unicode MS" w:hAnsi="Calibri" w:cs="Times New Roman"/>
                <w:sz w:val="20"/>
                <w:szCs w:val="20"/>
              </w:rPr>
            </w:pPr>
            <w:r>
              <w:rPr>
                <w:rFonts w:ascii="Calibri" w:eastAsia="Times New Roman" w:hAnsi="Calibri" w:cs="Times New Roman"/>
                <w:sz w:val="20"/>
                <w:szCs w:val="20"/>
              </w:rPr>
              <w:t>306,376,484</w:t>
            </w:r>
          </w:p>
        </w:tc>
        <w:tc>
          <w:tcPr>
            <w:tcW w:w="981" w:type="pct"/>
            <w:vAlign w:val="center"/>
          </w:tcPr>
          <w:p w14:paraId="68080B1A" w14:textId="1496E01F" w:rsidR="00FE6264" w:rsidRPr="009307B4" w:rsidRDefault="00FE6264" w:rsidP="00FE6264">
            <w:pPr>
              <w:spacing w:after="0"/>
              <w:jc w:val="both"/>
              <w:rPr>
                <w:rFonts w:ascii="Calibri" w:eastAsia="Arial Unicode MS" w:hAnsi="Calibri" w:cs="Times New Roman"/>
                <w:sz w:val="20"/>
                <w:szCs w:val="20"/>
              </w:rPr>
            </w:pPr>
            <w:r w:rsidRPr="009307B4">
              <w:rPr>
                <w:rFonts w:ascii="Calibri" w:eastAsia="Times New Roman" w:hAnsi="Calibri" w:cs="Times New Roman"/>
                <w:sz w:val="20"/>
                <w:szCs w:val="20"/>
              </w:rPr>
              <w:t>306,376,484</w:t>
            </w:r>
          </w:p>
        </w:tc>
      </w:tr>
      <w:tr w:rsidR="00FE6264" w:rsidRPr="00D6638C" w14:paraId="7717A267" w14:textId="77777777" w:rsidTr="00224F9C">
        <w:tblPrEx>
          <w:shd w:val="clear" w:color="auto" w:fill="auto"/>
        </w:tblPrEx>
        <w:trPr>
          <w:trHeight w:val="368"/>
        </w:trPr>
        <w:tc>
          <w:tcPr>
            <w:tcW w:w="799" w:type="pct"/>
            <w:gridSpan w:val="2"/>
            <w:vMerge w:val="restart"/>
          </w:tcPr>
          <w:p w14:paraId="43D39BB4" w14:textId="77777777" w:rsidR="00FE6264" w:rsidRPr="00D6638C" w:rsidRDefault="00FE6264" w:rsidP="00FE6264">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743" w:type="pct"/>
            <w:vMerge w:val="restart"/>
            <w:vAlign w:val="center"/>
          </w:tcPr>
          <w:p w14:paraId="28092395" w14:textId="77777777" w:rsidR="00FE6264" w:rsidRPr="00D6638C" w:rsidRDefault="00FE6264" w:rsidP="00FE6264">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Rocky Mountain </w:t>
            </w:r>
            <w:r>
              <w:rPr>
                <w:rFonts w:ascii="Calibri" w:eastAsia="Times New Roman" w:hAnsi="Calibri" w:cs="Times New Roman"/>
                <w:color w:val="000000"/>
                <w:sz w:val="20"/>
                <w:szCs w:val="20"/>
              </w:rPr>
              <w:lastRenderedPageBreak/>
              <w:t>Institute/Carbon War Room</w:t>
            </w:r>
          </w:p>
        </w:tc>
        <w:tc>
          <w:tcPr>
            <w:tcW w:w="2477" w:type="pct"/>
            <w:gridSpan w:val="3"/>
          </w:tcPr>
          <w:p w14:paraId="01A6C0C8" w14:textId="77777777" w:rsidR="00FE6264" w:rsidRPr="00D6638C" w:rsidRDefault="00FE6264" w:rsidP="00FE6264">
            <w:pPr>
              <w:tabs>
                <w:tab w:val="right" w:pos="0"/>
              </w:tabs>
              <w:spacing w:after="0"/>
              <w:jc w:val="right"/>
              <w:rPr>
                <w:rFonts w:ascii="Calibri" w:eastAsia="Times New Roman" w:hAnsi="Calibri" w:cs="Times New Roman"/>
                <w:sz w:val="20"/>
                <w:szCs w:val="20"/>
              </w:rPr>
            </w:pPr>
            <w:proofErr w:type="spellStart"/>
            <w:r w:rsidRPr="00D6638C">
              <w:rPr>
                <w:rFonts w:ascii="Calibri" w:eastAsia="Times New Roman" w:hAnsi="Calibri" w:cs="Times New Roman"/>
                <w:color w:val="000000"/>
                <w:sz w:val="20"/>
                <w:szCs w:val="20"/>
              </w:rPr>
              <w:lastRenderedPageBreak/>
              <w:t>ProDoc</w:t>
            </w:r>
            <w:proofErr w:type="spellEnd"/>
            <w:r w:rsidRPr="00D6638C">
              <w:rPr>
                <w:rFonts w:ascii="Calibri" w:eastAsia="Times New Roman" w:hAnsi="Calibri" w:cs="Times New Roman"/>
                <w:color w:val="000000"/>
                <w:sz w:val="20"/>
                <w:szCs w:val="20"/>
              </w:rPr>
              <w:t xml:space="preserve"> Signature (date project began): </w:t>
            </w:r>
          </w:p>
        </w:tc>
        <w:tc>
          <w:tcPr>
            <w:tcW w:w="981" w:type="pct"/>
            <w:vAlign w:val="center"/>
          </w:tcPr>
          <w:p w14:paraId="753E6E3A" w14:textId="31C077B1" w:rsidR="00FE6264" w:rsidRPr="009307B4" w:rsidRDefault="00FE6264" w:rsidP="00FE6264">
            <w:pPr>
              <w:tabs>
                <w:tab w:val="right" w:pos="0"/>
              </w:tabs>
              <w:spacing w:after="0"/>
              <w:rPr>
                <w:rFonts w:ascii="Calibri" w:eastAsia="Times New Roman" w:hAnsi="Calibri" w:cs="Times New Roman"/>
                <w:sz w:val="20"/>
                <w:szCs w:val="20"/>
              </w:rPr>
            </w:pPr>
            <w:r w:rsidRPr="009307B4">
              <w:rPr>
                <w:rFonts w:ascii="Calibri" w:eastAsia="Times New Roman" w:hAnsi="Calibri" w:cs="Times New Roman"/>
                <w:sz w:val="20"/>
                <w:szCs w:val="20"/>
              </w:rPr>
              <w:t>15 March 2016</w:t>
            </w:r>
          </w:p>
        </w:tc>
      </w:tr>
      <w:tr w:rsidR="00FE6264" w:rsidRPr="00D6638C" w14:paraId="6A9223A3" w14:textId="77777777" w:rsidTr="00224F9C">
        <w:tblPrEx>
          <w:shd w:val="clear" w:color="auto" w:fill="auto"/>
        </w:tblPrEx>
        <w:trPr>
          <w:trHeight w:val="144"/>
        </w:trPr>
        <w:tc>
          <w:tcPr>
            <w:tcW w:w="799" w:type="pct"/>
            <w:gridSpan w:val="2"/>
            <w:vMerge/>
            <w:vAlign w:val="center"/>
          </w:tcPr>
          <w:p w14:paraId="60BE2E0C" w14:textId="77777777" w:rsidR="00FE6264" w:rsidRPr="00D6638C" w:rsidRDefault="00FE6264" w:rsidP="00FE6264">
            <w:pPr>
              <w:spacing w:after="0"/>
              <w:rPr>
                <w:rFonts w:ascii="Calibri" w:eastAsia="Arial Unicode MS" w:hAnsi="Calibri" w:cs="Times New Roman"/>
                <w:sz w:val="20"/>
                <w:szCs w:val="20"/>
              </w:rPr>
            </w:pPr>
          </w:p>
        </w:tc>
        <w:tc>
          <w:tcPr>
            <w:tcW w:w="743" w:type="pct"/>
            <w:vMerge/>
          </w:tcPr>
          <w:p w14:paraId="7AF95A19" w14:textId="77777777" w:rsidR="00FE6264" w:rsidRPr="00D6638C" w:rsidRDefault="00FE6264" w:rsidP="00FE6264">
            <w:pPr>
              <w:tabs>
                <w:tab w:val="right" w:pos="0"/>
              </w:tabs>
              <w:spacing w:after="0"/>
              <w:jc w:val="center"/>
              <w:rPr>
                <w:rFonts w:ascii="Calibri" w:eastAsia="Times New Roman" w:hAnsi="Calibri" w:cs="Times New Roman"/>
                <w:sz w:val="20"/>
                <w:szCs w:val="20"/>
              </w:rPr>
            </w:pPr>
          </w:p>
        </w:tc>
        <w:tc>
          <w:tcPr>
            <w:tcW w:w="1594" w:type="pct"/>
            <w:gridSpan w:val="2"/>
          </w:tcPr>
          <w:p w14:paraId="4B0265D2" w14:textId="77777777" w:rsidR="00FE6264" w:rsidRPr="00D6638C" w:rsidRDefault="00FE6264" w:rsidP="00FE6264">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883" w:type="pct"/>
          </w:tcPr>
          <w:p w14:paraId="36090321" w14:textId="77777777" w:rsidR="00FE6264" w:rsidRPr="00D6638C" w:rsidRDefault="00FE6264" w:rsidP="00FE6264">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p>
          <w:p w14:paraId="12C9DAAA" w14:textId="3FBC8363" w:rsidR="00FE6264" w:rsidRPr="00D6638C" w:rsidRDefault="00FE6264" w:rsidP="00FE6264">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30 June 2019</w:t>
            </w:r>
          </w:p>
        </w:tc>
        <w:tc>
          <w:tcPr>
            <w:tcW w:w="981" w:type="pct"/>
          </w:tcPr>
          <w:p w14:paraId="64D65EC8" w14:textId="77777777" w:rsidR="00FE6264" w:rsidRPr="009307B4" w:rsidRDefault="00FE6264" w:rsidP="00FE6264">
            <w:pPr>
              <w:tabs>
                <w:tab w:val="right" w:pos="0"/>
              </w:tabs>
              <w:spacing w:after="0"/>
              <w:rPr>
                <w:rFonts w:ascii="Calibri" w:eastAsia="Times New Roman" w:hAnsi="Calibri" w:cs="Times New Roman"/>
                <w:sz w:val="20"/>
                <w:szCs w:val="20"/>
              </w:rPr>
            </w:pPr>
            <w:r w:rsidRPr="009307B4">
              <w:rPr>
                <w:rFonts w:ascii="Calibri" w:eastAsia="Times New Roman" w:hAnsi="Calibri" w:cs="Times New Roman"/>
                <w:color w:val="000000"/>
                <w:sz w:val="20"/>
                <w:szCs w:val="20"/>
              </w:rPr>
              <w:t>Actual:</w:t>
            </w:r>
          </w:p>
          <w:p w14:paraId="0EFF133F" w14:textId="1A9D3220" w:rsidR="00FE6264" w:rsidRPr="009307B4" w:rsidRDefault="00FE6264" w:rsidP="00FE6264">
            <w:pPr>
              <w:tabs>
                <w:tab w:val="right" w:pos="0"/>
              </w:tabs>
              <w:spacing w:after="0"/>
              <w:rPr>
                <w:rFonts w:ascii="Calibri" w:eastAsia="Times New Roman" w:hAnsi="Calibri" w:cs="Times New Roman"/>
                <w:color w:val="000000"/>
                <w:sz w:val="20"/>
                <w:szCs w:val="20"/>
              </w:rPr>
            </w:pPr>
            <w:r w:rsidRPr="009307B4">
              <w:rPr>
                <w:rFonts w:ascii="Calibri" w:eastAsia="Times New Roman" w:hAnsi="Calibri" w:cs="Times New Roman"/>
                <w:sz w:val="20"/>
                <w:szCs w:val="20"/>
              </w:rPr>
              <w:t>30 June 2019</w:t>
            </w:r>
          </w:p>
        </w:tc>
      </w:tr>
    </w:tbl>
    <w:p w14:paraId="036E168F" w14:textId="77777777" w:rsidR="00D6638C" w:rsidRPr="00B913F1" w:rsidRDefault="00D6638C" w:rsidP="00F05366">
      <w:pPr>
        <w:pStyle w:val="Heading51"/>
      </w:pPr>
      <w:bookmarkStart w:id="4" w:name="_Toc321341549"/>
      <w:r w:rsidRPr="00B913F1">
        <w:t>Objective and Scope</w:t>
      </w:r>
      <w:bookmarkEnd w:id="4"/>
    </w:p>
    <w:p w14:paraId="1054B51C" w14:textId="7119625E" w:rsidR="00FE6264" w:rsidRPr="003A6F8A" w:rsidRDefault="00FE6264" w:rsidP="00FE6264">
      <w:pPr>
        <w:spacing w:line="240" w:lineRule="auto"/>
        <w:rPr>
          <w:rFonts w:cs="Arial"/>
        </w:rPr>
      </w:pPr>
      <w:r w:rsidRPr="003A6F8A">
        <w:rPr>
          <w:rFonts w:cs="Arial"/>
        </w:rPr>
        <w:t>The objective of the Ten Island Challenge (TIC) is to accelerate the transition of Caribbean island economies from heavy dependence on fossil fuels to a diverse platform of renewables and energy efficiency, thereby establishing a blueprint for other isolated economies.</w:t>
      </w:r>
      <w:r>
        <w:rPr>
          <w:rFonts w:cs="Arial"/>
        </w:rPr>
        <w:t xml:space="preserve"> </w:t>
      </w:r>
      <w:r w:rsidRPr="003A6F8A">
        <w:rPr>
          <w:rFonts w:cs="Arial"/>
        </w:rPr>
        <w:t>By accelerating the transition of islands to renewable energy sources, national governments can accomplish the following: lower electricity costs in the household and industry sectors; increased private investment on-island with the introduction of more and higher skilled jobs; lower GHGs and less local pollution; improved energy efficiency across different sectors and less money spent on fuel.</w:t>
      </w:r>
    </w:p>
    <w:p w14:paraId="1CB4B9D5" w14:textId="77777777" w:rsidR="00FE6264" w:rsidRPr="003A6F8A" w:rsidRDefault="00FE6264" w:rsidP="00FE6264">
      <w:pPr>
        <w:spacing w:line="240" w:lineRule="auto"/>
        <w:rPr>
          <w:rFonts w:cs="Arial"/>
        </w:rPr>
      </w:pPr>
      <w:r w:rsidRPr="003A6F8A">
        <w:rPr>
          <w:rFonts w:cs="Arial"/>
        </w:rPr>
        <w:t xml:space="preserve">For this initiative, CWR will track the following key performance targets as a way of measuring success. The overall goal will be to have the islands participating in the program achieve renewable energy penetration that amounts to </w:t>
      </w:r>
      <w:r w:rsidRPr="004C2E36">
        <w:rPr>
          <w:rFonts w:cs="Arial"/>
        </w:rPr>
        <w:t>20-50% share of RE in the power</w:t>
      </w:r>
      <w:r>
        <w:rPr>
          <w:rFonts w:cs="Arial"/>
        </w:rPr>
        <w:t xml:space="preserve"> generation mix by 2030</w:t>
      </w:r>
      <w:r w:rsidRPr="003A6F8A">
        <w:rPr>
          <w:rFonts w:cs="Arial"/>
        </w:rPr>
        <w:t>.</w:t>
      </w:r>
    </w:p>
    <w:tbl>
      <w:tblPr>
        <w:tblStyle w:val="TableGrid"/>
        <w:tblW w:w="0" w:type="auto"/>
        <w:tblLook w:val="04A0" w:firstRow="1" w:lastRow="0" w:firstColumn="1" w:lastColumn="0" w:noHBand="0" w:noVBand="1"/>
      </w:tblPr>
      <w:tblGrid>
        <w:gridCol w:w="2515"/>
        <w:gridCol w:w="6835"/>
      </w:tblGrid>
      <w:tr w:rsidR="00FE6264" w:rsidRPr="003A6F8A" w14:paraId="770860BF" w14:textId="77777777" w:rsidTr="00FE6264">
        <w:tc>
          <w:tcPr>
            <w:tcW w:w="2515" w:type="dxa"/>
            <w:shd w:val="clear" w:color="auto" w:fill="BFBFBF" w:themeFill="background1" w:themeFillShade="BF"/>
          </w:tcPr>
          <w:p w14:paraId="5C49DEDE" w14:textId="77777777" w:rsidR="00FE6264" w:rsidRPr="003A6F8A" w:rsidRDefault="00FE6264" w:rsidP="00FE6264">
            <w:pPr>
              <w:pStyle w:val="NoSpacing"/>
              <w:rPr>
                <w:rFonts w:cs="Arial"/>
                <w:b/>
              </w:rPr>
            </w:pPr>
            <w:r w:rsidRPr="003A6F8A">
              <w:rPr>
                <w:rFonts w:cs="Arial"/>
                <w:b/>
              </w:rPr>
              <w:t>Outcome 1. Policy De-risking Measures:</w:t>
            </w:r>
          </w:p>
        </w:tc>
        <w:tc>
          <w:tcPr>
            <w:tcW w:w="6835" w:type="dxa"/>
            <w:shd w:val="clear" w:color="auto" w:fill="BFBFBF" w:themeFill="background1" w:themeFillShade="BF"/>
          </w:tcPr>
          <w:p w14:paraId="18F7D739" w14:textId="77777777" w:rsidR="00FE6264" w:rsidRPr="003A6F8A" w:rsidRDefault="00FE6264" w:rsidP="00FE6264">
            <w:pPr>
              <w:rPr>
                <w:rFonts w:cs="Arial"/>
              </w:rPr>
            </w:pPr>
            <w:r w:rsidRPr="003A6F8A">
              <w:rPr>
                <w:rFonts w:cs="Arial"/>
              </w:rPr>
              <w:t>Island-wide de-risked enabling environment for low GHG development through the demonstration of innovative policy tools</w:t>
            </w:r>
          </w:p>
        </w:tc>
      </w:tr>
      <w:tr w:rsidR="00FE6264" w:rsidRPr="003A6F8A" w14:paraId="5B226960" w14:textId="77777777" w:rsidTr="00FE6264">
        <w:tc>
          <w:tcPr>
            <w:tcW w:w="2515" w:type="dxa"/>
          </w:tcPr>
          <w:p w14:paraId="177484B0" w14:textId="77777777" w:rsidR="00FE6264" w:rsidRPr="003A6F8A" w:rsidRDefault="00FE6264" w:rsidP="00FE6264">
            <w:pPr>
              <w:rPr>
                <w:rFonts w:cs="Arial"/>
              </w:rPr>
            </w:pPr>
            <w:r w:rsidRPr="003A6F8A">
              <w:rPr>
                <w:rFonts w:cs="Arial"/>
              </w:rPr>
              <w:t>Output 1.1 Clean energy action plans to meet Ten Island Challenge targets in the Caribbean developed:</w:t>
            </w:r>
          </w:p>
        </w:tc>
        <w:tc>
          <w:tcPr>
            <w:tcW w:w="6835" w:type="dxa"/>
          </w:tcPr>
          <w:p w14:paraId="6C130CCE" w14:textId="77777777" w:rsidR="00FE6264" w:rsidRPr="003A6F8A" w:rsidRDefault="00FE6264" w:rsidP="00FE6264">
            <w:pPr>
              <w:pStyle w:val="ListParagraph"/>
              <w:rPr>
                <w:rFonts w:cs="Arial"/>
              </w:rPr>
            </w:pPr>
            <w:r w:rsidRPr="003A6F8A">
              <w:rPr>
                <w:rFonts w:cs="Arial"/>
              </w:rPr>
              <w:t>Goals and vision statements for each island participant with commitments and resources to meet them</w:t>
            </w:r>
          </w:p>
          <w:p w14:paraId="31DF35DF" w14:textId="77777777" w:rsidR="00FE6264" w:rsidRPr="00F24AA1" w:rsidRDefault="00FE6264" w:rsidP="00FE6264">
            <w:pPr>
              <w:pStyle w:val="ListParagraph"/>
              <w:rPr>
                <w:rFonts w:cs="Arial"/>
              </w:rPr>
            </w:pPr>
            <w:r w:rsidRPr="003A6F8A">
              <w:rPr>
                <w:rFonts w:cs="Arial"/>
              </w:rPr>
              <w:t>Renewable energy and energy efficiency strategies and assessments on selected islands with specific targets</w:t>
            </w:r>
            <w:r>
              <w:rPr>
                <w:rFonts w:cs="Arial"/>
              </w:rPr>
              <w:t xml:space="preserve"> that are inclusive, g</w:t>
            </w:r>
            <w:r w:rsidRPr="00F24AA1">
              <w:rPr>
                <w:rFonts w:cs="Arial"/>
              </w:rPr>
              <w:t>ender responsive and human rights</w:t>
            </w:r>
            <w:r>
              <w:rPr>
                <w:rFonts w:cs="Arial"/>
              </w:rPr>
              <w:t>-</w:t>
            </w:r>
            <w:r w:rsidRPr="00F24AA1">
              <w:rPr>
                <w:rFonts w:cs="Arial"/>
              </w:rPr>
              <w:t xml:space="preserve">based </w:t>
            </w:r>
            <w:r>
              <w:rPr>
                <w:rFonts w:cs="Arial"/>
              </w:rPr>
              <w:t>and include recommendations for clean energy livelihoods initiatives</w:t>
            </w:r>
          </w:p>
        </w:tc>
      </w:tr>
      <w:tr w:rsidR="00FE6264" w:rsidRPr="003A6F8A" w14:paraId="2E67FFD8" w14:textId="77777777" w:rsidTr="00FE6264">
        <w:tc>
          <w:tcPr>
            <w:tcW w:w="2515" w:type="dxa"/>
          </w:tcPr>
          <w:p w14:paraId="52317F03" w14:textId="77777777" w:rsidR="00FE6264" w:rsidRPr="003A6F8A" w:rsidRDefault="00FE6264" w:rsidP="00FE6264">
            <w:pPr>
              <w:rPr>
                <w:rFonts w:cs="Arial"/>
              </w:rPr>
            </w:pPr>
            <w:r w:rsidRPr="003A6F8A">
              <w:rPr>
                <w:rFonts w:cs="Arial"/>
              </w:rPr>
              <w:t>Output 1.2 Policy de-risking analysis and guidance for Ten Island Challenge countries in the Caribbean provided:</w:t>
            </w:r>
          </w:p>
        </w:tc>
        <w:tc>
          <w:tcPr>
            <w:tcW w:w="6835" w:type="dxa"/>
          </w:tcPr>
          <w:p w14:paraId="4FE26896" w14:textId="77777777" w:rsidR="00FE6264" w:rsidRPr="003A6F8A" w:rsidRDefault="00FE6264" w:rsidP="00FE6264">
            <w:pPr>
              <w:pStyle w:val="ListParagraph"/>
              <w:rPr>
                <w:rFonts w:cs="Arial"/>
              </w:rPr>
            </w:pPr>
            <w:r w:rsidRPr="003A6F8A">
              <w:rPr>
                <w:rFonts w:cs="Arial"/>
              </w:rPr>
              <w:t>Use of de-risking tools to low carbon energy technologies in the Caribbean context</w:t>
            </w:r>
          </w:p>
          <w:p w14:paraId="3BD31BCF" w14:textId="77777777" w:rsidR="00FE6264" w:rsidRPr="003A6F8A" w:rsidRDefault="00FE6264" w:rsidP="00FE6264">
            <w:pPr>
              <w:pStyle w:val="ListParagraph"/>
              <w:rPr>
                <w:rFonts w:cs="Arial"/>
              </w:rPr>
            </w:pPr>
            <w:r w:rsidRPr="003A6F8A">
              <w:rPr>
                <w:rFonts w:cs="Arial"/>
              </w:rPr>
              <w:t xml:space="preserve">Model </w:t>
            </w:r>
            <w:r>
              <w:rPr>
                <w:rFonts w:cs="Arial"/>
              </w:rPr>
              <w:t xml:space="preserve">twelve </w:t>
            </w:r>
            <w:r w:rsidRPr="003A6F8A">
              <w:rPr>
                <w:rFonts w:cs="Arial"/>
              </w:rPr>
              <w:t>possible Resource Conservations Measures (RCMs) for health centers</w:t>
            </w:r>
          </w:p>
          <w:p w14:paraId="2CDE9B75" w14:textId="77777777" w:rsidR="00FE6264" w:rsidRPr="003A6F8A" w:rsidRDefault="00FE6264" w:rsidP="00FE6264">
            <w:pPr>
              <w:pStyle w:val="ListParagraph"/>
              <w:rPr>
                <w:rFonts w:cs="Arial"/>
              </w:rPr>
            </w:pPr>
            <w:r w:rsidRPr="003A6F8A">
              <w:rPr>
                <w:rFonts w:cs="Arial"/>
              </w:rPr>
              <w:t>Regional guide development (including support for grid integration and energy efficiency in hospitals)</w:t>
            </w:r>
          </w:p>
          <w:p w14:paraId="72FEA760" w14:textId="77777777" w:rsidR="00FE6264" w:rsidRPr="003A6F8A" w:rsidRDefault="00FE6264" w:rsidP="00FE6264">
            <w:pPr>
              <w:pStyle w:val="ListParagraph"/>
              <w:rPr>
                <w:rFonts w:cs="Arial"/>
              </w:rPr>
            </w:pPr>
            <w:r w:rsidRPr="003A6F8A">
              <w:rPr>
                <w:rFonts w:cs="Arial"/>
              </w:rPr>
              <w:t>Transformation of the market and regulatory framework to demonstrate effective grid integration or renewable energy resources across the Caribbean</w:t>
            </w:r>
          </w:p>
        </w:tc>
      </w:tr>
    </w:tbl>
    <w:p w14:paraId="66CEBF95" w14:textId="77777777" w:rsidR="00FE6264" w:rsidRPr="003A6F8A" w:rsidRDefault="00FE6264" w:rsidP="00FE6264">
      <w:pPr>
        <w:spacing w:line="240" w:lineRule="auto"/>
        <w:rPr>
          <w:rFonts w:cs="Arial"/>
        </w:rPr>
      </w:pPr>
    </w:p>
    <w:p w14:paraId="2498A739" w14:textId="77777777" w:rsidR="00FE6264" w:rsidRPr="003A6F8A" w:rsidRDefault="00FE6264" w:rsidP="00FE6264">
      <w:pPr>
        <w:spacing w:line="240" w:lineRule="auto"/>
        <w:rPr>
          <w:rFonts w:cs="Arial"/>
        </w:rPr>
      </w:pPr>
      <w:r w:rsidRPr="003A6F8A">
        <w:rPr>
          <w:rFonts w:cs="Arial"/>
        </w:rPr>
        <w:t xml:space="preserve">An important challenge for any utility dealing with large-scale renewable energy investments is integrating intermittent resources into the grid. Conventional power plants cannot be brought on and off-line quickly enough in response to changes in wind and solar power production with the changing weather. There are </w:t>
      </w:r>
      <w:proofErr w:type="gramStart"/>
      <w:r w:rsidRPr="003A6F8A">
        <w:rPr>
          <w:rFonts w:cs="Arial"/>
        </w:rPr>
        <w:t>a number of</w:t>
      </w:r>
      <w:proofErr w:type="gramEnd"/>
      <w:r w:rsidRPr="003A6F8A">
        <w:rPr>
          <w:rFonts w:cs="Arial"/>
        </w:rPr>
        <w:t xml:space="preserve"> technologies and practices that help mitigate this risk, as well as energy storage options. With smarter grid devices and software – combined with changes in government policy and utility practice – the grid infrastructure can do a better job absorbing intermittent energy supplies with minimal curtailment or risk to power lines, transformers, etc. CWR will put together a resource guide with case studies (including the use of innovative technology and the design instructive policy and regulatory changes) that demonstrate effective grid integration of renewable resources. This analysis will be tailored to the Caribbean context and will offer practical advice and guidance to utilities, regulators, private developers and others seeking to ensure that as many MW of renewable energy can be delivered through the grid as possible.</w:t>
      </w:r>
    </w:p>
    <w:p w14:paraId="0F54055C" w14:textId="77777777" w:rsidR="00FE6264" w:rsidRPr="003A6F8A" w:rsidRDefault="00FE6264" w:rsidP="00FE6264">
      <w:pPr>
        <w:spacing w:line="240" w:lineRule="auto"/>
        <w:rPr>
          <w:rFonts w:cs="Arial"/>
        </w:rPr>
      </w:pPr>
      <w:r w:rsidRPr="003A6F8A">
        <w:rPr>
          <w:rFonts w:cs="Arial"/>
        </w:rPr>
        <w:lastRenderedPageBreak/>
        <w:t xml:space="preserve">Based on the available data points and interviews with hospital/health facility officials, CWR will establish a benchmark energy use index for a typical hospital as a foundation for the comparison of building-wide, energy savings potential. The team will model </w:t>
      </w:r>
      <w:r>
        <w:rPr>
          <w:rFonts w:cs="Arial"/>
        </w:rPr>
        <w:t>twelve</w:t>
      </w:r>
      <w:r w:rsidRPr="003A6F8A">
        <w:rPr>
          <w:rFonts w:cs="Arial"/>
        </w:rPr>
        <w:t xml:space="preserve"> possible Resource Conservations Measures (RCMs) for their savings potential and cost savings and develop a tool to allow properties to input simple property-specific information such as number of beds, age of property and utility rates to construct energy savings scenarios and likely returns on investment. CWR will also develop an Energy Retrofit Guide that addresses a whole building approach and process. The guide will be disseminated across the region, and GEF funding would support dissemination costs.</w:t>
      </w:r>
    </w:p>
    <w:tbl>
      <w:tblPr>
        <w:tblStyle w:val="TableGrid"/>
        <w:tblW w:w="0" w:type="auto"/>
        <w:tblLayout w:type="fixed"/>
        <w:tblLook w:val="04A0" w:firstRow="1" w:lastRow="0" w:firstColumn="1" w:lastColumn="0" w:noHBand="0" w:noVBand="1"/>
      </w:tblPr>
      <w:tblGrid>
        <w:gridCol w:w="2515"/>
        <w:gridCol w:w="6835"/>
      </w:tblGrid>
      <w:tr w:rsidR="00FE6264" w:rsidRPr="003A6F8A" w14:paraId="6ED04DC1" w14:textId="77777777" w:rsidTr="00FE6264">
        <w:tc>
          <w:tcPr>
            <w:tcW w:w="2515" w:type="dxa"/>
            <w:shd w:val="clear" w:color="auto" w:fill="BFBFBF" w:themeFill="background1" w:themeFillShade="BF"/>
          </w:tcPr>
          <w:p w14:paraId="255E511F" w14:textId="77777777" w:rsidR="00FE6264" w:rsidRPr="003A6F8A" w:rsidRDefault="00FE6264" w:rsidP="00FE6264">
            <w:pPr>
              <w:rPr>
                <w:rFonts w:cs="Arial"/>
                <w:b/>
              </w:rPr>
            </w:pPr>
            <w:r w:rsidRPr="003A6F8A">
              <w:rPr>
                <w:rFonts w:cs="Arial"/>
                <w:b/>
              </w:rPr>
              <w:t>Outcome 2. Institutional and Technical Capacity:</w:t>
            </w:r>
          </w:p>
        </w:tc>
        <w:tc>
          <w:tcPr>
            <w:tcW w:w="6835" w:type="dxa"/>
            <w:shd w:val="clear" w:color="auto" w:fill="BFBFBF" w:themeFill="background1" w:themeFillShade="BF"/>
          </w:tcPr>
          <w:p w14:paraId="2E5ADCAB" w14:textId="77777777" w:rsidR="00FE6264" w:rsidRPr="003A6F8A" w:rsidRDefault="00FE6264" w:rsidP="00FE6264">
            <w:pPr>
              <w:rPr>
                <w:rFonts w:cs="Arial"/>
              </w:rPr>
            </w:pPr>
            <w:r w:rsidRPr="003A6F8A">
              <w:rPr>
                <w:rFonts w:cs="Arial"/>
              </w:rPr>
              <w:t>Strengthened island capacity for integrated low GHG technical and institutional stakeholder planning and coordination</w:t>
            </w:r>
          </w:p>
        </w:tc>
      </w:tr>
      <w:tr w:rsidR="00FE6264" w:rsidRPr="003A6F8A" w14:paraId="6CAAA6E8" w14:textId="77777777" w:rsidTr="00FE6264">
        <w:tc>
          <w:tcPr>
            <w:tcW w:w="2515" w:type="dxa"/>
          </w:tcPr>
          <w:p w14:paraId="4843E9D0" w14:textId="77777777" w:rsidR="00FE6264" w:rsidRPr="003A6F8A" w:rsidRDefault="00FE6264" w:rsidP="00FE6264">
            <w:pPr>
              <w:rPr>
                <w:rFonts w:cs="Arial"/>
              </w:rPr>
            </w:pPr>
            <w:r w:rsidRPr="003A6F8A">
              <w:rPr>
                <w:rFonts w:cs="Arial"/>
              </w:rPr>
              <w:t>Output 2.1 Caribbean platforms for clean energy technology research, development, transfer and adoption enabled:</w:t>
            </w:r>
          </w:p>
        </w:tc>
        <w:tc>
          <w:tcPr>
            <w:tcW w:w="6835" w:type="dxa"/>
          </w:tcPr>
          <w:p w14:paraId="706D9E69" w14:textId="77777777" w:rsidR="00FE6264" w:rsidRDefault="00FE6264" w:rsidP="00FE6264">
            <w:pPr>
              <w:pStyle w:val="ListParagraph"/>
              <w:rPr>
                <w:rFonts w:cs="Arial"/>
              </w:rPr>
            </w:pPr>
            <w:r>
              <w:t>Caribbean Energy Transition Community of Practice</w:t>
            </w:r>
            <w:r w:rsidRPr="003A6F8A">
              <w:rPr>
                <w:rFonts w:cs="Arial"/>
              </w:rPr>
              <w:t xml:space="preserve"> for government officials, utility and other networking and coordination bodies (e.g. CARILEC, CARICOM, CDB, CCCCC) </w:t>
            </w:r>
            <w:r>
              <w:rPr>
                <w:rFonts w:cs="Arial"/>
              </w:rPr>
              <w:t>As part of the COP, a network of young leaders will be created to identify and nurture</w:t>
            </w:r>
            <w:r w:rsidRPr="003A6F8A">
              <w:rPr>
                <w:rFonts w:cs="Arial"/>
              </w:rPr>
              <w:t xml:space="preserve"> youth to transition and lead the clean energy sustainable development agenda in the Caribbean</w:t>
            </w:r>
          </w:p>
          <w:p w14:paraId="386317C8" w14:textId="77777777" w:rsidR="00FE6264" w:rsidRDefault="00FE6264" w:rsidP="00FE6264">
            <w:pPr>
              <w:pStyle w:val="ListParagraph"/>
              <w:rPr>
                <w:rFonts w:cs="Arial"/>
              </w:rPr>
            </w:pPr>
            <w:r w:rsidRPr="003A6F8A">
              <w:rPr>
                <w:rFonts w:cs="Arial"/>
              </w:rPr>
              <w:t xml:space="preserve">The virtual Caribbean energy transition platform will host </w:t>
            </w:r>
            <w:proofErr w:type="gramStart"/>
            <w:r w:rsidRPr="003A6F8A">
              <w:rPr>
                <w:rFonts w:cs="Arial"/>
              </w:rPr>
              <w:t>a number of</w:t>
            </w:r>
            <w:proofErr w:type="gramEnd"/>
            <w:r w:rsidRPr="003A6F8A">
              <w:rPr>
                <w:rFonts w:cs="Arial"/>
              </w:rPr>
              <w:t xml:space="preserve"> project related templates including standard Purchasing Power Agreement templates, Standard Engineering, Procurement and Construction contract templates, checklists for bankability, etc. This </w:t>
            </w:r>
            <w:r>
              <w:rPr>
                <w:rFonts w:cs="Arial"/>
              </w:rPr>
              <w:t xml:space="preserve">Community of Practice will </w:t>
            </w:r>
            <w:r w:rsidRPr="003A6F8A">
              <w:rPr>
                <w:rFonts w:cs="Arial"/>
              </w:rPr>
              <w:t>support a pipeline of bankable projects that are eligible for financing</w:t>
            </w:r>
          </w:p>
          <w:p w14:paraId="4C943463" w14:textId="77777777" w:rsidR="00FE6264" w:rsidRPr="003A6F8A" w:rsidRDefault="00FE6264" w:rsidP="00FE6264">
            <w:pPr>
              <w:pStyle w:val="ListParagraph"/>
              <w:rPr>
                <w:rFonts w:cs="Arial"/>
              </w:rPr>
            </w:pPr>
            <w:r>
              <w:rPr>
                <w:rFonts w:cs="Arial"/>
              </w:rPr>
              <w:t>Gender responsive mechanisms will be put in place to support technology transfer through consultation with an inclusive stakeholder base</w:t>
            </w:r>
          </w:p>
        </w:tc>
      </w:tr>
      <w:tr w:rsidR="00FE6264" w:rsidRPr="003A6F8A" w14:paraId="324BCCDD" w14:textId="77777777" w:rsidTr="00FE6264">
        <w:tc>
          <w:tcPr>
            <w:tcW w:w="2515" w:type="dxa"/>
          </w:tcPr>
          <w:p w14:paraId="69D21687" w14:textId="77777777" w:rsidR="00FE6264" w:rsidRPr="003A6F8A" w:rsidRDefault="00FE6264" w:rsidP="00FE6264">
            <w:pPr>
              <w:rPr>
                <w:rFonts w:cs="Arial"/>
              </w:rPr>
            </w:pPr>
            <w:r w:rsidRPr="003A6F8A">
              <w:rPr>
                <w:rFonts w:cs="Arial"/>
              </w:rPr>
              <w:t>Output 2.2 Skills and expertise in island-wide clean energy investment de-risking and market transformation built:</w:t>
            </w:r>
          </w:p>
        </w:tc>
        <w:tc>
          <w:tcPr>
            <w:tcW w:w="6835" w:type="dxa"/>
          </w:tcPr>
          <w:p w14:paraId="3BB729D0" w14:textId="77777777" w:rsidR="00FE6264" w:rsidRDefault="00FE6264" w:rsidP="00FE6264">
            <w:pPr>
              <w:pStyle w:val="ListParagraph"/>
              <w:rPr>
                <w:rFonts w:cs="Arial"/>
              </w:rPr>
            </w:pPr>
            <w:r>
              <w:rPr>
                <w:rFonts w:cs="Arial"/>
              </w:rPr>
              <w:t>Gender responsive r</w:t>
            </w:r>
            <w:r w:rsidRPr="003A6F8A">
              <w:rPr>
                <w:rFonts w:cs="Arial"/>
              </w:rPr>
              <w:t>egional workshops and capacity building for knowledge-sharing and lessons learnt</w:t>
            </w:r>
          </w:p>
          <w:p w14:paraId="7CCBD232" w14:textId="77777777" w:rsidR="00FE6264" w:rsidRPr="003A6F8A" w:rsidRDefault="00FE6264" w:rsidP="00FE6264">
            <w:pPr>
              <w:pStyle w:val="ListParagraph"/>
              <w:rPr>
                <w:rFonts w:cs="Arial"/>
              </w:rPr>
            </w:pPr>
            <w:r w:rsidRPr="003A6F8A">
              <w:rPr>
                <w:rFonts w:cs="Arial"/>
              </w:rPr>
              <w:t>Follow-up tools, guidance and materials to measure and ensure the impact of capacity interventions</w:t>
            </w:r>
          </w:p>
        </w:tc>
      </w:tr>
    </w:tbl>
    <w:p w14:paraId="20FF0823" w14:textId="77777777" w:rsidR="00FE6264" w:rsidRPr="003A6F8A" w:rsidRDefault="00FE6264" w:rsidP="00FE6264">
      <w:pPr>
        <w:spacing w:line="240" w:lineRule="auto"/>
        <w:rPr>
          <w:rFonts w:cs="Arial"/>
        </w:rPr>
      </w:pPr>
    </w:p>
    <w:p w14:paraId="72E7F5FC" w14:textId="77777777" w:rsidR="00FE6264" w:rsidRPr="003A6F8A" w:rsidRDefault="00FE6264" w:rsidP="00FE6264">
      <w:pPr>
        <w:spacing w:line="240" w:lineRule="auto"/>
        <w:rPr>
          <w:rFonts w:cs="Arial"/>
        </w:rPr>
      </w:pPr>
      <w:r w:rsidRPr="003A6F8A">
        <w:rPr>
          <w:rFonts w:cs="Arial"/>
        </w:rPr>
        <w:t>To facilitate the sharing of knowledge, tools and technology across the participating countries – and build the capacity of utility and government officials with grid integration – a sustainable community of practice (CoP) and on-line forum will be created. This CoP will be a peer network and target utility engineers, government energy practitioners and development partners active in the renewable space. With a range of on-line resources, discussion fora and in-person meetings, the CoP will promote and facilitate a culture of information sharing. The result of this cross-fertilization of ideas and experience will be to build the capacity and inform decision making across the network about how best to solve the barriers that inhibit the growth of renewable energy generation. Training workshops that include utility and government leaders from all participants in the Ten Island Challenge (TIC), with all associated materials and follow-up to measure impact of these events.</w:t>
      </w:r>
    </w:p>
    <w:p w14:paraId="47D4CB7E" w14:textId="77777777" w:rsidR="00FE6264" w:rsidRPr="003A6F8A" w:rsidRDefault="00FE6264" w:rsidP="00FE6264">
      <w:pPr>
        <w:spacing w:line="240" w:lineRule="auto"/>
        <w:rPr>
          <w:rFonts w:cs="Arial"/>
        </w:rPr>
      </w:pPr>
      <w:r>
        <w:rPr>
          <w:rFonts w:cs="Arial"/>
        </w:rPr>
        <w:t>As part of the CoP, a network of y</w:t>
      </w:r>
      <w:r w:rsidRPr="003A6F8A">
        <w:rPr>
          <w:rFonts w:cs="Arial"/>
        </w:rPr>
        <w:t xml:space="preserve">oung </w:t>
      </w:r>
      <w:r>
        <w:rPr>
          <w:rFonts w:cs="Arial"/>
        </w:rPr>
        <w:t>l</w:t>
      </w:r>
      <w:r w:rsidRPr="003A6F8A">
        <w:rPr>
          <w:rFonts w:cs="Arial"/>
        </w:rPr>
        <w:t xml:space="preserve">eaders </w:t>
      </w:r>
      <w:r>
        <w:rPr>
          <w:rFonts w:cs="Arial"/>
        </w:rPr>
        <w:t>will be created to support the identification and nurturing of</w:t>
      </w:r>
      <w:r w:rsidRPr="003A6F8A">
        <w:rPr>
          <w:rFonts w:cs="Arial"/>
        </w:rPr>
        <w:t xml:space="preserve"> you</w:t>
      </w:r>
      <w:r>
        <w:rPr>
          <w:rFonts w:cs="Arial"/>
        </w:rPr>
        <w:t>th</w:t>
      </w:r>
      <w:r w:rsidRPr="003A6F8A">
        <w:rPr>
          <w:rFonts w:cs="Arial"/>
        </w:rPr>
        <w:t xml:space="preserve"> who are keen to lead the energy agenda in the region and ensure that energy transition is sustainable. The network will help:</w:t>
      </w:r>
    </w:p>
    <w:p w14:paraId="498F7FDB" w14:textId="77777777" w:rsidR="00FE6264" w:rsidRPr="003A6F8A" w:rsidRDefault="00FE6264" w:rsidP="00FE6264">
      <w:pPr>
        <w:pStyle w:val="ListParagraph"/>
        <w:numPr>
          <w:ilvl w:val="0"/>
          <w:numId w:val="40"/>
        </w:numPr>
        <w:spacing w:before="60" w:after="120" w:line="240" w:lineRule="auto"/>
        <w:ind w:left="720" w:hanging="288"/>
        <w:contextualSpacing w:val="0"/>
        <w:rPr>
          <w:rFonts w:cs="Arial"/>
        </w:rPr>
      </w:pPr>
      <w:r w:rsidRPr="003A6F8A">
        <w:rPr>
          <w:rFonts w:cs="Arial"/>
        </w:rPr>
        <w:t>Strengthen the learning platform for the Caribbean Energy Transition;</w:t>
      </w:r>
    </w:p>
    <w:p w14:paraId="2128E1A8" w14:textId="77777777" w:rsidR="00FE6264" w:rsidRPr="003A6F8A" w:rsidRDefault="00FE6264" w:rsidP="00FE6264">
      <w:pPr>
        <w:pStyle w:val="ListParagraph"/>
        <w:numPr>
          <w:ilvl w:val="0"/>
          <w:numId w:val="40"/>
        </w:numPr>
        <w:spacing w:before="60" w:after="120" w:line="240" w:lineRule="auto"/>
        <w:ind w:left="720" w:hanging="288"/>
        <w:contextualSpacing w:val="0"/>
        <w:rPr>
          <w:rFonts w:cs="Arial"/>
        </w:rPr>
      </w:pPr>
      <w:r w:rsidRPr="003A6F8A">
        <w:rPr>
          <w:rFonts w:cs="Arial"/>
        </w:rPr>
        <w:t>Highlight the leadership on the energy agenda that Caribbean islands are keen to demonstrate;</w:t>
      </w:r>
    </w:p>
    <w:p w14:paraId="3865AF7E" w14:textId="77777777" w:rsidR="00FE6264" w:rsidRPr="003A6F8A" w:rsidRDefault="00FE6264" w:rsidP="00FE6264">
      <w:pPr>
        <w:pStyle w:val="ListParagraph"/>
        <w:numPr>
          <w:ilvl w:val="0"/>
          <w:numId w:val="40"/>
        </w:numPr>
        <w:spacing w:before="60" w:after="120" w:line="240" w:lineRule="auto"/>
        <w:ind w:left="720" w:hanging="288"/>
        <w:contextualSpacing w:val="0"/>
        <w:rPr>
          <w:rFonts w:cs="Arial"/>
        </w:rPr>
      </w:pPr>
      <w:r w:rsidRPr="003A6F8A">
        <w:rPr>
          <w:rFonts w:cs="Arial"/>
        </w:rPr>
        <w:lastRenderedPageBreak/>
        <w:t>Highlight the position of islands leading the demonstration of solutions to climate change;</w:t>
      </w:r>
    </w:p>
    <w:p w14:paraId="300A36DD" w14:textId="77777777" w:rsidR="00FE6264" w:rsidRPr="003A6F8A" w:rsidRDefault="00FE6264" w:rsidP="00FE6264">
      <w:pPr>
        <w:pStyle w:val="ListParagraph"/>
        <w:numPr>
          <w:ilvl w:val="0"/>
          <w:numId w:val="40"/>
        </w:numPr>
        <w:spacing w:before="60" w:after="120" w:line="240" w:lineRule="auto"/>
        <w:ind w:left="720" w:hanging="288"/>
        <w:contextualSpacing w:val="0"/>
        <w:rPr>
          <w:rFonts w:cs="Arial"/>
        </w:rPr>
      </w:pPr>
      <w:r w:rsidRPr="003A6F8A">
        <w:rPr>
          <w:rFonts w:cs="Arial"/>
        </w:rPr>
        <w:t xml:space="preserve">Establish an engagement </w:t>
      </w:r>
      <w:proofErr w:type="spellStart"/>
      <w:r w:rsidRPr="003A6F8A">
        <w:rPr>
          <w:rFonts w:cs="Arial"/>
        </w:rPr>
        <w:t>programme</w:t>
      </w:r>
      <w:proofErr w:type="spellEnd"/>
      <w:r w:rsidRPr="003A6F8A">
        <w:rPr>
          <w:rFonts w:cs="Arial"/>
        </w:rPr>
        <w:t xml:space="preserve"> specifically designed for the region, led by young individuals from the region; and</w:t>
      </w:r>
    </w:p>
    <w:p w14:paraId="12E777B5" w14:textId="77777777" w:rsidR="00FE6264" w:rsidRDefault="00FE6264" w:rsidP="00FE6264">
      <w:pPr>
        <w:pStyle w:val="ListParagraph"/>
        <w:numPr>
          <w:ilvl w:val="0"/>
          <w:numId w:val="40"/>
        </w:numPr>
        <w:spacing w:before="60" w:after="120" w:line="240" w:lineRule="auto"/>
        <w:ind w:left="720" w:hanging="288"/>
        <w:contextualSpacing w:val="0"/>
        <w:rPr>
          <w:rFonts w:cs="Arial"/>
        </w:rPr>
      </w:pPr>
      <w:r w:rsidRPr="003A6F8A">
        <w:rPr>
          <w:rFonts w:cs="Arial"/>
        </w:rPr>
        <w:t>Build on the innovation from this generation of leaders to develop a framework for the future of sustainable energy and economic growth.</w:t>
      </w:r>
    </w:p>
    <w:p w14:paraId="54E80FCD" w14:textId="77777777" w:rsidR="00FE6264" w:rsidRPr="003A6F8A" w:rsidRDefault="00FE6264" w:rsidP="00FE6264">
      <w:pPr>
        <w:pStyle w:val="ListParagraph"/>
        <w:numPr>
          <w:ilvl w:val="0"/>
          <w:numId w:val="40"/>
        </w:numPr>
        <w:spacing w:before="60" w:after="120" w:line="240" w:lineRule="auto"/>
        <w:ind w:left="720" w:hanging="288"/>
        <w:contextualSpacing w:val="0"/>
        <w:rPr>
          <w:rFonts w:cs="Arial"/>
        </w:rPr>
      </w:pPr>
      <w:r>
        <w:rPr>
          <w:rFonts w:cs="Arial"/>
        </w:rPr>
        <w:t>Encourage the active participation of women and girls in all aspects of the renewable and energy efficiency space</w:t>
      </w:r>
    </w:p>
    <w:p w14:paraId="65B31C63" w14:textId="77777777" w:rsidR="00FE6264" w:rsidRDefault="00FE6264" w:rsidP="00FE6264">
      <w:pPr>
        <w:spacing w:line="240" w:lineRule="auto"/>
        <w:rPr>
          <w:rFonts w:cs="Arial"/>
        </w:rPr>
      </w:pPr>
      <w:r w:rsidRPr="003A6F8A">
        <w:rPr>
          <w:rFonts w:cs="Arial"/>
        </w:rPr>
        <w:t xml:space="preserve">The virtual </w:t>
      </w:r>
      <w:r>
        <w:t xml:space="preserve">Caribbean Energy Transition Community of Practice </w:t>
      </w:r>
      <w:r w:rsidRPr="003A6F8A">
        <w:rPr>
          <w:rFonts w:cs="Arial"/>
        </w:rPr>
        <w:t xml:space="preserve">will host </w:t>
      </w:r>
      <w:proofErr w:type="gramStart"/>
      <w:r w:rsidRPr="003A6F8A">
        <w:rPr>
          <w:rFonts w:cs="Arial"/>
        </w:rPr>
        <w:t>a number of</w:t>
      </w:r>
      <w:proofErr w:type="gramEnd"/>
      <w:r w:rsidRPr="003A6F8A">
        <w:rPr>
          <w:rFonts w:cs="Arial"/>
        </w:rPr>
        <w:t xml:space="preserve"> project related templates including standard Purchasing Power Agreement templates, standard Engineering, Procurement and Construction contract templates, checklists for bankability, etc. This virtual platform will facilitate knowledge around the steps, studies and information required to support a bankable renewable project.</w:t>
      </w:r>
    </w:p>
    <w:p w14:paraId="2354F7E7" w14:textId="77777777" w:rsidR="00FE6264" w:rsidRPr="003A6F8A" w:rsidRDefault="00FE6264" w:rsidP="00FE6264">
      <w:pPr>
        <w:spacing w:line="240" w:lineRule="auto"/>
        <w:rPr>
          <w:rFonts w:cs="Arial"/>
        </w:rPr>
      </w:pPr>
      <w:r>
        <w:rPr>
          <w:rFonts w:cs="Arial"/>
        </w:rPr>
        <w:t xml:space="preserve">Skills-training workshops will be gender-responsive by mainstreaming the role of women in the RE/EE space. Women will be trained and equipped with the knowledge and skills necessary to transition </w:t>
      </w:r>
      <w:proofErr w:type="gramStart"/>
      <w:r>
        <w:rPr>
          <w:rFonts w:cs="Arial"/>
        </w:rPr>
        <w:t>into, or</w:t>
      </w:r>
      <w:proofErr w:type="gramEnd"/>
      <w:r>
        <w:rPr>
          <w:rFonts w:cs="Arial"/>
        </w:rPr>
        <w:t xml:space="preserve"> develop further in the RE/EE space.</w:t>
      </w:r>
    </w:p>
    <w:tbl>
      <w:tblPr>
        <w:tblStyle w:val="TableGrid"/>
        <w:tblW w:w="0" w:type="auto"/>
        <w:tblLayout w:type="fixed"/>
        <w:tblLook w:val="04A0" w:firstRow="1" w:lastRow="0" w:firstColumn="1" w:lastColumn="0" w:noHBand="0" w:noVBand="1"/>
      </w:tblPr>
      <w:tblGrid>
        <w:gridCol w:w="2515"/>
        <w:gridCol w:w="6835"/>
      </w:tblGrid>
      <w:tr w:rsidR="00FE6264" w:rsidRPr="003A6F8A" w14:paraId="7A21F2A8" w14:textId="77777777" w:rsidTr="00FE6264">
        <w:tc>
          <w:tcPr>
            <w:tcW w:w="2515" w:type="dxa"/>
            <w:shd w:val="clear" w:color="auto" w:fill="BFBFBF" w:themeFill="background1" w:themeFillShade="BF"/>
          </w:tcPr>
          <w:p w14:paraId="0DB72F04" w14:textId="77777777" w:rsidR="00FE6264" w:rsidRPr="003A6F8A" w:rsidRDefault="00FE6264" w:rsidP="00FE6264">
            <w:pPr>
              <w:rPr>
                <w:rFonts w:cs="Arial"/>
                <w:b/>
              </w:rPr>
            </w:pPr>
            <w:r w:rsidRPr="003A6F8A">
              <w:rPr>
                <w:rFonts w:cs="Arial"/>
                <w:b/>
              </w:rPr>
              <w:t>Outcome 3. Investment Projects and Financial Mechanisms:</w:t>
            </w:r>
          </w:p>
        </w:tc>
        <w:tc>
          <w:tcPr>
            <w:tcW w:w="6835" w:type="dxa"/>
            <w:shd w:val="clear" w:color="auto" w:fill="BFBFBF" w:themeFill="background1" w:themeFillShade="BF"/>
          </w:tcPr>
          <w:p w14:paraId="4793549D" w14:textId="77777777" w:rsidR="00FE6264" w:rsidRPr="003A6F8A" w:rsidRDefault="00FE6264" w:rsidP="00FE6264">
            <w:pPr>
              <w:rPr>
                <w:rFonts w:cs="Arial"/>
              </w:rPr>
            </w:pPr>
            <w:r w:rsidRPr="003A6F8A">
              <w:rPr>
                <w:rFonts w:cs="Arial"/>
              </w:rPr>
              <w:t>Catalyzed island funding for low GHG technology deployment.</w:t>
            </w:r>
          </w:p>
        </w:tc>
      </w:tr>
      <w:tr w:rsidR="00FE6264" w:rsidRPr="003A6F8A" w14:paraId="37251907" w14:textId="77777777" w:rsidTr="00FE6264">
        <w:tc>
          <w:tcPr>
            <w:tcW w:w="2515" w:type="dxa"/>
          </w:tcPr>
          <w:p w14:paraId="03671F41" w14:textId="77777777" w:rsidR="00FE6264" w:rsidRPr="003A6F8A" w:rsidRDefault="00FE6264" w:rsidP="00FE6264">
            <w:pPr>
              <w:rPr>
                <w:rFonts w:cs="Arial"/>
              </w:rPr>
            </w:pPr>
            <w:r w:rsidRPr="003A6F8A">
              <w:rPr>
                <w:rFonts w:cs="Arial"/>
              </w:rPr>
              <w:t>Output 3.1 Caribbean energy resource capacity established:</w:t>
            </w:r>
          </w:p>
        </w:tc>
        <w:tc>
          <w:tcPr>
            <w:tcW w:w="6835" w:type="dxa"/>
          </w:tcPr>
          <w:p w14:paraId="2626BCC8" w14:textId="77777777" w:rsidR="00FE6264" w:rsidRPr="006831C2" w:rsidRDefault="00FE6264" w:rsidP="00FE6264">
            <w:pPr>
              <w:rPr>
                <w:rFonts w:cs="Arial"/>
              </w:rPr>
            </w:pPr>
            <w:r w:rsidRPr="003A6F8A">
              <w:rPr>
                <w:rFonts w:cs="Arial"/>
              </w:rPr>
              <w:t xml:space="preserve">Ten Island Challenge-wide </w:t>
            </w:r>
            <w:r>
              <w:rPr>
                <w:rFonts w:cs="Arial"/>
              </w:rPr>
              <w:t xml:space="preserve">gender responsive </w:t>
            </w:r>
            <w:r w:rsidRPr="003A6F8A">
              <w:rPr>
                <w:rFonts w:cs="Arial"/>
              </w:rPr>
              <w:t>renewable energy assessments, feasibilities and analyses</w:t>
            </w:r>
            <w:r>
              <w:rPr>
                <w:rFonts w:cs="Arial"/>
              </w:rPr>
              <w:t xml:space="preserve">. </w:t>
            </w:r>
            <w:r w:rsidRPr="006831C2">
              <w:rPr>
                <w:rFonts w:cs="Arial"/>
              </w:rPr>
              <w:t>Resource technical, economic and financial potential</w:t>
            </w:r>
          </w:p>
        </w:tc>
      </w:tr>
      <w:tr w:rsidR="00FE6264" w:rsidRPr="003A6F8A" w14:paraId="036C8F71" w14:textId="77777777" w:rsidTr="00FE6264">
        <w:tc>
          <w:tcPr>
            <w:tcW w:w="2515" w:type="dxa"/>
          </w:tcPr>
          <w:p w14:paraId="253DE940" w14:textId="77777777" w:rsidR="00FE6264" w:rsidRPr="003A6F8A" w:rsidRDefault="00FE6264" w:rsidP="00FE6264">
            <w:pPr>
              <w:rPr>
                <w:rFonts w:cs="Arial"/>
              </w:rPr>
            </w:pPr>
            <w:r w:rsidRPr="003A6F8A">
              <w:rPr>
                <w:rFonts w:cs="Arial"/>
              </w:rPr>
              <w:t>Output 3.2 Clean energy island-wide investments leveraged:</w:t>
            </w:r>
          </w:p>
        </w:tc>
        <w:tc>
          <w:tcPr>
            <w:tcW w:w="6835" w:type="dxa"/>
          </w:tcPr>
          <w:p w14:paraId="532A0F92" w14:textId="77777777" w:rsidR="00FE6264" w:rsidRPr="003A6F8A" w:rsidRDefault="00FE6264" w:rsidP="00FE6264">
            <w:pPr>
              <w:pStyle w:val="ListParagraph"/>
              <w:rPr>
                <w:rFonts w:cs="Arial"/>
              </w:rPr>
            </w:pPr>
            <w:r w:rsidRPr="003A6F8A">
              <w:rPr>
                <w:rFonts w:cs="Arial"/>
              </w:rPr>
              <w:t>De-risked equity/lending structures and other financing mechanisms to deliver on Caribbean clean energy targets</w:t>
            </w:r>
          </w:p>
          <w:p w14:paraId="0FA42D48" w14:textId="77777777" w:rsidR="00FE6264" w:rsidRPr="003A6F8A" w:rsidRDefault="00FE6264" w:rsidP="00FE6264">
            <w:pPr>
              <w:pStyle w:val="ListParagraph"/>
              <w:rPr>
                <w:rFonts w:cs="Arial"/>
              </w:rPr>
            </w:pPr>
            <w:r w:rsidRPr="003A6F8A">
              <w:rPr>
                <w:rFonts w:cs="Arial"/>
              </w:rPr>
              <w:t>Feasible investment project pipeline (400 MW) across Ten Island Challenge participant countries applying the</w:t>
            </w:r>
            <w:r>
              <w:rPr>
                <w:rFonts w:cs="Arial"/>
              </w:rPr>
              <w:t xml:space="preserve"> Islands</w:t>
            </w:r>
            <w:r w:rsidRPr="003A6F8A">
              <w:rPr>
                <w:rFonts w:cs="Arial"/>
              </w:rPr>
              <w:t xml:space="preserve"> Playbook</w:t>
            </w:r>
          </w:p>
          <w:p w14:paraId="2869E372" w14:textId="77777777" w:rsidR="00FE6264" w:rsidRDefault="00FE6264" w:rsidP="00FE6264">
            <w:pPr>
              <w:pStyle w:val="ListParagraph"/>
              <w:rPr>
                <w:rFonts w:cs="Arial"/>
              </w:rPr>
            </w:pPr>
            <w:r w:rsidRPr="003A6F8A">
              <w:rPr>
                <w:rFonts w:cs="Arial"/>
              </w:rPr>
              <w:t>Plans for clean energy operation and maintenance in place</w:t>
            </w:r>
          </w:p>
          <w:p w14:paraId="0147606A" w14:textId="77777777" w:rsidR="00FE6264" w:rsidRDefault="00FE6264" w:rsidP="00FE6264">
            <w:pPr>
              <w:rPr>
                <w:rFonts w:cs="Arial"/>
              </w:rPr>
            </w:pPr>
            <w:r w:rsidRPr="006831C2">
              <w:rPr>
                <w:rFonts w:cs="Arial"/>
              </w:rPr>
              <w:t xml:space="preserve">Goals and vision statements for each island participant that outlines the overall goal for the island (X% of renewable energy by Year Y) with a commitment of staff and other resources needed to meet that commitment (Phase 1 and 2 of </w:t>
            </w:r>
            <w:r>
              <w:rPr>
                <w:rFonts w:cs="Arial"/>
              </w:rPr>
              <w:t xml:space="preserve">Islands </w:t>
            </w:r>
            <w:r w:rsidRPr="006831C2">
              <w:rPr>
                <w:rFonts w:cs="Arial"/>
              </w:rPr>
              <w:t>Playbook).</w:t>
            </w:r>
          </w:p>
          <w:p w14:paraId="2A4A6760" w14:textId="77777777" w:rsidR="00FE6264" w:rsidRPr="006831C2" w:rsidRDefault="00FE6264" w:rsidP="00FE6264">
            <w:pPr>
              <w:pStyle w:val="ListParagraph"/>
              <w:rPr>
                <w:rFonts w:cs="Arial"/>
              </w:rPr>
            </w:pPr>
            <w:r>
              <w:rPr>
                <w:rFonts w:cs="Arial"/>
              </w:rPr>
              <w:t>Development of investments that take account of the varying needs of rural communities and marginalized groups.</w:t>
            </w:r>
          </w:p>
        </w:tc>
      </w:tr>
    </w:tbl>
    <w:p w14:paraId="76C79E8D" w14:textId="77777777" w:rsidR="00FE6264" w:rsidRPr="003A6F8A" w:rsidRDefault="00FE6264" w:rsidP="00FE6264">
      <w:pPr>
        <w:spacing w:line="240" w:lineRule="auto"/>
        <w:rPr>
          <w:rFonts w:cs="Arial"/>
        </w:rPr>
      </w:pPr>
    </w:p>
    <w:p w14:paraId="631A8E21" w14:textId="77777777" w:rsidR="00FE6264" w:rsidRPr="003A6F8A" w:rsidRDefault="00FE6264" w:rsidP="00FE6264">
      <w:pPr>
        <w:spacing w:line="240" w:lineRule="auto"/>
        <w:rPr>
          <w:rFonts w:cs="Arial"/>
        </w:rPr>
      </w:pPr>
      <w:r w:rsidRPr="003A6F8A">
        <w:rPr>
          <w:rFonts w:cs="Arial"/>
        </w:rPr>
        <w:t>The success of this project will be evaluated in large part by the number of MW of renewable energy generation (as well as MW saved through efficiency) developed under the project. This work will involve island-wide, renewable energy assessments, including renewable resource potential, technical/economic assessments of individual projects, feeder specific grid integration studies and potential equity/lending structures to present to investors and lending institutions. Operation and maintenance plans are included as well (Phase 3-6 of the</w:t>
      </w:r>
      <w:r>
        <w:rPr>
          <w:rFonts w:cs="Arial"/>
        </w:rPr>
        <w:t xml:space="preserve"> Islands</w:t>
      </w:r>
      <w:r w:rsidRPr="003A6F8A">
        <w:rPr>
          <w:rFonts w:cs="Arial"/>
        </w:rPr>
        <w:t xml:space="preserve"> Playbook). Phase 3 (Project preparation) involves the identification and prioritization of bankable projects, further to the confirmation of country level commitments (Phase 2). As such, the main criteria for pipeline selection will be geographical distribution across participant TIC islands. The pipeline results from: (a) the set-up of project development guidelines, (b) RE project development best-practices, (c) project risk mitigation; leading to, (d) the preparation of request for proposals (RFP), (e) the selection and negotiation with selected vendor(s), and finally (f) the commercial </w:t>
      </w:r>
      <w:r w:rsidRPr="003A6F8A">
        <w:rPr>
          <w:rFonts w:cs="Arial"/>
        </w:rPr>
        <w:lastRenderedPageBreak/>
        <w:t xml:space="preserve">agreement and financing for the project to start. The </w:t>
      </w:r>
      <w:r w:rsidRPr="003A6F8A">
        <w:rPr>
          <w:rFonts w:cs="Arial"/>
        </w:rPr>
        <w:fldChar w:fldCharType="begin"/>
      </w:r>
      <w:r w:rsidRPr="003A6F8A">
        <w:rPr>
          <w:rFonts w:cs="Arial"/>
        </w:rPr>
        <w:instrText xml:space="preserve"> REF _Ref422314476 \h  \* MERGEFORMAT </w:instrText>
      </w:r>
      <w:r w:rsidRPr="003A6F8A">
        <w:rPr>
          <w:rFonts w:cs="Arial"/>
        </w:rPr>
      </w:r>
      <w:r w:rsidRPr="003A6F8A">
        <w:rPr>
          <w:rFonts w:cs="Arial"/>
        </w:rPr>
        <w:fldChar w:fldCharType="separate"/>
      </w:r>
      <w:r w:rsidRPr="003A6F8A">
        <w:rPr>
          <w:rFonts w:cs="Arial"/>
        </w:rPr>
        <w:t xml:space="preserve">Table </w:t>
      </w:r>
      <w:r>
        <w:rPr>
          <w:rFonts w:cs="Arial"/>
          <w:noProof/>
        </w:rPr>
        <w:t>4</w:t>
      </w:r>
      <w:r w:rsidRPr="003A6F8A">
        <w:rPr>
          <w:rFonts w:cs="Arial"/>
        </w:rPr>
        <w:fldChar w:fldCharType="end"/>
      </w:r>
      <w:r w:rsidRPr="003A6F8A">
        <w:rPr>
          <w:rFonts w:cs="Arial"/>
        </w:rPr>
        <w:t xml:space="preserve"> lists the preliminary capacity and project pipeline targets that have been set during the project period:</w:t>
      </w:r>
    </w:p>
    <w:p w14:paraId="0CCB76D0" w14:textId="77777777" w:rsidR="00FE6264" w:rsidRPr="003A6F8A" w:rsidRDefault="00FE6264" w:rsidP="00FE6264">
      <w:pPr>
        <w:pStyle w:val="Caption"/>
        <w:spacing w:line="240" w:lineRule="auto"/>
        <w:rPr>
          <w:rFonts w:cs="Arial"/>
        </w:rPr>
      </w:pPr>
      <w:bookmarkStart w:id="5" w:name="_Ref422314476"/>
      <w:r w:rsidRPr="003A6F8A">
        <w:rPr>
          <w:rFonts w:cs="Arial"/>
        </w:rPr>
        <w:t xml:space="preserve">Table </w:t>
      </w:r>
      <w:r w:rsidRPr="003A6F8A">
        <w:rPr>
          <w:rFonts w:cs="Arial"/>
        </w:rPr>
        <w:fldChar w:fldCharType="begin"/>
      </w:r>
      <w:r w:rsidRPr="003A6F8A">
        <w:rPr>
          <w:rFonts w:cs="Arial"/>
        </w:rPr>
        <w:instrText xml:space="preserve"> SEQ Table \* ARABIC </w:instrText>
      </w:r>
      <w:r w:rsidRPr="003A6F8A">
        <w:rPr>
          <w:rFonts w:cs="Arial"/>
        </w:rPr>
        <w:fldChar w:fldCharType="separate"/>
      </w:r>
      <w:r>
        <w:rPr>
          <w:rFonts w:cs="Arial"/>
          <w:noProof/>
        </w:rPr>
        <w:t>4</w:t>
      </w:r>
      <w:r w:rsidRPr="003A6F8A">
        <w:rPr>
          <w:rFonts w:cs="Arial"/>
          <w:noProof/>
        </w:rPr>
        <w:fldChar w:fldCharType="end"/>
      </w:r>
      <w:bookmarkEnd w:id="5"/>
      <w:r w:rsidRPr="003A6F8A">
        <w:rPr>
          <w:rFonts w:cs="Arial"/>
        </w:rPr>
        <w:t xml:space="preserve">. Installed </w:t>
      </w:r>
      <w:r>
        <w:rPr>
          <w:rFonts w:cs="Arial"/>
        </w:rPr>
        <w:t xml:space="preserve">and committed </w:t>
      </w:r>
      <w:r w:rsidRPr="003A6F8A">
        <w:rPr>
          <w:rFonts w:cs="Arial"/>
        </w:rPr>
        <w:t>capacity 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5"/>
        <w:gridCol w:w="2610"/>
      </w:tblGrid>
      <w:tr w:rsidR="00FE6264" w:rsidRPr="003A6F8A" w14:paraId="27C77D98" w14:textId="77777777" w:rsidTr="00FE6264">
        <w:tc>
          <w:tcPr>
            <w:tcW w:w="3621" w:type="pct"/>
            <w:shd w:val="clear" w:color="auto" w:fill="BFBFBF"/>
          </w:tcPr>
          <w:p w14:paraId="7499AF79" w14:textId="77777777" w:rsidR="00FE6264" w:rsidRPr="003A6F8A" w:rsidRDefault="00FE6264" w:rsidP="00FE6264">
            <w:pPr>
              <w:pStyle w:val="NoSpacing"/>
              <w:rPr>
                <w:rFonts w:cs="Arial"/>
              </w:rPr>
            </w:pPr>
            <w:proofErr w:type="gramStart"/>
            <w:r w:rsidRPr="003A6F8A">
              <w:rPr>
                <w:rFonts w:cs="Arial"/>
              </w:rPr>
              <w:t>Activity  (</w:t>
            </w:r>
            <w:proofErr w:type="gramEnd"/>
            <w:r w:rsidRPr="003A6F8A">
              <w:rPr>
                <w:rFonts w:cs="Arial"/>
              </w:rPr>
              <w:t>70% of which is wind and PV)</w:t>
            </w:r>
          </w:p>
        </w:tc>
        <w:tc>
          <w:tcPr>
            <w:tcW w:w="1379" w:type="pct"/>
            <w:shd w:val="clear" w:color="auto" w:fill="BFBFBF"/>
          </w:tcPr>
          <w:p w14:paraId="46EDB1B6" w14:textId="77777777" w:rsidR="00FE6264" w:rsidRPr="003A6F8A" w:rsidRDefault="00FE6264" w:rsidP="00FE6264">
            <w:pPr>
              <w:pStyle w:val="NoSpacing"/>
              <w:rPr>
                <w:rFonts w:cs="Arial"/>
              </w:rPr>
            </w:pPr>
            <w:r w:rsidRPr="003A6F8A">
              <w:rPr>
                <w:rFonts w:cs="Arial"/>
              </w:rPr>
              <w:t>Total MW Installed</w:t>
            </w:r>
            <w:r>
              <w:rPr>
                <w:rFonts w:cs="Arial"/>
              </w:rPr>
              <w:t xml:space="preserve"> and Committed</w:t>
            </w:r>
          </w:p>
        </w:tc>
      </w:tr>
      <w:tr w:rsidR="00FE6264" w:rsidRPr="003A6F8A" w14:paraId="104E5167" w14:textId="77777777" w:rsidTr="00FE6264">
        <w:tc>
          <w:tcPr>
            <w:tcW w:w="3621" w:type="pct"/>
            <w:shd w:val="clear" w:color="auto" w:fill="auto"/>
            <w:vAlign w:val="center"/>
          </w:tcPr>
          <w:p w14:paraId="2B29E7F8" w14:textId="77777777" w:rsidR="00FE6264" w:rsidRPr="003A6F8A" w:rsidRDefault="00FE6264" w:rsidP="00FE6264">
            <w:pPr>
              <w:pStyle w:val="NoSpacing"/>
              <w:rPr>
                <w:rFonts w:cs="Arial"/>
              </w:rPr>
            </w:pPr>
            <w:r w:rsidRPr="003A6F8A">
              <w:rPr>
                <w:rFonts w:cs="Arial"/>
              </w:rPr>
              <w:t>Wind, PV, energy storage projects in 2015</w:t>
            </w:r>
          </w:p>
        </w:tc>
        <w:tc>
          <w:tcPr>
            <w:tcW w:w="1379" w:type="pct"/>
            <w:shd w:val="clear" w:color="auto" w:fill="auto"/>
          </w:tcPr>
          <w:p w14:paraId="01B4CDF8" w14:textId="77777777" w:rsidR="00FE6264" w:rsidRPr="003A6F8A" w:rsidRDefault="00FE6264" w:rsidP="00FE6264">
            <w:pPr>
              <w:pStyle w:val="NoSpacing"/>
              <w:rPr>
                <w:rFonts w:cs="Arial"/>
              </w:rPr>
            </w:pPr>
            <w:r w:rsidRPr="003A6F8A">
              <w:rPr>
                <w:rFonts w:cs="Arial"/>
              </w:rPr>
              <w:t>40 (28)</w:t>
            </w:r>
          </w:p>
        </w:tc>
      </w:tr>
      <w:tr w:rsidR="00FE6264" w:rsidRPr="003A6F8A" w14:paraId="2D8DD6C2" w14:textId="77777777" w:rsidTr="00FE6264">
        <w:tc>
          <w:tcPr>
            <w:tcW w:w="3621" w:type="pct"/>
            <w:shd w:val="clear" w:color="auto" w:fill="auto"/>
            <w:vAlign w:val="center"/>
          </w:tcPr>
          <w:p w14:paraId="279599A3" w14:textId="77777777" w:rsidR="00FE6264" w:rsidRPr="003A6F8A" w:rsidRDefault="00FE6264" w:rsidP="00FE6264">
            <w:pPr>
              <w:pStyle w:val="NoSpacing"/>
              <w:rPr>
                <w:rFonts w:cs="Arial"/>
              </w:rPr>
            </w:pPr>
            <w:r w:rsidRPr="003A6F8A">
              <w:rPr>
                <w:rFonts w:cs="Arial"/>
              </w:rPr>
              <w:t>Wind, PV, energy storage projects in 2016</w:t>
            </w:r>
          </w:p>
        </w:tc>
        <w:tc>
          <w:tcPr>
            <w:tcW w:w="1379" w:type="pct"/>
            <w:shd w:val="clear" w:color="auto" w:fill="auto"/>
          </w:tcPr>
          <w:p w14:paraId="3133DC0E" w14:textId="77777777" w:rsidR="00FE6264" w:rsidRPr="003A6F8A" w:rsidRDefault="00FE6264" w:rsidP="00FE6264">
            <w:pPr>
              <w:pStyle w:val="NoSpacing"/>
              <w:rPr>
                <w:rFonts w:cs="Arial"/>
              </w:rPr>
            </w:pPr>
            <w:r w:rsidRPr="003A6F8A">
              <w:rPr>
                <w:rFonts w:cs="Arial"/>
              </w:rPr>
              <w:t>100 (70)</w:t>
            </w:r>
          </w:p>
        </w:tc>
      </w:tr>
      <w:tr w:rsidR="00FE6264" w:rsidRPr="003A6F8A" w14:paraId="01F49822" w14:textId="77777777" w:rsidTr="00FE6264">
        <w:tc>
          <w:tcPr>
            <w:tcW w:w="3621" w:type="pct"/>
            <w:shd w:val="clear" w:color="auto" w:fill="auto"/>
            <w:vAlign w:val="center"/>
          </w:tcPr>
          <w:p w14:paraId="3574A9DE" w14:textId="77777777" w:rsidR="00FE6264" w:rsidRPr="003A6F8A" w:rsidRDefault="00FE6264" w:rsidP="00FE6264">
            <w:pPr>
              <w:pStyle w:val="NoSpacing"/>
              <w:rPr>
                <w:rFonts w:cs="Arial"/>
              </w:rPr>
            </w:pPr>
            <w:r w:rsidRPr="003A6F8A">
              <w:rPr>
                <w:rFonts w:cs="Arial"/>
              </w:rPr>
              <w:t>Wind, PV, energy storage projects in 2017</w:t>
            </w:r>
          </w:p>
        </w:tc>
        <w:tc>
          <w:tcPr>
            <w:tcW w:w="1379" w:type="pct"/>
            <w:shd w:val="clear" w:color="auto" w:fill="auto"/>
          </w:tcPr>
          <w:p w14:paraId="57A577DF" w14:textId="77777777" w:rsidR="00FE6264" w:rsidRPr="003A6F8A" w:rsidRDefault="00FE6264" w:rsidP="00FE6264">
            <w:pPr>
              <w:pStyle w:val="NoSpacing"/>
              <w:rPr>
                <w:rFonts w:cs="Arial"/>
              </w:rPr>
            </w:pPr>
            <w:r w:rsidRPr="003A6F8A">
              <w:rPr>
                <w:rFonts w:cs="Arial"/>
              </w:rPr>
              <w:t>280 (196)</w:t>
            </w:r>
          </w:p>
        </w:tc>
      </w:tr>
      <w:tr w:rsidR="00FE6264" w:rsidRPr="003A6F8A" w14:paraId="2919A38F" w14:textId="77777777" w:rsidTr="00FE6264">
        <w:tc>
          <w:tcPr>
            <w:tcW w:w="3621" w:type="pct"/>
            <w:shd w:val="clear" w:color="auto" w:fill="auto"/>
          </w:tcPr>
          <w:p w14:paraId="1F7CF5F8" w14:textId="77777777" w:rsidR="00FE6264" w:rsidRPr="003A6F8A" w:rsidRDefault="00FE6264" w:rsidP="00FE6264">
            <w:pPr>
              <w:pStyle w:val="NoSpacing"/>
              <w:rPr>
                <w:rFonts w:cs="Arial"/>
              </w:rPr>
            </w:pPr>
            <w:r w:rsidRPr="003A6F8A">
              <w:rPr>
                <w:rFonts w:cs="Arial"/>
              </w:rPr>
              <w:t>TOTAL</w:t>
            </w:r>
            <w:r>
              <w:rPr>
                <w:rFonts w:cs="Arial"/>
              </w:rPr>
              <w:t xml:space="preserve"> (Installed and Committed)</w:t>
            </w:r>
          </w:p>
        </w:tc>
        <w:tc>
          <w:tcPr>
            <w:tcW w:w="1379" w:type="pct"/>
            <w:shd w:val="clear" w:color="auto" w:fill="auto"/>
          </w:tcPr>
          <w:p w14:paraId="17F4E59E" w14:textId="77777777" w:rsidR="00FE6264" w:rsidRPr="003A6F8A" w:rsidRDefault="00FE6264" w:rsidP="00FE6264">
            <w:pPr>
              <w:pStyle w:val="NoSpacing"/>
              <w:rPr>
                <w:rFonts w:cs="Arial"/>
              </w:rPr>
            </w:pPr>
            <w:r w:rsidRPr="003A6F8A">
              <w:rPr>
                <w:rFonts w:cs="Arial"/>
              </w:rPr>
              <w:t>400 (294 PV/wind)</w:t>
            </w:r>
            <w:r w:rsidRPr="003A6F8A">
              <w:rPr>
                <w:rFonts w:cs="Arial"/>
                <w:vertAlign w:val="superscript"/>
              </w:rPr>
              <w:footnoteReference w:id="1"/>
            </w:r>
          </w:p>
        </w:tc>
      </w:tr>
      <w:tr w:rsidR="00FE6264" w:rsidRPr="003A6F8A" w14:paraId="639E04D3" w14:textId="77777777" w:rsidTr="00FE6264">
        <w:tc>
          <w:tcPr>
            <w:tcW w:w="3621" w:type="pct"/>
            <w:shd w:val="clear" w:color="auto" w:fill="auto"/>
          </w:tcPr>
          <w:p w14:paraId="57A47186" w14:textId="77777777" w:rsidR="00FE6264" w:rsidRPr="003A6F8A" w:rsidRDefault="00FE6264" w:rsidP="00FE6264">
            <w:pPr>
              <w:pStyle w:val="NoSpacing"/>
              <w:rPr>
                <w:rFonts w:cs="Arial"/>
              </w:rPr>
            </w:pPr>
            <w:r>
              <w:rPr>
                <w:rFonts w:cs="Arial"/>
              </w:rPr>
              <w:t>TOTAL (Installed)</w:t>
            </w:r>
          </w:p>
        </w:tc>
        <w:tc>
          <w:tcPr>
            <w:tcW w:w="1379" w:type="pct"/>
            <w:shd w:val="clear" w:color="auto" w:fill="auto"/>
          </w:tcPr>
          <w:p w14:paraId="5AA413F2" w14:textId="77777777" w:rsidR="00FE6264" w:rsidRPr="003A6F8A" w:rsidRDefault="00FE6264" w:rsidP="00FE6264">
            <w:pPr>
              <w:pStyle w:val="NoSpacing"/>
              <w:rPr>
                <w:rFonts w:cs="Arial"/>
              </w:rPr>
            </w:pPr>
            <w:r>
              <w:rPr>
                <w:rFonts w:cs="Arial"/>
              </w:rPr>
              <w:t>85 MW</w:t>
            </w:r>
          </w:p>
        </w:tc>
      </w:tr>
    </w:tbl>
    <w:p w14:paraId="06E5E660" w14:textId="04F5B86D" w:rsidR="004600C4" w:rsidRDefault="005B58C2" w:rsidP="00FE6264">
      <w:pPr>
        <w:spacing w:before="200"/>
        <w:jc w:val="both"/>
        <w:rPr>
          <w:rFonts w:ascii="Calibri" w:eastAsia="Times New Roman" w:hAnsi="Calibri" w:cs="Times New Roman"/>
          <w:sz w:val="20"/>
          <w:szCs w:val="20"/>
        </w:rPr>
      </w:pPr>
      <w:r>
        <w:rPr>
          <w:rFonts w:ascii="Calibri" w:eastAsia="Times New Roman" w:hAnsi="Calibri" w:cs="Times New Roman"/>
          <w:sz w:val="20"/>
          <w:szCs w:val="20"/>
        </w:rPr>
        <w:t>T</w:t>
      </w:r>
      <w:r w:rsidR="004600C4">
        <w:rPr>
          <w:rFonts w:ascii="Calibri" w:eastAsia="Times New Roman" w:hAnsi="Calibri" w:cs="Times New Roman"/>
          <w:sz w:val="20"/>
          <w:szCs w:val="20"/>
        </w:rPr>
        <w:t>he Project forms part of a wider initiative – the Island’s Energy Programme – which is funded by various other, non-GEF sources and implemented by RMI/CWR and other partners</w:t>
      </w:r>
      <w:r w:rsidR="003F4EE0">
        <w:rPr>
          <w:rFonts w:ascii="Calibri" w:eastAsia="Times New Roman" w:hAnsi="Calibri" w:cs="Times New Roman"/>
          <w:sz w:val="20"/>
          <w:szCs w:val="20"/>
        </w:rPr>
        <w:t xml:space="preserve"> across the Caribbean</w:t>
      </w:r>
      <w:r w:rsidR="004600C4">
        <w:rPr>
          <w:rFonts w:ascii="Calibri" w:eastAsia="Times New Roman" w:hAnsi="Calibri" w:cs="Times New Roman"/>
          <w:sz w:val="20"/>
          <w:szCs w:val="20"/>
        </w:rPr>
        <w:t xml:space="preserve">. </w:t>
      </w:r>
      <w:r w:rsidR="003F4EE0">
        <w:rPr>
          <w:rFonts w:ascii="Calibri" w:eastAsia="Times New Roman" w:hAnsi="Calibri" w:cs="Times New Roman"/>
          <w:sz w:val="20"/>
          <w:szCs w:val="20"/>
        </w:rPr>
        <w:t xml:space="preserve">The GEF grant covered a series of specific interventions in the </w:t>
      </w:r>
      <w:r w:rsidR="003F4EE0" w:rsidRPr="003F4EE0">
        <w:rPr>
          <w:rFonts w:ascii="Calibri" w:eastAsia="Times New Roman" w:hAnsi="Calibri" w:cs="Times New Roman"/>
          <w:sz w:val="20"/>
          <w:szCs w:val="20"/>
        </w:rPr>
        <w:t>Bahamas, Belize, Grenada, Saint Lucia</w:t>
      </w:r>
      <w:r w:rsidR="003F4EE0">
        <w:rPr>
          <w:rFonts w:ascii="Calibri" w:eastAsia="Times New Roman" w:hAnsi="Calibri" w:cs="Times New Roman"/>
          <w:sz w:val="20"/>
          <w:szCs w:val="20"/>
        </w:rPr>
        <w:t xml:space="preserve"> and</w:t>
      </w:r>
      <w:r w:rsidR="003F4EE0" w:rsidRPr="003F4EE0">
        <w:rPr>
          <w:rFonts w:ascii="Calibri" w:eastAsia="Times New Roman" w:hAnsi="Calibri" w:cs="Times New Roman"/>
          <w:sz w:val="20"/>
          <w:szCs w:val="20"/>
        </w:rPr>
        <w:t xml:space="preserve"> Saint Vincent </w:t>
      </w:r>
      <w:r w:rsidR="003F4EE0">
        <w:rPr>
          <w:rFonts w:ascii="Calibri" w:eastAsia="Times New Roman" w:hAnsi="Calibri" w:cs="Times New Roman"/>
          <w:sz w:val="20"/>
          <w:szCs w:val="20"/>
        </w:rPr>
        <w:t>&amp;</w:t>
      </w:r>
      <w:r w:rsidR="003F4EE0" w:rsidRPr="003F4EE0">
        <w:rPr>
          <w:rFonts w:ascii="Calibri" w:eastAsia="Times New Roman" w:hAnsi="Calibri" w:cs="Times New Roman"/>
          <w:sz w:val="20"/>
          <w:szCs w:val="20"/>
        </w:rPr>
        <w:t xml:space="preserve"> the Grenadines</w:t>
      </w:r>
      <w:r w:rsidR="003F4EE0">
        <w:rPr>
          <w:rFonts w:ascii="Calibri" w:eastAsia="Times New Roman" w:hAnsi="Calibri" w:cs="Times New Roman"/>
          <w:sz w:val="20"/>
          <w:szCs w:val="20"/>
        </w:rPr>
        <w:t>.</w:t>
      </w:r>
      <w:r w:rsidR="003F4EE0" w:rsidRPr="003F4EE0">
        <w:rPr>
          <w:rFonts w:ascii="Calibri" w:eastAsia="Times New Roman" w:hAnsi="Calibri" w:cs="Times New Roman"/>
          <w:sz w:val="20"/>
          <w:szCs w:val="20"/>
        </w:rPr>
        <w:t xml:space="preserve"> </w:t>
      </w:r>
      <w:r w:rsidR="004600C4">
        <w:rPr>
          <w:rFonts w:ascii="Calibri" w:eastAsia="Times New Roman" w:hAnsi="Calibri" w:cs="Times New Roman"/>
          <w:sz w:val="20"/>
          <w:szCs w:val="20"/>
        </w:rPr>
        <w:t>This Terminal Evaluation will focus only on those components of the Programme that are funded and supported by the GEF grant.</w:t>
      </w:r>
    </w:p>
    <w:p w14:paraId="3CC3AA1F" w14:textId="77777777" w:rsidR="00D6638C" w:rsidRDefault="00D6638C" w:rsidP="00E45000">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sidR="00022F8E">
        <w:rPr>
          <w:rFonts w:ascii="Calibri" w:eastAsia="Times New Roman" w:hAnsi="Calibri" w:cs="Times New Roman"/>
          <w:sz w:val="20"/>
          <w:szCs w:val="20"/>
        </w:rPr>
        <w:t>.</w:t>
      </w:r>
      <w:r w:rsidR="00E45000">
        <w:rPr>
          <w:rFonts w:ascii="Calibri" w:eastAsia="Times New Roman" w:hAnsi="Calibri" w:cs="Times New Roman"/>
          <w:sz w:val="20"/>
          <w:szCs w:val="20"/>
        </w:rPr>
        <w:t xml:space="preserve"> </w:t>
      </w:r>
      <w:r w:rsidRPr="00D6638C">
        <w:rPr>
          <w:rFonts w:ascii="Calibri" w:eastAsia="Times New Roman" w:hAnsi="Calibri" w:cs="Times New Roman"/>
          <w:sz w:val="20"/>
          <w:szCs w:val="20"/>
        </w:rPr>
        <w:t>The objectives of the evaluation are</w:t>
      </w:r>
      <w:r w:rsidR="00E45000">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to assess the achievement of </w:t>
      </w:r>
      <w:r w:rsidRPr="00E45000">
        <w:rPr>
          <w:rFonts w:ascii="Calibri" w:eastAsia="Times New Roman" w:hAnsi="Calibri" w:cs="Times New Roman"/>
          <w:b/>
          <w:sz w:val="20"/>
          <w:szCs w:val="20"/>
        </w:rPr>
        <w:t>project results</w:t>
      </w:r>
      <w:r w:rsidRPr="00D6638C">
        <w:rPr>
          <w:rFonts w:ascii="Calibri" w:eastAsia="Times New Roman" w:hAnsi="Calibri" w:cs="Times New Roman"/>
          <w:sz w:val="20"/>
          <w:szCs w:val="20"/>
        </w:rPr>
        <w:t xml:space="preserve">, and to </w:t>
      </w:r>
      <w:r w:rsidRPr="00E45000">
        <w:rPr>
          <w:rFonts w:ascii="Calibri" w:eastAsia="Times New Roman" w:hAnsi="Calibri" w:cs="Times New Roman"/>
          <w:b/>
          <w:sz w:val="20"/>
          <w:szCs w:val="20"/>
        </w:rPr>
        <w:t>draw lessons</w:t>
      </w:r>
      <w:r w:rsidRPr="00D6638C">
        <w:rPr>
          <w:rFonts w:ascii="Calibri" w:eastAsia="Times New Roman" w:hAnsi="Calibri" w:cs="Times New Roman"/>
          <w:sz w:val="20"/>
          <w:szCs w:val="20"/>
        </w:rPr>
        <w:t xml:space="preserve"> that can both improve the sustainability of benefits from this project, and aid in the overall enhancement of UNDP programming.</w:t>
      </w:r>
    </w:p>
    <w:p w14:paraId="39623869" w14:textId="77777777" w:rsidR="00D6638C" w:rsidRPr="00D6638C" w:rsidRDefault="00D6638C" w:rsidP="00F05366">
      <w:pPr>
        <w:pStyle w:val="Heading51"/>
      </w:pPr>
      <w:bookmarkStart w:id="6" w:name="_Toc299133043"/>
      <w:bookmarkStart w:id="7" w:name="_Toc321341550"/>
      <w:r w:rsidRPr="00D6638C">
        <w:t>Evaluation approach and method</w:t>
      </w:r>
      <w:bookmarkEnd w:id="6"/>
      <w:bookmarkEnd w:id="7"/>
    </w:p>
    <w:p w14:paraId="081AE31F"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2"/>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 xml:space="preserve">UNDP Guidance for Conducting Terminal Evaluations </w:t>
      </w:r>
      <w:proofErr w:type="gramStart"/>
      <w:r w:rsidRPr="00D6638C">
        <w:rPr>
          <w:rFonts w:ascii="Calibri" w:eastAsia="Times New Roman" w:hAnsi="Calibri" w:cs="Times New Roman"/>
          <w:sz w:val="20"/>
          <w:szCs w:val="20"/>
          <w:u w:val="single"/>
        </w:rPr>
        <w:t>of  UNDP</w:t>
      </w:r>
      <w:proofErr w:type="gramEnd"/>
      <w:r w:rsidRPr="00D6638C">
        <w:rPr>
          <w:rFonts w:ascii="Calibri" w:eastAsia="Times New Roman" w:hAnsi="Calibri" w:cs="Times New Roman"/>
          <w:sz w:val="20"/>
          <w:szCs w:val="20"/>
          <w:u w:val="single"/>
        </w:rPr>
        <w:t>-supported, GEF-financed Projects</w:t>
      </w:r>
      <w:r w:rsidRPr="00D6638C">
        <w:rPr>
          <w:rFonts w:ascii="Calibri" w:eastAsia="Times New Roman" w:hAnsi="Calibri" w:cs="Times New Roman"/>
          <w:sz w:val="20"/>
          <w:szCs w:val="20"/>
        </w:rPr>
        <w:t xml:space="preserve">.    A  set of questions covering each of these criteria have been drafted and are included with this TOR </w:t>
      </w:r>
      <w:r w:rsidRPr="00D6638C">
        <w:rPr>
          <w:rFonts w:ascii="Calibri" w:eastAsia="Times New Roman" w:hAnsi="Calibri" w:cs="Times New Roman"/>
          <w:sz w:val="20"/>
          <w:szCs w:val="20"/>
          <w:shd w:val="clear" w:color="auto" w:fill="BFBFBF"/>
        </w:rPr>
        <w:t>(</w:t>
      </w:r>
      <w:hyperlink w:anchor="_TOR_Annex_C:" w:history="1">
        <w:r w:rsidRPr="00D6638C">
          <w:rPr>
            <w:rFonts w:ascii="Calibri" w:eastAsia="Times New Roman" w:hAnsi="Calibri" w:cs="Times New Roman"/>
            <w:i/>
            <w:color w:val="0000FF"/>
            <w:sz w:val="20"/>
            <w:szCs w:val="20"/>
            <w:u w:val="single"/>
            <w:shd w:val="clear" w:color="auto" w:fill="BFBFBF"/>
          </w:rPr>
          <w:t>Annex C</w:t>
        </w:r>
      </w:hyperlink>
      <w:r w:rsidRPr="00D6638C">
        <w:rPr>
          <w:rFonts w:ascii="Calibri" w:eastAsia="Times New Roman" w:hAnsi="Calibri" w:cs="Times New Roman"/>
          <w:sz w:val="20"/>
          <w:szCs w:val="20"/>
          <w:shd w:val="clear" w:color="auto" w:fill="D9D9D9"/>
        </w:rPr>
        <w:t>)</w:t>
      </w:r>
      <w:r w:rsidRPr="00D6638C">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14:paraId="59BCE40C" w14:textId="14E7A688" w:rsidR="00861563" w:rsidRDefault="00D6638C" w:rsidP="00D6638C">
      <w:pPr>
        <w:spacing w:after="120"/>
        <w:rPr>
          <w:rFonts w:ascii="Calibri" w:eastAsia="Times New Roman" w:hAnsi="Calibri" w:cs="Times New Roman"/>
          <w:i/>
          <w:sz w:val="20"/>
          <w:szCs w:val="20"/>
          <w:highlight w:val="lightGray"/>
          <w:shd w:val="clear" w:color="auto" w:fill="DDD9C3"/>
        </w:rPr>
      </w:pPr>
      <w:r w:rsidRPr="00D6638C">
        <w:rPr>
          <w:rFonts w:ascii="Calibri" w:eastAsia="Times New Roman" w:hAnsi="Calibri" w:cs="Times New Roman"/>
          <w:sz w:val="20"/>
          <w:szCs w:val="20"/>
        </w:rPr>
        <w:t>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w:t>
      </w:r>
      <w:r w:rsidRPr="00563362">
        <w:rPr>
          <w:rFonts w:ascii="Calibri" w:eastAsia="Times New Roman" w:hAnsi="Calibri" w:cs="Times New Roman"/>
          <w:sz w:val="20"/>
          <w:szCs w:val="20"/>
        </w:rPr>
        <w:t>),</w:t>
      </w:r>
      <w:r w:rsidRPr="00D6638C">
        <w:rPr>
          <w:rFonts w:ascii="Calibri" w:eastAsia="Times New Roman" w:hAnsi="Calibri" w:cs="Times New Roman"/>
          <w:sz w:val="20"/>
          <w:szCs w:val="20"/>
        </w:rPr>
        <w:t xml:space="preserve"> including the following project </w:t>
      </w:r>
      <w:r w:rsidRPr="00563362">
        <w:rPr>
          <w:rFonts w:ascii="Calibri" w:eastAsia="Times New Roman" w:hAnsi="Calibri" w:cs="Times New Roman"/>
          <w:sz w:val="20"/>
          <w:szCs w:val="20"/>
        </w:rPr>
        <w:t>sites</w:t>
      </w:r>
      <w:r w:rsidR="00054371">
        <w:rPr>
          <w:rFonts w:ascii="Calibri" w:eastAsia="Times New Roman" w:hAnsi="Calibri" w:cs="Times New Roman"/>
          <w:sz w:val="20"/>
          <w:szCs w:val="20"/>
        </w:rPr>
        <w:t>:</w:t>
      </w:r>
      <w:r w:rsidRPr="00563362">
        <w:rPr>
          <w:rFonts w:ascii="Calibri" w:eastAsia="Times New Roman" w:hAnsi="Calibri" w:cs="Times New Roman"/>
          <w:sz w:val="20"/>
          <w:szCs w:val="20"/>
        </w:rPr>
        <w:t xml:space="preserve"> </w:t>
      </w:r>
      <w:r w:rsidR="00E42FAC" w:rsidRPr="00563362">
        <w:rPr>
          <w:rFonts w:ascii="Calibri" w:eastAsia="Times New Roman" w:hAnsi="Calibri" w:cs="Times New Roman"/>
          <w:sz w:val="20"/>
          <w:szCs w:val="20"/>
        </w:rPr>
        <w:t xml:space="preserve">Saint Lucia 3 MW solar PV project near </w:t>
      </w:r>
      <w:proofErr w:type="spellStart"/>
      <w:r w:rsidR="00E42FAC" w:rsidRPr="00563362">
        <w:rPr>
          <w:rFonts w:ascii="Calibri" w:eastAsia="Times New Roman" w:hAnsi="Calibri" w:cs="Times New Roman"/>
          <w:sz w:val="20"/>
          <w:szCs w:val="20"/>
        </w:rPr>
        <w:t>Hewonarra</w:t>
      </w:r>
      <w:proofErr w:type="spellEnd"/>
      <w:r w:rsidR="00E42FAC" w:rsidRPr="00563362">
        <w:rPr>
          <w:rFonts w:ascii="Calibri" w:eastAsia="Times New Roman" w:hAnsi="Calibri" w:cs="Times New Roman"/>
          <w:sz w:val="20"/>
          <w:szCs w:val="20"/>
        </w:rPr>
        <w:t xml:space="preserve"> International Airport; Saint Vincent and the Grenadines 500 kW solar PV project at Argyle International Airport</w:t>
      </w:r>
      <w:r w:rsidRPr="00563362">
        <w:rPr>
          <w:rFonts w:ascii="Calibri" w:eastAsia="Times New Roman" w:hAnsi="Calibri" w:cs="Times New Roman"/>
          <w:sz w:val="20"/>
          <w:szCs w:val="20"/>
        </w:rPr>
        <w:t>.</w:t>
      </w:r>
      <w:r w:rsidRPr="00D6638C">
        <w:rPr>
          <w:rFonts w:ascii="Calibri" w:eastAsia="Times New Roman" w:hAnsi="Calibri" w:cs="Times New Roman"/>
          <w:sz w:val="20"/>
          <w:szCs w:val="20"/>
        </w:rPr>
        <w:t xml:space="preserve"> Interviews will be held with the following organizations and individuals at a minimum: </w:t>
      </w:r>
    </w:p>
    <w:p w14:paraId="673D1306" w14:textId="5AD00A03" w:rsidR="00861563" w:rsidRDefault="003B5F34" w:rsidP="00D6638C">
      <w:pPr>
        <w:spacing w:after="120"/>
        <w:rPr>
          <w:rFonts w:ascii="Calibri" w:eastAsia="Times New Roman" w:hAnsi="Calibri" w:cs="Times New Roman"/>
          <w:i/>
          <w:sz w:val="20"/>
          <w:szCs w:val="20"/>
          <w:highlight w:val="lightGray"/>
          <w:shd w:val="clear" w:color="auto" w:fill="DDD9C3"/>
        </w:rPr>
      </w:pPr>
      <w:r>
        <w:rPr>
          <w:rFonts w:ascii="Calibri" w:eastAsia="Times New Roman" w:hAnsi="Calibri" w:cs="Times New Roman"/>
          <w:i/>
          <w:sz w:val="20"/>
          <w:szCs w:val="20"/>
          <w:highlight w:val="lightGray"/>
          <w:shd w:val="clear" w:color="auto" w:fill="DDD9C3"/>
        </w:rPr>
        <w:t>Barrymore Felicien</w:t>
      </w:r>
      <w:r w:rsidR="00861563">
        <w:rPr>
          <w:rFonts w:ascii="Calibri" w:eastAsia="Times New Roman" w:hAnsi="Calibri" w:cs="Times New Roman"/>
          <w:i/>
          <w:sz w:val="20"/>
          <w:szCs w:val="20"/>
          <w:highlight w:val="lightGray"/>
          <w:shd w:val="clear" w:color="auto" w:fill="DDD9C3"/>
        </w:rPr>
        <w:t>, Government of Saint Lucia</w:t>
      </w:r>
    </w:p>
    <w:p w14:paraId="4FDB64A5" w14:textId="77777777" w:rsidR="00861563" w:rsidRDefault="003B5F34" w:rsidP="00D6638C">
      <w:pPr>
        <w:spacing w:after="120"/>
        <w:rPr>
          <w:rFonts w:ascii="Calibri" w:eastAsia="Times New Roman" w:hAnsi="Calibri" w:cs="Times New Roman"/>
          <w:i/>
          <w:sz w:val="20"/>
          <w:szCs w:val="20"/>
          <w:highlight w:val="lightGray"/>
          <w:shd w:val="clear" w:color="auto" w:fill="DDD9C3"/>
        </w:rPr>
      </w:pPr>
      <w:r>
        <w:rPr>
          <w:rFonts w:ascii="Calibri" w:eastAsia="Times New Roman" w:hAnsi="Calibri" w:cs="Times New Roman"/>
          <w:i/>
          <w:sz w:val="20"/>
          <w:szCs w:val="20"/>
          <w:highlight w:val="lightGray"/>
          <w:shd w:val="clear" w:color="auto" w:fill="DDD9C3"/>
        </w:rPr>
        <w:t>Victor Emmanuel</w:t>
      </w:r>
      <w:r w:rsidR="00861563">
        <w:rPr>
          <w:rFonts w:ascii="Calibri" w:eastAsia="Times New Roman" w:hAnsi="Calibri" w:cs="Times New Roman"/>
          <w:i/>
          <w:sz w:val="20"/>
          <w:szCs w:val="20"/>
          <w:highlight w:val="lightGray"/>
          <w:shd w:val="clear" w:color="auto" w:fill="DDD9C3"/>
        </w:rPr>
        <w:t>, LUCELEC</w:t>
      </w:r>
      <w:r>
        <w:rPr>
          <w:rFonts w:ascii="Calibri" w:eastAsia="Times New Roman" w:hAnsi="Calibri" w:cs="Times New Roman"/>
          <w:i/>
          <w:sz w:val="20"/>
          <w:szCs w:val="20"/>
          <w:highlight w:val="lightGray"/>
          <w:shd w:val="clear" w:color="auto" w:fill="DDD9C3"/>
        </w:rPr>
        <w:t xml:space="preserve">; </w:t>
      </w:r>
    </w:p>
    <w:p w14:paraId="50BD2BFE" w14:textId="37EEFEEB" w:rsidR="00861563" w:rsidRDefault="00861563" w:rsidP="00D6638C">
      <w:pPr>
        <w:spacing w:after="120"/>
        <w:rPr>
          <w:rFonts w:ascii="Calibri" w:eastAsia="Times New Roman" w:hAnsi="Calibri" w:cs="Times New Roman"/>
          <w:i/>
          <w:sz w:val="20"/>
          <w:szCs w:val="20"/>
          <w:highlight w:val="lightGray"/>
          <w:shd w:val="clear" w:color="auto" w:fill="DDD9C3"/>
        </w:rPr>
      </w:pPr>
      <w:r>
        <w:rPr>
          <w:rFonts w:ascii="Calibri" w:eastAsia="Times New Roman" w:hAnsi="Calibri" w:cs="Times New Roman"/>
          <w:i/>
          <w:sz w:val="20"/>
          <w:szCs w:val="20"/>
          <w:highlight w:val="lightGray"/>
          <w:shd w:val="clear" w:color="auto" w:fill="DDD9C3"/>
        </w:rPr>
        <w:lastRenderedPageBreak/>
        <w:t xml:space="preserve">Ellsworth </w:t>
      </w:r>
      <w:proofErr w:type="gramStart"/>
      <w:r>
        <w:rPr>
          <w:rFonts w:ascii="Calibri" w:eastAsia="Times New Roman" w:hAnsi="Calibri" w:cs="Times New Roman"/>
          <w:i/>
          <w:sz w:val="20"/>
          <w:szCs w:val="20"/>
          <w:highlight w:val="lightGray"/>
          <w:shd w:val="clear" w:color="auto" w:fill="DDD9C3"/>
        </w:rPr>
        <w:t xml:space="preserve">Dacon,  </w:t>
      </w:r>
      <w:r w:rsidR="003B5F34">
        <w:rPr>
          <w:rFonts w:ascii="Calibri" w:eastAsia="Times New Roman" w:hAnsi="Calibri" w:cs="Times New Roman"/>
          <w:i/>
          <w:sz w:val="20"/>
          <w:szCs w:val="20"/>
          <w:highlight w:val="lightGray"/>
          <w:shd w:val="clear" w:color="auto" w:fill="DDD9C3"/>
        </w:rPr>
        <w:t>Government</w:t>
      </w:r>
      <w:proofErr w:type="gramEnd"/>
      <w:r w:rsidR="003B5F34">
        <w:rPr>
          <w:rFonts w:ascii="Calibri" w:eastAsia="Times New Roman" w:hAnsi="Calibri" w:cs="Times New Roman"/>
          <w:i/>
          <w:sz w:val="20"/>
          <w:szCs w:val="20"/>
          <w:highlight w:val="lightGray"/>
          <w:shd w:val="clear" w:color="auto" w:fill="DDD9C3"/>
        </w:rPr>
        <w:t xml:space="preserve"> of Saint Vincent and the Grenadines, </w:t>
      </w:r>
    </w:p>
    <w:p w14:paraId="797764DF" w14:textId="00F7AE64" w:rsidR="00861563" w:rsidRDefault="00861563" w:rsidP="00D6638C">
      <w:pPr>
        <w:spacing w:after="120"/>
        <w:rPr>
          <w:rFonts w:ascii="Calibri" w:eastAsia="Times New Roman" w:hAnsi="Calibri" w:cs="Times New Roman"/>
          <w:i/>
          <w:sz w:val="20"/>
          <w:szCs w:val="20"/>
          <w:highlight w:val="lightGray"/>
          <w:shd w:val="clear" w:color="auto" w:fill="DDD9C3"/>
        </w:rPr>
      </w:pPr>
      <w:r>
        <w:rPr>
          <w:rFonts w:ascii="Calibri" w:eastAsia="Times New Roman" w:hAnsi="Calibri" w:cs="Times New Roman"/>
          <w:i/>
          <w:sz w:val="20"/>
          <w:szCs w:val="20"/>
          <w:highlight w:val="lightGray"/>
          <w:shd w:val="clear" w:color="auto" w:fill="DDD9C3"/>
        </w:rPr>
        <w:t xml:space="preserve"> Vaughn Lewis,</w:t>
      </w:r>
      <w:r w:rsidR="003B5F34">
        <w:rPr>
          <w:rFonts w:ascii="Calibri" w:eastAsia="Times New Roman" w:hAnsi="Calibri" w:cs="Times New Roman"/>
          <w:i/>
          <w:sz w:val="20"/>
          <w:szCs w:val="20"/>
          <w:highlight w:val="lightGray"/>
          <w:shd w:val="clear" w:color="auto" w:fill="DDD9C3"/>
        </w:rPr>
        <w:t xml:space="preserve"> VINLEC</w:t>
      </w:r>
    </w:p>
    <w:p w14:paraId="48CF5C02" w14:textId="3C9778C4" w:rsidR="00861563" w:rsidRPr="00563362" w:rsidRDefault="00861563" w:rsidP="00563362">
      <w:pPr>
        <w:spacing w:after="120"/>
        <w:rPr>
          <w:rFonts w:ascii="Calibri" w:eastAsia="Times New Roman" w:hAnsi="Calibri" w:cs="Times New Roman"/>
          <w:i/>
          <w:sz w:val="20"/>
          <w:szCs w:val="20"/>
          <w:highlight w:val="lightGray"/>
          <w:shd w:val="clear" w:color="auto" w:fill="DDD9C3"/>
        </w:rPr>
      </w:pPr>
      <w:r w:rsidRPr="00563362">
        <w:rPr>
          <w:rFonts w:ascii="Calibri" w:eastAsia="Times New Roman" w:hAnsi="Calibri" w:cs="Times New Roman"/>
          <w:i/>
          <w:sz w:val="20"/>
          <w:szCs w:val="20"/>
          <w:highlight w:val="lightGray"/>
          <w:shd w:val="clear" w:color="auto" w:fill="DDD9C3"/>
        </w:rPr>
        <w:t xml:space="preserve">Cletus </w:t>
      </w:r>
      <w:proofErr w:type="spellStart"/>
      <w:r w:rsidRPr="00563362">
        <w:rPr>
          <w:rFonts w:ascii="Calibri" w:eastAsia="Times New Roman" w:hAnsi="Calibri" w:cs="Times New Roman"/>
          <w:i/>
          <w:sz w:val="20"/>
          <w:szCs w:val="20"/>
          <w:highlight w:val="lightGray"/>
          <w:shd w:val="clear" w:color="auto" w:fill="DDD9C3"/>
        </w:rPr>
        <w:t>Bertin</w:t>
      </w:r>
      <w:proofErr w:type="spellEnd"/>
      <w:r w:rsidRPr="00563362">
        <w:rPr>
          <w:rFonts w:ascii="Calibri" w:eastAsia="Times New Roman" w:hAnsi="Calibri" w:cs="Times New Roman"/>
          <w:i/>
          <w:sz w:val="20"/>
          <w:szCs w:val="20"/>
          <w:highlight w:val="lightGray"/>
          <w:shd w:val="clear" w:color="auto" w:fill="DDD9C3"/>
        </w:rPr>
        <w:t>, Director, CARILEC</w:t>
      </w:r>
    </w:p>
    <w:p w14:paraId="0BA833AA" w14:textId="023A2655" w:rsidR="00861563" w:rsidRPr="00563362" w:rsidRDefault="00861563" w:rsidP="00563362">
      <w:pPr>
        <w:spacing w:after="120"/>
        <w:rPr>
          <w:rFonts w:ascii="Calibri" w:eastAsia="Times New Roman" w:hAnsi="Calibri" w:cs="Times New Roman"/>
          <w:i/>
          <w:sz w:val="20"/>
          <w:szCs w:val="20"/>
          <w:highlight w:val="lightGray"/>
          <w:shd w:val="clear" w:color="auto" w:fill="DDD9C3"/>
        </w:rPr>
      </w:pPr>
      <w:r w:rsidRPr="00563362">
        <w:rPr>
          <w:rFonts w:ascii="Calibri" w:eastAsia="Times New Roman" w:hAnsi="Calibri" w:cs="Times New Roman"/>
          <w:i/>
          <w:sz w:val="20"/>
          <w:szCs w:val="20"/>
          <w:highlight w:val="lightGray"/>
          <w:shd w:val="clear" w:color="auto" w:fill="DDD9C3"/>
        </w:rPr>
        <w:t>Kurt Inglis, Ministry of Sustainable Development, Government of St. Lucia</w:t>
      </w:r>
    </w:p>
    <w:p w14:paraId="7DA2D712" w14:textId="1B3543A4" w:rsidR="00861563" w:rsidRPr="00563362" w:rsidRDefault="00861563" w:rsidP="00563362">
      <w:pPr>
        <w:spacing w:after="120"/>
        <w:rPr>
          <w:rFonts w:ascii="Calibri" w:eastAsia="Times New Roman" w:hAnsi="Calibri" w:cs="Times New Roman"/>
          <w:i/>
          <w:sz w:val="20"/>
          <w:szCs w:val="20"/>
          <w:highlight w:val="lightGray"/>
          <w:shd w:val="clear" w:color="auto" w:fill="DDD9C3"/>
        </w:rPr>
      </w:pPr>
      <w:r w:rsidRPr="00563362">
        <w:rPr>
          <w:rFonts w:ascii="Calibri" w:eastAsia="Times New Roman" w:hAnsi="Calibri" w:cs="Times New Roman"/>
          <w:i/>
          <w:sz w:val="20"/>
          <w:szCs w:val="20"/>
          <w:highlight w:val="lightGray"/>
          <w:shd w:val="clear" w:color="auto" w:fill="DDD9C3"/>
        </w:rPr>
        <w:t>Christopher Joseph, Energy Officer, Ministry of Finance and Energy, Grenada</w:t>
      </w:r>
    </w:p>
    <w:p w14:paraId="5568D23A" w14:textId="503EF93C" w:rsidR="00861563" w:rsidRPr="00563362" w:rsidRDefault="00861563" w:rsidP="00563362">
      <w:pPr>
        <w:spacing w:after="120"/>
        <w:rPr>
          <w:rFonts w:ascii="Calibri" w:eastAsia="Times New Roman" w:hAnsi="Calibri" w:cs="Times New Roman"/>
          <w:i/>
          <w:sz w:val="20"/>
          <w:szCs w:val="20"/>
          <w:highlight w:val="lightGray"/>
          <w:shd w:val="clear" w:color="auto" w:fill="DDD9C3"/>
        </w:rPr>
      </w:pPr>
      <w:r w:rsidRPr="00563362">
        <w:rPr>
          <w:rFonts w:ascii="Calibri" w:eastAsia="Times New Roman" w:hAnsi="Calibri" w:cs="Times New Roman"/>
          <w:i/>
          <w:sz w:val="20"/>
          <w:szCs w:val="20"/>
          <w:highlight w:val="lightGray"/>
          <w:shd w:val="clear" w:color="auto" w:fill="DDD9C3"/>
        </w:rPr>
        <w:t xml:space="preserve"> Ryan Cobb, Energy Officer, Ministry of Public Service, Energy and Public Utilities, Bahamas</w:t>
      </w:r>
    </w:p>
    <w:p w14:paraId="5E7951CB" w14:textId="6570B4C1" w:rsidR="00861563" w:rsidRPr="00563362" w:rsidRDefault="00861563" w:rsidP="00563362">
      <w:pPr>
        <w:spacing w:after="120"/>
        <w:rPr>
          <w:rFonts w:ascii="Calibri" w:eastAsia="Times New Roman" w:hAnsi="Calibri" w:cs="Times New Roman"/>
          <w:i/>
          <w:sz w:val="20"/>
          <w:szCs w:val="20"/>
          <w:highlight w:val="lightGray"/>
          <w:shd w:val="clear" w:color="auto" w:fill="DDD9C3"/>
        </w:rPr>
      </w:pPr>
      <w:r w:rsidRPr="00563362">
        <w:rPr>
          <w:rFonts w:ascii="Calibri" w:eastAsia="Times New Roman" w:hAnsi="Calibri" w:cs="Times New Roman"/>
          <w:i/>
          <w:sz w:val="20"/>
          <w:szCs w:val="20"/>
          <w:highlight w:val="lightGray"/>
          <w:shd w:val="clear" w:color="auto" w:fill="DDD9C3"/>
        </w:rPr>
        <w:t xml:space="preserve"> Rhianna Neely, Environmental Policy, Climate Change Risk Perception, Belize</w:t>
      </w:r>
    </w:p>
    <w:p w14:paraId="2FD34993" w14:textId="1D0DAEF4" w:rsidR="00861563" w:rsidRPr="00563362" w:rsidRDefault="00861563" w:rsidP="00563362">
      <w:pPr>
        <w:spacing w:after="120"/>
        <w:rPr>
          <w:rFonts w:ascii="Calibri" w:eastAsia="Times New Roman" w:hAnsi="Calibri" w:cs="Times New Roman"/>
          <w:i/>
          <w:sz w:val="20"/>
          <w:szCs w:val="20"/>
          <w:highlight w:val="lightGray"/>
          <w:shd w:val="clear" w:color="auto" w:fill="DDD9C3"/>
        </w:rPr>
      </w:pPr>
      <w:r w:rsidRPr="00563362">
        <w:rPr>
          <w:rFonts w:ascii="Calibri" w:eastAsia="Times New Roman" w:hAnsi="Calibri" w:cs="Times New Roman"/>
          <w:i/>
          <w:sz w:val="20"/>
          <w:szCs w:val="20"/>
          <w:highlight w:val="lightGray"/>
          <w:shd w:val="clear" w:color="auto" w:fill="DDD9C3"/>
        </w:rPr>
        <w:t xml:space="preserve"> Katya Whyte, Justin Locke, Chris Burgess, Kaitlyn Bunker, Roy Torbert – RMI/CWR</w:t>
      </w:r>
    </w:p>
    <w:p w14:paraId="30FD77B8" w14:textId="77777777" w:rsidR="00861563" w:rsidRPr="00563362" w:rsidRDefault="00861563" w:rsidP="00563362">
      <w:pPr>
        <w:spacing w:after="120"/>
        <w:rPr>
          <w:rFonts w:ascii="Calibri" w:eastAsia="Times New Roman" w:hAnsi="Calibri" w:cs="Times New Roman"/>
          <w:i/>
          <w:sz w:val="20"/>
          <w:szCs w:val="20"/>
          <w:highlight w:val="lightGray"/>
          <w:shd w:val="clear" w:color="auto" w:fill="DDD9C3"/>
        </w:rPr>
      </w:pPr>
    </w:p>
    <w:p w14:paraId="211B5420"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14:paraId="307700EE" w14:textId="77777777" w:rsidR="00D6638C" w:rsidRPr="00D6638C" w:rsidRDefault="00D6638C" w:rsidP="00F05366">
      <w:pPr>
        <w:pStyle w:val="Heading51"/>
      </w:pPr>
      <w:bookmarkStart w:id="8" w:name="_Toc321341551"/>
      <w:r w:rsidRPr="00D6638C">
        <w:t>Evaluation Criteria &amp; Ratings</w:t>
      </w:r>
      <w:bookmarkEnd w:id="8"/>
    </w:p>
    <w:p w14:paraId="606B71DE" w14:textId="075C6DEE" w:rsidR="00D6638C" w:rsidRPr="00D6638C" w:rsidRDefault="00D6638C" w:rsidP="00D6638C">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D6638C">
        <w:rPr>
          <w:rFonts w:ascii="Calibri" w:eastAsia="Times New Roman" w:hAnsi="Calibri" w:cs="Times New Roman"/>
          <w:sz w:val="20"/>
          <w:szCs w:val="20"/>
          <w:highlight w:val="lightGray"/>
        </w:rPr>
        <w:t>(</w:t>
      </w:r>
      <w:hyperlink w:anchor="_TOR_Annex_A:" w:history="1">
        <w:r w:rsidRPr="00D6638C">
          <w:rPr>
            <w:rFonts w:ascii="Calibri" w:eastAsia="Times New Roman" w:hAnsi="Calibri" w:cs="Times New Roman"/>
            <w:color w:val="0000FF"/>
            <w:sz w:val="20"/>
            <w:szCs w:val="20"/>
            <w:u w:val="single"/>
          </w:rPr>
          <w:t xml:space="preserve"> Annex A</w:t>
        </w:r>
      </w:hyperlink>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14:paraId="14FC2F76" w14:textId="77777777"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722"/>
        <w:gridCol w:w="4778"/>
        <w:gridCol w:w="722"/>
      </w:tblGrid>
      <w:tr w:rsidR="00D6638C" w:rsidRPr="00D6638C" w14:paraId="33C4E739" w14:textId="77777777" w:rsidTr="006C1964">
        <w:trPr>
          <w:trHeight w:val="206"/>
        </w:trPr>
        <w:tc>
          <w:tcPr>
            <w:tcW w:w="5000" w:type="pct"/>
            <w:gridSpan w:val="4"/>
            <w:vAlign w:val="center"/>
          </w:tcPr>
          <w:p w14:paraId="29B5853B" w14:textId="77777777"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14:paraId="31CCFE75" w14:textId="77777777" w:rsidTr="006C1964">
        <w:tblPrEx>
          <w:shd w:val="clear" w:color="auto" w:fill="4F81BD"/>
        </w:tblPrEx>
        <w:tc>
          <w:tcPr>
            <w:tcW w:w="1652" w:type="pct"/>
            <w:shd w:val="clear" w:color="auto" w:fill="7F7F7F"/>
          </w:tcPr>
          <w:p w14:paraId="23E757CA" w14:textId="77777777" w:rsidR="00D6638C" w:rsidRPr="00D6638C" w:rsidRDefault="00D6638C" w:rsidP="00D6638C">
            <w:pPr>
              <w:spacing w:after="0"/>
              <w:rPr>
                <w:rFonts w:ascii="Calibri" w:eastAsia="Times New Roman" w:hAnsi="Calibri" w:cs="Times New Roman"/>
                <w:b/>
                <w:bCs/>
                <w:color w:val="FFFFFF"/>
                <w:sz w:val="20"/>
                <w:szCs w:val="20"/>
              </w:rPr>
            </w:pPr>
            <w:bookmarkStart w:id="9"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14:paraId="7D1FB14D" w14:textId="77777777"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14:paraId="43E1DDC5" w14:textId="77777777"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14:paraId="4B059FB7" w14:textId="77777777"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14:paraId="30D5E87C"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04A933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14:paraId="67FE6E1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26D30CC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14:paraId="099EEC2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5C354952"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944BAD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14:paraId="7CC14D4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1EBEA85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14:paraId="134BC0E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4860B751"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34AA6F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14:paraId="61F4BD0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0503B6B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14:paraId="7A84814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335F001F" w14:textId="77777777" w:rsidTr="006C1964">
        <w:tblPrEx>
          <w:shd w:val="clear" w:color="auto" w:fill="4F81BD"/>
        </w:tblPrEx>
        <w:tc>
          <w:tcPr>
            <w:tcW w:w="1652" w:type="pct"/>
            <w:shd w:val="clear" w:color="auto" w:fill="7F7F7F"/>
          </w:tcPr>
          <w:p w14:paraId="41658A8C"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14:paraId="6F80FAD1"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14:paraId="42231B96"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14:paraId="57E6267A"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14:paraId="0694F1E8"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E946B0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14:paraId="7EDA7CC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1EF1AF9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14:paraId="38EA10D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0CB364FD"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B11170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14:paraId="79ADB89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188F708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14:paraId="51DC54F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20AA7B8F"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93603A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14:paraId="0837951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575F17E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14:paraId="7625BC0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6D68B562"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752E6E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14:paraId="5271107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5691C2A7" w14:textId="77777777" w:rsidR="00D6638C" w:rsidRPr="00D6638C" w:rsidRDefault="00D6638C" w:rsidP="00D6638C">
            <w:pPr>
              <w:spacing w:after="0"/>
              <w:rPr>
                <w:rFonts w:ascii="Calibri" w:eastAsia="Times New Roman" w:hAnsi="Calibri" w:cs="Times New Roman"/>
                <w:sz w:val="20"/>
                <w:szCs w:val="20"/>
              </w:rPr>
            </w:pPr>
            <w:proofErr w:type="gramStart"/>
            <w:r w:rsidRPr="00D6638C">
              <w:rPr>
                <w:rFonts w:ascii="Calibri" w:eastAsia="Times New Roman" w:hAnsi="Calibri" w:cs="Times New Roman"/>
                <w:sz w:val="20"/>
                <w:szCs w:val="20"/>
              </w:rPr>
              <w:t>Environmental :</w:t>
            </w:r>
            <w:proofErr w:type="gramEnd"/>
          </w:p>
        </w:tc>
        <w:tc>
          <w:tcPr>
            <w:tcW w:w="375" w:type="pct"/>
          </w:tcPr>
          <w:p w14:paraId="30E5728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44EA10ED"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5035DD8" w14:textId="77777777" w:rsidR="00D6638C" w:rsidRPr="00D6638C" w:rsidRDefault="00D6638C" w:rsidP="00D6638C">
            <w:pPr>
              <w:spacing w:after="0"/>
              <w:rPr>
                <w:rFonts w:ascii="Calibri" w:eastAsia="Times New Roman" w:hAnsi="Calibri" w:cs="Times New Roman"/>
                <w:sz w:val="20"/>
                <w:szCs w:val="20"/>
              </w:rPr>
            </w:pPr>
          </w:p>
        </w:tc>
        <w:tc>
          <w:tcPr>
            <w:tcW w:w="375" w:type="pct"/>
          </w:tcPr>
          <w:p w14:paraId="4D342160" w14:textId="77777777" w:rsidR="00D6638C" w:rsidRPr="00D6638C" w:rsidRDefault="00D6638C" w:rsidP="00D6638C">
            <w:pPr>
              <w:spacing w:after="0"/>
              <w:rPr>
                <w:rFonts w:ascii="Calibri" w:eastAsia="Times New Roman" w:hAnsi="Calibri" w:cs="Times New Roman"/>
                <w:sz w:val="20"/>
                <w:szCs w:val="20"/>
              </w:rPr>
            </w:pPr>
          </w:p>
        </w:tc>
        <w:tc>
          <w:tcPr>
            <w:tcW w:w="2598" w:type="pct"/>
          </w:tcPr>
          <w:p w14:paraId="63F14E0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14:paraId="3B4AF01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14:paraId="62983B1F" w14:textId="77777777" w:rsidR="00D6638C" w:rsidRPr="00D6638C" w:rsidRDefault="00D6638C" w:rsidP="00F05366">
      <w:pPr>
        <w:pStyle w:val="Heading51"/>
      </w:pPr>
      <w:bookmarkStart w:id="10" w:name="_Toc299122831"/>
      <w:bookmarkStart w:id="11" w:name="_Toc299122853"/>
      <w:bookmarkStart w:id="12" w:name="_Toc299122832"/>
      <w:bookmarkStart w:id="13" w:name="_Toc299122854"/>
      <w:bookmarkStart w:id="14" w:name="_Toc299126619"/>
      <w:bookmarkStart w:id="15" w:name="_Toc321341552"/>
      <w:bookmarkStart w:id="16" w:name="_Toc277677977"/>
      <w:bookmarkEnd w:id="2"/>
      <w:bookmarkEnd w:id="9"/>
      <w:r w:rsidRPr="00D6638C">
        <w:t>Project finance / cofinance</w:t>
      </w:r>
      <w:bookmarkEnd w:id="15"/>
    </w:p>
    <w:p w14:paraId="05210B1A" w14:textId="77777777" w:rsidR="00D6638C" w:rsidRPr="00032958" w:rsidRDefault="00D6638C" w:rsidP="00D6638C">
      <w:pPr>
        <w:spacing w:before="200"/>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w:t>
      </w:r>
      <w:r w:rsidRPr="00032958">
        <w:rPr>
          <w:rFonts w:ascii="Calibri" w:eastAsia="Times New Roman" w:hAnsi="Calibri" w:cs="Times New Roman"/>
          <w:sz w:val="20"/>
          <w:szCs w:val="20"/>
          <w:lang w:val="en-GB"/>
        </w:rPr>
        <w:lastRenderedPageBreak/>
        <w:t xml:space="preserve">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280"/>
        <w:gridCol w:w="790"/>
        <w:gridCol w:w="1336"/>
        <w:gridCol w:w="914"/>
      </w:tblGrid>
      <w:tr w:rsidR="00D6638C" w:rsidRPr="00032958" w14:paraId="71372EE0" w14:textId="77777777" w:rsidTr="006C1964">
        <w:tc>
          <w:tcPr>
            <w:tcW w:w="2088" w:type="dxa"/>
            <w:vMerge w:val="restart"/>
          </w:tcPr>
          <w:p w14:paraId="5FB39B11" w14:textId="77777777" w:rsidR="00D6638C" w:rsidRPr="00032958" w:rsidRDefault="00D6638C" w:rsidP="00D6638C">
            <w:pPr>
              <w:spacing w:after="0"/>
              <w:rPr>
                <w:rFonts w:ascii="Calibri" w:eastAsia="Times New Roman" w:hAnsi="Calibri" w:cs="Times New Roman"/>
                <w:sz w:val="20"/>
                <w:szCs w:val="20"/>
              </w:rPr>
            </w:pPr>
            <w:r w:rsidRPr="00032958">
              <w:rPr>
                <w:rFonts w:ascii="Calibri" w:eastAsia="Times New Roman" w:hAnsi="Calibri" w:cs="Times New Roman"/>
                <w:sz w:val="20"/>
                <w:szCs w:val="20"/>
              </w:rPr>
              <w:t>Co-financing</w:t>
            </w:r>
          </w:p>
          <w:p w14:paraId="0850C4FA" w14:textId="77777777" w:rsidR="00D6638C" w:rsidRPr="00032958" w:rsidRDefault="00D6638C" w:rsidP="00D6638C">
            <w:pPr>
              <w:spacing w:after="0"/>
              <w:rPr>
                <w:rFonts w:ascii="Calibri" w:eastAsia="Times New Roman" w:hAnsi="Calibri" w:cs="Times New Roman"/>
                <w:sz w:val="20"/>
                <w:szCs w:val="20"/>
              </w:rPr>
            </w:pPr>
            <w:r w:rsidRPr="00032958">
              <w:rPr>
                <w:rFonts w:ascii="Calibri" w:eastAsia="Times New Roman" w:hAnsi="Calibri" w:cs="Times New Roman"/>
                <w:sz w:val="20"/>
                <w:szCs w:val="20"/>
              </w:rPr>
              <w:t>(type/source)</w:t>
            </w:r>
          </w:p>
        </w:tc>
        <w:tc>
          <w:tcPr>
            <w:tcW w:w="1980" w:type="dxa"/>
            <w:gridSpan w:val="2"/>
          </w:tcPr>
          <w:p w14:paraId="1DA17095" w14:textId="77777777" w:rsidR="00D6638C" w:rsidRPr="00032958" w:rsidRDefault="00D6638C" w:rsidP="00D6638C">
            <w:pPr>
              <w:spacing w:after="0"/>
              <w:rPr>
                <w:rFonts w:ascii="Calibri" w:eastAsia="Times New Roman" w:hAnsi="Calibri" w:cs="Times New Roman"/>
                <w:sz w:val="20"/>
                <w:szCs w:val="20"/>
              </w:rPr>
            </w:pPr>
            <w:r w:rsidRPr="00032958">
              <w:rPr>
                <w:rFonts w:ascii="Calibri" w:eastAsia="Times New Roman" w:hAnsi="Calibri" w:cs="Times New Roman"/>
                <w:sz w:val="20"/>
                <w:szCs w:val="20"/>
              </w:rPr>
              <w:t>UNDP own financing (mill. US$)</w:t>
            </w:r>
          </w:p>
        </w:tc>
        <w:tc>
          <w:tcPr>
            <w:tcW w:w="2160" w:type="dxa"/>
            <w:gridSpan w:val="2"/>
          </w:tcPr>
          <w:p w14:paraId="5568BBBA" w14:textId="77777777" w:rsidR="00D6638C" w:rsidRPr="00032958" w:rsidRDefault="00D6638C" w:rsidP="00D6638C">
            <w:pPr>
              <w:spacing w:after="0"/>
              <w:rPr>
                <w:rFonts w:ascii="Calibri" w:eastAsia="Times New Roman" w:hAnsi="Calibri" w:cs="Times New Roman"/>
                <w:sz w:val="20"/>
                <w:szCs w:val="20"/>
              </w:rPr>
            </w:pPr>
            <w:r w:rsidRPr="00032958">
              <w:rPr>
                <w:rFonts w:ascii="Calibri" w:eastAsia="Times New Roman" w:hAnsi="Calibri" w:cs="Times New Roman"/>
                <w:sz w:val="20"/>
                <w:szCs w:val="20"/>
              </w:rPr>
              <w:t>Government</w:t>
            </w:r>
          </w:p>
          <w:p w14:paraId="2DF69FDE" w14:textId="77777777" w:rsidR="00D6638C" w:rsidRPr="00032958" w:rsidRDefault="00D6638C" w:rsidP="00D6638C">
            <w:pPr>
              <w:spacing w:after="0"/>
              <w:rPr>
                <w:rFonts w:ascii="Calibri" w:eastAsia="Times New Roman" w:hAnsi="Calibri" w:cs="Times New Roman"/>
                <w:sz w:val="20"/>
                <w:szCs w:val="20"/>
              </w:rPr>
            </w:pPr>
            <w:r w:rsidRPr="00032958">
              <w:rPr>
                <w:rFonts w:ascii="Calibri" w:eastAsia="Times New Roman" w:hAnsi="Calibri" w:cs="Times New Roman"/>
                <w:sz w:val="20"/>
                <w:szCs w:val="20"/>
              </w:rPr>
              <w:t>(mill. US$)</w:t>
            </w:r>
          </w:p>
        </w:tc>
        <w:tc>
          <w:tcPr>
            <w:tcW w:w="2070" w:type="dxa"/>
            <w:gridSpan w:val="2"/>
          </w:tcPr>
          <w:p w14:paraId="695FE48F" w14:textId="77777777" w:rsidR="00D6638C" w:rsidRPr="00032958" w:rsidRDefault="00D6638C" w:rsidP="00D6638C">
            <w:pPr>
              <w:spacing w:after="0"/>
              <w:rPr>
                <w:rFonts w:ascii="Calibri" w:eastAsia="Times New Roman" w:hAnsi="Calibri" w:cs="Times New Roman"/>
                <w:sz w:val="20"/>
                <w:szCs w:val="20"/>
              </w:rPr>
            </w:pPr>
            <w:r w:rsidRPr="00032958">
              <w:rPr>
                <w:rFonts w:ascii="Calibri" w:eastAsia="Times New Roman" w:hAnsi="Calibri" w:cs="Times New Roman"/>
                <w:sz w:val="20"/>
                <w:szCs w:val="20"/>
              </w:rPr>
              <w:t>Partner Agency</w:t>
            </w:r>
          </w:p>
          <w:p w14:paraId="1ED024C8" w14:textId="77777777" w:rsidR="00D6638C" w:rsidRPr="00032958" w:rsidRDefault="00D6638C" w:rsidP="00D6638C">
            <w:pPr>
              <w:spacing w:after="0"/>
              <w:rPr>
                <w:rFonts w:ascii="Calibri" w:eastAsia="Times New Roman" w:hAnsi="Calibri" w:cs="Times New Roman"/>
                <w:sz w:val="20"/>
                <w:szCs w:val="20"/>
              </w:rPr>
            </w:pPr>
            <w:r w:rsidRPr="00032958">
              <w:rPr>
                <w:rFonts w:ascii="Calibri" w:eastAsia="Times New Roman" w:hAnsi="Calibri" w:cs="Times New Roman"/>
                <w:sz w:val="20"/>
                <w:szCs w:val="20"/>
              </w:rPr>
              <w:t>(mill. US$)</w:t>
            </w:r>
          </w:p>
        </w:tc>
        <w:tc>
          <w:tcPr>
            <w:tcW w:w="2250" w:type="dxa"/>
            <w:gridSpan w:val="2"/>
          </w:tcPr>
          <w:p w14:paraId="321FD689" w14:textId="77777777" w:rsidR="00D6638C" w:rsidRPr="00032958" w:rsidRDefault="00D6638C" w:rsidP="00D6638C">
            <w:pPr>
              <w:spacing w:after="0"/>
              <w:rPr>
                <w:rFonts w:ascii="Calibri" w:eastAsia="Times New Roman" w:hAnsi="Calibri" w:cs="Times New Roman"/>
                <w:sz w:val="20"/>
                <w:szCs w:val="20"/>
              </w:rPr>
            </w:pPr>
            <w:r w:rsidRPr="00032958">
              <w:rPr>
                <w:rFonts w:ascii="Calibri" w:eastAsia="Times New Roman" w:hAnsi="Calibri" w:cs="Times New Roman"/>
                <w:sz w:val="20"/>
                <w:szCs w:val="20"/>
              </w:rPr>
              <w:t>Total</w:t>
            </w:r>
          </w:p>
          <w:p w14:paraId="0A76235C" w14:textId="77777777" w:rsidR="00D6638C" w:rsidRPr="00032958" w:rsidRDefault="00D6638C" w:rsidP="00D6638C">
            <w:pPr>
              <w:spacing w:after="0"/>
              <w:rPr>
                <w:rFonts w:ascii="Calibri" w:eastAsia="Times New Roman" w:hAnsi="Calibri" w:cs="Times New Roman"/>
                <w:sz w:val="20"/>
                <w:szCs w:val="20"/>
              </w:rPr>
            </w:pPr>
            <w:r w:rsidRPr="00032958">
              <w:rPr>
                <w:rFonts w:ascii="Calibri" w:eastAsia="Times New Roman" w:hAnsi="Calibri" w:cs="Times New Roman"/>
                <w:sz w:val="20"/>
                <w:szCs w:val="20"/>
              </w:rPr>
              <w:t>(mill. US$)</w:t>
            </w:r>
          </w:p>
        </w:tc>
      </w:tr>
      <w:tr w:rsidR="00D6638C" w:rsidRPr="00032958" w14:paraId="14B80501" w14:textId="77777777" w:rsidTr="00032958">
        <w:trPr>
          <w:trHeight w:val="143"/>
        </w:trPr>
        <w:tc>
          <w:tcPr>
            <w:tcW w:w="2088" w:type="dxa"/>
            <w:vMerge/>
          </w:tcPr>
          <w:p w14:paraId="6D0E38E4" w14:textId="77777777" w:rsidR="00D6638C" w:rsidRPr="00032958" w:rsidRDefault="00D6638C" w:rsidP="00D6638C">
            <w:pPr>
              <w:spacing w:after="0"/>
              <w:rPr>
                <w:rFonts w:ascii="Calibri" w:eastAsia="Times New Roman" w:hAnsi="Calibri" w:cs="Times New Roman"/>
                <w:sz w:val="20"/>
                <w:szCs w:val="20"/>
              </w:rPr>
            </w:pPr>
          </w:p>
        </w:tc>
        <w:tc>
          <w:tcPr>
            <w:tcW w:w="900" w:type="dxa"/>
          </w:tcPr>
          <w:p w14:paraId="55A963DC" w14:textId="77777777" w:rsidR="00D6638C" w:rsidRPr="00032958" w:rsidRDefault="00D6638C" w:rsidP="00D6638C">
            <w:pPr>
              <w:spacing w:after="0"/>
              <w:rPr>
                <w:rFonts w:ascii="Calibri" w:eastAsia="Times New Roman" w:hAnsi="Calibri" w:cs="Times New Roman"/>
                <w:sz w:val="20"/>
                <w:szCs w:val="20"/>
              </w:rPr>
            </w:pPr>
            <w:r w:rsidRPr="00032958">
              <w:rPr>
                <w:rFonts w:ascii="Calibri" w:eastAsia="Times New Roman" w:hAnsi="Calibri" w:cs="Times New Roman"/>
                <w:sz w:val="20"/>
                <w:szCs w:val="20"/>
              </w:rPr>
              <w:t>Planned</w:t>
            </w:r>
          </w:p>
        </w:tc>
        <w:tc>
          <w:tcPr>
            <w:tcW w:w="1080" w:type="dxa"/>
          </w:tcPr>
          <w:p w14:paraId="5E68D173" w14:textId="77777777" w:rsidR="00D6638C" w:rsidRPr="00032958" w:rsidRDefault="00D6638C" w:rsidP="00D6638C">
            <w:pPr>
              <w:spacing w:after="0"/>
              <w:rPr>
                <w:rFonts w:ascii="Calibri" w:eastAsia="Times New Roman" w:hAnsi="Calibri" w:cs="Times New Roman"/>
                <w:sz w:val="20"/>
                <w:szCs w:val="20"/>
              </w:rPr>
            </w:pPr>
            <w:r w:rsidRPr="00032958">
              <w:rPr>
                <w:rFonts w:ascii="Calibri" w:eastAsia="Times New Roman" w:hAnsi="Calibri" w:cs="Times New Roman"/>
                <w:sz w:val="20"/>
                <w:szCs w:val="20"/>
              </w:rPr>
              <w:t xml:space="preserve">Actual </w:t>
            </w:r>
          </w:p>
        </w:tc>
        <w:tc>
          <w:tcPr>
            <w:tcW w:w="1080" w:type="dxa"/>
          </w:tcPr>
          <w:p w14:paraId="76382382" w14:textId="77777777" w:rsidR="00D6638C" w:rsidRPr="00032958" w:rsidRDefault="00D6638C" w:rsidP="00D6638C">
            <w:pPr>
              <w:spacing w:after="0"/>
              <w:rPr>
                <w:rFonts w:ascii="Calibri" w:eastAsia="Times New Roman" w:hAnsi="Calibri" w:cs="Times New Roman"/>
                <w:sz w:val="20"/>
                <w:szCs w:val="20"/>
              </w:rPr>
            </w:pPr>
            <w:r w:rsidRPr="00032958">
              <w:rPr>
                <w:rFonts w:ascii="Calibri" w:eastAsia="Times New Roman" w:hAnsi="Calibri" w:cs="Times New Roman"/>
                <w:sz w:val="20"/>
                <w:szCs w:val="20"/>
              </w:rPr>
              <w:t>Planned</w:t>
            </w:r>
          </w:p>
        </w:tc>
        <w:tc>
          <w:tcPr>
            <w:tcW w:w="1080" w:type="dxa"/>
          </w:tcPr>
          <w:p w14:paraId="62B7204B" w14:textId="77777777" w:rsidR="00D6638C" w:rsidRPr="00032958" w:rsidRDefault="00D6638C" w:rsidP="00D6638C">
            <w:pPr>
              <w:spacing w:after="0"/>
              <w:rPr>
                <w:rFonts w:ascii="Calibri" w:eastAsia="Times New Roman" w:hAnsi="Calibri" w:cs="Times New Roman"/>
                <w:sz w:val="20"/>
                <w:szCs w:val="20"/>
              </w:rPr>
            </w:pPr>
            <w:r w:rsidRPr="00032958">
              <w:rPr>
                <w:rFonts w:ascii="Calibri" w:eastAsia="Times New Roman" w:hAnsi="Calibri" w:cs="Times New Roman"/>
                <w:sz w:val="20"/>
                <w:szCs w:val="20"/>
              </w:rPr>
              <w:t>Actual</w:t>
            </w:r>
          </w:p>
        </w:tc>
        <w:tc>
          <w:tcPr>
            <w:tcW w:w="1280" w:type="dxa"/>
          </w:tcPr>
          <w:p w14:paraId="265ED702" w14:textId="77777777" w:rsidR="00D6638C" w:rsidRPr="00032958" w:rsidRDefault="00D6638C" w:rsidP="00D6638C">
            <w:pPr>
              <w:spacing w:after="0"/>
              <w:rPr>
                <w:rFonts w:ascii="Calibri" w:eastAsia="Times New Roman" w:hAnsi="Calibri" w:cs="Times New Roman"/>
                <w:sz w:val="20"/>
                <w:szCs w:val="20"/>
              </w:rPr>
            </w:pPr>
            <w:r w:rsidRPr="00032958">
              <w:rPr>
                <w:rFonts w:ascii="Calibri" w:eastAsia="Times New Roman" w:hAnsi="Calibri" w:cs="Times New Roman"/>
                <w:sz w:val="20"/>
                <w:szCs w:val="20"/>
              </w:rPr>
              <w:t>Planned</w:t>
            </w:r>
          </w:p>
        </w:tc>
        <w:tc>
          <w:tcPr>
            <w:tcW w:w="790" w:type="dxa"/>
          </w:tcPr>
          <w:p w14:paraId="1F6B2193" w14:textId="77777777" w:rsidR="00D6638C" w:rsidRPr="00032958" w:rsidRDefault="00D6638C" w:rsidP="00D6638C">
            <w:pPr>
              <w:spacing w:after="0"/>
              <w:rPr>
                <w:rFonts w:ascii="Calibri" w:eastAsia="Times New Roman" w:hAnsi="Calibri" w:cs="Times New Roman"/>
                <w:sz w:val="20"/>
                <w:szCs w:val="20"/>
              </w:rPr>
            </w:pPr>
            <w:r w:rsidRPr="00032958">
              <w:rPr>
                <w:rFonts w:ascii="Calibri" w:eastAsia="Times New Roman" w:hAnsi="Calibri" w:cs="Times New Roman"/>
                <w:sz w:val="20"/>
                <w:szCs w:val="20"/>
              </w:rPr>
              <w:t>Actual</w:t>
            </w:r>
          </w:p>
        </w:tc>
        <w:tc>
          <w:tcPr>
            <w:tcW w:w="1336" w:type="dxa"/>
          </w:tcPr>
          <w:p w14:paraId="6BF3C091" w14:textId="77777777" w:rsidR="00D6638C" w:rsidRPr="00032958" w:rsidRDefault="00D6638C" w:rsidP="00D6638C">
            <w:pPr>
              <w:spacing w:after="0"/>
              <w:rPr>
                <w:rFonts w:ascii="Calibri" w:eastAsia="Times New Roman" w:hAnsi="Calibri" w:cs="Times New Roman"/>
                <w:sz w:val="20"/>
                <w:szCs w:val="20"/>
              </w:rPr>
            </w:pPr>
            <w:r w:rsidRPr="00032958">
              <w:rPr>
                <w:rFonts w:ascii="Calibri" w:eastAsia="Times New Roman" w:hAnsi="Calibri" w:cs="Times New Roman"/>
                <w:sz w:val="20"/>
                <w:szCs w:val="20"/>
              </w:rPr>
              <w:t>Actual</w:t>
            </w:r>
          </w:p>
        </w:tc>
        <w:tc>
          <w:tcPr>
            <w:tcW w:w="914" w:type="dxa"/>
          </w:tcPr>
          <w:p w14:paraId="012F756A" w14:textId="77777777" w:rsidR="00D6638C" w:rsidRPr="00032958" w:rsidRDefault="00D6638C" w:rsidP="00D6638C">
            <w:pPr>
              <w:spacing w:after="0"/>
              <w:rPr>
                <w:rFonts w:ascii="Calibri" w:eastAsia="Times New Roman" w:hAnsi="Calibri" w:cs="Times New Roman"/>
                <w:sz w:val="20"/>
                <w:szCs w:val="20"/>
              </w:rPr>
            </w:pPr>
            <w:r w:rsidRPr="00032958">
              <w:rPr>
                <w:rFonts w:ascii="Calibri" w:eastAsia="Times New Roman" w:hAnsi="Calibri" w:cs="Times New Roman"/>
                <w:sz w:val="20"/>
                <w:szCs w:val="20"/>
              </w:rPr>
              <w:t>Actual</w:t>
            </w:r>
          </w:p>
        </w:tc>
      </w:tr>
      <w:tr w:rsidR="00032958" w:rsidRPr="00032958" w14:paraId="6441F652" w14:textId="77777777" w:rsidTr="00032958">
        <w:tc>
          <w:tcPr>
            <w:tcW w:w="2088" w:type="dxa"/>
          </w:tcPr>
          <w:p w14:paraId="72A4B241" w14:textId="77777777" w:rsidR="00032958" w:rsidRPr="00032958" w:rsidRDefault="00032958" w:rsidP="00032958">
            <w:pPr>
              <w:spacing w:after="0"/>
              <w:rPr>
                <w:rFonts w:ascii="Calibri" w:eastAsia="Times New Roman" w:hAnsi="Calibri" w:cs="Times New Roman"/>
                <w:sz w:val="20"/>
                <w:szCs w:val="20"/>
              </w:rPr>
            </w:pPr>
            <w:r w:rsidRPr="00032958">
              <w:rPr>
                <w:rFonts w:ascii="Calibri" w:eastAsia="Times New Roman" w:hAnsi="Calibri" w:cs="Times New Roman"/>
                <w:sz w:val="20"/>
                <w:szCs w:val="20"/>
              </w:rPr>
              <w:t xml:space="preserve">Grants </w:t>
            </w:r>
          </w:p>
        </w:tc>
        <w:tc>
          <w:tcPr>
            <w:tcW w:w="900" w:type="dxa"/>
          </w:tcPr>
          <w:p w14:paraId="33576A7A" w14:textId="014F6FDE" w:rsidR="00032958" w:rsidRPr="00032958" w:rsidRDefault="00032958" w:rsidP="00032958">
            <w:pPr>
              <w:spacing w:after="0"/>
              <w:rPr>
                <w:rFonts w:ascii="Calibri" w:eastAsia="Times New Roman" w:hAnsi="Calibri" w:cs="Times New Roman"/>
                <w:sz w:val="20"/>
                <w:szCs w:val="20"/>
              </w:rPr>
            </w:pPr>
          </w:p>
        </w:tc>
        <w:tc>
          <w:tcPr>
            <w:tcW w:w="1080" w:type="dxa"/>
          </w:tcPr>
          <w:p w14:paraId="3B9C9A1F" w14:textId="77777777" w:rsidR="00032958" w:rsidRPr="00032958" w:rsidRDefault="00032958" w:rsidP="00032958">
            <w:pPr>
              <w:spacing w:after="0"/>
              <w:rPr>
                <w:rFonts w:ascii="Calibri" w:eastAsia="Times New Roman" w:hAnsi="Calibri" w:cs="Times New Roman"/>
                <w:sz w:val="20"/>
                <w:szCs w:val="20"/>
              </w:rPr>
            </w:pPr>
          </w:p>
        </w:tc>
        <w:tc>
          <w:tcPr>
            <w:tcW w:w="1080" w:type="dxa"/>
            <w:vAlign w:val="center"/>
          </w:tcPr>
          <w:p w14:paraId="01D15BE6" w14:textId="28F73247" w:rsidR="00032958" w:rsidRPr="00032958" w:rsidRDefault="00032958" w:rsidP="00032958">
            <w:pPr>
              <w:spacing w:after="0"/>
              <w:rPr>
                <w:rFonts w:ascii="Calibri" w:eastAsia="Times New Roman" w:hAnsi="Calibri" w:cs="Times New Roman"/>
                <w:sz w:val="20"/>
                <w:szCs w:val="20"/>
              </w:rPr>
            </w:pPr>
          </w:p>
        </w:tc>
        <w:tc>
          <w:tcPr>
            <w:tcW w:w="1080" w:type="dxa"/>
          </w:tcPr>
          <w:p w14:paraId="57BF48B7" w14:textId="77777777" w:rsidR="00032958" w:rsidRPr="00032958" w:rsidRDefault="00032958" w:rsidP="00032958">
            <w:pPr>
              <w:spacing w:after="0"/>
              <w:rPr>
                <w:rFonts w:ascii="Calibri" w:eastAsia="Times New Roman" w:hAnsi="Calibri" w:cs="Times New Roman"/>
                <w:sz w:val="20"/>
                <w:szCs w:val="20"/>
              </w:rPr>
            </w:pPr>
          </w:p>
        </w:tc>
        <w:tc>
          <w:tcPr>
            <w:tcW w:w="1280" w:type="dxa"/>
          </w:tcPr>
          <w:p w14:paraId="60557D3B" w14:textId="6347F10B" w:rsidR="00032958" w:rsidRPr="00032958" w:rsidRDefault="00032958" w:rsidP="00032958">
            <w:pPr>
              <w:spacing w:after="0"/>
              <w:rPr>
                <w:rFonts w:ascii="Calibri" w:eastAsia="Times New Roman" w:hAnsi="Calibri" w:cs="Times New Roman"/>
                <w:sz w:val="20"/>
                <w:szCs w:val="20"/>
              </w:rPr>
            </w:pPr>
          </w:p>
        </w:tc>
        <w:tc>
          <w:tcPr>
            <w:tcW w:w="790" w:type="dxa"/>
          </w:tcPr>
          <w:p w14:paraId="4AB22EBA" w14:textId="77777777" w:rsidR="00032958" w:rsidRPr="00032958" w:rsidRDefault="00032958" w:rsidP="00032958">
            <w:pPr>
              <w:spacing w:after="0"/>
              <w:rPr>
                <w:rFonts w:ascii="Calibri" w:eastAsia="Times New Roman" w:hAnsi="Calibri" w:cs="Times New Roman"/>
                <w:sz w:val="20"/>
                <w:szCs w:val="20"/>
              </w:rPr>
            </w:pPr>
          </w:p>
        </w:tc>
        <w:tc>
          <w:tcPr>
            <w:tcW w:w="1336" w:type="dxa"/>
          </w:tcPr>
          <w:p w14:paraId="30B77DCC" w14:textId="59F72B8E" w:rsidR="00032958" w:rsidRPr="00032958" w:rsidRDefault="00032958" w:rsidP="00032958">
            <w:pPr>
              <w:spacing w:after="0"/>
              <w:rPr>
                <w:rFonts w:ascii="Calibri" w:eastAsia="Times New Roman" w:hAnsi="Calibri" w:cs="Times New Roman"/>
                <w:sz w:val="20"/>
                <w:szCs w:val="20"/>
              </w:rPr>
            </w:pPr>
          </w:p>
        </w:tc>
        <w:tc>
          <w:tcPr>
            <w:tcW w:w="914" w:type="dxa"/>
          </w:tcPr>
          <w:p w14:paraId="0A61C7FD" w14:textId="77777777" w:rsidR="00032958" w:rsidRPr="00032958" w:rsidRDefault="00032958" w:rsidP="00032958">
            <w:pPr>
              <w:spacing w:after="0"/>
              <w:rPr>
                <w:rFonts w:ascii="Calibri" w:eastAsia="Times New Roman" w:hAnsi="Calibri" w:cs="Times New Roman"/>
                <w:sz w:val="20"/>
                <w:szCs w:val="20"/>
              </w:rPr>
            </w:pPr>
          </w:p>
        </w:tc>
      </w:tr>
      <w:tr w:rsidR="00032958" w:rsidRPr="00032958" w14:paraId="465B1F74" w14:textId="77777777" w:rsidTr="00032958">
        <w:trPr>
          <w:trHeight w:val="332"/>
        </w:trPr>
        <w:tc>
          <w:tcPr>
            <w:tcW w:w="2088" w:type="dxa"/>
          </w:tcPr>
          <w:p w14:paraId="51939795" w14:textId="77777777" w:rsidR="00032958" w:rsidRPr="00032958" w:rsidRDefault="00032958" w:rsidP="00032958">
            <w:pPr>
              <w:spacing w:after="0"/>
              <w:rPr>
                <w:rFonts w:ascii="Calibri" w:eastAsia="Times New Roman" w:hAnsi="Calibri" w:cs="Times New Roman"/>
                <w:sz w:val="20"/>
                <w:szCs w:val="20"/>
              </w:rPr>
            </w:pPr>
            <w:r w:rsidRPr="00032958">
              <w:rPr>
                <w:rFonts w:ascii="Calibri" w:eastAsia="Times New Roman" w:hAnsi="Calibri" w:cs="Times New Roman"/>
                <w:sz w:val="20"/>
                <w:szCs w:val="20"/>
              </w:rPr>
              <w:t xml:space="preserve">Loans/Concessions </w:t>
            </w:r>
          </w:p>
        </w:tc>
        <w:tc>
          <w:tcPr>
            <w:tcW w:w="900" w:type="dxa"/>
          </w:tcPr>
          <w:p w14:paraId="262B0945" w14:textId="5F835277" w:rsidR="00032958" w:rsidRPr="00032958" w:rsidRDefault="00032958" w:rsidP="00032958">
            <w:pPr>
              <w:spacing w:after="0"/>
              <w:rPr>
                <w:rFonts w:ascii="Calibri" w:eastAsia="Times New Roman" w:hAnsi="Calibri" w:cs="Times New Roman"/>
                <w:sz w:val="20"/>
                <w:szCs w:val="20"/>
              </w:rPr>
            </w:pPr>
          </w:p>
        </w:tc>
        <w:tc>
          <w:tcPr>
            <w:tcW w:w="1080" w:type="dxa"/>
          </w:tcPr>
          <w:p w14:paraId="5C0F633F" w14:textId="77777777" w:rsidR="00032958" w:rsidRPr="00032958" w:rsidRDefault="00032958" w:rsidP="00032958">
            <w:pPr>
              <w:spacing w:after="0"/>
              <w:rPr>
                <w:rFonts w:ascii="Calibri" w:eastAsia="Times New Roman" w:hAnsi="Calibri" w:cs="Times New Roman"/>
                <w:sz w:val="20"/>
                <w:szCs w:val="20"/>
              </w:rPr>
            </w:pPr>
          </w:p>
        </w:tc>
        <w:tc>
          <w:tcPr>
            <w:tcW w:w="1080" w:type="dxa"/>
            <w:vAlign w:val="center"/>
          </w:tcPr>
          <w:p w14:paraId="555F5727" w14:textId="79D7F515" w:rsidR="00032958" w:rsidRPr="00032958" w:rsidRDefault="00032958" w:rsidP="00032958">
            <w:pPr>
              <w:spacing w:after="0"/>
              <w:rPr>
                <w:rFonts w:ascii="Calibri" w:eastAsia="Times New Roman" w:hAnsi="Calibri" w:cs="Times New Roman"/>
                <w:sz w:val="20"/>
                <w:szCs w:val="20"/>
              </w:rPr>
            </w:pPr>
            <w:r w:rsidRPr="00032958">
              <w:rPr>
                <w:rFonts w:ascii="Calibri" w:eastAsia="Times New Roman" w:hAnsi="Calibri" w:cs="Times New Roman"/>
                <w:sz w:val="20"/>
                <w:szCs w:val="20"/>
              </w:rPr>
              <w:fldChar w:fldCharType="begin">
                <w:ffData>
                  <w:name w:val="Text1"/>
                  <w:enabled/>
                  <w:calcOnExit w:val="0"/>
                  <w:textInput/>
                </w:ffData>
              </w:fldChar>
            </w:r>
            <w:r w:rsidRPr="00032958">
              <w:rPr>
                <w:rFonts w:ascii="Calibri" w:eastAsia="Times New Roman" w:hAnsi="Calibri" w:cs="Times New Roman"/>
                <w:sz w:val="20"/>
                <w:szCs w:val="20"/>
              </w:rPr>
              <w:instrText xml:space="preserve"> FORMTEXT </w:instrText>
            </w:r>
            <w:r w:rsidRPr="00032958">
              <w:rPr>
                <w:rFonts w:ascii="Calibri" w:eastAsia="Times New Roman" w:hAnsi="Calibri" w:cs="Times New Roman"/>
                <w:sz w:val="20"/>
                <w:szCs w:val="20"/>
              </w:rPr>
            </w:r>
            <w:r w:rsidRPr="00032958">
              <w:rPr>
                <w:rFonts w:ascii="Calibri" w:eastAsia="Times New Roman" w:hAnsi="Calibri" w:cs="Times New Roman"/>
                <w:sz w:val="20"/>
                <w:szCs w:val="20"/>
              </w:rPr>
              <w:fldChar w:fldCharType="separate"/>
            </w:r>
            <w:r w:rsidRPr="00032958">
              <w:rPr>
                <w:rFonts w:ascii="Calibri" w:eastAsia="Times New Roman" w:hAnsi="Calibri" w:cs="Times New Roman"/>
                <w:noProof/>
                <w:sz w:val="20"/>
                <w:szCs w:val="20"/>
              </w:rPr>
              <w:t> </w:t>
            </w:r>
            <w:r w:rsidRPr="00032958">
              <w:rPr>
                <w:rFonts w:ascii="Calibri" w:eastAsia="Times New Roman" w:hAnsi="Calibri" w:cs="Times New Roman"/>
                <w:noProof/>
                <w:sz w:val="20"/>
                <w:szCs w:val="20"/>
              </w:rPr>
              <w:t> </w:t>
            </w:r>
            <w:r w:rsidRPr="00032958">
              <w:rPr>
                <w:rFonts w:ascii="Calibri" w:eastAsia="Times New Roman" w:hAnsi="Calibri" w:cs="Times New Roman"/>
                <w:noProof/>
                <w:sz w:val="20"/>
                <w:szCs w:val="20"/>
              </w:rPr>
              <w:t> </w:t>
            </w:r>
            <w:r w:rsidRPr="00032958">
              <w:rPr>
                <w:rFonts w:ascii="Calibri" w:eastAsia="Times New Roman" w:hAnsi="Calibri" w:cs="Times New Roman"/>
                <w:noProof/>
                <w:sz w:val="20"/>
                <w:szCs w:val="20"/>
              </w:rPr>
              <w:t> </w:t>
            </w:r>
            <w:r w:rsidRPr="00032958">
              <w:rPr>
                <w:rFonts w:ascii="Calibri" w:eastAsia="Times New Roman" w:hAnsi="Calibri" w:cs="Times New Roman"/>
                <w:noProof/>
                <w:sz w:val="20"/>
                <w:szCs w:val="20"/>
              </w:rPr>
              <w:t> </w:t>
            </w:r>
            <w:r w:rsidRPr="00032958">
              <w:rPr>
                <w:rFonts w:ascii="Calibri" w:eastAsia="Times New Roman" w:hAnsi="Calibri" w:cs="Times New Roman"/>
                <w:sz w:val="20"/>
                <w:szCs w:val="20"/>
              </w:rPr>
              <w:fldChar w:fldCharType="end"/>
            </w:r>
          </w:p>
        </w:tc>
        <w:tc>
          <w:tcPr>
            <w:tcW w:w="1080" w:type="dxa"/>
          </w:tcPr>
          <w:p w14:paraId="459F6941" w14:textId="77777777" w:rsidR="00032958" w:rsidRPr="00032958" w:rsidRDefault="00032958" w:rsidP="00032958">
            <w:pPr>
              <w:spacing w:after="0"/>
              <w:rPr>
                <w:rFonts w:ascii="Calibri" w:eastAsia="Times New Roman" w:hAnsi="Calibri" w:cs="Times New Roman"/>
                <w:sz w:val="20"/>
                <w:szCs w:val="20"/>
              </w:rPr>
            </w:pPr>
          </w:p>
        </w:tc>
        <w:tc>
          <w:tcPr>
            <w:tcW w:w="1280" w:type="dxa"/>
          </w:tcPr>
          <w:p w14:paraId="0F95C6A5" w14:textId="2C8BB092" w:rsidR="00032958" w:rsidRPr="00032958" w:rsidRDefault="009307B4" w:rsidP="00032958">
            <w:pPr>
              <w:spacing w:after="0"/>
              <w:rPr>
                <w:rFonts w:ascii="Calibri" w:eastAsia="Times New Roman" w:hAnsi="Calibri" w:cs="Times New Roman"/>
                <w:sz w:val="20"/>
                <w:szCs w:val="20"/>
              </w:rPr>
            </w:pPr>
            <w:r w:rsidRPr="00032958">
              <w:rPr>
                <w:rFonts w:ascii="Calibri" w:eastAsia="Times New Roman" w:hAnsi="Calibri" w:cs="Times New Roman"/>
                <w:sz w:val="20"/>
                <w:szCs w:val="20"/>
              </w:rPr>
              <w:t>304,550,000</w:t>
            </w:r>
          </w:p>
        </w:tc>
        <w:tc>
          <w:tcPr>
            <w:tcW w:w="790" w:type="dxa"/>
          </w:tcPr>
          <w:p w14:paraId="7FF26E38" w14:textId="77777777" w:rsidR="00032958" w:rsidRPr="00032958" w:rsidRDefault="00032958" w:rsidP="00032958">
            <w:pPr>
              <w:spacing w:after="0"/>
              <w:rPr>
                <w:rFonts w:ascii="Calibri" w:eastAsia="Times New Roman" w:hAnsi="Calibri" w:cs="Times New Roman"/>
                <w:sz w:val="20"/>
                <w:szCs w:val="20"/>
              </w:rPr>
            </w:pPr>
          </w:p>
        </w:tc>
        <w:tc>
          <w:tcPr>
            <w:tcW w:w="1336" w:type="dxa"/>
          </w:tcPr>
          <w:p w14:paraId="127B6916" w14:textId="051CF86B" w:rsidR="00032958" w:rsidRPr="00032958" w:rsidRDefault="009307B4" w:rsidP="00032958">
            <w:pPr>
              <w:spacing w:after="0"/>
              <w:rPr>
                <w:rFonts w:ascii="Calibri" w:eastAsia="Times New Roman" w:hAnsi="Calibri" w:cs="Times New Roman"/>
                <w:sz w:val="20"/>
                <w:szCs w:val="20"/>
              </w:rPr>
            </w:pPr>
            <w:r w:rsidRPr="00032958">
              <w:rPr>
                <w:rFonts w:ascii="Calibri" w:eastAsia="Times New Roman" w:hAnsi="Calibri" w:cs="Times New Roman"/>
                <w:sz w:val="20"/>
                <w:szCs w:val="20"/>
              </w:rPr>
              <w:t>304,550,000</w:t>
            </w:r>
          </w:p>
        </w:tc>
        <w:tc>
          <w:tcPr>
            <w:tcW w:w="914" w:type="dxa"/>
          </w:tcPr>
          <w:p w14:paraId="237B2585" w14:textId="77777777" w:rsidR="00032958" w:rsidRPr="00032958" w:rsidRDefault="00032958" w:rsidP="00032958">
            <w:pPr>
              <w:spacing w:after="0"/>
              <w:rPr>
                <w:rFonts w:ascii="Calibri" w:eastAsia="Times New Roman" w:hAnsi="Calibri" w:cs="Times New Roman"/>
                <w:sz w:val="20"/>
                <w:szCs w:val="20"/>
              </w:rPr>
            </w:pPr>
          </w:p>
        </w:tc>
      </w:tr>
      <w:tr w:rsidR="00032958" w:rsidRPr="00032958" w14:paraId="57DB138A" w14:textId="77777777" w:rsidTr="00032958">
        <w:tc>
          <w:tcPr>
            <w:tcW w:w="2088" w:type="dxa"/>
          </w:tcPr>
          <w:p w14:paraId="30D29190" w14:textId="77777777" w:rsidR="00032958" w:rsidRPr="00032958" w:rsidRDefault="00032958" w:rsidP="00032958">
            <w:pPr>
              <w:numPr>
                <w:ilvl w:val="0"/>
                <w:numId w:val="17"/>
              </w:numPr>
              <w:spacing w:before="60" w:after="60" w:line="240" w:lineRule="auto"/>
              <w:rPr>
                <w:rFonts w:ascii="Calibri" w:eastAsia="Times New Roman" w:hAnsi="Calibri" w:cs="Times New Roman"/>
                <w:sz w:val="20"/>
                <w:szCs w:val="20"/>
              </w:rPr>
            </w:pPr>
            <w:r w:rsidRPr="00032958">
              <w:rPr>
                <w:rFonts w:ascii="Calibri" w:eastAsia="Times New Roman" w:hAnsi="Calibri" w:cs="Times New Roman"/>
                <w:sz w:val="20"/>
                <w:szCs w:val="20"/>
              </w:rPr>
              <w:t>In-kind support</w:t>
            </w:r>
          </w:p>
        </w:tc>
        <w:tc>
          <w:tcPr>
            <w:tcW w:w="900" w:type="dxa"/>
          </w:tcPr>
          <w:p w14:paraId="192714C9" w14:textId="7601FBE1" w:rsidR="00032958" w:rsidRPr="00032958" w:rsidRDefault="009307B4" w:rsidP="00032958">
            <w:pPr>
              <w:spacing w:after="0"/>
              <w:rPr>
                <w:rFonts w:ascii="Calibri" w:eastAsia="Times New Roman" w:hAnsi="Calibri" w:cs="Times New Roman"/>
                <w:sz w:val="20"/>
                <w:szCs w:val="20"/>
              </w:rPr>
            </w:pPr>
            <w:r>
              <w:rPr>
                <w:rFonts w:ascii="Calibri" w:eastAsia="Times New Roman" w:hAnsi="Calibri" w:cs="Times New Roman"/>
                <w:sz w:val="20"/>
                <w:szCs w:val="20"/>
              </w:rPr>
              <w:t>200,000</w:t>
            </w:r>
          </w:p>
        </w:tc>
        <w:tc>
          <w:tcPr>
            <w:tcW w:w="1080" w:type="dxa"/>
          </w:tcPr>
          <w:p w14:paraId="0B5523D6" w14:textId="77777777" w:rsidR="00032958" w:rsidRPr="00032958" w:rsidRDefault="00032958" w:rsidP="00032958">
            <w:pPr>
              <w:spacing w:after="0"/>
              <w:rPr>
                <w:rFonts w:ascii="Calibri" w:eastAsia="Times New Roman" w:hAnsi="Calibri" w:cs="Times New Roman"/>
                <w:sz w:val="20"/>
                <w:szCs w:val="20"/>
              </w:rPr>
            </w:pPr>
          </w:p>
        </w:tc>
        <w:tc>
          <w:tcPr>
            <w:tcW w:w="1080" w:type="dxa"/>
            <w:vAlign w:val="center"/>
          </w:tcPr>
          <w:p w14:paraId="5C4C80CA" w14:textId="039AFDB7" w:rsidR="00032958" w:rsidRPr="00032958" w:rsidRDefault="00032958" w:rsidP="00032958">
            <w:pPr>
              <w:spacing w:after="0"/>
              <w:rPr>
                <w:rFonts w:ascii="Calibri" w:eastAsia="Times New Roman" w:hAnsi="Calibri" w:cs="Times New Roman"/>
                <w:sz w:val="20"/>
                <w:szCs w:val="20"/>
              </w:rPr>
            </w:pPr>
          </w:p>
        </w:tc>
        <w:tc>
          <w:tcPr>
            <w:tcW w:w="1080" w:type="dxa"/>
          </w:tcPr>
          <w:p w14:paraId="7DF59A20" w14:textId="77777777" w:rsidR="00032958" w:rsidRPr="00032958" w:rsidRDefault="00032958" w:rsidP="00032958">
            <w:pPr>
              <w:spacing w:after="0"/>
              <w:rPr>
                <w:rFonts w:ascii="Calibri" w:eastAsia="Times New Roman" w:hAnsi="Calibri" w:cs="Times New Roman"/>
                <w:sz w:val="20"/>
                <w:szCs w:val="20"/>
              </w:rPr>
            </w:pPr>
          </w:p>
        </w:tc>
        <w:tc>
          <w:tcPr>
            <w:tcW w:w="1280" w:type="dxa"/>
          </w:tcPr>
          <w:p w14:paraId="5226A82C" w14:textId="77777777" w:rsidR="00032958" w:rsidRPr="00032958" w:rsidRDefault="00032958" w:rsidP="00032958">
            <w:pPr>
              <w:spacing w:after="0"/>
              <w:rPr>
                <w:rFonts w:ascii="Calibri" w:eastAsia="Times New Roman" w:hAnsi="Calibri" w:cs="Times New Roman"/>
                <w:sz w:val="20"/>
                <w:szCs w:val="20"/>
              </w:rPr>
            </w:pPr>
          </w:p>
        </w:tc>
        <w:tc>
          <w:tcPr>
            <w:tcW w:w="790" w:type="dxa"/>
          </w:tcPr>
          <w:p w14:paraId="300E8537" w14:textId="77777777" w:rsidR="00032958" w:rsidRPr="00032958" w:rsidRDefault="00032958" w:rsidP="00032958">
            <w:pPr>
              <w:spacing w:after="0"/>
              <w:rPr>
                <w:rFonts w:ascii="Calibri" w:eastAsia="Times New Roman" w:hAnsi="Calibri" w:cs="Times New Roman"/>
                <w:sz w:val="20"/>
                <w:szCs w:val="20"/>
              </w:rPr>
            </w:pPr>
          </w:p>
        </w:tc>
        <w:tc>
          <w:tcPr>
            <w:tcW w:w="1336" w:type="dxa"/>
          </w:tcPr>
          <w:p w14:paraId="381951AB" w14:textId="1DE96F3B" w:rsidR="00032958" w:rsidRPr="00032958" w:rsidRDefault="009307B4" w:rsidP="00032958">
            <w:pPr>
              <w:spacing w:after="0"/>
              <w:rPr>
                <w:rFonts w:ascii="Calibri" w:eastAsia="Times New Roman" w:hAnsi="Calibri" w:cs="Times New Roman"/>
                <w:sz w:val="20"/>
                <w:szCs w:val="20"/>
              </w:rPr>
            </w:pPr>
            <w:r>
              <w:rPr>
                <w:rFonts w:ascii="Calibri" w:eastAsia="Times New Roman" w:hAnsi="Calibri" w:cs="Times New Roman"/>
                <w:sz w:val="20"/>
                <w:szCs w:val="20"/>
              </w:rPr>
              <w:t>200,000</w:t>
            </w:r>
          </w:p>
        </w:tc>
        <w:tc>
          <w:tcPr>
            <w:tcW w:w="914" w:type="dxa"/>
          </w:tcPr>
          <w:p w14:paraId="3E5ED9EC" w14:textId="77777777" w:rsidR="00032958" w:rsidRPr="00032958" w:rsidRDefault="00032958" w:rsidP="00032958">
            <w:pPr>
              <w:spacing w:after="0"/>
              <w:rPr>
                <w:rFonts w:ascii="Calibri" w:eastAsia="Times New Roman" w:hAnsi="Calibri" w:cs="Times New Roman"/>
                <w:sz w:val="20"/>
                <w:szCs w:val="20"/>
              </w:rPr>
            </w:pPr>
          </w:p>
        </w:tc>
      </w:tr>
      <w:tr w:rsidR="00032958" w:rsidRPr="00032958" w14:paraId="1C5A51B4" w14:textId="77777777" w:rsidTr="00032958">
        <w:tc>
          <w:tcPr>
            <w:tcW w:w="2088" w:type="dxa"/>
          </w:tcPr>
          <w:p w14:paraId="0A89890D" w14:textId="77777777" w:rsidR="00032958" w:rsidRPr="00032958" w:rsidRDefault="00032958" w:rsidP="00032958">
            <w:pPr>
              <w:numPr>
                <w:ilvl w:val="0"/>
                <w:numId w:val="17"/>
              </w:numPr>
              <w:spacing w:before="60" w:after="60" w:line="240" w:lineRule="auto"/>
              <w:rPr>
                <w:rFonts w:ascii="Calibri" w:eastAsia="Times New Roman" w:hAnsi="Calibri" w:cs="Times New Roman"/>
                <w:sz w:val="20"/>
                <w:szCs w:val="20"/>
              </w:rPr>
            </w:pPr>
            <w:r w:rsidRPr="00032958">
              <w:rPr>
                <w:rFonts w:ascii="Calibri" w:eastAsia="Times New Roman" w:hAnsi="Calibri" w:cs="Times New Roman"/>
                <w:sz w:val="20"/>
                <w:szCs w:val="20"/>
              </w:rPr>
              <w:t>Other</w:t>
            </w:r>
          </w:p>
        </w:tc>
        <w:tc>
          <w:tcPr>
            <w:tcW w:w="900" w:type="dxa"/>
          </w:tcPr>
          <w:p w14:paraId="595B6B1F" w14:textId="77777777" w:rsidR="00032958" w:rsidRPr="00032958" w:rsidRDefault="00032958" w:rsidP="00032958">
            <w:pPr>
              <w:spacing w:after="0"/>
              <w:rPr>
                <w:rFonts w:ascii="Calibri" w:eastAsia="Times New Roman" w:hAnsi="Calibri" w:cs="Times New Roman"/>
                <w:sz w:val="20"/>
                <w:szCs w:val="20"/>
              </w:rPr>
            </w:pPr>
          </w:p>
        </w:tc>
        <w:tc>
          <w:tcPr>
            <w:tcW w:w="1080" w:type="dxa"/>
          </w:tcPr>
          <w:p w14:paraId="23297555" w14:textId="77777777" w:rsidR="00032958" w:rsidRPr="00032958" w:rsidRDefault="00032958" w:rsidP="00032958">
            <w:pPr>
              <w:spacing w:after="0"/>
              <w:rPr>
                <w:rFonts w:ascii="Calibri" w:eastAsia="Times New Roman" w:hAnsi="Calibri" w:cs="Times New Roman"/>
                <w:sz w:val="20"/>
                <w:szCs w:val="20"/>
              </w:rPr>
            </w:pPr>
          </w:p>
        </w:tc>
        <w:tc>
          <w:tcPr>
            <w:tcW w:w="1080" w:type="dxa"/>
          </w:tcPr>
          <w:p w14:paraId="0886F508" w14:textId="77777777" w:rsidR="00032958" w:rsidRPr="00032958" w:rsidRDefault="00032958" w:rsidP="00032958">
            <w:pPr>
              <w:spacing w:after="0"/>
              <w:rPr>
                <w:rFonts w:ascii="Calibri" w:eastAsia="Times New Roman" w:hAnsi="Calibri" w:cs="Times New Roman"/>
                <w:sz w:val="20"/>
                <w:szCs w:val="20"/>
              </w:rPr>
            </w:pPr>
          </w:p>
        </w:tc>
        <w:tc>
          <w:tcPr>
            <w:tcW w:w="1080" w:type="dxa"/>
          </w:tcPr>
          <w:p w14:paraId="3C72DB65" w14:textId="77777777" w:rsidR="00032958" w:rsidRPr="00032958" w:rsidRDefault="00032958" w:rsidP="00032958">
            <w:pPr>
              <w:spacing w:after="0"/>
              <w:rPr>
                <w:rFonts w:ascii="Calibri" w:eastAsia="Times New Roman" w:hAnsi="Calibri" w:cs="Times New Roman"/>
                <w:sz w:val="20"/>
                <w:szCs w:val="20"/>
              </w:rPr>
            </w:pPr>
          </w:p>
        </w:tc>
        <w:tc>
          <w:tcPr>
            <w:tcW w:w="1280" w:type="dxa"/>
          </w:tcPr>
          <w:p w14:paraId="1D5780F8" w14:textId="77777777" w:rsidR="00032958" w:rsidRPr="00032958" w:rsidRDefault="00032958" w:rsidP="00032958">
            <w:pPr>
              <w:spacing w:after="0"/>
              <w:rPr>
                <w:rFonts w:ascii="Calibri" w:eastAsia="Times New Roman" w:hAnsi="Calibri" w:cs="Times New Roman"/>
                <w:sz w:val="20"/>
                <w:szCs w:val="20"/>
              </w:rPr>
            </w:pPr>
          </w:p>
        </w:tc>
        <w:tc>
          <w:tcPr>
            <w:tcW w:w="790" w:type="dxa"/>
          </w:tcPr>
          <w:p w14:paraId="40FB6450" w14:textId="77777777" w:rsidR="00032958" w:rsidRPr="00032958" w:rsidRDefault="00032958" w:rsidP="00032958">
            <w:pPr>
              <w:spacing w:after="0"/>
              <w:rPr>
                <w:rFonts w:ascii="Calibri" w:eastAsia="Times New Roman" w:hAnsi="Calibri" w:cs="Times New Roman"/>
                <w:sz w:val="20"/>
                <w:szCs w:val="20"/>
              </w:rPr>
            </w:pPr>
          </w:p>
        </w:tc>
        <w:tc>
          <w:tcPr>
            <w:tcW w:w="1336" w:type="dxa"/>
          </w:tcPr>
          <w:p w14:paraId="07443013" w14:textId="77777777" w:rsidR="00032958" w:rsidRPr="00032958" w:rsidRDefault="00032958" w:rsidP="00032958">
            <w:pPr>
              <w:spacing w:after="0"/>
              <w:rPr>
                <w:rFonts w:ascii="Calibri" w:eastAsia="Times New Roman" w:hAnsi="Calibri" w:cs="Times New Roman"/>
                <w:sz w:val="20"/>
                <w:szCs w:val="20"/>
              </w:rPr>
            </w:pPr>
          </w:p>
        </w:tc>
        <w:tc>
          <w:tcPr>
            <w:tcW w:w="914" w:type="dxa"/>
          </w:tcPr>
          <w:p w14:paraId="5DF508AA" w14:textId="77777777" w:rsidR="00032958" w:rsidRPr="00032958" w:rsidRDefault="00032958" w:rsidP="00032958">
            <w:pPr>
              <w:spacing w:after="0"/>
              <w:rPr>
                <w:rFonts w:ascii="Calibri" w:eastAsia="Times New Roman" w:hAnsi="Calibri" w:cs="Times New Roman"/>
                <w:sz w:val="20"/>
                <w:szCs w:val="20"/>
              </w:rPr>
            </w:pPr>
          </w:p>
        </w:tc>
      </w:tr>
      <w:tr w:rsidR="00032958" w:rsidRPr="00032958" w14:paraId="114E781C" w14:textId="77777777" w:rsidTr="00032958">
        <w:trPr>
          <w:trHeight w:val="215"/>
        </w:trPr>
        <w:tc>
          <w:tcPr>
            <w:tcW w:w="2088" w:type="dxa"/>
          </w:tcPr>
          <w:p w14:paraId="4FFD281A" w14:textId="77777777" w:rsidR="00032958" w:rsidRPr="00032958" w:rsidRDefault="00032958" w:rsidP="00032958">
            <w:pPr>
              <w:spacing w:after="0"/>
              <w:rPr>
                <w:rFonts w:ascii="Calibri" w:eastAsia="Times New Roman" w:hAnsi="Calibri" w:cs="Times New Roman"/>
                <w:sz w:val="20"/>
                <w:szCs w:val="20"/>
              </w:rPr>
            </w:pPr>
            <w:r w:rsidRPr="00032958">
              <w:rPr>
                <w:rFonts w:ascii="Calibri" w:eastAsia="Times New Roman" w:hAnsi="Calibri" w:cs="Times New Roman"/>
                <w:sz w:val="20"/>
                <w:szCs w:val="20"/>
              </w:rPr>
              <w:t>Totals</w:t>
            </w:r>
          </w:p>
        </w:tc>
        <w:tc>
          <w:tcPr>
            <w:tcW w:w="900" w:type="dxa"/>
          </w:tcPr>
          <w:p w14:paraId="3DF852C0" w14:textId="269FB9AD" w:rsidR="00032958" w:rsidRPr="00032958" w:rsidRDefault="009307B4" w:rsidP="00032958">
            <w:pPr>
              <w:spacing w:after="0"/>
              <w:rPr>
                <w:rFonts w:ascii="Calibri" w:eastAsia="Times New Roman" w:hAnsi="Calibri" w:cs="Times New Roman"/>
                <w:sz w:val="20"/>
                <w:szCs w:val="20"/>
              </w:rPr>
            </w:pPr>
            <w:r>
              <w:rPr>
                <w:rFonts w:ascii="Calibri" w:eastAsia="Times New Roman" w:hAnsi="Calibri" w:cs="Times New Roman"/>
                <w:sz w:val="20"/>
                <w:szCs w:val="20"/>
              </w:rPr>
              <w:t>200,000</w:t>
            </w:r>
          </w:p>
        </w:tc>
        <w:tc>
          <w:tcPr>
            <w:tcW w:w="1080" w:type="dxa"/>
          </w:tcPr>
          <w:p w14:paraId="7A8B5967" w14:textId="77777777" w:rsidR="00032958" w:rsidRPr="00032958" w:rsidRDefault="00032958" w:rsidP="00032958">
            <w:pPr>
              <w:spacing w:after="0"/>
              <w:rPr>
                <w:rFonts w:ascii="Calibri" w:eastAsia="Times New Roman" w:hAnsi="Calibri" w:cs="Times New Roman"/>
                <w:sz w:val="20"/>
                <w:szCs w:val="20"/>
              </w:rPr>
            </w:pPr>
          </w:p>
        </w:tc>
        <w:tc>
          <w:tcPr>
            <w:tcW w:w="1080" w:type="dxa"/>
            <w:vAlign w:val="center"/>
          </w:tcPr>
          <w:p w14:paraId="4EF1B376" w14:textId="156C92FB" w:rsidR="00032958" w:rsidRPr="00032958" w:rsidRDefault="00032958" w:rsidP="00032958">
            <w:pPr>
              <w:spacing w:after="0"/>
              <w:rPr>
                <w:rFonts w:ascii="Calibri" w:eastAsia="Times New Roman" w:hAnsi="Calibri" w:cs="Times New Roman"/>
                <w:sz w:val="20"/>
                <w:szCs w:val="20"/>
              </w:rPr>
            </w:pPr>
          </w:p>
        </w:tc>
        <w:tc>
          <w:tcPr>
            <w:tcW w:w="1080" w:type="dxa"/>
          </w:tcPr>
          <w:p w14:paraId="297E9733" w14:textId="77777777" w:rsidR="00032958" w:rsidRPr="00032958" w:rsidRDefault="00032958" w:rsidP="00032958">
            <w:pPr>
              <w:spacing w:after="0"/>
              <w:rPr>
                <w:rFonts w:ascii="Calibri" w:eastAsia="Times New Roman" w:hAnsi="Calibri" w:cs="Times New Roman"/>
                <w:sz w:val="20"/>
                <w:szCs w:val="20"/>
              </w:rPr>
            </w:pPr>
          </w:p>
        </w:tc>
        <w:tc>
          <w:tcPr>
            <w:tcW w:w="1280" w:type="dxa"/>
          </w:tcPr>
          <w:p w14:paraId="787B577D" w14:textId="296B536F" w:rsidR="00032958" w:rsidRPr="00032958" w:rsidRDefault="009307B4" w:rsidP="00032958">
            <w:pPr>
              <w:spacing w:after="0"/>
              <w:rPr>
                <w:rFonts w:ascii="Calibri" w:eastAsia="Times New Roman" w:hAnsi="Calibri" w:cs="Times New Roman"/>
                <w:sz w:val="20"/>
                <w:szCs w:val="20"/>
              </w:rPr>
            </w:pPr>
            <w:r w:rsidRPr="00032958">
              <w:rPr>
                <w:rFonts w:ascii="Calibri" w:eastAsia="Times New Roman" w:hAnsi="Calibri" w:cs="Times New Roman"/>
                <w:sz w:val="20"/>
                <w:szCs w:val="20"/>
              </w:rPr>
              <w:t>304,550,000</w:t>
            </w:r>
          </w:p>
        </w:tc>
        <w:tc>
          <w:tcPr>
            <w:tcW w:w="790" w:type="dxa"/>
          </w:tcPr>
          <w:p w14:paraId="2ED8600E" w14:textId="77777777" w:rsidR="00032958" w:rsidRPr="00032958" w:rsidRDefault="00032958" w:rsidP="00032958">
            <w:pPr>
              <w:spacing w:after="0"/>
              <w:rPr>
                <w:rFonts w:ascii="Calibri" w:eastAsia="Times New Roman" w:hAnsi="Calibri" w:cs="Times New Roman"/>
                <w:sz w:val="20"/>
                <w:szCs w:val="20"/>
              </w:rPr>
            </w:pPr>
          </w:p>
        </w:tc>
        <w:tc>
          <w:tcPr>
            <w:tcW w:w="1336" w:type="dxa"/>
          </w:tcPr>
          <w:p w14:paraId="3DE9C67D" w14:textId="1877FC41" w:rsidR="00032958" w:rsidRPr="00032958" w:rsidRDefault="00032958" w:rsidP="00032958">
            <w:pPr>
              <w:spacing w:after="0"/>
              <w:rPr>
                <w:rFonts w:ascii="Calibri" w:eastAsia="Times New Roman" w:hAnsi="Calibri" w:cs="Times New Roman"/>
                <w:sz w:val="20"/>
                <w:szCs w:val="20"/>
              </w:rPr>
            </w:pPr>
            <w:r w:rsidRPr="00032958">
              <w:rPr>
                <w:rFonts w:ascii="Calibri" w:eastAsia="Times New Roman" w:hAnsi="Calibri" w:cs="Times New Roman"/>
                <w:sz w:val="20"/>
                <w:szCs w:val="20"/>
              </w:rPr>
              <w:t>30</w:t>
            </w:r>
            <w:r w:rsidR="009307B4">
              <w:rPr>
                <w:rFonts w:ascii="Calibri" w:eastAsia="Times New Roman" w:hAnsi="Calibri" w:cs="Times New Roman"/>
                <w:sz w:val="20"/>
                <w:szCs w:val="20"/>
              </w:rPr>
              <w:t>4</w:t>
            </w:r>
            <w:r w:rsidRPr="00032958">
              <w:rPr>
                <w:rFonts w:ascii="Calibri" w:eastAsia="Times New Roman" w:hAnsi="Calibri" w:cs="Times New Roman"/>
                <w:sz w:val="20"/>
                <w:szCs w:val="20"/>
              </w:rPr>
              <w:t>,</w:t>
            </w:r>
            <w:r w:rsidR="009307B4">
              <w:rPr>
                <w:rFonts w:ascii="Calibri" w:eastAsia="Times New Roman" w:hAnsi="Calibri" w:cs="Times New Roman"/>
                <w:sz w:val="20"/>
                <w:szCs w:val="20"/>
              </w:rPr>
              <w:t>7</w:t>
            </w:r>
            <w:r w:rsidRPr="00032958">
              <w:rPr>
                <w:rFonts w:ascii="Calibri" w:eastAsia="Times New Roman" w:hAnsi="Calibri" w:cs="Times New Roman"/>
                <w:sz w:val="20"/>
                <w:szCs w:val="20"/>
              </w:rPr>
              <w:t>50,000</w:t>
            </w:r>
          </w:p>
        </w:tc>
        <w:tc>
          <w:tcPr>
            <w:tcW w:w="914" w:type="dxa"/>
          </w:tcPr>
          <w:p w14:paraId="4C70753D" w14:textId="77777777" w:rsidR="00032958" w:rsidRPr="00032958" w:rsidRDefault="00032958" w:rsidP="00032958">
            <w:pPr>
              <w:spacing w:after="0"/>
              <w:rPr>
                <w:rFonts w:ascii="Calibri" w:eastAsia="Times New Roman" w:hAnsi="Calibri" w:cs="Times New Roman"/>
                <w:sz w:val="20"/>
                <w:szCs w:val="20"/>
              </w:rPr>
            </w:pPr>
          </w:p>
        </w:tc>
      </w:tr>
    </w:tbl>
    <w:p w14:paraId="0A628093" w14:textId="77777777" w:rsidR="00D6638C" w:rsidRPr="00D6638C" w:rsidRDefault="00D6638C" w:rsidP="00F05366">
      <w:pPr>
        <w:pStyle w:val="Heading51"/>
      </w:pPr>
      <w:bookmarkStart w:id="17" w:name="_Toc321341553"/>
      <w:r w:rsidRPr="00032958">
        <w:t>Mainstreaming</w:t>
      </w:r>
      <w:bookmarkEnd w:id="16"/>
      <w:bookmarkEnd w:id="17"/>
    </w:p>
    <w:p w14:paraId="7FEB35EE" w14:textId="0B3D1D3B"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programmes. The evaluation will </w:t>
      </w:r>
      <w:r w:rsidR="00123FC1">
        <w:rPr>
          <w:rFonts w:ascii="Calibri" w:eastAsia="Times New Roman" w:hAnsi="Calibri" w:cs="Times New Roman"/>
          <w:sz w:val="20"/>
          <w:szCs w:val="20"/>
        </w:rPr>
        <w:t xml:space="preserve">comprehensively </w:t>
      </w:r>
      <w:r w:rsidRPr="00D6638C">
        <w:rPr>
          <w:rFonts w:ascii="Calibri" w:eastAsia="Times New Roman" w:hAnsi="Calibri" w:cs="Times New Roman"/>
          <w:sz w:val="20"/>
          <w:szCs w:val="20"/>
        </w:rPr>
        <w:t>assess the extent to which the project was successfully mainstreamed with other UNDP priorities, including poverty alleviation, improved governance, the prevention and recovery from natural disasters, and gender.</w:t>
      </w:r>
      <w:r w:rsidR="00586659">
        <w:rPr>
          <w:rFonts w:ascii="Calibri" w:eastAsia="Times New Roman" w:hAnsi="Calibri" w:cs="Times New Roman"/>
          <w:sz w:val="20"/>
          <w:szCs w:val="20"/>
        </w:rPr>
        <w:t xml:space="preserve"> This analysis is critical for an understanding of how the project addressed cross-cutting issues and the extent to which it reflected an appreciation of the nexus between energy and sustainable human development.</w:t>
      </w:r>
    </w:p>
    <w:p w14:paraId="7D80E3F1" w14:textId="77777777" w:rsidR="00D6638C" w:rsidRPr="00D6638C" w:rsidRDefault="00D6638C" w:rsidP="00F05366">
      <w:pPr>
        <w:pStyle w:val="Heading51"/>
      </w:pPr>
      <w:bookmarkStart w:id="18" w:name="_Toc277677980"/>
      <w:bookmarkStart w:id="19" w:name="_Toc321341554"/>
      <w:r w:rsidRPr="00D6638C">
        <w:t>Impact</w:t>
      </w:r>
      <w:bookmarkEnd w:id="18"/>
      <w:bookmarkEnd w:id="19"/>
    </w:p>
    <w:p w14:paraId="54B597C0" w14:textId="11755F28"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861563">
        <w:rPr>
          <w:rFonts w:ascii="Calibri" w:eastAsia="Times New Roman" w:hAnsi="Calibri" w:cs="Times New Roman"/>
          <w:sz w:val="20"/>
          <w:szCs w:val="20"/>
        </w:rPr>
        <w:t>c) energy-related impact results (emissions avoided, energy saved, increase in installed renewable energy capacity</w:t>
      </w:r>
      <w:r w:rsidR="007E6B75">
        <w:rPr>
          <w:rFonts w:ascii="Calibri" w:eastAsia="Times New Roman" w:hAnsi="Calibri" w:cs="Times New Roman"/>
          <w:sz w:val="20"/>
          <w:szCs w:val="20"/>
        </w:rPr>
        <w:t xml:space="preserve">), d) leveraged new sources of financing and investment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 xml:space="preserve">or </w:t>
      </w:r>
      <w:r w:rsidR="007E6B75">
        <w:rPr>
          <w:rFonts w:ascii="Calibri" w:eastAsia="Times New Roman" w:hAnsi="Calibri" w:cs="Times New Roman"/>
          <w:sz w:val="20"/>
          <w:szCs w:val="20"/>
        </w:rPr>
        <w:t>e</w:t>
      </w:r>
      <w:r w:rsidRPr="00D6638C">
        <w:rPr>
          <w:rFonts w:ascii="Calibri" w:eastAsia="Times New Roman" w:hAnsi="Calibri" w:cs="Times New Roman"/>
          <w:sz w:val="20"/>
          <w:szCs w:val="20"/>
        </w:rPr>
        <w:t>) demonstrated progress towards these impact achievements.</w:t>
      </w:r>
      <w:r w:rsidR="00022F8E">
        <w:rPr>
          <w:rStyle w:val="FootnoteReference"/>
          <w:rFonts w:ascii="Calibri" w:eastAsia="Times New Roman" w:hAnsi="Calibri" w:cs="Times New Roman"/>
          <w:sz w:val="20"/>
          <w:szCs w:val="20"/>
        </w:rPr>
        <w:footnoteReference w:id="3"/>
      </w:r>
      <w:r w:rsidRPr="00D6638C">
        <w:rPr>
          <w:rFonts w:ascii="Calibri" w:eastAsia="Times New Roman" w:hAnsi="Calibri" w:cs="Times New Roman"/>
          <w:sz w:val="20"/>
          <w:szCs w:val="20"/>
        </w:rPr>
        <w:t xml:space="preserve"> </w:t>
      </w:r>
    </w:p>
    <w:p w14:paraId="558B7CB0" w14:textId="77777777" w:rsidR="00D6638C" w:rsidRPr="00D6638C" w:rsidRDefault="00D6638C" w:rsidP="00F05366">
      <w:pPr>
        <w:pStyle w:val="Heading51"/>
      </w:pPr>
      <w:bookmarkStart w:id="20" w:name="_Toc278193982"/>
      <w:bookmarkStart w:id="21" w:name="_Toc299133042"/>
      <w:bookmarkStart w:id="22" w:name="_Toc321341555"/>
      <w:bookmarkStart w:id="23" w:name="_Toc299126621"/>
      <w:bookmarkEnd w:id="10"/>
      <w:bookmarkEnd w:id="11"/>
      <w:bookmarkEnd w:id="12"/>
      <w:bookmarkEnd w:id="13"/>
      <w:bookmarkEnd w:id="14"/>
      <w:r w:rsidRPr="00D6638C">
        <w:t>Conclusions</w:t>
      </w:r>
      <w:bookmarkStart w:id="24" w:name="_Toc277677982"/>
      <w:r w:rsidRPr="00D6638C">
        <w:t>, recommendations &amp; lessons</w:t>
      </w:r>
      <w:bookmarkEnd w:id="20"/>
      <w:bookmarkEnd w:id="21"/>
      <w:bookmarkEnd w:id="22"/>
      <w:bookmarkEnd w:id="24"/>
    </w:p>
    <w:p w14:paraId="633B40E8"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14:paraId="7335DD5E" w14:textId="77777777" w:rsidR="00D6638C" w:rsidRPr="00D6638C" w:rsidRDefault="00D6638C" w:rsidP="00F05366">
      <w:pPr>
        <w:pStyle w:val="Heading51"/>
      </w:pPr>
      <w:bookmarkStart w:id="25" w:name="_Toc299126625"/>
      <w:bookmarkStart w:id="26" w:name="_Toc299133044"/>
      <w:bookmarkStart w:id="27" w:name="_Toc321341556"/>
      <w:r w:rsidRPr="00D6638C">
        <w:t>Implementation arrangements</w:t>
      </w:r>
      <w:bookmarkEnd w:id="25"/>
      <w:bookmarkEnd w:id="26"/>
      <w:bookmarkEnd w:id="27"/>
    </w:p>
    <w:p w14:paraId="747A5E39" w14:textId="0B2E147F" w:rsidR="00022F8E"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principal responsibility for managing this evaluation resides with the UNDP </w:t>
      </w:r>
      <w:r w:rsidR="007B1E1F">
        <w:rPr>
          <w:rFonts w:ascii="Calibri" w:eastAsia="Times New Roman" w:hAnsi="Calibri" w:cs="Times New Roman"/>
          <w:sz w:val="20"/>
          <w:szCs w:val="20"/>
        </w:rPr>
        <w:t>Multi-Country Office for Barbados and the OECS</w:t>
      </w:r>
      <w:r w:rsidRPr="00D6638C">
        <w:rPr>
          <w:rFonts w:ascii="Calibri" w:eastAsia="Times New Roman" w:hAnsi="Calibri" w:cs="Times New Roman"/>
          <w:sz w:val="20"/>
          <w:szCs w:val="20"/>
        </w:rPr>
        <w:t xml:space="preserve"> in</w:t>
      </w:r>
      <w:r w:rsidR="007B1E1F">
        <w:rPr>
          <w:rFonts w:ascii="Calibri" w:eastAsia="Times New Roman" w:hAnsi="Calibri" w:cs="Times New Roman"/>
          <w:sz w:val="20"/>
          <w:szCs w:val="20"/>
        </w:rPr>
        <w:t xml:space="preserve"> Barbados. </w:t>
      </w:r>
      <w:r w:rsidRPr="00D6638C">
        <w:rPr>
          <w:rFonts w:ascii="Calibri" w:eastAsia="Times New Roman" w:hAnsi="Calibri" w:cs="Times New Roman"/>
          <w:sz w:val="20"/>
          <w:szCs w:val="20"/>
        </w:rPr>
        <w:t xml:space="preserve">The UNDP </w:t>
      </w:r>
      <w:r w:rsidR="007B1E1F">
        <w:rPr>
          <w:rFonts w:ascii="Calibri" w:eastAsia="Times New Roman" w:hAnsi="Calibri" w:cs="Times New Roman"/>
          <w:sz w:val="20"/>
          <w:szCs w:val="20"/>
        </w:rPr>
        <w:t>MC</w:t>
      </w:r>
      <w:r w:rsidRPr="00D6638C">
        <w:rPr>
          <w:rFonts w:ascii="Calibri" w:eastAsia="Times New Roman" w:hAnsi="Calibri" w:cs="Times New Roman"/>
          <w:sz w:val="20"/>
          <w:szCs w:val="20"/>
        </w:rPr>
        <w:t xml:space="preserve">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8" w:name="_Toc299133047"/>
      <w:bookmarkStart w:id="29" w:name="_Toc299122838"/>
      <w:bookmarkStart w:id="30" w:name="_Toc299122860"/>
      <w:bookmarkStart w:id="31" w:name="_Toc299126629"/>
      <w:bookmarkEnd w:id="23"/>
    </w:p>
    <w:p w14:paraId="1254A842" w14:textId="77777777" w:rsidR="00D6638C" w:rsidRPr="00D6638C" w:rsidRDefault="00D6638C" w:rsidP="00022F8E">
      <w:pPr>
        <w:pStyle w:val="Heading51"/>
      </w:pPr>
      <w:r w:rsidRPr="00D6638C">
        <w:t>Evaluation timeframe</w:t>
      </w:r>
      <w:bookmarkEnd w:id="28"/>
      <w:bookmarkEnd w:id="29"/>
      <w:bookmarkEnd w:id="30"/>
      <w:bookmarkEnd w:id="31"/>
    </w:p>
    <w:p w14:paraId="54C79530" w14:textId="019515A1"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 xml:space="preserve">The total duration of the evaluation will be </w:t>
      </w:r>
      <w:r w:rsidR="007E6B75">
        <w:rPr>
          <w:rFonts w:ascii="Calibri" w:eastAsia="Times New Roman" w:hAnsi="Calibri" w:cs="Times New Roman"/>
          <w:i/>
          <w:sz w:val="20"/>
          <w:szCs w:val="20"/>
          <w:highlight w:val="lightGray"/>
        </w:rPr>
        <w:t xml:space="preserve">20 </w:t>
      </w:r>
      <w:r w:rsidRPr="00D6638C">
        <w:rPr>
          <w:rFonts w:ascii="Calibri" w:eastAsia="Times New Roman" w:hAnsi="Calibri" w:cs="Times New Roman"/>
          <w:sz w:val="20"/>
          <w:szCs w:val="20"/>
        </w:rPr>
        <w:t xml:space="preserve">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2277"/>
        <w:gridCol w:w="4225"/>
      </w:tblGrid>
      <w:tr w:rsidR="00D6638C" w:rsidRPr="00D6638C" w14:paraId="24E1E6ED" w14:textId="77777777" w:rsidTr="00563362">
        <w:trPr>
          <w:trHeight w:val="440"/>
        </w:trPr>
        <w:tc>
          <w:tcPr>
            <w:tcW w:w="2963" w:type="dxa"/>
            <w:shd w:val="clear" w:color="auto" w:fill="7F7F7F"/>
          </w:tcPr>
          <w:p w14:paraId="07B32889" w14:textId="77777777"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2277" w:type="dxa"/>
            <w:shd w:val="clear" w:color="auto" w:fill="7F7F7F"/>
          </w:tcPr>
          <w:p w14:paraId="7F26B7ED"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4225" w:type="dxa"/>
            <w:shd w:val="clear" w:color="auto" w:fill="7F7F7F"/>
          </w:tcPr>
          <w:p w14:paraId="0B6B0D17"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D6638C" w:rsidRPr="00D6638C" w14:paraId="265DC972" w14:textId="77777777" w:rsidTr="00563362">
        <w:tc>
          <w:tcPr>
            <w:tcW w:w="2963" w:type="dxa"/>
          </w:tcPr>
          <w:p w14:paraId="0964D516"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p>
        </w:tc>
        <w:tc>
          <w:tcPr>
            <w:tcW w:w="2277" w:type="dxa"/>
          </w:tcPr>
          <w:p w14:paraId="7C4F6F4D" w14:textId="294070DD" w:rsidR="00D6638C" w:rsidRPr="00D6638C" w:rsidRDefault="00ED794A" w:rsidP="00D6638C">
            <w:pPr>
              <w:spacing w:after="0"/>
              <w:rPr>
                <w:rFonts w:ascii="Calibri" w:eastAsia="Times New Roman" w:hAnsi="Calibri" w:cs="Times New Roman"/>
                <w:b/>
                <w:sz w:val="20"/>
                <w:szCs w:val="20"/>
              </w:rPr>
            </w:pPr>
            <w:r>
              <w:rPr>
                <w:rFonts w:ascii="Calibri" w:eastAsia="Times New Roman" w:hAnsi="Calibri" w:cs="Times New Roman"/>
                <w:i/>
                <w:sz w:val="20"/>
                <w:szCs w:val="20"/>
                <w:highlight w:val="lightGray"/>
              </w:rPr>
              <w:t>3</w:t>
            </w:r>
            <w:r w:rsidR="00D6638C" w:rsidRPr="00D6638C">
              <w:rPr>
                <w:rFonts w:ascii="Calibri" w:eastAsia="Times New Roman" w:hAnsi="Calibri" w:cs="Times New Roman"/>
                <w:sz w:val="20"/>
                <w:szCs w:val="20"/>
              </w:rPr>
              <w:t xml:space="preserve"> days </w:t>
            </w:r>
          </w:p>
        </w:tc>
        <w:tc>
          <w:tcPr>
            <w:tcW w:w="4225" w:type="dxa"/>
          </w:tcPr>
          <w:p w14:paraId="0E6DD3AA" w14:textId="4F6B6F7E" w:rsidR="00D6638C" w:rsidRPr="00224F9C" w:rsidRDefault="007E6B75"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7 calendar days after contract signature</w:t>
            </w:r>
          </w:p>
        </w:tc>
      </w:tr>
      <w:tr w:rsidR="00D6638C" w:rsidRPr="00D6638C" w14:paraId="3E5C726B" w14:textId="77777777" w:rsidTr="00563362">
        <w:tc>
          <w:tcPr>
            <w:tcW w:w="2963" w:type="dxa"/>
          </w:tcPr>
          <w:p w14:paraId="7705E617"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Evaluation Mission</w:t>
            </w:r>
          </w:p>
        </w:tc>
        <w:tc>
          <w:tcPr>
            <w:tcW w:w="2277" w:type="dxa"/>
          </w:tcPr>
          <w:p w14:paraId="3858EBBA" w14:textId="2BC29741" w:rsidR="00D6638C" w:rsidRPr="00D6638C" w:rsidRDefault="007E6B75" w:rsidP="00D6638C">
            <w:pPr>
              <w:spacing w:after="0"/>
              <w:rPr>
                <w:rFonts w:ascii="Calibri" w:eastAsia="Times New Roman" w:hAnsi="Calibri" w:cs="Times New Roman"/>
                <w:b/>
                <w:sz w:val="20"/>
                <w:szCs w:val="20"/>
              </w:rPr>
            </w:pPr>
            <w:r>
              <w:rPr>
                <w:rFonts w:ascii="Calibri" w:eastAsia="Times New Roman" w:hAnsi="Calibri" w:cs="Times New Roman"/>
                <w:i/>
                <w:sz w:val="20"/>
                <w:szCs w:val="20"/>
                <w:highlight w:val="lightGray"/>
              </w:rPr>
              <w:t>5</w:t>
            </w:r>
            <w:r w:rsidRPr="00D6638C">
              <w:rPr>
                <w:rFonts w:ascii="Calibri" w:eastAsia="Times New Roman" w:hAnsi="Calibri" w:cs="Times New Roman"/>
                <w:sz w:val="20"/>
                <w:szCs w:val="20"/>
              </w:rPr>
              <w:t xml:space="preserve"> </w:t>
            </w:r>
            <w:r w:rsidR="00D6638C" w:rsidRPr="00D6638C">
              <w:rPr>
                <w:rFonts w:ascii="Calibri" w:eastAsia="Times New Roman" w:hAnsi="Calibri" w:cs="Times New Roman"/>
                <w:sz w:val="20"/>
                <w:szCs w:val="20"/>
              </w:rPr>
              <w:t xml:space="preserve">days </w:t>
            </w:r>
          </w:p>
        </w:tc>
        <w:tc>
          <w:tcPr>
            <w:tcW w:w="4225" w:type="dxa"/>
          </w:tcPr>
          <w:p w14:paraId="465823A6" w14:textId="633169D5" w:rsidR="00D6638C" w:rsidRPr="00224F9C" w:rsidRDefault="007E6B75"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2</w:t>
            </w:r>
            <w:r w:rsidR="00563362">
              <w:rPr>
                <w:rFonts w:ascii="Calibri" w:eastAsia="Times New Roman" w:hAnsi="Calibri" w:cs="Times New Roman"/>
                <w:i/>
                <w:sz w:val="20"/>
                <w:szCs w:val="20"/>
                <w:highlight w:val="lightGray"/>
              </w:rPr>
              <w:t>6</w:t>
            </w:r>
            <w:r>
              <w:rPr>
                <w:rFonts w:ascii="Calibri" w:eastAsia="Times New Roman" w:hAnsi="Calibri" w:cs="Times New Roman"/>
                <w:i/>
                <w:sz w:val="20"/>
                <w:szCs w:val="20"/>
                <w:highlight w:val="lightGray"/>
              </w:rPr>
              <w:t xml:space="preserve"> calendar days after contract signature</w:t>
            </w:r>
          </w:p>
        </w:tc>
      </w:tr>
      <w:tr w:rsidR="00D6638C" w:rsidRPr="00D6638C" w14:paraId="5B269DEC" w14:textId="77777777" w:rsidTr="00563362">
        <w:tc>
          <w:tcPr>
            <w:tcW w:w="2963" w:type="dxa"/>
          </w:tcPr>
          <w:p w14:paraId="7B9E47E9"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2277" w:type="dxa"/>
          </w:tcPr>
          <w:p w14:paraId="0239BC12" w14:textId="714FA723" w:rsidR="00D6638C" w:rsidRPr="00D6638C" w:rsidRDefault="00ED794A" w:rsidP="00D6638C">
            <w:pPr>
              <w:spacing w:after="0"/>
              <w:rPr>
                <w:rFonts w:ascii="Calibri" w:eastAsia="Times New Roman" w:hAnsi="Calibri" w:cs="Times New Roman"/>
                <w:b/>
                <w:sz w:val="20"/>
                <w:szCs w:val="20"/>
              </w:rPr>
            </w:pPr>
            <w:r>
              <w:rPr>
                <w:rFonts w:ascii="Calibri" w:eastAsia="Times New Roman" w:hAnsi="Calibri" w:cs="Times New Roman"/>
                <w:i/>
                <w:sz w:val="20"/>
                <w:szCs w:val="20"/>
                <w:highlight w:val="lightGray"/>
              </w:rPr>
              <w:t>8</w:t>
            </w:r>
            <w:r w:rsidR="00D6638C" w:rsidRPr="00D6638C">
              <w:rPr>
                <w:rFonts w:ascii="Calibri" w:eastAsia="Times New Roman" w:hAnsi="Calibri" w:cs="Times New Roman"/>
                <w:sz w:val="20"/>
                <w:szCs w:val="20"/>
              </w:rPr>
              <w:t xml:space="preserve"> days </w:t>
            </w:r>
          </w:p>
        </w:tc>
        <w:tc>
          <w:tcPr>
            <w:tcW w:w="4225" w:type="dxa"/>
          </w:tcPr>
          <w:p w14:paraId="7BF0ACEB" w14:textId="79B60CAF" w:rsidR="00D6638C" w:rsidRPr="00224F9C" w:rsidRDefault="00563362"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27</w:t>
            </w:r>
            <w:r w:rsidR="007E6B75">
              <w:rPr>
                <w:rFonts w:ascii="Calibri" w:eastAsia="Times New Roman" w:hAnsi="Calibri" w:cs="Times New Roman"/>
                <w:i/>
                <w:sz w:val="20"/>
                <w:szCs w:val="20"/>
                <w:highlight w:val="lightGray"/>
              </w:rPr>
              <w:t xml:space="preserve"> calendar days after contract signature</w:t>
            </w:r>
          </w:p>
        </w:tc>
      </w:tr>
      <w:tr w:rsidR="00D6638C" w:rsidRPr="00D6638C" w14:paraId="1D4A6B86" w14:textId="77777777" w:rsidTr="00563362">
        <w:tc>
          <w:tcPr>
            <w:tcW w:w="2963" w:type="dxa"/>
          </w:tcPr>
          <w:p w14:paraId="73853C86"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277" w:type="dxa"/>
          </w:tcPr>
          <w:p w14:paraId="596FE00E" w14:textId="6AD1624B" w:rsidR="00D6638C" w:rsidRPr="00D6638C" w:rsidRDefault="00ED794A" w:rsidP="00D6638C">
            <w:pPr>
              <w:spacing w:after="0"/>
              <w:rPr>
                <w:rFonts w:ascii="Calibri" w:eastAsia="Times New Roman" w:hAnsi="Calibri" w:cs="Times New Roman"/>
                <w:sz w:val="20"/>
                <w:szCs w:val="20"/>
              </w:rPr>
            </w:pPr>
            <w:r>
              <w:rPr>
                <w:rFonts w:ascii="Calibri" w:eastAsia="Times New Roman" w:hAnsi="Calibri" w:cs="Times New Roman"/>
                <w:i/>
                <w:sz w:val="20"/>
                <w:szCs w:val="20"/>
                <w:highlight w:val="lightGray"/>
              </w:rPr>
              <w:t>4</w:t>
            </w:r>
            <w:r w:rsidR="00D6638C" w:rsidRPr="00D6638C">
              <w:rPr>
                <w:rFonts w:ascii="Calibri" w:eastAsia="Times New Roman" w:hAnsi="Calibri" w:cs="Times New Roman"/>
                <w:sz w:val="20"/>
                <w:szCs w:val="20"/>
              </w:rPr>
              <w:t xml:space="preserve"> days</w:t>
            </w:r>
          </w:p>
        </w:tc>
        <w:tc>
          <w:tcPr>
            <w:tcW w:w="4225" w:type="dxa"/>
          </w:tcPr>
          <w:p w14:paraId="33F37132" w14:textId="58117C86" w:rsidR="00D6638C" w:rsidRPr="00224F9C" w:rsidRDefault="00563362"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61</w:t>
            </w:r>
            <w:r w:rsidR="007E6B75">
              <w:rPr>
                <w:rFonts w:ascii="Calibri" w:eastAsia="Times New Roman" w:hAnsi="Calibri" w:cs="Times New Roman"/>
                <w:i/>
                <w:sz w:val="20"/>
                <w:szCs w:val="20"/>
                <w:highlight w:val="lightGray"/>
              </w:rPr>
              <w:t xml:space="preserve"> calendar days after contract signature</w:t>
            </w:r>
          </w:p>
        </w:tc>
      </w:tr>
    </w:tbl>
    <w:p w14:paraId="4B0BBDC9" w14:textId="77777777" w:rsidR="00D6638C" w:rsidRPr="00F05366" w:rsidRDefault="00D6638C" w:rsidP="00F05366">
      <w:pPr>
        <w:pStyle w:val="Heading31"/>
      </w:pPr>
      <w:bookmarkStart w:id="32" w:name="_Toc299133045"/>
      <w:bookmarkStart w:id="33" w:name="_Toc321341557"/>
      <w:bookmarkStart w:id="34" w:name="_Toc299126622"/>
      <w:bookmarkStart w:id="35" w:name="_Toc299133048"/>
      <w:r w:rsidRPr="00F05366">
        <w:t>Evaluation deliverables</w:t>
      </w:r>
      <w:bookmarkEnd w:id="32"/>
      <w:bookmarkEnd w:id="33"/>
    </w:p>
    <w:p w14:paraId="1C7C9426" w14:textId="5AC2CD69"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w:t>
      </w:r>
      <w:r w:rsidR="00563362">
        <w:rPr>
          <w:rFonts w:ascii="Calibri" w:eastAsia="Times New Roman" w:hAnsi="Calibri" w:cs="Times New Roman"/>
          <w:sz w:val="20"/>
          <w:szCs w:val="20"/>
        </w:rPr>
        <w:t>evaluator</w:t>
      </w:r>
      <w:r w:rsidRPr="00D6638C">
        <w:rPr>
          <w:rFonts w:ascii="Calibri" w:eastAsia="Times New Roman" w:hAnsi="Calibri" w:cs="Times New Roman"/>
          <w:sz w:val="20"/>
          <w:szCs w:val="20"/>
        </w:rPr>
        <w:t xml:space="preserve">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317"/>
        <w:gridCol w:w="2578"/>
        <w:gridCol w:w="3027"/>
      </w:tblGrid>
      <w:tr w:rsidR="00D6638C" w:rsidRPr="00D6638C" w14:paraId="3E993D73" w14:textId="77777777" w:rsidTr="006C1964">
        <w:tc>
          <w:tcPr>
            <w:tcW w:w="1548" w:type="dxa"/>
            <w:shd w:val="clear" w:color="auto" w:fill="7F7F7F"/>
          </w:tcPr>
          <w:p w14:paraId="724C3E42"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14:paraId="71FD5C9D"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14:paraId="1FD6EFF1"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14:paraId="13BFC29A"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14:paraId="4384FBF3" w14:textId="77777777" w:rsidTr="006C1964">
        <w:tc>
          <w:tcPr>
            <w:tcW w:w="1548" w:type="dxa"/>
          </w:tcPr>
          <w:p w14:paraId="17D744C3"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14:paraId="3875BA7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14:paraId="177F47F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evaluation mission. </w:t>
            </w:r>
          </w:p>
        </w:tc>
        <w:tc>
          <w:tcPr>
            <w:tcW w:w="3060" w:type="dxa"/>
          </w:tcPr>
          <w:p w14:paraId="08F8955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14:paraId="711736CE" w14:textId="77777777" w:rsidTr="006C1964">
        <w:tc>
          <w:tcPr>
            <w:tcW w:w="1548" w:type="dxa"/>
          </w:tcPr>
          <w:p w14:paraId="5FC2639B"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14:paraId="3F74125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14:paraId="62F0760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60" w:type="dxa"/>
          </w:tcPr>
          <w:p w14:paraId="3DEE113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14:paraId="5FC6541E" w14:textId="77777777" w:rsidTr="006C1964">
        <w:tc>
          <w:tcPr>
            <w:tcW w:w="1548" w:type="dxa"/>
          </w:tcPr>
          <w:p w14:paraId="229E7626"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14:paraId="34274647" w14:textId="77777777"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14:paraId="61BFEDA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60" w:type="dxa"/>
          </w:tcPr>
          <w:p w14:paraId="1B0D140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D6638C" w:rsidRPr="00D6638C" w14:paraId="460CBC9E" w14:textId="77777777" w:rsidTr="006C1964">
        <w:tc>
          <w:tcPr>
            <w:tcW w:w="1548" w:type="dxa"/>
          </w:tcPr>
          <w:p w14:paraId="5695DB3D"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14:paraId="4E0892E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14:paraId="39F9207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60" w:type="dxa"/>
          </w:tcPr>
          <w:p w14:paraId="255EEF3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14:paraId="71ACE1D9" w14:textId="44F27C05" w:rsidR="00D6638C" w:rsidRDefault="00E23201" w:rsidP="00D6638C">
      <w:pPr>
        <w:spacing w:before="200"/>
        <w:jc w:val="both"/>
        <w:rPr>
          <w:rFonts w:ascii="Calibri" w:eastAsia="Times New Roman" w:hAnsi="Calibri" w:cs="Times New Roman"/>
          <w:sz w:val="20"/>
          <w:szCs w:val="20"/>
        </w:rPr>
      </w:pPr>
      <w:r w:rsidRPr="00563362">
        <w:rPr>
          <w:rFonts w:ascii="Calibri" w:eastAsia="Times New Roman" w:hAnsi="Calibri" w:cs="Times New Roman"/>
          <w:b/>
          <w:sz w:val="20"/>
          <w:szCs w:val="20"/>
          <w:u w:val="single"/>
        </w:rPr>
        <w:t>*</w:t>
      </w:r>
      <w:r w:rsidR="00D6638C" w:rsidRPr="00563362">
        <w:rPr>
          <w:rFonts w:ascii="Calibri" w:eastAsia="Times New Roman" w:hAnsi="Calibri" w:cs="Times New Roman"/>
          <w:b/>
          <w:sz w:val="20"/>
          <w:szCs w:val="20"/>
          <w:u w:val="single"/>
        </w:rPr>
        <w:t xml:space="preserve">When submitting the final evaluation report, the evaluator is required also to provide an 'audit trail', detailing how all received comments have (and have not) been addressed in the final evaluation </w:t>
      </w:r>
      <w:bookmarkEnd w:id="34"/>
      <w:bookmarkEnd w:id="35"/>
      <w:r w:rsidR="00D6638C" w:rsidRPr="00563362">
        <w:rPr>
          <w:rFonts w:ascii="Calibri" w:eastAsia="Times New Roman" w:hAnsi="Calibri" w:cs="Times New Roman"/>
          <w:b/>
          <w:sz w:val="20"/>
          <w:szCs w:val="20"/>
          <w:u w:val="single"/>
        </w:rPr>
        <w:t>report</w:t>
      </w:r>
      <w:r w:rsidR="00D6638C" w:rsidRPr="00D6638C">
        <w:rPr>
          <w:rFonts w:ascii="Calibri" w:eastAsia="Times New Roman" w:hAnsi="Calibri" w:cs="Times New Roman"/>
          <w:sz w:val="20"/>
          <w:szCs w:val="20"/>
        </w:rPr>
        <w:t xml:space="preserve">. </w:t>
      </w:r>
    </w:p>
    <w:p w14:paraId="258C971F" w14:textId="31456352" w:rsidR="00563362" w:rsidRPr="00D6638C" w:rsidRDefault="00563362"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 xml:space="preserve">All reports must be presented in </w:t>
      </w:r>
      <w:r w:rsidRPr="00563362">
        <w:rPr>
          <w:rFonts w:ascii="Calibri" w:eastAsia="Times New Roman" w:hAnsi="Calibri" w:cs="Times New Roman"/>
          <w:b/>
          <w:sz w:val="20"/>
          <w:szCs w:val="20"/>
        </w:rPr>
        <w:t>English</w:t>
      </w:r>
      <w:r>
        <w:rPr>
          <w:rFonts w:ascii="Calibri" w:eastAsia="Times New Roman" w:hAnsi="Calibri" w:cs="Times New Roman"/>
          <w:sz w:val="20"/>
          <w:szCs w:val="20"/>
        </w:rPr>
        <w:t>.</w:t>
      </w:r>
    </w:p>
    <w:p w14:paraId="1061239E" w14:textId="77777777" w:rsidR="00D6638C" w:rsidRPr="00D6638C" w:rsidRDefault="00D6638C" w:rsidP="00F05366">
      <w:pPr>
        <w:pStyle w:val="Heading51"/>
      </w:pPr>
      <w:bookmarkStart w:id="36" w:name="_Toc321341558"/>
      <w:r w:rsidRPr="00D6638C">
        <w:t>Team Composition</w:t>
      </w:r>
      <w:bookmarkEnd w:id="36"/>
    </w:p>
    <w:p w14:paraId="79A01985" w14:textId="570E9392"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will be composed of </w:t>
      </w:r>
      <w:r w:rsidRPr="00D6638C">
        <w:rPr>
          <w:rFonts w:ascii="Calibri" w:eastAsia="Times New Roman" w:hAnsi="Calibri" w:cs="Times New Roman"/>
          <w:i/>
          <w:sz w:val="20"/>
          <w:szCs w:val="20"/>
          <w:highlight w:val="lightGray"/>
          <w:shd w:val="clear" w:color="auto" w:fill="FFFFFF"/>
        </w:rPr>
        <w:t>(1</w:t>
      </w:r>
      <w:r w:rsidR="00ED794A">
        <w:rPr>
          <w:rFonts w:ascii="Calibri" w:eastAsia="Times New Roman" w:hAnsi="Calibri" w:cs="Times New Roman"/>
          <w:i/>
          <w:sz w:val="20"/>
          <w:szCs w:val="20"/>
          <w:highlight w:val="lightGray"/>
          <w:shd w:val="clear" w:color="auto" w:fill="FFFFFF"/>
        </w:rPr>
        <w:t xml:space="preserve"> </w:t>
      </w:r>
      <w:r w:rsidRPr="00D6638C">
        <w:rPr>
          <w:rFonts w:ascii="Calibri" w:eastAsia="Times New Roman" w:hAnsi="Calibri" w:cs="Times New Roman"/>
          <w:i/>
          <w:sz w:val="20"/>
          <w:szCs w:val="20"/>
          <w:highlight w:val="lightGray"/>
          <w:shd w:val="clear" w:color="auto" w:fill="FFFFFF"/>
        </w:rPr>
        <w:t>international evaluator</w:t>
      </w:r>
      <w:r w:rsidRPr="00D6638C">
        <w:rPr>
          <w:rFonts w:ascii="Calibri" w:eastAsia="Times New Roman" w:hAnsi="Calibri" w:cs="Times New Roman"/>
          <w:i/>
          <w:sz w:val="20"/>
          <w:szCs w:val="20"/>
          <w:highlight w:val="lightGray"/>
        </w:rPr>
        <w:t>).</w:t>
      </w:r>
      <w:r w:rsidRPr="00D6638C">
        <w:rPr>
          <w:rFonts w:ascii="Calibri" w:eastAsia="Times New Roman" w:hAnsi="Calibri" w:cs="Times New Roman"/>
          <w:sz w:val="20"/>
          <w:szCs w:val="20"/>
        </w:rPr>
        <w:t xml:space="preserve">  The consultant shall have prior experience in evaluating similar projects.  Experience with GEF financed projects is an advantage. The evaluators selected should not have participated in the project preparation and/or implementation and should not have conflict of interest with project related activities.</w:t>
      </w:r>
    </w:p>
    <w:p w14:paraId="0DFFFB34"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Team members must present the following qualifications:</w:t>
      </w:r>
    </w:p>
    <w:p w14:paraId="3054C558" w14:textId="5678CB95"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shd w:val="clear" w:color="auto" w:fill="FFFFFF"/>
        </w:rPr>
        <w:t xml:space="preserve">Minimum </w:t>
      </w:r>
      <w:r w:rsidR="00ED794A">
        <w:rPr>
          <w:rFonts w:ascii="Calibri" w:eastAsia="Times New Roman" w:hAnsi="Calibri" w:cs="Times New Roman"/>
          <w:i/>
          <w:sz w:val="20"/>
          <w:szCs w:val="20"/>
          <w:highlight w:val="lightGray"/>
          <w:shd w:val="clear" w:color="auto" w:fill="FFFFFF"/>
        </w:rPr>
        <w:t>10</w:t>
      </w:r>
      <w:r w:rsidRPr="00D6638C">
        <w:rPr>
          <w:rFonts w:ascii="Calibri" w:eastAsia="Times New Roman" w:hAnsi="Calibri" w:cs="Times New Roman"/>
          <w:sz w:val="20"/>
          <w:szCs w:val="20"/>
          <w:shd w:val="clear" w:color="auto" w:fill="FFFFFF"/>
        </w:rPr>
        <w:t xml:space="preserve"> years of</w:t>
      </w:r>
      <w:r w:rsidRPr="00D6638C">
        <w:rPr>
          <w:rFonts w:ascii="Calibri" w:eastAsia="Times New Roman" w:hAnsi="Calibri" w:cs="Times New Roman"/>
          <w:sz w:val="20"/>
          <w:szCs w:val="20"/>
        </w:rPr>
        <w:t xml:space="preserve"> relevant professional experience</w:t>
      </w:r>
    </w:p>
    <w:p w14:paraId="3F239770" w14:textId="5C984192" w:rsidR="00D6638C" w:rsidRDefault="00ED794A" w:rsidP="00D6638C">
      <w:pPr>
        <w:numPr>
          <w:ilvl w:val="0"/>
          <w:numId w:val="17"/>
        </w:numPr>
        <w:spacing w:before="60" w:after="60" w:line="240" w:lineRule="auto"/>
        <w:rPr>
          <w:rFonts w:ascii="Calibri" w:eastAsia="Times New Roman" w:hAnsi="Calibri" w:cs="Times New Roman"/>
          <w:sz w:val="20"/>
          <w:szCs w:val="20"/>
        </w:rPr>
      </w:pPr>
      <w:r>
        <w:rPr>
          <w:rFonts w:ascii="Calibri" w:eastAsia="Times New Roman" w:hAnsi="Calibri" w:cs="Times New Roman"/>
          <w:sz w:val="20"/>
          <w:szCs w:val="20"/>
        </w:rPr>
        <w:t>Experience and k</w:t>
      </w:r>
      <w:r w:rsidR="00D6638C" w:rsidRPr="00D6638C">
        <w:rPr>
          <w:rFonts w:ascii="Calibri" w:eastAsia="Times New Roman" w:hAnsi="Calibri" w:cs="Times New Roman"/>
          <w:sz w:val="20"/>
          <w:szCs w:val="20"/>
        </w:rPr>
        <w:t>nowledge of UNDP and GEF</w:t>
      </w:r>
    </w:p>
    <w:p w14:paraId="3A435526" w14:textId="13937BB0" w:rsidR="007E6B75" w:rsidRDefault="007E6B75" w:rsidP="007E6B75">
      <w:pPr>
        <w:pStyle w:val="CommentText"/>
        <w:numPr>
          <w:ilvl w:val="0"/>
          <w:numId w:val="17"/>
        </w:numPr>
      </w:pPr>
      <w:r>
        <w:t xml:space="preserve">Experience and knowledge in development cooperation projects related to climate change </w:t>
      </w:r>
      <w:r w:rsidR="0035077B">
        <w:t>and/or</w:t>
      </w:r>
      <w:r>
        <w:t xml:space="preserve"> energy  </w:t>
      </w:r>
    </w:p>
    <w:p w14:paraId="53756EB1" w14:textId="35130392" w:rsidR="00D6638C" w:rsidRPr="00D6638C" w:rsidRDefault="00563362" w:rsidP="00D6638C">
      <w:pPr>
        <w:numPr>
          <w:ilvl w:val="0"/>
          <w:numId w:val="17"/>
        </w:numPr>
        <w:spacing w:before="60" w:after="60" w:line="240" w:lineRule="auto"/>
        <w:rPr>
          <w:rFonts w:ascii="Calibri" w:eastAsia="Times New Roman" w:hAnsi="Calibri" w:cs="Times New Roman"/>
          <w:sz w:val="20"/>
          <w:szCs w:val="20"/>
        </w:rPr>
      </w:pPr>
      <w:proofErr w:type="gramStart"/>
      <w:r>
        <w:rPr>
          <w:rFonts w:ascii="Calibri" w:eastAsia="Times New Roman" w:hAnsi="Calibri" w:cs="Times New Roman"/>
          <w:sz w:val="20"/>
          <w:szCs w:val="20"/>
        </w:rPr>
        <w:t xml:space="preserve">Demonstrated </w:t>
      </w:r>
      <w:r w:rsidR="00D6638C" w:rsidRPr="00D6638C">
        <w:rPr>
          <w:rFonts w:ascii="Calibri" w:eastAsia="Times New Roman" w:hAnsi="Calibri" w:cs="Times New Roman"/>
          <w:sz w:val="20"/>
          <w:szCs w:val="20"/>
        </w:rPr>
        <w:t xml:space="preserve"> experience</w:t>
      </w:r>
      <w:proofErr w:type="gramEnd"/>
      <w:r w:rsidR="00D6638C" w:rsidRPr="00D6638C">
        <w:rPr>
          <w:rFonts w:ascii="Calibri" w:eastAsia="Times New Roman" w:hAnsi="Calibri" w:cs="Times New Roman"/>
          <w:sz w:val="20"/>
          <w:szCs w:val="20"/>
        </w:rPr>
        <w:t xml:space="preserve"> </w:t>
      </w:r>
      <w:r>
        <w:rPr>
          <w:rFonts w:ascii="Calibri" w:eastAsia="Times New Roman" w:hAnsi="Calibri" w:cs="Times New Roman"/>
          <w:sz w:val="20"/>
          <w:szCs w:val="20"/>
        </w:rPr>
        <w:t>conducting</w:t>
      </w:r>
      <w:r w:rsidRPr="00D6638C">
        <w:rPr>
          <w:rFonts w:ascii="Calibri" w:eastAsia="Times New Roman" w:hAnsi="Calibri" w:cs="Times New Roman"/>
          <w:sz w:val="20"/>
          <w:szCs w:val="20"/>
        </w:rPr>
        <w:t xml:space="preserve"> </w:t>
      </w:r>
      <w:r w:rsidR="00D6638C" w:rsidRPr="00D6638C">
        <w:rPr>
          <w:rFonts w:ascii="Calibri" w:eastAsia="Times New Roman" w:hAnsi="Calibri" w:cs="Times New Roman"/>
          <w:sz w:val="20"/>
          <w:szCs w:val="20"/>
        </w:rPr>
        <w:t>results‐based</w:t>
      </w:r>
      <w:r>
        <w:rPr>
          <w:rFonts w:ascii="Calibri" w:eastAsia="Times New Roman" w:hAnsi="Calibri" w:cs="Times New Roman"/>
          <w:sz w:val="20"/>
          <w:szCs w:val="20"/>
        </w:rPr>
        <w:t xml:space="preserve"> </w:t>
      </w:r>
      <w:r w:rsidR="00D6638C" w:rsidRPr="00D6638C">
        <w:rPr>
          <w:rFonts w:ascii="Calibri" w:eastAsia="Times New Roman" w:hAnsi="Calibri" w:cs="Times New Roman"/>
          <w:sz w:val="20"/>
          <w:szCs w:val="20"/>
        </w:rPr>
        <w:t xml:space="preserve">monitoring and </w:t>
      </w:r>
      <w:r>
        <w:rPr>
          <w:rFonts w:ascii="Calibri" w:eastAsia="Times New Roman" w:hAnsi="Calibri" w:cs="Times New Roman"/>
          <w:sz w:val="20"/>
          <w:szCs w:val="20"/>
        </w:rPr>
        <w:t xml:space="preserve">impact </w:t>
      </w:r>
      <w:r w:rsidR="00D6638C" w:rsidRPr="00D6638C">
        <w:rPr>
          <w:rFonts w:ascii="Calibri" w:eastAsia="Times New Roman" w:hAnsi="Calibri" w:cs="Times New Roman"/>
          <w:sz w:val="20"/>
          <w:szCs w:val="20"/>
        </w:rPr>
        <w:t>evaluation</w:t>
      </w:r>
      <w:r>
        <w:rPr>
          <w:rFonts w:ascii="Calibri" w:eastAsia="Times New Roman" w:hAnsi="Calibri" w:cs="Times New Roman"/>
          <w:sz w:val="20"/>
          <w:szCs w:val="20"/>
        </w:rPr>
        <w:t>s</w:t>
      </w:r>
      <w:r w:rsidR="00D6638C" w:rsidRPr="00D6638C">
        <w:rPr>
          <w:rFonts w:ascii="Calibri" w:eastAsia="Times New Roman" w:hAnsi="Calibri" w:cs="Times New Roman"/>
          <w:sz w:val="20"/>
          <w:szCs w:val="20"/>
        </w:rPr>
        <w:t xml:space="preserve"> </w:t>
      </w:r>
      <w:r w:rsidR="0035077B">
        <w:rPr>
          <w:rFonts w:ascii="Calibri" w:eastAsia="Times New Roman" w:hAnsi="Calibri" w:cs="Times New Roman"/>
          <w:sz w:val="20"/>
          <w:szCs w:val="20"/>
        </w:rPr>
        <w:t xml:space="preserve"> for sustainable development</w:t>
      </w:r>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programmes</w:t>
      </w:r>
      <w:proofErr w:type="spellEnd"/>
      <w:r>
        <w:rPr>
          <w:rFonts w:ascii="Calibri" w:eastAsia="Times New Roman" w:hAnsi="Calibri" w:cs="Times New Roman"/>
          <w:sz w:val="20"/>
          <w:szCs w:val="20"/>
        </w:rPr>
        <w:t>/projects</w:t>
      </w:r>
      <w:r w:rsidR="00D6638C" w:rsidRPr="00D6638C">
        <w:rPr>
          <w:rFonts w:ascii="Calibri" w:eastAsia="Times New Roman" w:hAnsi="Calibri" w:cs="Times New Roman"/>
          <w:sz w:val="20"/>
          <w:szCs w:val="20"/>
        </w:rPr>
        <w:t>;</w:t>
      </w:r>
    </w:p>
    <w:p w14:paraId="2115012A" w14:textId="10C8D3B3" w:rsidR="00ED794A" w:rsidRPr="00ED794A" w:rsidRDefault="00D6638C" w:rsidP="00ED794A">
      <w:pPr>
        <w:numPr>
          <w:ilvl w:val="0"/>
          <w:numId w:val="17"/>
        </w:numPr>
        <w:spacing w:before="60" w:after="60" w:line="240" w:lineRule="auto"/>
        <w:rPr>
          <w:rFonts w:ascii="Calibri" w:eastAsia="Times New Roman" w:hAnsi="Calibri" w:cs="Times New Roman"/>
          <w:sz w:val="20"/>
          <w:szCs w:val="20"/>
          <w:shd w:val="clear" w:color="auto" w:fill="FFFFFF"/>
        </w:rPr>
      </w:pPr>
      <w:r w:rsidRPr="00ED794A">
        <w:rPr>
          <w:rFonts w:ascii="Calibri" w:eastAsia="Times New Roman" w:hAnsi="Calibri" w:cs="Times New Roman"/>
          <w:sz w:val="20"/>
          <w:szCs w:val="20"/>
        </w:rPr>
        <w:t xml:space="preserve">Technical knowledge in </w:t>
      </w:r>
      <w:r w:rsidR="0035077B">
        <w:rPr>
          <w:rFonts w:ascii="Calibri" w:eastAsia="Times New Roman" w:hAnsi="Calibri" w:cs="Times New Roman"/>
          <w:sz w:val="20"/>
          <w:szCs w:val="20"/>
        </w:rPr>
        <w:t>climate change mitigation</w:t>
      </w:r>
      <w:bookmarkStart w:id="37" w:name="_Toc278193977"/>
      <w:bookmarkStart w:id="38" w:name="_Toc299122835"/>
      <w:bookmarkStart w:id="39" w:name="_Toc299122857"/>
      <w:bookmarkStart w:id="40" w:name="_Toc299126624"/>
      <w:bookmarkStart w:id="41" w:name="_Toc299133050"/>
      <w:bookmarkStart w:id="42" w:name="_Toc321341559"/>
    </w:p>
    <w:p w14:paraId="1746578B" w14:textId="476FA4E0" w:rsidR="00ED794A" w:rsidRPr="00ED794A" w:rsidRDefault="00ED794A" w:rsidP="00ED794A">
      <w:pPr>
        <w:numPr>
          <w:ilvl w:val="0"/>
          <w:numId w:val="17"/>
        </w:numPr>
        <w:spacing w:before="60" w:after="60" w:line="240" w:lineRule="auto"/>
        <w:rPr>
          <w:rFonts w:ascii="Calibri" w:eastAsia="Times New Roman" w:hAnsi="Calibri" w:cs="Times New Roman"/>
          <w:sz w:val="20"/>
          <w:szCs w:val="20"/>
          <w:shd w:val="clear" w:color="auto" w:fill="FFFFFF"/>
        </w:rPr>
      </w:pPr>
      <w:r w:rsidRPr="00ED794A">
        <w:rPr>
          <w:rFonts w:ascii="Calibri" w:eastAsia="Times New Roman" w:hAnsi="Calibri" w:cs="Times New Roman"/>
          <w:sz w:val="20"/>
          <w:szCs w:val="20"/>
          <w:shd w:val="clear" w:color="auto" w:fill="FFFFFF"/>
        </w:rPr>
        <w:t>Prior experience working in the Caribbean is an asset.</w:t>
      </w:r>
    </w:p>
    <w:p w14:paraId="7EC91F16" w14:textId="77777777" w:rsidR="00022F8E" w:rsidRDefault="00022F8E" w:rsidP="00F05366">
      <w:pPr>
        <w:pStyle w:val="Heading51"/>
      </w:pPr>
    </w:p>
    <w:p w14:paraId="04BA87DB" w14:textId="77777777" w:rsidR="00D6638C" w:rsidRDefault="00D6638C" w:rsidP="00F05366">
      <w:pPr>
        <w:pStyle w:val="Heading51"/>
      </w:pPr>
      <w:r w:rsidRPr="00D6638C">
        <w:t>Evaluator Ethics</w:t>
      </w:r>
      <w:bookmarkEnd w:id="37"/>
      <w:bookmarkEnd w:id="38"/>
      <w:bookmarkEnd w:id="39"/>
      <w:bookmarkEnd w:id="40"/>
      <w:bookmarkEnd w:id="41"/>
      <w:bookmarkEnd w:id="42"/>
    </w:p>
    <w:p w14:paraId="02FA8F97" w14:textId="77777777" w:rsidR="00022F8E" w:rsidRPr="00022F8E" w:rsidRDefault="00022F8E" w:rsidP="00022F8E"/>
    <w:p w14:paraId="61633BB7" w14:textId="77777777" w:rsidR="00D6638C" w:rsidRDefault="00D6638C" w:rsidP="00022F8E">
      <w:r w:rsidRPr="00D6638C">
        <w:t xml:space="preserve">Evaluation consultants will be held to the highest ethical standards and are required to sign a Code of Conduct </w:t>
      </w:r>
      <w:r w:rsidR="00F05366">
        <w:t>(Annex E) u</w:t>
      </w:r>
      <w:r w:rsidRPr="00D6638C">
        <w:t xml:space="preserve">pon acceptance of the assignment. UNDP evaluations are conducted in accordance with the principles outlined in the </w:t>
      </w:r>
      <w:hyperlink r:id="rId9" w:history="1">
        <w:r w:rsidRPr="006C1964">
          <w:rPr>
            <w:rStyle w:val="Hyperlink"/>
            <w:rFonts w:ascii="Calibri" w:eastAsia="Times New Roman" w:hAnsi="Calibri" w:cs="Times New Roman"/>
            <w:sz w:val="20"/>
            <w:szCs w:val="20"/>
          </w:rPr>
          <w:t>UNEG 'Ethical Guidelines for Evaluations'</w:t>
        </w:r>
      </w:hyperlink>
    </w:p>
    <w:p w14:paraId="36F6CD99" w14:textId="77777777" w:rsidR="00D6638C" w:rsidRDefault="00D6638C" w:rsidP="00F05366">
      <w:pPr>
        <w:pStyle w:val="Heading51"/>
      </w:pPr>
      <w:bookmarkStart w:id="43" w:name="_Toc299126626"/>
      <w:bookmarkStart w:id="44" w:name="_Toc299133051"/>
      <w:bookmarkStart w:id="45" w:name="_Toc321341560"/>
      <w:bookmarkStart w:id="46" w:name="_Toc299122837"/>
      <w:bookmarkStart w:id="47" w:name="_Toc299122859"/>
      <w:bookmarkStart w:id="48" w:name="_Toc299126627"/>
      <w:r w:rsidRPr="00D6638C">
        <w:t>Payment modalities and specifications</w:t>
      </w:r>
      <w:bookmarkEnd w:id="43"/>
      <w:bookmarkEnd w:id="44"/>
      <w:bookmarkEnd w:id="45"/>
      <w:r w:rsidR="00E23201">
        <w:t xml:space="preserve"> </w:t>
      </w:r>
    </w:p>
    <w:p w14:paraId="353A4990" w14:textId="697E2846" w:rsidR="00E23201" w:rsidRPr="00E23201" w:rsidRDefault="00E23201" w:rsidP="00E232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21"/>
      </w:tblGrid>
      <w:tr w:rsidR="00D6638C" w:rsidRPr="00D6638C" w14:paraId="1E071673" w14:textId="77777777" w:rsidTr="006C1964">
        <w:tc>
          <w:tcPr>
            <w:tcW w:w="1278" w:type="dxa"/>
            <w:shd w:val="clear" w:color="auto" w:fill="7F7F7F"/>
          </w:tcPr>
          <w:p w14:paraId="1824F122"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576" w:type="dxa"/>
            <w:shd w:val="clear" w:color="auto" w:fill="7F7F7F"/>
          </w:tcPr>
          <w:p w14:paraId="5C435455"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14:paraId="62DAA5A2" w14:textId="77777777" w:rsidTr="006C1964">
        <w:tc>
          <w:tcPr>
            <w:tcW w:w="1278" w:type="dxa"/>
          </w:tcPr>
          <w:p w14:paraId="10F4FDE4"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10%</w:t>
            </w:r>
          </w:p>
        </w:tc>
        <w:tc>
          <w:tcPr>
            <w:tcW w:w="8576" w:type="dxa"/>
          </w:tcPr>
          <w:p w14:paraId="21BCCB94" w14:textId="1D9ED6BD" w:rsidR="00D6638C" w:rsidRPr="00D6638C" w:rsidRDefault="00ED794A" w:rsidP="00D6638C">
            <w:pPr>
              <w:spacing w:after="0"/>
              <w:rPr>
                <w:rFonts w:ascii="Calibri" w:eastAsia="Times New Roman" w:hAnsi="Calibri" w:cs="Times New Roman"/>
                <w:sz w:val="20"/>
                <w:szCs w:val="20"/>
              </w:rPr>
            </w:pPr>
            <w:r>
              <w:rPr>
                <w:rFonts w:ascii="Calibri" w:eastAsia="Times New Roman" w:hAnsi="Calibri" w:cs="Times New Roman"/>
                <w:sz w:val="20"/>
                <w:szCs w:val="20"/>
              </w:rPr>
              <w:t>At submission of Inception Report and work plan</w:t>
            </w:r>
          </w:p>
        </w:tc>
      </w:tr>
      <w:tr w:rsidR="00D6638C" w:rsidRPr="00D6638C" w14:paraId="7A335B7B" w14:textId="77777777" w:rsidTr="006C1964">
        <w:tc>
          <w:tcPr>
            <w:tcW w:w="1278" w:type="dxa"/>
          </w:tcPr>
          <w:p w14:paraId="791132E1"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40%</w:t>
            </w:r>
          </w:p>
        </w:tc>
        <w:tc>
          <w:tcPr>
            <w:tcW w:w="8576" w:type="dxa"/>
          </w:tcPr>
          <w:p w14:paraId="23D9EBA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1ST draft terminal evaluation report</w:t>
            </w:r>
          </w:p>
        </w:tc>
      </w:tr>
      <w:tr w:rsidR="00D6638C" w:rsidRPr="00D6638C" w14:paraId="3EB769A0" w14:textId="77777777" w:rsidTr="006C1964">
        <w:tc>
          <w:tcPr>
            <w:tcW w:w="1278" w:type="dxa"/>
          </w:tcPr>
          <w:p w14:paraId="1F4985C1"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50%</w:t>
            </w:r>
          </w:p>
        </w:tc>
        <w:tc>
          <w:tcPr>
            <w:tcW w:w="8576" w:type="dxa"/>
          </w:tcPr>
          <w:p w14:paraId="629D118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tbl>
    <w:p w14:paraId="1D5BEE54" w14:textId="77777777" w:rsidR="00D6638C" w:rsidRPr="00D6638C" w:rsidRDefault="00D6638C" w:rsidP="00F05366">
      <w:pPr>
        <w:pStyle w:val="Heading51"/>
      </w:pPr>
      <w:bookmarkStart w:id="49" w:name="_Toc299133052"/>
      <w:bookmarkStart w:id="50" w:name="_Toc321341561"/>
      <w:r w:rsidRPr="00D6638C">
        <w:t>Application process</w:t>
      </w:r>
      <w:bookmarkEnd w:id="46"/>
      <w:bookmarkEnd w:id="47"/>
      <w:bookmarkEnd w:id="48"/>
      <w:bookmarkEnd w:id="49"/>
      <w:bookmarkEnd w:id="50"/>
    </w:p>
    <w:p w14:paraId="6AD2BFC4" w14:textId="27675294" w:rsidR="00D6638C" w:rsidRPr="00D6638C" w:rsidRDefault="002F082B" w:rsidP="00D6638C">
      <w:pPr>
        <w:spacing w:after="120"/>
        <w:rPr>
          <w:rFonts w:ascii="Calibri" w:eastAsia="Times New Roman" w:hAnsi="Calibri" w:cs="Times New Roman"/>
          <w:sz w:val="20"/>
          <w:szCs w:val="20"/>
        </w:rPr>
      </w:pPr>
      <w:r>
        <w:rPr>
          <w:rFonts w:ascii="Calibri" w:eastAsia="Times New Roman" w:hAnsi="Calibri" w:cs="Times New Roman"/>
          <w:sz w:val="20"/>
          <w:szCs w:val="20"/>
        </w:rPr>
        <w:t xml:space="preserve">Individual </w:t>
      </w:r>
      <w:r w:rsidR="00D6638C" w:rsidRPr="00D6638C">
        <w:rPr>
          <w:rFonts w:ascii="Calibri" w:eastAsia="Times New Roman" w:hAnsi="Calibri" w:cs="Times New Roman"/>
          <w:sz w:val="20"/>
          <w:szCs w:val="20"/>
        </w:rPr>
        <w:t xml:space="preserve">consultants are invited to submit applications together with their CV for these positions. The application should contain a current and complete C.V. in English with indication of the e‐mail and phone contact. Shortlisted candidates will be requested to submit a price offer indicating the total cost of the assignment (including daily fee, per diem and travel costs). </w:t>
      </w:r>
    </w:p>
    <w:p w14:paraId="3213A556"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p>
    <w:p w14:paraId="36BA93B5"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br w:type="page"/>
      </w:r>
    </w:p>
    <w:p w14:paraId="4AC622D9" w14:textId="751DF4A2" w:rsidR="00D6638C" w:rsidRDefault="00D6638C" w:rsidP="00F05366">
      <w:pPr>
        <w:pStyle w:val="Heading31"/>
      </w:pPr>
      <w:bookmarkStart w:id="51" w:name="_TOR_Annex_A:"/>
      <w:bookmarkStart w:id="52" w:name="_Toc299122844"/>
      <w:bookmarkStart w:id="53" w:name="_Toc299122866"/>
      <w:bookmarkStart w:id="54" w:name="_Toc299126630"/>
      <w:bookmarkStart w:id="55" w:name="_Toc299133053"/>
      <w:bookmarkStart w:id="56" w:name="_Toc321341562"/>
      <w:bookmarkEnd w:id="51"/>
      <w:r w:rsidRPr="00D6638C">
        <w:lastRenderedPageBreak/>
        <w:t>Annex A: Project Logical Framework</w:t>
      </w:r>
      <w:bookmarkEnd w:id="52"/>
      <w:bookmarkEnd w:id="53"/>
      <w:bookmarkEnd w:id="54"/>
      <w:bookmarkEnd w:id="55"/>
      <w:bookmarkEnd w:id="56"/>
    </w:p>
    <w:p w14:paraId="193EE643" w14:textId="77777777" w:rsidR="00ED794A" w:rsidRPr="00ED794A" w:rsidRDefault="00ED794A" w:rsidP="00ED794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1"/>
        <w:gridCol w:w="2256"/>
        <w:gridCol w:w="1201"/>
        <w:gridCol w:w="1221"/>
        <w:gridCol w:w="1990"/>
        <w:gridCol w:w="1556"/>
      </w:tblGrid>
      <w:tr w:rsidR="00D70515" w:rsidRPr="003A6F8A" w14:paraId="50782B73" w14:textId="77777777" w:rsidTr="00ED794A">
        <w:trPr>
          <w:trHeight w:val="244"/>
          <w:jc w:val="center"/>
        </w:trPr>
        <w:tc>
          <w:tcPr>
            <w:tcW w:w="5000" w:type="pct"/>
            <w:gridSpan w:val="6"/>
          </w:tcPr>
          <w:p w14:paraId="12BEBEF5" w14:textId="77777777" w:rsidR="00D70515" w:rsidRPr="003A6F8A" w:rsidRDefault="00D70515" w:rsidP="00ED794A">
            <w:pPr>
              <w:pStyle w:val="NoSpacing"/>
              <w:rPr>
                <w:rFonts w:cs="Arial"/>
                <w:b/>
              </w:rPr>
            </w:pPr>
            <w:r w:rsidRPr="003A6F8A">
              <w:rPr>
                <w:rFonts w:cs="Arial"/>
                <w:b/>
              </w:rPr>
              <w:t xml:space="preserve">Primary applicable 2014-2017 UNDP Strategic Plan Key Result Area: Sustainable Development Pathways </w:t>
            </w:r>
          </w:p>
          <w:p w14:paraId="3AB08B61" w14:textId="77777777" w:rsidR="00D70515" w:rsidRPr="003A6F8A" w:rsidRDefault="00D70515" w:rsidP="00ED794A">
            <w:pPr>
              <w:pStyle w:val="NoSpacing"/>
              <w:rPr>
                <w:rFonts w:cs="Arial"/>
              </w:rPr>
            </w:pPr>
            <w:r w:rsidRPr="003A6F8A">
              <w:rPr>
                <w:rFonts w:cs="Arial"/>
                <w:b/>
              </w:rPr>
              <w:t xml:space="preserve">Outcome 1: Growth and </w:t>
            </w:r>
            <w:r>
              <w:rPr>
                <w:rFonts w:cs="Arial"/>
                <w:b/>
              </w:rPr>
              <w:t>d</w:t>
            </w:r>
            <w:r w:rsidRPr="003A6F8A">
              <w:rPr>
                <w:rFonts w:cs="Arial"/>
                <w:b/>
              </w:rPr>
              <w:t>evelopment are inclusive and sustainable, incorporating productive capacities that create employment and livelihoods for the poor and excluded</w:t>
            </w:r>
            <w:r w:rsidRPr="003A6F8A">
              <w:rPr>
                <w:rFonts w:cs="Arial"/>
              </w:rPr>
              <w:t xml:space="preserve">  </w:t>
            </w:r>
          </w:p>
          <w:p w14:paraId="21DFE1EE" w14:textId="77777777" w:rsidR="00D70515" w:rsidRPr="003A6F8A" w:rsidRDefault="00D70515" w:rsidP="00ED794A">
            <w:pPr>
              <w:pStyle w:val="NoSpacing"/>
              <w:rPr>
                <w:rFonts w:cs="Arial"/>
              </w:rPr>
            </w:pPr>
            <w:r>
              <w:rPr>
                <w:rFonts w:cs="Arial"/>
              </w:rPr>
              <w:t xml:space="preserve">Indicator </w:t>
            </w:r>
            <w:r w:rsidRPr="003A6F8A">
              <w:rPr>
                <w:rFonts w:cs="Arial"/>
              </w:rPr>
              <w:t>1.</w:t>
            </w:r>
            <w:r>
              <w:rPr>
                <w:rFonts w:cs="Arial"/>
              </w:rPr>
              <w:t>3</w:t>
            </w:r>
            <w:r w:rsidRPr="003A6F8A">
              <w:rPr>
                <w:rFonts w:cs="Arial"/>
              </w:rPr>
              <w:t xml:space="preserve"> Annu</w:t>
            </w:r>
            <w:r>
              <w:rPr>
                <w:rFonts w:cs="Arial"/>
              </w:rPr>
              <w:t xml:space="preserve">al emissions of carbon dioxide (in million metric </w:t>
            </w:r>
            <w:proofErr w:type="spellStart"/>
            <w:r>
              <w:rPr>
                <w:rFonts w:cs="Arial"/>
              </w:rPr>
              <w:t>tonnes</w:t>
            </w:r>
            <w:proofErr w:type="spellEnd"/>
            <w:r>
              <w:rPr>
                <w:rFonts w:cs="Arial"/>
              </w:rPr>
              <w:t>)</w:t>
            </w:r>
          </w:p>
          <w:p w14:paraId="24EB2B33" w14:textId="77777777" w:rsidR="00D70515" w:rsidRDefault="00D70515" w:rsidP="00ED794A">
            <w:pPr>
              <w:pStyle w:val="NoSpacing"/>
              <w:rPr>
                <w:rFonts w:cs="Arial"/>
              </w:rPr>
            </w:pPr>
            <w:r>
              <w:rPr>
                <w:rFonts w:cs="Arial"/>
              </w:rPr>
              <w:t>Indicator 1.4</w:t>
            </w:r>
            <w:r w:rsidRPr="003A6F8A">
              <w:rPr>
                <w:rFonts w:cs="Arial"/>
              </w:rPr>
              <w:t xml:space="preserve"> Coverage of cost-efficient and sustainable energy, disaggregated by </w:t>
            </w:r>
            <w:r>
              <w:rPr>
                <w:rFonts w:cs="Arial"/>
              </w:rPr>
              <w:t>rural/urban</w:t>
            </w:r>
          </w:p>
          <w:p w14:paraId="6CE4FECB" w14:textId="77777777" w:rsidR="00D70515" w:rsidRDefault="00D70515" w:rsidP="00ED794A">
            <w:pPr>
              <w:pStyle w:val="NoSpacing"/>
              <w:rPr>
                <w:rFonts w:eastAsiaTheme="minorEastAsia"/>
              </w:rPr>
            </w:pPr>
          </w:p>
          <w:p w14:paraId="280FA596" w14:textId="77777777" w:rsidR="00D70515" w:rsidRPr="00DA4C0A" w:rsidRDefault="00D70515" w:rsidP="00ED794A">
            <w:pPr>
              <w:pStyle w:val="NoSpacing"/>
              <w:rPr>
                <w:rFonts w:cs="Arial"/>
                <w:sz w:val="16"/>
              </w:rPr>
            </w:pPr>
            <w:r w:rsidRPr="00DA4C0A">
              <w:rPr>
                <w:rFonts w:eastAsiaTheme="minorEastAsia"/>
              </w:rPr>
              <w:t>Output 1.4. Scaled up action on climate change adaptation and mitigation across sectors which is funded and implemented</w:t>
            </w:r>
          </w:p>
          <w:p w14:paraId="7B503E6F" w14:textId="77777777" w:rsidR="00D70515" w:rsidRPr="003A6F8A" w:rsidRDefault="00D70515" w:rsidP="00ED794A">
            <w:pPr>
              <w:pStyle w:val="NoSpacing"/>
              <w:rPr>
                <w:rFonts w:cs="Arial"/>
              </w:rPr>
            </w:pPr>
            <w:r w:rsidRPr="003A6F8A">
              <w:rPr>
                <w:rFonts w:cs="Arial"/>
              </w:rPr>
              <w:t xml:space="preserve">Output 1.5. Inclusive and sustainable solutions adopted to achieve increased energy efficiency and universal modern energy access (especially off-grid sources of renewable energy) </w:t>
            </w:r>
          </w:p>
        </w:tc>
      </w:tr>
      <w:tr w:rsidR="00D70515" w:rsidRPr="003A6F8A" w14:paraId="6690EB58" w14:textId="77777777" w:rsidTr="00ED794A">
        <w:trPr>
          <w:jc w:val="center"/>
        </w:trPr>
        <w:tc>
          <w:tcPr>
            <w:tcW w:w="5000" w:type="pct"/>
            <w:gridSpan w:val="6"/>
          </w:tcPr>
          <w:p w14:paraId="2D27AFD3" w14:textId="77777777" w:rsidR="00D70515" w:rsidRPr="003A6F8A" w:rsidRDefault="00D70515" w:rsidP="00ED794A">
            <w:pPr>
              <w:pStyle w:val="NoSpacing"/>
              <w:rPr>
                <w:rFonts w:cs="Arial"/>
              </w:rPr>
            </w:pPr>
            <w:r w:rsidRPr="003A6F8A">
              <w:rPr>
                <w:rFonts w:cs="Arial"/>
                <w:b/>
              </w:rPr>
              <w:t>Applicable GEF Strategic Objective and Program:</w:t>
            </w:r>
            <w:r w:rsidRPr="003A6F8A">
              <w:rPr>
                <w:rFonts w:cs="Arial"/>
              </w:rPr>
              <w:t xml:space="preserve"> GEF-6 CCM-1 Strategic Programs 1 and 2</w:t>
            </w:r>
          </w:p>
        </w:tc>
      </w:tr>
      <w:tr w:rsidR="00D70515" w:rsidRPr="003A6F8A" w14:paraId="303525B6" w14:textId="77777777" w:rsidTr="00ED794A">
        <w:trPr>
          <w:jc w:val="center"/>
        </w:trPr>
        <w:tc>
          <w:tcPr>
            <w:tcW w:w="5000" w:type="pct"/>
            <w:gridSpan w:val="6"/>
          </w:tcPr>
          <w:p w14:paraId="60A189ED" w14:textId="77777777" w:rsidR="00D70515" w:rsidRPr="003A6F8A" w:rsidRDefault="00D70515" w:rsidP="00ED794A">
            <w:pPr>
              <w:pStyle w:val="NoSpacing"/>
              <w:rPr>
                <w:rFonts w:cs="Arial"/>
              </w:rPr>
            </w:pPr>
            <w:r w:rsidRPr="003A6F8A">
              <w:rPr>
                <w:rFonts w:cs="Arial"/>
                <w:b/>
              </w:rPr>
              <w:t>Applicable GEF Expected Outcomes:</w:t>
            </w:r>
            <w:r w:rsidRPr="003A6F8A">
              <w:rPr>
                <w:rFonts w:cs="Arial"/>
              </w:rPr>
              <w:t xml:space="preserve"> Outcomes A, B and C for accelerated adoption of innovative technologies, policy frameworks and financial mechanisms for GHG emission reductions</w:t>
            </w:r>
          </w:p>
        </w:tc>
      </w:tr>
      <w:tr w:rsidR="00D70515" w:rsidRPr="003A6F8A" w14:paraId="2D8FB107" w14:textId="77777777" w:rsidTr="00ED794A">
        <w:trPr>
          <w:jc w:val="center"/>
        </w:trPr>
        <w:tc>
          <w:tcPr>
            <w:tcW w:w="5000" w:type="pct"/>
            <w:gridSpan w:val="6"/>
          </w:tcPr>
          <w:p w14:paraId="01F47E14" w14:textId="77777777" w:rsidR="00D70515" w:rsidRDefault="00D70515" w:rsidP="00ED794A">
            <w:pPr>
              <w:pStyle w:val="NoSpacing"/>
              <w:rPr>
                <w:rFonts w:cs="Arial"/>
              </w:rPr>
            </w:pPr>
            <w:r w:rsidRPr="003A6F8A">
              <w:rPr>
                <w:rFonts w:cs="Arial"/>
                <w:b/>
              </w:rPr>
              <w:t>Applicable GEF Outcome Indicators:</w:t>
            </w:r>
            <w:r w:rsidRPr="003A6F8A">
              <w:rPr>
                <w:rFonts w:cs="Arial"/>
              </w:rPr>
              <w:t xml:space="preserve"> </w:t>
            </w:r>
          </w:p>
          <w:p w14:paraId="1B957945" w14:textId="77777777" w:rsidR="00D70515" w:rsidRDefault="00D70515" w:rsidP="00ED794A">
            <w:pPr>
              <w:pStyle w:val="NoSpacing"/>
              <w:rPr>
                <w:rFonts w:cs="Arial"/>
              </w:rPr>
            </w:pPr>
            <w:r w:rsidRPr="003A6F8A">
              <w:rPr>
                <w:rFonts w:cs="Arial"/>
              </w:rPr>
              <w:t>Market penetration of on-grid RE (% from renewables)</w:t>
            </w:r>
          </w:p>
          <w:p w14:paraId="505A01CB" w14:textId="77777777" w:rsidR="00D70515" w:rsidRDefault="00D70515" w:rsidP="00ED794A">
            <w:pPr>
              <w:pStyle w:val="NoSpacing"/>
              <w:rPr>
                <w:rFonts w:cs="Arial"/>
              </w:rPr>
            </w:pPr>
            <w:r w:rsidRPr="003A6F8A">
              <w:rPr>
                <w:rFonts w:cs="Arial"/>
              </w:rPr>
              <w:t>GHG emissions from electricity generation (tons CO</w:t>
            </w:r>
            <w:r w:rsidRPr="003A6F8A">
              <w:rPr>
                <w:rFonts w:cs="Arial"/>
                <w:vertAlign w:val="subscript"/>
              </w:rPr>
              <w:t>2eq</w:t>
            </w:r>
            <w:r w:rsidRPr="003A6F8A">
              <w:rPr>
                <w:rFonts w:cs="Arial"/>
              </w:rPr>
              <w:t>/kWh</w:t>
            </w:r>
            <w:r>
              <w:rPr>
                <w:rFonts w:cs="Arial"/>
              </w:rPr>
              <w:t xml:space="preserve"> and </w:t>
            </w:r>
            <w:r w:rsidRPr="003A6F8A">
              <w:rPr>
                <w:rFonts w:cs="Arial"/>
              </w:rPr>
              <w:t>$/tons CO</w:t>
            </w:r>
            <w:r w:rsidRPr="003A6F8A">
              <w:rPr>
                <w:rFonts w:cs="Arial"/>
                <w:vertAlign w:val="subscript"/>
              </w:rPr>
              <w:t>2eq</w:t>
            </w:r>
            <w:r>
              <w:rPr>
                <w:rFonts w:cs="Arial"/>
              </w:rPr>
              <w:t>)</w:t>
            </w:r>
          </w:p>
          <w:p w14:paraId="28039C4B" w14:textId="77777777" w:rsidR="00D70515" w:rsidRPr="003A6F8A" w:rsidRDefault="00D70515" w:rsidP="00ED794A">
            <w:pPr>
              <w:pStyle w:val="NoSpacing"/>
              <w:rPr>
                <w:rFonts w:cs="Arial"/>
              </w:rPr>
            </w:pPr>
            <w:r w:rsidRPr="003A6F8A">
              <w:rPr>
                <w:rFonts w:cs="Arial"/>
              </w:rPr>
              <w:t xml:space="preserve">no. </w:t>
            </w:r>
            <w:r>
              <w:rPr>
                <w:rFonts w:cs="Arial"/>
              </w:rPr>
              <w:t xml:space="preserve">of </w:t>
            </w:r>
            <w:r w:rsidRPr="003A6F8A">
              <w:rPr>
                <w:rFonts w:cs="Arial"/>
              </w:rPr>
              <w:t>jobs/beneficiaries</w:t>
            </w:r>
          </w:p>
        </w:tc>
      </w:tr>
      <w:tr w:rsidR="00ED794A" w:rsidRPr="003A6F8A" w14:paraId="1FAF07B8" w14:textId="77777777" w:rsidTr="00ED794A">
        <w:trPr>
          <w:trHeight w:val="395"/>
          <w:tblHeader/>
          <w:jc w:val="center"/>
        </w:trPr>
        <w:tc>
          <w:tcPr>
            <w:tcW w:w="656" w:type="pct"/>
            <w:shd w:val="pct12" w:color="auto" w:fill="auto"/>
          </w:tcPr>
          <w:p w14:paraId="69DC477F" w14:textId="77777777" w:rsidR="002369D0" w:rsidRPr="003A6F8A" w:rsidRDefault="002369D0" w:rsidP="00ED794A">
            <w:pPr>
              <w:spacing w:after="0" w:line="240" w:lineRule="auto"/>
              <w:jc w:val="center"/>
              <w:rPr>
                <w:rFonts w:cs="Arial"/>
                <w:b/>
                <w:bCs/>
                <w:sz w:val="18"/>
                <w:szCs w:val="18"/>
              </w:rPr>
            </w:pPr>
            <w:bookmarkStart w:id="57" w:name="_Toc299122845"/>
            <w:bookmarkStart w:id="58" w:name="_Toc299122867"/>
            <w:bookmarkStart w:id="59" w:name="_Toc299126631"/>
          </w:p>
        </w:tc>
        <w:tc>
          <w:tcPr>
            <w:tcW w:w="1192" w:type="pct"/>
            <w:shd w:val="pct12" w:color="auto" w:fill="auto"/>
          </w:tcPr>
          <w:p w14:paraId="42AFBA2A" w14:textId="77777777" w:rsidR="002369D0" w:rsidRPr="003A6F8A" w:rsidRDefault="002369D0" w:rsidP="00ED794A">
            <w:pPr>
              <w:spacing w:after="0" w:line="240" w:lineRule="auto"/>
              <w:jc w:val="center"/>
              <w:rPr>
                <w:rFonts w:cs="Arial"/>
                <w:b/>
                <w:bCs/>
                <w:sz w:val="18"/>
                <w:szCs w:val="18"/>
              </w:rPr>
            </w:pPr>
            <w:r w:rsidRPr="003A6F8A">
              <w:rPr>
                <w:rFonts w:cs="Arial"/>
                <w:b/>
                <w:bCs/>
                <w:sz w:val="18"/>
                <w:szCs w:val="18"/>
              </w:rPr>
              <w:t>Indicator</w:t>
            </w:r>
          </w:p>
        </w:tc>
        <w:tc>
          <w:tcPr>
            <w:tcW w:w="634" w:type="pct"/>
            <w:shd w:val="pct12" w:color="auto" w:fill="auto"/>
          </w:tcPr>
          <w:p w14:paraId="6A85ADBB" w14:textId="77777777" w:rsidR="002369D0" w:rsidRPr="003A6F8A" w:rsidRDefault="002369D0" w:rsidP="00ED794A">
            <w:pPr>
              <w:spacing w:after="0" w:line="240" w:lineRule="auto"/>
              <w:jc w:val="center"/>
              <w:rPr>
                <w:rFonts w:cs="Arial"/>
                <w:b/>
                <w:bCs/>
                <w:sz w:val="18"/>
                <w:szCs w:val="18"/>
              </w:rPr>
            </w:pPr>
            <w:r w:rsidRPr="003A6F8A">
              <w:rPr>
                <w:rFonts w:cs="Arial"/>
                <w:b/>
                <w:bCs/>
                <w:sz w:val="18"/>
                <w:szCs w:val="18"/>
              </w:rPr>
              <w:t>Baseline</w:t>
            </w:r>
          </w:p>
        </w:tc>
        <w:tc>
          <w:tcPr>
            <w:tcW w:w="645" w:type="pct"/>
            <w:shd w:val="pct12" w:color="auto" w:fill="auto"/>
          </w:tcPr>
          <w:p w14:paraId="2566BBEC" w14:textId="77777777" w:rsidR="002369D0" w:rsidRPr="003A6F8A" w:rsidRDefault="002369D0" w:rsidP="00ED794A">
            <w:pPr>
              <w:spacing w:after="0" w:line="240" w:lineRule="auto"/>
              <w:jc w:val="center"/>
              <w:rPr>
                <w:rFonts w:cs="Arial"/>
                <w:b/>
                <w:bCs/>
                <w:sz w:val="18"/>
                <w:szCs w:val="18"/>
              </w:rPr>
            </w:pPr>
            <w:r w:rsidRPr="003A6F8A">
              <w:rPr>
                <w:rFonts w:cs="Arial"/>
                <w:b/>
                <w:bCs/>
                <w:sz w:val="18"/>
                <w:szCs w:val="18"/>
              </w:rPr>
              <w:t xml:space="preserve">Targets </w:t>
            </w:r>
          </w:p>
          <w:p w14:paraId="7144102B" w14:textId="77777777" w:rsidR="002369D0" w:rsidRPr="003A6F8A" w:rsidRDefault="002369D0" w:rsidP="00ED794A">
            <w:pPr>
              <w:spacing w:after="0" w:line="240" w:lineRule="auto"/>
              <w:jc w:val="center"/>
              <w:rPr>
                <w:rFonts w:cs="Arial"/>
                <w:b/>
                <w:bCs/>
                <w:sz w:val="18"/>
                <w:szCs w:val="18"/>
              </w:rPr>
            </w:pPr>
            <w:r w:rsidRPr="003A6F8A">
              <w:rPr>
                <w:rFonts w:cs="Arial"/>
                <w:b/>
                <w:bCs/>
                <w:sz w:val="18"/>
                <w:szCs w:val="18"/>
              </w:rPr>
              <w:t>End of Project</w:t>
            </w:r>
          </w:p>
        </w:tc>
        <w:tc>
          <w:tcPr>
            <w:tcW w:w="1051" w:type="pct"/>
            <w:shd w:val="pct12" w:color="auto" w:fill="auto"/>
          </w:tcPr>
          <w:p w14:paraId="5B2D2DBE" w14:textId="77777777" w:rsidR="002369D0" w:rsidRPr="003A6F8A" w:rsidRDefault="002369D0" w:rsidP="00ED794A">
            <w:pPr>
              <w:spacing w:after="0" w:line="240" w:lineRule="auto"/>
              <w:jc w:val="center"/>
              <w:rPr>
                <w:rFonts w:cs="Arial"/>
                <w:b/>
                <w:bCs/>
                <w:sz w:val="18"/>
                <w:szCs w:val="18"/>
              </w:rPr>
            </w:pPr>
            <w:r w:rsidRPr="003A6F8A">
              <w:rPr>
                <w:rFonts w:cs="Arial"/>
                <w:b/>
                <w:bCs/>
                <w:sz w:val="18"/>
                <w:szCs w:val="18"/>
              </w:rPr>
              <w:t>Source of verification</w:t>
            </w:r>
          </w:p>
        </w:tc>
        <w:tc>
          <w:tcPr>
            <w:tcW w:w="822" w:type="pct"/>
            <w:shd w:val="pct12" w:color="auto" w:fill="auto"/>
          </w:tcPr>
          <w:p w14:paraId="6F40B00E" w14:textId="77777777" w:rsidR="002369D0" w:rsidRPr="003A6F8A" w:rsidRDefault="002369D0" w:rsidP="00ED794A">
            <w:pPr>
              <w:spacing w:after="0" w:line="240" w:lineRule="auto"/>
              <w:jc w:val="center"/>
              <w:rPr>
                <w:rFonts w:cs="Arial"/>
                <w:b/>
                <w:bCs/>
                <w:sz w:val="18"/>
                <w:szCs w:val="18"/>
              </w:rPr>
            </w:pPr>
            <w:r w:rsidRPr="003A6F8A">
              <w:rPr>
                <w:rFonts w:cs="Arial"/>
                <w:b/>
                <w:bCs/>
                <w:sz w:val="18"/>
                <w:szCs w:val="18"/>
              </w:rPr>
              <w:t>Assumptions</w:t>
            </w:r>
          </w:p>
        </w:tc>
      </w:tr>
      <w:tr w:rsidR="00ED794A" w:rsidRPr="003A6F8A" w14:paraId="295FBF06" w14:textId="77777777" w:rsidTr="00ED794A">
        <w:trPr>
          <w:jc w:val="center"/>
        </w:trPr>
        <w:tc>
          <w:tcPr>
            <w:tcW w:w="656" w:type="pct"/>
            <w:shd w:val="pct12" w:color="auto" w:fill="auto"/>
          </w:tcPr>
          <w:p w14:paraId="18C7D06C" w14:textId="77777777" w:rsidR="002369D0" w:rsidRPr="003A6F8A" w:rsidRDefault="002369D0" w:rsidP="00ED794A">
            <w:pPr>
              <w:spacing w:after="0" w:line="240" w:lineRule="auto"/>
              <w:rPr>
                <w:rFonts w:cs="Arial"/>
                <w:bCs/>
                <w:sz w:val="18"/>
                <w:szCs w:val="18"/>
              </w:rPr>
            </w:pPr>
            <w:r w:rsidRPr="003A6F8A">
              <w:rPr>
                <w:rFonts w:cs="Arial"/>
                <w:b/>
                <w:bCs/>
                <w:sz w:val="18"/>
                <w:szCs w:val="18"/>
              </w:rPr>
              <w:t xml:space="preserve">Project Objective: </w:t>
            </w:r>
            <w:r w:rsidRPr="003A6F8A">
              <w:rPr>
                <w:rFonts w:cs="Arial"/>
                <w:b/>
                <w:bCs/>
                <w:sz w:val="18"/>
                <w:szCs w:val="18"/>
                <w:vertAlign w:val="superscript"/>
              </w:rPr>
              <w:footnoteReference w:id="4"/>
            </w:r>
            <w:r w:rsidRPr="003A6F8A">
              <w:rPr>
                <w:rFonts w:cs="Arial"/>
                <w:b/>
                <w:bCs/>
                <w:sz w:val="18"/>
                <w:szCs w:val="18"/>
              </w:rPr>
              <w:t xml:space="preserve"> </w:t>
            </w:r>
            <w:r w:rsidRPr="003A6F8A">
              <w:rPr>
                <w:rFonts w:cs="Arial"/>
                <w:bCs/>
                <w:sz w:val="18"/>
                <w:szCs w:val="18"/>
              </w:rPr>
              <w:t>To accelerate the transition of Caribbean island economies from heavy dependence on fossil fuels to a diverse platform of RE/EE</w:t>
            </w:r>
          </w:p>
        </w:tc>
        <w:tc>
          <w:tcPr>
            <w:tcW w:w="1192" w:type="pct"/>
          </w:tcPr>
          <w:p w14:paraId="44938A03" w14:textId="77777777" w:rsidR="002369D0" w:rsidRPr="003A6F8A" w:rsidRDefault="002369D0" w:rsidP="002369D0">
            <w:pPr>
              <w:numPr>
                <w:ilvl w:val="0"/>
                <w:numId w:val="37"/>
              </w:numPr>
              <w:tabs>
                <w:tab w:val="clear" w:pos="360"/>
              </w:tabs>
              <w:spacing w:after="0" w:line="240" w:lineRule="auto"/>
              <w:ind w:left="225" w:hanging="225"/>
              <w:rPr>
                <w:rFonts w:cs="Arial"/>
                <w:bCs/>
                <w:sz w:val="18"/>
                <w:szCs w:val="18"/>
              </w:rPr>
            </w:pPr>
            <w:r w:rsidRPr="003A6F8A">
              <w:rPr>
                <w:rFonts w:cs="Arial"/>
                <w:bCs/>
                <w:sz w:val="18"/>
                <w:szCs w:val="18"/>
              </w:rPr>
              <w:t>Number of countries signed on the Ten Island Challenge</w:t>
            </w:r>
          </w:p>
          <w:p w14:paraId="6B227991" w14:textId="77777777" w:rsidR="002369D0" w:rsidRPr="003A6F8A" w:rsidRDefault="002369D0" w:rsidP="002369D0">
            <w:pPr>
              <w:numPr>
                <w:ilvl w:val="0"/>
                <w:numId w:val="37"/>
              </w:numPr>
              <w:tabs>
                <w:tab w:val="clear" w:pos="360"/>
              </w:tabs>
              <w:spacing w:after="0" w:line="240" w:lineRule="auto"/>
              <w:ind w:left="225" w:hanging="225"/>
              <w:rPr>
                <w:rFonts w:cs="Arial"/>
                <w:bCs/>
                <w:sz w:val="18"/>
                <w:szCs w:val="18"/>
              </w:rPr>
            </w:pPr>
            <w:r w:rsidRPr="003A6F8A">
              <w:rPr>
                <w:rFonts w:cs="Arial"/>
                <w:bCs/>
                <w:sz w:val="18"/>
                <w:szCs w:val="18"/>
              </w:rPr>
              <w:t>CO</w:t>
            </w:r>
            <w:r w:rsidRPr="003A6F8A">
              <w:rPr>
                <w:rFonts w:cs="Arial"/>
                <w:bCs/>
                <w:sz w:val="18"/>
                <w:szCs w:val="18"/>
                <w:vertAlign w:val="subscript"/>
              </w:rPr>
              <w:t>2</w:t>
            </w:r>
            <w:r w:rsidRPr="003A6F8A">
              <w:rPr>
                <w:rFonts w:cs="Arial"/>
                <w:bCs/>
                <w:sz w:val="18"/>
                <w:szCs w:val="18"/>
              </w:rPr>
              <w:t xml:space="preserve"> emission reductio</w:t>
            </w:r>
            <w:r>
              <w:rPr>
                <w:rFonts w:cs="Arial"/>
                <w:bCs/>
                <w:sz w:val="18"/>
                <w:szCs w:val="18"/>
              </w:rPr>
              <w:t>ns/year</w:t>
            </w:r>
          </w:p>
          <w:p w14:paraId="249E9FC5" w14:textId="77777777" w:rsidR="002369D0" w:rsidRPr="003A6F8A" w:rsidRDefault="002369D0" w:rsidP="002369D0">
            <w:pPr>
              <w:numPr>
                <w:ilvl w:val="0"/>
                <w:numId w:val="37"/>
              </w:numPr>
              <w:tabs>
                <w:tab w:val="clear" w:pos="360"/>
              </w:tabs>
              <w:spacing w:after="0" w:line="240" w:lineRule="auto"/>
              <w:ind w:left="225" w:hanging="225"/>
              <w:rPr>
                <w:rFonts w:cs="Arial"/>
                <w:bCs/>
                <w:sz w:val="18"/>
                <w:szCs w:val="18"/>
              </w:rPr>
            </w:pPr>
            <w:r w:rsidRPr="003A6F8A">
              <w:rPr>
                <w:rFonts w:cs="Arial"/>
                <w:bCs/>
                <w:sz w:val="18"/>
                <w:szCs w:val="18"/>
              </w:rPr>
              <w:t>% share of RE in the power generation mix of TIC countries</w:t>
            </w:r>
          </w:p>
        </w:tc>
        <w:tc>
          <w:tcPr>
            <w:tcW w:w="634" w:type="pct"/>
          </w:tcPr>
          <w:p w14:paraId="74641836" w14:textId="77777777" w:rsidR="002369D0" w:rsidRPr="003A6F8A" w:rsidRDefault="002369D0" w:rsidP="002369D0">
            <w:pPr>
              <w:numPr>
                <w:ilvl w:val="0"/>
                <w:numId w:val="37"/>
              </w:numPr>
              <w:tabs>
                <w:tab w:val="clear" w:pos="360"/>
              </w:tabs>
              <w:spacing w:after="0" w:line="240" w:lineRule="auto"/>
              <w:ind w:left="225" w:hanging="225"/>
              <w:rPr>
                <w:rFonts w:cs="Arial"/>
                <w:bCs/>
                <w:sz w:val="18"/>
                <w:szCs w:val="18"/>
              </w:rPr>
            </w:pPr>
            <w:r w:rsidRPr="003A6F8A">
              <w:rPr>
                <w:rFonts w:cs="Arial"/>
                <w:bCs/>
                <w:sz w:val="18"/>
                <w:szCs w:val="18"/>
              </w:rPr>
              <w:t>0</w:t>
            </w:r>
          </w:p>
          <w:p w14:paraId="3F01D30B" w14:textId="77777777" w:rsidR="002369D0" w:rsidRPr="003A6F8A" w:rsidRDefault="002369D0" w:rsidP="00ED794A">
            <w:pPr>
              <w:spacing w:after="0" w:line="240" w:lineRule="auto"/>
              <w:rPr>
                <w:rFonts w:cs="Arial"/>
                <w:bCs/>
                <w:sz w:val="18"/>
                <w:szCs w:val="18"/>
              </w:rPr>
            </w:pPr>
          </w:p>
          <w:p w14:paraId="440A178D" w14:textId="77777777" w:rsidR="002369D0" w:rsidRPr="003A6F8A" w:rsidRDefault="002369D0" w:rsidP="002369D0">
            <w:pPr>
              <w:numPr>
                <w:ilvl w:val="0"/>
                <w:numId w:val="37"/>
              </w:numPr>
              <w:tabs>
                <w:tab w:val="clear" w:pos="360"/>
              </w:tabs>
              <w:spacing w:after="0" w:line="240" w:lineRule="auto"/>
              <w:ind w:left="225" w:hanging="225"/>
              <w:rPr>
                <w:rFonts w:cs="Arial"/>
                <w:bCs/>
                <w:sz w:val="18"/>
                <w:szCs w:val="18"/>
              </w:rPr>
            </w:pPr>
            <w:r w:rsidRPr="003A6F8A">
              <w:rPr>
                <w:rFonts w:cs="Arial"/>
                <w:bCs/>
                <w:sz w:val="18"/>
                <w:szCs w:val="18"/>
              </w:rPr>
              <w:t>0</w:t>
            </w:r>
          </w:p>
          <w:p w14:paraId="52364BCC" w14:textId="77777777" w:rsidR="002369D0" w:rsidRPr="003A6F8A" w:rsidRDefault="002369D0" w:rsidP="002369D0">
            <w:pPr>
              <w:numPr>
                <w:ilvl w:val="0"/>
                <w:numId w:val="37"/>
              </w:numPr>
              <w:tabs>
                <w:tab w:val="clear" w:pos="360"/>
              </w:tabs>
              <w:spacing w:after="0" w:line="240" w:lineRule="auto"/>
              <w:ind w:left="225" w:hanging="225"/>
              <w:rPr>
                <w:rFonts w:cs="Arial"/>
                <w:bCs/>
                <w:sz w:val="18"/>
                <w:szCs w:val="18"/>
              </w:rPr>
            </w:pPr>
            <w:r w:rsidRPr="003A6F8A">
              <w:rPr>
                <w:rFonts w:cs="Arial"/>
                <w:bCs/>
                <w:sz w:val="18"/>
                <w:szCs w:val="18"/>
              </w:rPr>
              <w:t>1-7%</w:t>
            </w:r>
            <w:r w:rsidRPr="003A6F8A">
              <w:rPr>
                <w:rStyle w:val="FootnoteReference"/>
                <w:rFonts w:cs="Arial"/>
                <w:bCs/>
              </w:rPr>
              <w:footnoteReference w:id="5"/>
            </w:r>
            <w:r w:rsidRPr="003A6F8A">
              <w:rPr>
                <w:rFonts w:cs="Arial"/>
                <w:bCs/>
                <w:sz w:val="18"/>
                <w:szCs w:val="18"/>
              </w:rPr>
              <w:t xml:space="preserve"> </w:t>
            </w:r>
          </w:p>
        </w:tc>
        <w:tc>
          <w:tcPr>
            <w:tcW w:w="645" w:type="pct"/>
          </w:tcPr>
          <w:p w14:paraId="0806A735" w14:textId="77777777" w:rsidR="002369D0" w:rsidRPr="003A6F8A" w:rsidRDefault="002369D0" w:rsidP="002369D0">
            <w:pPr>
              <w:numPr>
                <w:ilvl w:val="0"/>
                <w:numId w:val="37"/>
              </w:numPr>
              <w:tabs>
                <w:tab w:val="clear" w:pos="360"/>
              </w:tabs>
              <w:spacing w:after="0" w:line="240" w:lineRule="auto"/>
              <w:ind w:left="225" w:hanging="225"/>
              <w:rPr>
                <w:rFonts w:cs="Arial"/>
                <w:bCs/>
                <w:sz w:val="18"/>
                <w:szCs w:val="18"/>
              </w:rPr>
            </w:pPr>
            <w:r w:rsidRPr="003A6F8A">
              <w:rPr>
                <w:rFonts w:cs="Arial"/>
                <w:bCs/>
                <w:sz w:val="18"/>
                <w:szCs w:val="18"/>
              </w:rPr>
              <w:t>10</w:t>
            </w:r>
          </w:p>
          <w:p w14:paraId="0249446B" w14:textId="77777777" w:rsidR="002369D0" w:rsidRPr="003A6F8A" w:rsidRDefault="002369D0" w:rsidP="00ED794A">
            <w:pPr>
              <w:spacing w:after="0" w:line="240" w:lineRule="auto"/>
              <w:ind w:left="225"/>
              <w:rPr>
                <w:rFonts w:cs="Arial"/>
                <w:bCs/>
                <w:sz w:val="18"/>
                <w:szCs w:val="18"/>
              </w:rPr>
            </w:pPr>
          </w:p>
          <w:p w14:paraId="4FD27E22" w14:textId="77777777" w:rsidR="002369D0" w:rsidRPr="003A6F8A" w:rsidRDefault="002369D0" w:rsidP="002369D0">
            <w:pPr>
              <w:numPr>
                <w:ilvl w:val="0"/>
                <w:numId w:val="37"/>
              </w:numPr>
              <w:tabs>
                <w:tab w:val="clear" w:pos="360"/>
              </w:tabs>
              <w:spacing w:after="0" w:line="240" w:lineRule="auto"/>
              <w:ind w:left="225" w:hanging="225"/>
              <w:rPr>
                <w:rFonts w:cs="Arial"/>
                <w:bCs/>
                <w:sz w:val="18"/>
                <w:szCs w:val="18"/>
              </w:rPr>
            </w:pPr>
            <w:r>
              <w:rPr>
                <w:rFonts w:cs="Arial"/>
                <w:bCs/>
                <w:sz w:val="18"/>
                <w:szCs w:val="18"/>
              </w:rPr>
              <w:t>137</w:t>
            </w:r>
            <w:r w:rsidRPr="003A6F8A">
              <w:rPr>
                <w:rFonts w:cs="Arial"/>
                <w:bCs/>
                <w:sz w:val="18"/>
                <w:szCs w:val="18"/>
              </w:rPr>
              <w:t xml:space="preserve"> ktCO</w:t>
            </w:r>
            <w:r w:rsidRPr="003A6F8A">
              <w:rPr>
                <w:rFonts w:cs="Arial"/>
                <w:bCs/>
                <w:sz w:val="18"/>
                <w:szCs w:val="18"/>
                <w:vertAlign w:val="subscript"/>
              </w:rPr>
              <w:t>2</w:t>
            </w:r>
          </w:p>
          <w:p w14:paraId="593DC036" w14:textId="77777777" w:rsidR="002369D0" w:rsidRPr="003A6F8A" w:rsidRDefault="002369D0" w:rsidP="002369D0">
            <w:pPr>
              <w:numPr>
                <w:ilvl w:val="0"/>
                <w:numId w:val="37"/>
              </w:numPr>
              <w:tabs>
                <w:tab w:val="clear" w:pos="360"/>
              </w:tabs>
              <w:spacing w:after="0" w:line="240" w:lineRule="auto"/>
              <w:ind w:left="225" w:hanging="225"/>
              <w:rPr>
                <w:rFonts w:cs="Arial"/>
                <w:bCs/>
                <w:sz w:val="18"/>
                <w:szCs w:val="18"/>
              </w:rPr>
            </w:pPr>
            <w:r w:rsidRPr="003A6F8A">
              <w:rPr>
                <w:rFonts w:cs="Arial"/>
                <w:bCs/>
                <w:sz w:val="18"/>
                <w:szCs w:val="18"/>
              </w:rPr>
              <w:t>20-50%</w:t>
            </w:r>
            <w:r w:rsidRPr="003A6F8A">
              <w:rPr>
                <w:rStyle w:val="FootnoteReference"/>
                <w:rFonts w:cs="Arial"/>
                <w:bCs/>
              </w:rPr>
              <w:footnoteReference w:id="6"/>
            </w:r>
          </w:p>
        </w:tc>
        <w:tc>
          <w:tcPr>
            <w:tcW w:w="1051" w:type="pct"/>
          </w:tcPr>
          <w:p w14:paraId="3103AAA4" w14:textId="77777777" w:rsidR="002369D0" w:rsidRDefault="002369D0" w:rsidP="002369D0">
            <w:pPr>
              <w:numPr>
                <w:ilvl w:val="0"/>
                <w:numId w:val="37"/>
              </w:numPr>
              <w:tabs>
                <w:tab w:val="clear" w:pos="360"/>
              </w:tabs>
              <w:spacing w:after="0" w:line="240" w:lineRule="auto"/>
              <w:ind w:left="225" w:hanging="225"/>
              <w:rPr>
                <w:rFonts w:cs="Arial"/>
                <w:bCs/>
                <w:sz w:val="18"/>
                <w:szCs w:val="18"/>
              </w:rPr>
            </w:pPr>
            <w:r w:rsidRPr="003A6F8A">
              <w:rPr>
                <w:rFonts w:cs="Arial"/>
                <w:bCs/>
                <w:sz w:val="18"/>
                <w:szCs w:val="18"/>
              </w:rPr>
              <w:t xml:space="preserve">Project final report </w:t>
            </w:r>
          </w:p>
          <w:p w14:paraId="74B612F1" w14:textId="77777777" w:rsidR="002369D0" w:rsidRDefault="002369D0" w:rsidP="002369D0">
            <w:pPr>
              <w:numPr>
                <w:ilvl w:val="0"/>
                <w:numId w:val="37"/>
              </w:numPr>
              <w:tabs>
                <w:tab w:val="clear" w:pos="360"/>
              </w:tabs>
              <w:spacing w:after="0" w:line="240" w:lineRule="auto"/>
              <w:ind w:left="225" w:hanging="225"/>
              <w:rPr>
                <w:rFonts w:cs="Arial"/>
                <w:bCs/>
                <w:sz w:val="18"/>
                <w:szCs w:val="18"/>
              </w:rPr>
            </w:pPr>
            <w:r>
              <w:rPr>
                <w:rFonts w:cs="Arial"/>
                <w:bCs/>
                <w:sz w:val="18"/>
                <w:szCs w:val="18"/>
              </w:rPr>
              <w:t>A</w:t>
            </w:r>
            <w:r w:rsidRPr="003A6F8A">
              <w:rPr>
                <w:rFonts w:cs="Arial"/>
                <w:bCs/>
                <w:sz w:val="18"/>
                <w:szCs w:val="18"/>
              </w:rPr>
              <w:t xml:space="preserve">nnual surveys of energy consumption </w:t>
            </w:r>
            <w:r>
              <w:rPr>
                <w:rFonts w:cs="Arial"/>
                <w:bCs/>
                <w:sz w:val="18"/>
                <w:szCs w:val="18"/>
              </w:rPr>
              <w:t>and</w:t>
            </w:r>
            <w:r w:rsidRPr="003A6F8A">
              <w:rPr>
                <w:rFonts w:cs="Arial"/>
                <w:bCs/>
                <w:sz w:val="18"/>
                <w:szCs w:val="18"/>
              </w:rPr>
              <w:t xml:space="preserve"> reductions for each RE project</w:t>
            </w:r>
          </w:p>
          <w:p w14:paraId="08019EB1" w14:textId="77777777" w:rsidR="002369D0" w:rsidRDefault="002369D0" w:rsidP="002369D0">
            <w:pPr>
              <w:numPr>
                <w:ilvl w:val="0"/>
                <w:numId w:val="37"/>
              </w:numPr>
              <w:tabs>
                <w:tab w:val="clear" w:pos="360"/>
              </w:tabs>
              <w:spacing w:after="0" w:line="240" w:lineRule="auto"/>
              <w:ind w:left="225" w:hanging="225"/>
              <w:rPr>
                <w:rFonts w:cs="Arial"/>
                <w:bCs/>
                <w:sz w:val="18"/>
                <w:szCs w:val="18"/>
              </w:rPr>
            </w:pPr>
            <w:r>
              <w:rPr>
                <w:rFonts w:cs="Arial"/>
                <w:bCs/>
                <w:sz w:val="18"/>
                <w:szCs w:val="18"/>
              </w:rPr>
              <w:t>Electric utility reports on grid penetration</w:t>
            </w:r>
          </w:p>
          <w:p w14:paraId="41319895" w14:textId="77777777" w:rsidR="002369D0" w:rsidRPr="003A6F8A" w:rsidRDefault="002369D0" w:rsidP="002369D0">
            <w:pPr>
              <w:numPr>
                <w:ilvl w:val="0"/>
                <w:numId w:val="37"/>
              </w:numPr>
              <w:tabs>
                <w:tab w:val="clear" w:pos="360"/>
              </w:tabs>
              <w:spacing w:after="0" w:line="240" w:lineRule="auto"/>
              <w:ind w:left="225" w:hanging="225"/>
              <w:rPr>
                <w:rFonts w:cs="Arial"/>
                <w:bCs/>
                <w:sz w:val="18"/>
                <w:szCs w:val="18"/>
              </w:rPr>
            </w:pPr>
            <w:r>
              <w:rPr>
                <w:rFonts w:cs="Arial"/>
                <w:bCs/>
                <w:sz w:val="18"/>
                <w:szCs w:val="18"/>
              </w:rPr>
              <w:t>GHG inventories</w:t>
            </w:r>
          </w:p>
        </w:tc>
        <w:tc>
          <w:tcPr>
            <w:tcW w:w="822" w:type="pct"/>
          </w:tcPr>
          <w:p w14:paraId="26B77362" w14:textId="77777777" w:rsidR="002369D0" w:rsidRPr="003A6F8A" w:rsidRDefault="002369D0" w:rsidP="002369D0">
            <w:pPr>
              <w:numPr>
                <w:ilvl w:val="0"/>
                <w:numId w:val="37"/>
              </w:numPr>
              <w:tabs>
                <w:tab w:val="clear" w:pos="360"/>
              </w:tabs>
              <w:spacing w:after="0" w:line="240" w:lineRule="auto"/>
              <w:ind w:left="225" w:hanging="225"/>
              <w:rPr>
                <w:rFonts w:cs="Arial"/>
                <w:bCs/>
                <w:sz w:val="18"/>
                <w:szCs w:val="18"/>
              </w:rPr>
            </w:pPr>
            <w:r w:rsidRPr="003A6F8A">
              <w:rPr>
                <w:rFonts w:cs="Arial"/>
                <w:sz w:val="18"/>
                <w:szCs w:val="18"/>
              </w:rPr>
              <w:t>Economic growth across islands will continue</w:t>
            </w:r>
          </w:p>
          <w:p w14:paraId="66D2359D" w14:textId="77777777" w:rsidR="002369D0" w:rsidRPr="003A6F8A" w:rsidRDefault="002369D0" w:rsidP="002369D0">
            <w:pPr>
              <w:numPr>
                <w:ilvl w:val="0"/>
                <w:numId w:val="37"/>
              </w:numPr>
              <w:tabs>
                <w:tab w:val="clear" w:pos="360"/>
              </w:tabs>
              <w:spacing w:after="0" w:line="240" w:lineRule="auto"/>
              <w:ind w:left="225" w:hanging="225"/>
              <w:rPr>
                <w:rFonts w:cs="Arial"/>
                <w:bCs/>
                <w:sz w:val="18"/>
                <w:szCs w:val="18"/>
              </w:rPr>
            </w:pPr>
            <w:r w:rsidRPr="003A6F8A">
              <w:rPr>
                <w:rFonts w:cs="Arial"/>
                <w:sz w:val="18"/>
                <w:szCs w:val="18"/>
              </w:rPr>
              <w:t>Island-wide government support for renewables development and utilization will not change</w:t>
            </w:r>
          </w:p>
        </w:tc>
      </w:tr>
      <w:tr w:rsidR="00ED794A" w:rsidRPr="003A6F8A" w14:paraId="2FCCFF21" w14:textId="77777777" w:rsidTr="00ED794A">
        <w:trPr>
          <w:jc w:val="center"/>
        </w:trPr>
        <w:tc>
          <w:tcPr>
            <w:tcW w:w="656" w:type="pct"/>
            <w:shd w:val="pct12" w:color="auto" w:fill="auto"/>
          </w:tcPr>
          <w:p w14:paraId="59300DBD" w14:textId="77777777" w:rsidR="002369D0" w:rsidRDefault="002369D0" w:rsidP="00ED794A">
            <w:pPr>
              <w:spacing w:after="0" w:line="240" w:lineRule="auto"/>
              <w:rPr>
                <w:rFonts w:cs="Arial"/>
                <w:b/>
                <w:bCs/>
                <w:sz w:val="18"/>
                <w:szCs w:val="18"/>
              </w:rPr>
            </w:pPr>
            <w:r w:rsidRPr="003A6F8A">
              <w:rPr>
                <w:rFonts w:cs="Arial"/>
                <w:b/>
                <w:bCs/>
                <w:sz w:val="18"/>
                <w:szCs w:val="18"/>
              </w:rPr>
              <w:t xml:space="preserve">Outcome 1: </w:t>
            </w:r>
            <w:r w:rsidRPr="003A6F8A">
              <w:rPr>
                <w:rStyle w:val="FootnoteReference"/>
                <w:rFonts w:cs="Arial"/>
                <w:b/>
                <w:bCs/>
              </w:rPr>
              <w:footnoteReference w:id="7"/>
            </w:r>
            <w:r w:rsidRPr="003A6F8A">
              <w:rPr>
                <w:rFonts w:cs="Arial"/>
                <w:b/>
                <w:bCs/>
                <w:sz w:val="18"/>
                <w:szCs w:val="18"/>
              </w:rPr>
              <w:t xml:space="preserve"> </w:t>
            </w:r>
          </w:p>
          <w:p w14:paraId="238BED38" w14:textId="77777777" w:rsidR="002369D0" w:rsidRDefault="002369D0" w:rsidP="00ED794A">
            <w:pPr>
              <w:spacing w:after="0" w:line="240" w:lineRule="auto"/>
              <w:rPr>
                <w:rFonts w:cs="Arial"/>
                <w:bCs/>
                <w:sz w:val="18"/>
                <w:szCs w:val="18"/>
              </w:rPr>
            </w:pPr>
            <w:r w:rsidRPr="003A6F8A">
              <w:rPr>
                <w:rFonts w:cs="Arial"/>
                <w:bCs/>
                <w:sz w:val="18"/>
                <w:szCs w:val="18"/>
                <w:u w:val="single"/>
              </w:rPr>
              <w:t>Policy De-risking Measures</w:t>
            </w:r>
            <w:r w:rsidRPr="003A6F8A">
              <w:rPr>
                <w:rFonts w:cs="Arial"/>
                <w:bCs/>
                <w:sz w:val="18"/>
                <w:szCs w:val="18"/>
              </w:rPr>
              <w:t xml:space="preserve"> </w:t>
            </w:r>
          </w:p>
          <w:p w14:paraId="4A1843DA" w14:textId="77777777" w:rsidR="002369D0" w:rsidRDefault="002369D0" w:rsidP="00ED794A">
            <w:pPr>
              <w:spacing w:after="0" w:line="240" w:lineRule="auto"/>
              <w:rPr>
                <w:rFonts w:cs="Arial"/>
                <w:bCs/>
                <w:sz w:val="18"/>
                <w:szCs w:val="18"/>
              </w:rPr>
            </w:pPr>
          </w:p>
          <w:p w14:paraId="1FEFD91D" w14:textId="77777777" w:rsidR="002369D0" w:rsidRPr="003A6F8A" w:rsidRDefault="002369D0" w:rsidP="00ED794A">
            <w:pPr>
              <w:spacing w:after="0" w:line="240" w:lineRule="auto"/>
              <w:rPr>
                <w:rFonts w:cs="Arial"/>
                <w:bCs/>
                <w:sz w:val="18"/>
                <w:szCs w:val="18"/>
              </w:rPr>
            </w:pPr>
            <w:r w:rsidRPr="003A6F8A">
              <w:rPr>
                <w:rFonts w:cs="Arial"/>
                <w:bCs/>
                <w:sz w:val="18"/>
                <w:szCs w:val="18"/>
              </w:rPr>
              <w:t xml:space="preserve">Island-wide de-risked enabling environment for low </w:t>
            </w:r>
            <w:proofErr w:type="gramStart"/>
            <w:r w:rsidRPr="003A6F8A">
              <w:rPr>
                <w:rFonts w:cs="Arial"/>
                <w:bCs/>
                <w:sz w:val="18"/>
                <w:szCs w:val="18"/>
              </w:rPr>
              <w:t>GHG  development</w:t>
            </w:r>
            <w:proofErr w:type="gramEnd"/>
            <w:r w:rsidRPr="003A6F8A">
              <w:rPr>
                <w:rFonts w:cs="Arial"/>
                <w:bCs/>
                <w:sz w:val="18"/>
                <w:szCs w:val="18"/>
              </w:rPr>
              <w:t xml:space="preserve"> through </w:t>
            </w:r>
            <w:r w:rsidRPr="003A6F8A">
              <w:rPr>
                <w:rFonts w:cs="Arial"/>
                <w:bCs/>
                <w:sz w:val="18"/>
                <w:szCs w:val="18"/>
              </w:rPr>
              <w:lastRenderedPageBreak/>
              <w:t>innovative policy tools</w:t>
            </w:r>
          </w:p>
        </w:tc>
        <w:tc>
          <w:tcPr>
            <w:tcW w:w="1192" w:type="pct"/>
          </w:tcPr>
          <w:p w14:paraId="4F68FBFC" w14:textId="77777777" w:rsidR="002369D0" w:rsidRDefault="002369D0" w:rsidP="002369D0">
            <w:pPr>
              <w:numPr>
                <w:ilvl w:val="0"/>
                <w:numId w:val="35"/>
              </w:numPr>
              <w:tabs>
                <w:tab w:val="clear" w:pos="360"/>
                <w:tab w:val="num" w:pos="252"/>
              </w:tabs>
              <w:spacing w:after="0" w:line="240" w:lineRule="auto"/>
              <w:ind w:left="252" w:hanging="252"/>
              <w:rPr>
                <w:rFonts w:cs="Arial"/>
                <w:sz w:val="18"/>
                <w:szCs w:val="18"/>
              </w:rPr>
            </w:pPr>
            <w:r w:rsidRPr="003A6F8A">
              <w:rPr>
                <w:rFonts w:cs="Arial"/>
                <w:sz w:val="18"/>
                <w:szCs w:val="18"/>
              </w:rPr>
              <w:lastRenderedPageBreak/>
              <w:t xml:space="preserve">Number of RE/EE strategies and assessments with specific targets </w:t>
            </w:r>
          </w:p>
          <w:p w14:paraId="0997D335" w14:textId="77777777" w:rsidR="002369D0" w:rsidRPr="00DA4C0A" w:rsidRDefault="002369D0" w:rsidP="002369D0">
            <w:pPr>
              <w:numPr>
                <w:ilvl w:val="0"/>
                <w:numId w:val="35"/>
              </w:numPr>
              <w:tabs>
                <w:tab w:val="clear" w:pos="360"/>
                <w:tab w:val="num" w:pos="252"/>
              </w:tabs>
              <w:spacing w:after="0" w:line="240" w:lineRule="auto"/>
              <w:ind w:left="252" w:hanging="252"/>
              <w:rPr>
                <w:rFonts w:cs="Arial"/>
                <w:sz w:val="12"/>
                <w:szCs w:val="18"/>
              </w:rPr>
            </w:pPr>
            <w:r w:rsidRPr="00DA4C0A">
              <w:rPr>
                <w:sz w:val="18"/>
              </w:rPr>
              <w:t xml:space="preserve">Number of countries where implementation of comprehensive measures </w:t>
            </w:r>
            <w:r>
              <w:rPr>
                <w:sz w:val="18"/>
              </w:rPr>
              <w:t>(</w:t>
            </w:r>
            <w:r w:rsidRPr="00DA4C0A">
              <w:rPr>
                <w:sz w:val="18"/>
              </w:rPr>
              <w:t>plans, strategies, policies, programmes and budgets</w:t>
            </w:r>
            <w:r>
              <w:rPr>
                <w:sz w:val="18"/>
              </w:rPr>
              <w:t>)</w:t>
            </w:r>
            <w:r w:rsidRPr="00DA4C0A">
              <w:rPr>
                <w:sz w:val="18"/>
              </w:rPr>
              <w:t xml:space="preserve"> to achieve low-emission and climate-resilient </w:t>
            </w:r>
            <w:r w:rsidRPr="00DA4C0A">
              <w:rPr>
                <w:sz w:val="18"/>
              </w:rPr>
              <w:lastRenderedPageBreak/>
              <w:t>development objectives have improved</w:t>
            </w:r>
            <w:r>
              <w:rPr>
                <w:sz w:val="18"/>
              </w:rPr>
              <w:t xml:space="preserve"> (SP 1.4.2)</w:t>
            </w:r>
          </w:p>
          <w:p w14:paraId="208E57DF" w14:textId="77777777" w:rsidR="002369D0" w:rsidRDefault="002369D0" w:rsidP="002369D0">
            <w:pPr>
              <w:numPr>
                <w:ilvl w:val="0"/>
                <w:numId w:val="35"/>
              </w:numPr>
              <w:tabs>
                <w:tab w:val="clear" w:pos="360"/>
                <w:tab w:val="num" w:pos="252"/>
              </w:tabs>
              <w:spacing w:after="0" w:line="240" w:lineRule="auto"/>
              <w:ind w:left="252" w:hanging="252"/>
              <w:rPr>
                <w:rFonts w:cs="Arial"/>
                <w:sz w:val="18"/>
                <w:szCs w:val="18"/>
              </w:rPr>
            </w:pPr>
            <w:r w:rsidRPr="003A6F8A">
              <w:rPr>
                <w:rFonts w:cs="Arial"/>
                <w:sz w:val="18"/>
                <w:szCs w:val="18"/>
              </w:rPr>
              <w:t>Number of islands applying the de-risking method, resource conservation measures and Ten Island Challenge tools</w:t>
            </w:r>
          </w:p>
          <w:p w14:paraId="0FCDC1A8" w14:textId="77777777" w:rsidR="002369D0" w:rsidRPr="003A6F8A" w:rsidRDefault="002369D0" w:rsidP="002369D0">
            <w:pPr>
              <w:numPr>
                <w:ilvl w:val="0"/>
                <w:numId w:val="35"/>
              </w:numPr>
              <w:tabs>
                <w:tab w:val="clear" w:pos="360"/>
                <w:tab w:val="num" w:pos="252"/>
              </w:tabs>
              <w:spacing w:after="0" w:line="240" w:lineRule="auto"/>
              <w:ind w:left="252" w:hanging="252"/>
              <w:rPr>
                <w:rFonts w:cs="Arial"/>
                <w:sz w:val="18"/>
                <w:szCs w:val="18"/>
              </w:rPr>
            </w:pPr>
            <w:r>
              <w:rPr>
                <w:rFonts w:cs="Arial"/>
                <w:sz w:val="18"/>
                <w:szCs w:val="18"/>
              </w:rPr>
              <w:t xml:space="preserve">Number of Resource Conservation Measures (RCMs) modelled for health </w:t>
            </w:r>
            <w:proofErr w:type="spellStart"/>
            <w:r>
              <w:rPr>
                <w:rFonts w:cs="Arial"/>
                <w:sz w:val="18"/>
                <w:szCs w:val="18"/>
              </w:rPr>
              <w:t>centres</w:t>
            </w:r>
            <w:proofErr w:type="spellEnd"/>
          </w:p>
        </w:tc>
        <w:tc>
          <w:tcPr>
            <w:tcW w:w="634" w:type="pct"/>
          </w:tcPr>
          <w:p w14:paraId="638B13FC" w14:textId="77777777" w:rsidR="002369D0" w:rsidRPr="003A6F8A" w:rsidRDefault="002369D0" w:rsidP="002369D0">
            <w:pPr>
              <w:numPr>
                <w:ilvl w:val="0"/>
                <w:numId w:val="35"/>
              </w:numPr>
              <w:spacing w:after="0" w:line="240" w:lineRule="auto"/>
              <w:rPr>
                <w:rFonts w:cs="Arial"/>
                <w:sz w:val="18"/>
                <w:szCs w:val="18"/>
              </w:rPr>
            </w:pPr>
            <w:r w:rsidRPr="003A6F8A">
              <w:rPr>
                <w:rFonts w:cs="Arial"/>
                <w:sz w:val="18"/>
                <w:szCs w:val="18"/>
              </w:rPr>
              <w:lastRenderedPageBreak/>
              <w:t>0</w:t>
            </w:r>
          </w:p>
          <w:p w14:paraId="698A8F19" w14:textId="77777777" w:rsidR="002369D0" w:rsidRDefault="002369D0" w:rsidP="00ED794A">
            <w:pPr>
              <w:spacing w:after="0" w:line="240" w:lineRule="auto"/>
              <w:rPr>
                <w:rFonts w:cs="Arial"/>
                <w:sz w:val="18"/>
                <w:szCs w:val="18"/>
              </w:rPr>
            </w:pPr>
          </w:p>
          <w:p w14:paraId="03A0A926" w14:textId="77777777" w:rsidR="002369D0" w:rsidRPr="003A6F8A" w:rsidRDefault="002369D0" w:rsidP="00ED794A">
            <w:pPr>
              <w:spacing w:after="0" w:line="240" w:lineRule="auto"/>
              <w:rPr>
                <w:rFonts w:cs="Arial"/>
                <w:sz w:val="18"/>
                <w:szCs w:val="18"/>
              </w:rPr>
            </w:pPr>
          </w:p>
          <w:p w14:paraId="4585BBF8" w14:textId="77777777" w:rsidR="002369D0" w:rsidRDefault="002369D0" w:rsidP="002369D0">
            <w:pPr>
              <w:numPr>
                <w:ilvl w:val="0"/>
                <w:numId w:val="35"/>
              </w:numPr>
              <w:spacing w:after="0" w:line="240" w:lineRule="auto"/>
              <w:rPr>
                <w:rFonts w:cs="Arial"/>
                <w:sz w:val="18"/>
                <w:szCs w:val="18"/>
              </w:rPr>
            </w:pPr>
            <w:r w:rsidRPr="003A6F8A">
              <w:rPr>
                <w:rFonts w:cs="Arial"/>
                <w:sz w:val="18"/>
                <w:szCs w:val="18"/>
              </w:rPr>
              <w:t>0</w:t>
            </w:r>
          </w:p>
          <w:p w14:paraId="3688F688" w14:textId="77777777" w:rsidR="002369D0" w:rsidRDefault="002369D0" w:rsidP="00ED794A">
            <w:pPr>
              <w:pStyle w:val="ListParagraph"/>
              <w:rPr>
                <w:rFonts w:cs="Arial"/>
                <w:sz w:val="18"/>
                <w:szCs w:val="18"/>
              </w:rPr>
            </w:pPr>
          </w:p>
          <w:p w14:paraId="3F66864A" w14:textId="77777777" w:rsidR="002369D0" w:rsidRDefault="002369D0" w:rsidP="00ED794A">
            <w:pPr>
              <w:pStyle w:val="ListParagraph"/>
              <w:rPr>
                <w:rFonts w:cs="Arial"/>
                <w:sz w:val="18"/>
                <w:szCs w:val="18"/>
              </w:rPr>
            </w:pPr>
          </w:p>
          <w:p w14:paraId="5B3A9847" w14:textId="77777777" w:rsidR="002369D0" w:rsidRDefault="002369D0" w:rsidP="00ED794A">
            <w:pPr>
              <w:pStyle w:val="ListParagraph"/>
              <w:rPr>
                <w:rFonts w:cs="Arial"/>
                <w:sz w:val="18"/>
                <w:szCs w:val="18"/>
              </w:rPr>
            </w:pPr>
          </w:p>
          <w:p w14:paraId="71F0BC00" w14:textId="77777777" w:rsidR="002369D0" w:rsidRDefault="002369D0" w:rsidP="00ED794A">
            <w:pPr>
              <w:pStyle w:val="ListParagraph"/>
              <w:rPr>
                <w:rFonts w:cs="Arial"/>
                <w:sz w:val="18"/>
                <w:szCs w:val="18"/>
              </w:rPr>
            </w:pPr>
          </w:p>
          <w:p w14:paraId="3B692E88" w14:textId="77777777" w:rsidR="002369D0" w:rsidRDefault="002369D0" w:rsidP="00ED794A">
            <w:pPr>
              <w:pStyle w:val="ListParagraph"/>
              <w:rPr>
                <w:rFonts w:cs="Arial"/>
                <w:sz w:val="18"/>
                <w:szCs w:val="18"/>
              </w:rPr>
            </w:pPr>
          </w:p>
          <w:p w14:paraId="4D2AEBDA" w14:textId="77777777" w:rsidR="002369D0" w:rsidRPr="003A6F8A" w:rsidRDefault="002369D0" w:rsidP="002369D0">
            <w:pPr>
              <w:numPr>
                <w:ilvl w:val="0"/>
                <w:numId w:val="35"/>
              </w:numPr>
              <w:spacing w:after="0" w:line="240" w:lineRule="auto"/>
              <w:rPr>
                <w:rFonts w:cs="Arial"/>
                <w:sz w:val="18"/>
                <w:szCs w:val="18"/>
              </w:rPr>
            </w:pPr>
            <w:r>
              <w:rPr>
                <w:rFonts w:cs="Arial"/>
                <w:sz w:val="18"/>
                <w:szCs w:val="18"/>
              </w:rPr>
              <w:t>0</w:t>
            </w:r>
          </w:p>
          <w:p w14:paraId="02A6D8E0" w14:textId="77777777" w:rsidR="002369D0" w:rsidRDefault="002369D0" w:rsidP="00ED794A">
            <w:pPr>
              <w:spacing w:after="0" w:line="240" w:lineRule="auto"/>
              <w:rPr>
                <w:rFonts w:cs="Arial"/>
                <w:sz w:val="18"/>
                <w:szCs w:val="18"/>
              </w:rPr>
            </w:pPr>
          </w:p>
          <w:p w14:paraId="55DAB236" w14:textId="77777777" w:rsidR="002369D0" w:rsidRDefault="002369D0" w:rsidP="00ED794A">
            <w:pPr>
              <w:spacing w:after="0" w:line="240" w:lineRule="auto"/>
              <w:rPr>
                <w:rFonts w:cs="Arial"/>
                <w:sz w:val="18"/>
                <w:szCs w:val="18"/>
              </w:rPr>
            </w:pPr>
          </w:p>
          <w:p w14:paraId="41F39B3C" w14:textId="77777777" w:rsidR="002369D0" w:rsidRDefault="002369D0" w:rsidP="00ED794A">
            <w:pPr>
              <w:spacing w:after="0" w:line="240" w:lineRule="auto"/>
              <w:rPr>
                <w:rFonts w:cs="Arial"/>
                <w:sz w:val="18"/>
                <w:szCs w:val="18"/>
              </w:rPr>
            </w:pPr>
          </w:p>
          <w:p w14:paraId="39972091" w14:textId="77777777" w:rsidR="002369D0" w:rsidRPr="003E2F1E" w:rsidRDefault="002369D0" w:rsidP="002369D0">
            <w:pPr>
              <w:pStyle w:val="ListParagraph"/>
              <w:numPr>
                <w:ilvl w:val="0"/>
                <w:numId w:val="38"/>
              </w:numPr>
              <w:spacing w:before="0" w:after="0" w:line="240" w:lineRule="auto"/>
              <w:contextualSpacing w:val="0"/>
              <w:rPr>
                <w:rFonts w:cs="Arial"/>
                <w:sz w:val="18"/>
                <w:szCs w:val="18"/>
              </w:rPr>
            </w:pPr>
            <w:r>
              <w:rPr>
                <w:rFonts w:cs="Arial"/>
                <w:sz w:val="18"/>
                <w:szCs w:val="18"/>
              </w:rPr>
              <w:t>0</w:t>
            </w:r>
          </w:p>
        </w:tc>
        <w:tc>
          <w:tcPr>
            <w:tcW w:w="645" w:type="pct"/>
          </w:tcPr>
          <w:p w14:paraId="75C9375C" w14:textId="77777777" w:rsidR="002369D0" w:rsidRPr="003A6F8A" w:rsidRDefault="002369D0" w:rsidP="002369D0">
            <w:pPr>
              <w:numPr>
                <w:ilvl w:val="0"/>
                <w:numId w:val="33"/>
              </w:numPr>
              <w:tabs>
                <w:tab w:val="num" w:pos="267"/>
              </w:tabs>
              <w:spacing w:after="0" w:line="240" w:lineRule="auto"/>
              <w:ind w:left="267" w:hanging="267"/>
              <w:rPr>
                <w:rFonts w:cs="Arial"/>
                <w:sz w:val="18"/>
                <w:szCs w:val="18"/>
              </w:rPr>
            </w:pPr>
            <w:r>
              <w:rPr>
                <w:rFonts w:cs="Arial"/>
                <w:sz w:val="18"/>
                <w:szCs w:val="18"/>
              </w:rPr>
              <w:lastRenderedPageBreak/>
              <w:t>5</w:t>
            </w:r>
          </w:p>
          <w:p w14:paraId="435DB8B6" w14:textId="77777777" w:rsidR="002369D0" w:rsidRDefault="002369D0" w:rsidP="00ED794A">
            <w:pPr>
              <w:spacing w:after="0" w:line="240" w:lineRule="auto"/>
              <w:rPr>
                <w:rFonts w:cs="Arial"/>
                <w:sz w:val="18"/>
                <w:szCs w:val="18"/>
              </w:rPr>
            </w:pPr>
          </w:p>
          <w:p w14:paraId="7D83F45B" w14:textId="77777777" w:rsidR="002369D0" w:rsidRPr="003A6F8A" w:rsidRDefault="002369D0" w:rsidP="00ED794A">
            <w:pPr>
              <w:spacing w:after="0" w:line="240" w:lineRule="auto"/>
              <w:rPr>
                <w:rFonts w:cs="Arial"/>
                <w:sz w:val="18"/>
                <w:szCs w:val="18"/>
              </w:rPr>
            </w:pPr>
          </w:p>
          <w:p w14:paraId="4A4249E2" w14:textId="77777777" w:rsidR="002369D0" w:rsidRDefault="002369D0" w:rsidP="002369D0">
            <w:pPr>
              <w:numPr>
                <w:ilvl w:val="0"/>
                <w:numId w:val="33"/>
              </w:numPr>
              <w:tabs>
                <w:tab w:val="num" w:pos="267"/>
              </w:tabs>
              <w:spacing w:after="0" w:line="240" w:lineRule="auto"/>
              <w:ind w:left="267" w:hanging="267"/>
              <w:rPr>
                <w:rFonts w:cs="Arial"/>
                <w:sz w:val="18"/>
                <w:szCs w:val="18"/>
              </w:rPr>
            </w:pPr>
            <w:r>
              <w:rPr>
                <w:rFonts w:cs="Arial"/>
                <w:sz w:val="18"/>
                <w:szCs w:val="18"/>
              </w:rPr>
              <w:t>7</w:t>
            </w:r>
          </w:p>
          <w:p w14:paraId="6C1942A2" w14:textId="77777777" w:rsidR="002369D0" w:rsidRDefault="002369D0" w:rsidP="00ED794A">
            <w:pPr>
              <w:pStyle w:val="ListParagraph"/>
              <w:rPr>
                <w:rFonts w:cs="Arial"/>
                <w:sz w:val="18"/>
                <w:szCs w:val="18"/>
              </w:rPr>
            </w:pPr>
          </w:p>
          <w:p w14:paraId="201E3165" w14:textId="77777777" w:rsidR="002369D0" w:rsidRDefault="002369D0" w:rsidP="00ED794A">
            <w:pPr>
              <w:pStyle w:val="ListParagraph"/>
              <w:rPr>
                <w:rFonts w:cs="Arial"/>
                <w:sz w:val="18"/>
                <w:szCs w:val="18"/>
              </w:rPr>
            </w:pPr>
          </w:p>
          <w:p w14:paraId="4159C2F0" w14:textId="77777777" w:rsidR="002369D0" w:rsidRDefault="002369D0" w:rsidP="00ED794A">
            <w:pPr>
              <w:pStyle w:val="ListParagraph"/>
              <w:rPr>
                <w:rFonts w:cs="Arial"/>
                <w:sz w:val="18"/>
                <w:szCs w:val="18"/>
              </w:rPr>
            </w:pPr>
          </w:p>
          <w:p w14:paraId="2B984376" w14:textId="77777777" w:rsidR="002369D0" w:rsidRDefault="002369D0" w:rsidP="00ED794A">
            <w:pPr>
              <w:pStyle w:val="ListParagraph"/>
              <w:rPr>
                <w:rFonts w:cs="Arial"/>
                <w:sz w:val="18"/>
                <w:szCs w:val="18"/>
              </w:rPr>
            </w:pPr>
          </w:p>
          <w:p w14:paraId="0B60CA48" w14:textId="77777777" w:rsidR="002369D0" w:rsidRDefault="002369D0" w:rsidP="00ED794A">
            <w:pPr>
              <w:pStyle w:val="ListParagraph"/>
              <w:rPr>
                <w:rFonts w:cs="Arial"/>
                <w:sz w:val="18"/>
                <w:szCs w:val="18"/>
              </w:rPr>
            </w:pPr>
          </w:p>
          <w:p w14:paraId="1B3CD96A" w14:textId="77777777" w:rsidR="002369D0" w:rsidRPr="003A6F8A" w:rsidRDefault="002369D0" w:rsidP="002369D0">
            <w:pPr>
              <w:numPr>
                <w:ilvl w:val="0"/>
                <w:numId w:val="33"/>
              </w:numPr>
              <w:tabs>
                <w:tab w:val="num" w:pos="267"/>
              </w:tabs>
              <w:spacing w:after="0" w:line="240" w:lineRule="auto"/>
              <w:ind w:left="267" w:hanging="267"/>
              <w:rPr>
                <w:rFonts w:cs="Arial"/>
                <w:sz w:val="18"/>
                <w:szCs w:val="18"/>
              </w:rPr>
            </w:pPr>
            <w:r>
              <w:rPr>
                <w:rFonts w:cs="Arial"/>
                <w:sz w:val="18"/>
                <w:szCs w:val="18"/>
              </w:rPr>
              <w:t>5</w:t>
            </w:r>
          </w:p>
          <w:p w14:paraId="086D8643" w14:textId="77777777" w:rsidR="002369D0" w:rsidRDefault="002369D0" w:rsidP="00ED794A">
            <w:pPr>
              <w:spacing w:after="0" w:line="240" w:lineRule="auto"/>
              <w:rPr>
                <w:rFonts w:cs="Arial"/>
                <w:sz w:val="18"/>
                <w:szCs w:val="18"/>
              </w:rPr>
            </w:pPr>
          </w:p>
          <w:p w14:paraId="6CC46824" w14:textId="77777777" w:rsidR="002369D0" w:rsidRDefault="002369D0" w:rsidP="00ED794A">
            <w:pPr>
              <w:spacing w:after="0" w:line="240" w:lineRule="auto"/>
              <w:rPr>
                <w:rFonts w:cs="Arial"/>
                <w:sz w:val="18"/>
                <w:szCs w:val="18"/>
              </w:rPr>
            </w:pPr>
          </w:p>
          <w:p w14:paraId="45DC28EF" w14:textId="77777777" w:rsidR="002369D0" w:rsidRDefault="002369D0" w:rsidP="00ED794A">
            <w:pPr>
              <w:spacing w:after="0" w:line="240" w:lineRule="auto"/>
              <w:rPr>
                <w:rFonts w:cs="Arial"/>
                <w:sz w:val="18"/>
                <w:szCs w:val="18"/>
              </w:rPr>
            </w:pPr>
          </w:p>
          <w:p w14:paraId="2A1B3C68" w14:textId="77777777" w:rsidR="002369D0" w:rsidRPr="003E2F1E" w:rsidRDefault="002369D0" w:rsidP="002369D0">
            <w:pPr>
              <w:pStyle w:val="ListParagraph"/>
              <w:numPr>
                <w:ilvl w:val="0"/>
                <w:numId w:val="38"/>
              </w:numPr>
              <w:spacing w:before="0" w:after="0" w:line="240" w:lineRule="auto"/>
              <w:contextualSpacing w:val="0"/>
              <w:rPr>
                <w:rFonts w:cs="Arial"/>
                <w:sz w:val="18"/>
                <w:szCs w:val="18"/>
              </w:rPr>
            </w:pPr>
            <w:r>
              <w:rPr>
                <w:rFonts w:cs="Arial"/>
                <w:sz w:val="18"/>
                <w:szCs w:val="18"/>
              </w:rPr>
              <w:t>12</w:t>
            </w:r>
          </w:p>
        </w:tc>
        <w:tc>
          <w:tcPr>
            <w:tcW w:w="1051" w:type="pct"/>
          </w:tcPr>
          <w:p w14:paraId="71E9249D" w14:textId="77777777" w:rsidR="002369D0" w:rsidRPr="003A6F8A" w:rsidRDefault="002369D0" w:rsidP="002369D0">
            <w:pPr>
              <w:numPr>
                <w:ilvl w:val="0"/>
                <w:numId w:val="33"/>
              </w:numPr>
              <w:tabs>
                <w:tab w:val="num" w:pos="267"/>
              </w:tabs>
              <w:spacing w:after="0" w:line="240" w:lineRule="auto"/>
              <w:ind w:left="267" w:hanging="267"/>
              <w:rPr>
                <w:rFonts w:cs="Arial"/>
                <w:sz w:val="18"/>
                <w:szCs w:val="18"/>
              </w:rPr>
            </w:pPr>
            <w:r>
              <w:rPr>
                <w:rFonts w:cs="Arial"/>
                <w:sz w:val="18"/>
                <w:szCs w:val="18"/>
              </w:rPr>
              <w:lastRenderedPageBreak/>
              <w:t>Gender responsive s</w:t>
            </w:r>
            <w:r w:rsidRPr="003A6F8A">
              <w:rPr>
                <w:rFonts w:cs="Arial"/>
                <w:sz w:val="18"/>
                <w:szCs w:val="18"/>
              </w:rPr>
              <w:t xml:space="preserve">tudies/assessments of </w:t>
            </w:r>
            <w:r>
              <w:rPr>
                <w:rFonts w:cs="Arial"/>
                <w:sz w:val="18"/>
                <w:szCs w:val="18"/>
              </w:rPr>
              <w:t>d</w:t>
            </w:r>
            <w:r w:rsidRPr="003A6F8A">
              <w:rPr>
                <w:rFonts w:cs="Arial"/>
                <w:sz w:val="18"/>
                <w:szCs w:val="18"/>
              </w:rPr>
              <w:t>e-risking RE/EE investment options</w:t>
            </w:r>
          </w:p>
          <w:p w14:paraId="182E9C24" w14:textId="77777777" w:rsidR="002369D0" w:rsidRDefault="002369D0" w:rsidP="002369D0">
            <w:pPr>
              <w:numPr>
                <w:ilvl w:val="0"/>
                <w:numId w:val="33"/>
              </w:numPr>
              <w:tabs>
                <w:tab w:val="num" w:pos="267"/>
              </w:tabs>
              <w:spacing w:after="0" w:line="240" w:lineRule="auto"/>
              <w:ind w:left="267" w:hanging="267"/>
              <w:rPr>
                <w:rFonts w:cs="Arial"/>
                <w:sz w:val="18"/>
                <w:szCs w:val="18"/>
              </w:rPr>
            </w:pPr>
            <w:r w:rsidRPr="003A6F8A">
              <w:rPr>
                <w:rFonts w:cs="Arial"/>
                <w:sz w:val="18"/>
                <w:szCs w:val="18"/>
              </w:rPr>
              <w:t>Annual project reviews of key performance indicators</w:t>
            </w:r>
          </w:p>
          <w:p w14:paraId="4F28C35B" w14:textId="77777777" w:rsidR="002369D0" w:rsidRPr="003A6F8A" w:rsidRDefault="002369D0" w:rsidP="002369D0">
            <w:pPr>
              <w:numPr>
                <w:ilvl w:val="0"/>
                <w:numId w:val="33"/>
              </w:numPr>
              <w:tabs>
                <w:tab w:val="num" w:pos="267"/>
              </w:tabs>
              <w:spacing w:after="0" w:line="240" w:lineRule="auto"/>
              <w:ind w:left="267" w:hanging="267"/>
              <w:rPr>
                <w:rFonts w:cs="Arial"/>
                <w:sz w:val="18"/>
                <w:szCs w:val="18"/>
              </w:rPr>
            </w:pPr>
            <w:r>
              <w:rPr>
                <w:rFonts w:cs="Arial"/>
                <w:sz w:val="18"/>
                <w:szCs w:val="18"/>
              </w:rPr>
              <w:t>Gender responsive national policy or planning documents</w:t>
            </w:r>
          </w:p>
        </w:tc>
        <w:tc>
          <w:tcPr>
            <w:tcW w:w="822" w:type="pct"/>
          </w:tcPr>
          <w:p w14:paraId="69DB4F53" w14:textId="77777777" w:rsidR="002369D0" w:rsidRPr="003A6F8A" w:rsidRDefault="002369D0" w:rsidP="002369D0">
            <w:pPr>
              <w:numPr>
                <w:ilvl w:val="0"/>
                <w:numId w:val="33"/>
              </w:numPr>
              <w:tabs>
                <w:tab w:val="num" w:pos="290"/>
              </w:tabs>
              <w:spacing w:after="0" w:line="240" w:lineRule="auto"/>
              <w:ind w:left="316" w:hanging="316"/>
              <w:rPr>
                <w:rFonts w:cs="Arial"/>
                <w:sz w:val="18"/>
                <w:szCs w:val="18"/>
              </w:rPr>
            </w:pPr>
            <w:r w:rsidRPr="003A6F8A">
              <w:rPr>
                <w:rFonts w:cs="Arial"/>
                <w:sz w:val="18"/>
                <w:szCs w:val="18"/>
              </w:rPr>
              <w:t>Island-wide support for policy reform to promote RE continues</w:t>
            </w:r>
          </w:p>
          <w:p w14:paraId="1D7F181E" w14:textId="77777777" w:rsidR="002369D0" w:rsidRPr="003A6F8A" w:rsidRDefault="002369D0" w:rsidP="002369D0">
            <w:pPr>
              <w:numPr>
                <w:ilvl w:val="0"/>
                <w:numId w:val="33"/>
              </w:numPr>
              <w:tabs>
                <w:tab w:val="num" w:pos="290"/>
              </w:tabs>
              <w:spacing w:after="0" w:line="240" w:lineRule="auto"/>
              <w:ind w:left="316" w:hanging="316"/>
              <w:rPr>
                <w:rFonts w:cs="Arial"/>
                <w:sz w:val="18"/>
                <w:szCs w:val="18"/>
              </w:rPr>
            </w:pPr>
            <w:r w:rsidRPr="003A6F8A">
              <w:rPr>
                <w:rFonts w:cs="Arial"/>
                <w:sz w:val="18"/>
                <w:szCs w:val="18"/>
              </w:rPr>
              <w:t>Technical capacity to apply tools does not delay adoption of RE policy measures</w:t>
            </w:r>
          </w:p>
        </w:tc>
      </w:tr>
      <w:tr w:rsidR="00ED794A" w:rsidRPr="003A6F8A" w14:paraId="5883E818" w14:textId="77777777" w:rsidTr="00ED794A">
        <w:trPr>
          <w:jc w:val="center"/>
        </w:trPr>
        <w:tc>
          <w:tcPr>
            <w:tcW w:w="656" w:type="pct"/>
            <w:shd w:val="pct12" w:color="auto" w:fill="auto"/>
          </w:tcPr>
          <w:p w14:paraId="666472B9" w14:textId="77777777" w:rsidR="002369D0" w:rsidRDefault="002369D0" w:rsidP="00ED794A">
            <w:pPr>
              <w:spacing w:after="0" w:line="240" w:lineRule="auto"/>
              <w:rPr>
                <w:rFonts w:cs="Arial"/>
                <w:b/>
                <w:bCs/>
                <w:sz w:val="18"/>
                <w:szCs w:val="18"/>
              </w:rPr>
            </w:pPr>
            <w:r w:rsidRPr="003A6F8A">
              <w:rPr>
                <w:rFonts w:cs="Arial"/>
                <w:b/>
                <w:bCs/>
                <w:sz w:val="18"/>
                <w:szCs w:val="18"/>
              </w:rPr>
              <w:t xml:space="preserve">Outcome 2: </w:t>
            </w:r>
          </w:p>
          <w:p w14:paraId="369205F7" w14:textId="77777777" w:rsidR="002369D0" w:rsidRDefault="002369D0" w:rsidP="00ED794A">
            <w:pPr>
              <w:spacing w:after="0" w:line="240" w:lineRule="auto"/>
              <w:rPr>
                <w:rFonts w:cs="Arial"/>
                <w:bCs/>
                <w:sz w:val="18"/>
                <w:szCs w:val="18"/>
              </w:rPr>
            </w:pPr>
            <w:r w:rsidRPr="003A6F8A">
              <w:rPr>
                <w:rFonts w:cs="Arial"/>
                <w:bCs/>
                <w:sz w:val="18"/>
                <w:szCs w:val="18"/>
                <w:u w:val="single"/>
              </w:rPr>
              <w:t>Institutional and Technical Capacity</w:t>
            </w:r>
            <w:r w:rsidRPr="003A6F8A">
              <w:rPr>
                <w:rFonts w:cs="Arial"/>
                <w:bCs/>
                <w:sz w:val="18"/>
                <w:szCs w:val="18"/>
              </w:rPr>
              <w:t xml:space="preserve"> </w:t>
            </w:r>
          </w:p>
          <w:p w14:paraId="1AFB97A5" w14:textId="77777777" w:rsidR="002369D0" w:rsidRDefault="002369D0" w:rsidP="00ED794A">
            <w:pPr>
              <w:spacing w:after="0" w:line="240" w:lineRule="auto"/>
              <w:rPr>
                <w:rFonts w:cs="Arial"/>
                <w:bCs/>
                <w:sz w:val="18"/>
                <w:szCs w:val="18"/>
              </w:rPr>
            </w:pPr>
          </w:p>
          <w:p w14:paraId="40F55049" w14:textId="77777777" w:rsidR="002369D0" w:rsidRPr="003A6F8A" w:rsidRDefault="002369D0" w:rsidP="00ED794A">
            <w:pPr>
              <w:spacing w:after="0" w:line="240" w:lineRule="auto"/>
              <w:rPr>
                <w:rFonts w:cs="Arial"/>
                <w:bCs/>
                <w:sz w:val="18"/>
                <w:szCs w:val="18"/>
              </w:rPr>
            </w:pPr>
            <w:r w:rsidRPr="003A6F8A">
              <w:rPr>
                <w:rFonts w:cs="Arial"/>
                <w:bCs/>
                <w:sz w:val="18"/>
                <w:szCs w:val="18"/>
              </w:rPr>
              <w:t>Strengthened island capacity for integrated low GHG technical and operational planning and coordination</w:t>
            </w:r>
          </w:p>
        </w:tc>
        <w:tc>
          <w:tcPr>
            <w:tcW w:w="1192" w:type="pct"/>
          </w:tcPr>
          <w:p w14:paraId="1E15D4F7" w14:textId="77777777" w:rsidR="002369D0" w:rsidRPr="003A6F8A" w:rsidRDefault="002369D0" w:rsidP="002369D0">
            <w:pPr>
              <w:numPr>
                <w:ilvl w:val="0"/>
                <w:numId w:val="34"/>
              </w:numPr>
              <w:tabs>
                <w:tab w:val="clear" w:pos="360"/>
                <w:tab w:val="num" w:pos="225"/>
              </w:tabs>
              <w:spacing w:after="0" w:line="240" w:lineRule="auto"/>
              <w:ind w:left="230" w:hanging="230"/>
              <w:rPr>
                <w:rFonts w:cs="Arial"/>
                <w:sz w:val="18"/>
                <w:szCs w:val="18"/>
              </w:rPr>
            </w:pPr>
            <w:r w:rsidRPr="003A6F8A">
              <w:rPr>
                <w:rFonts w:cs="Arial"/>
                <w:sz w:val="18"/>
                <w:szCs w:val="18"/>
              </w:rPr>
              <w:t xml:space="preserve">Number of stakeholder partnerships active in </w:t>
            </w:r>
            <w:r>
              <w:rPr>
                <w:rFonts w:cs="Arial"/>
                <w:sz w:val="18"/>
                <w:szCs w:val="18"/>
              </w:rPr>
              <w:t xml:space="preserve">Ten </w:t>
            </w:r>
            <w:r w:rsidRPr="003A6F8A">
              <w:rPr>
                <w:rFonts w:cs="Arial"/>
                <w:sz w:val="18"/>
                <w:szCs w:val="18"/>
              </w:rPr>
              <w:t>Island Challenge KM platforms</w:t>
            </w:r>
            <w:r>
              <w:rPr>
                <w:rFonts w:cs="Arial"/>
                <w:sz w:val="18"/>
                <w:szCs w:val="18"/>
              </w:rPr>
              <w:t xml:space="preserve"> disaggregated by sex, by age and by rural and urban</w:t>
            </w:r>
          </w:p>
          <w:p w14:paraId="4697D668" w14:textId="77777777" w:rsidR="002369D0" w:rsidRPr="003A6F8A" w:rsidRDefault="002369D0" w:rsidP="002369D0">
            <w:pPr>
              <w:numPr>
                <w:ilvl w:val="0"/>
                <w:numId w:val="34"/>
              </w:numPr>
              <w:tabs>
                <w:tab w:val="clear" w:pos="360"/>
                <w:tab w:val="num" w:pos="225"/>
              </w:tabs>
              <w:spacing w:after="0" w:line="240" w:lineRule="auto"/>
              <w:ind w:left="230" w:hanging="230"/>
              <w:rPr>
                <w:rFonts w:cs="Arial"/>
                <w:sz w:val="18"/>
                <w:szCs w:val="18"/>
              </w:rPr>
            </w:pPr>
            <w:r w:rsidRPr="003A6F8A">
              <w:rPr>
                <w:rFonts w:cs="Arial"/>
                <w:sz w:val="18"/>
                <w:szCs w:val="18"/>
              </w:rPr>
              <w:t xml:space="preserve">Number of local counterparts </w:t>
            </w:r>
            <w:r>
              <w:rPr>
                <w:rFonts w:cs="Arial"/>
                <w:sz w:val="18"/>
                <w:szCs w:val="18"/>
              </w:rPr>
              <w:t xml:space="preserve">with improved </w:t>
            </w:r>
            <w:r w:rsidRPr="003A6F8A">
              <w:rPr>
                <w:rFonts w:cs="Arial"/>
                <w:sz w:val="18"/>
                <w:szCs w:val="18"/>
              </w:rPr>
              <w:t>capacit</w:t>
            </w:r>
            <w:r>
              <w:rPr>
                <w:rFonts w:cs="Arial"/>
                <w:sz w:val="18"/>
                <w:szCs w:val="18"/>
              </w:rPr>
              <w:t>y</w:t>
            </w:r>
            <w:r w:rsidRPr="003A6F8A">
              <w:rPr>
                <w:rFonts w:cs="Arial"/>
                <w:sz w:val="18"/>
                <w:szCs w:val="18"/>
              </w:rPr>
              <w:t xml:space="preserve"> to partake in RE/EE developments</w:t>
            </w:r>
            <w:r>
              <w:rPr>
                <w:rFonts w:cs="Arial"/>
                <w:sz w:val="18"/>
                <w:szCs w:val="18"/>
              </w:rPr>
              <w:t xml:space="preserve"> disaggregated by sex, by age and by rural and urban</w:t>
            </w:r>
          </w:p>
        </w:tc>
        <w:tc>
          <w:tcPr>
            <w:tcW w:w="634" w:type="pct"/>
          </w:tcPr>
          <w:p w14:paraId="4A0922FB" w14:textId="77777777" w:rsidR="002369D0" w:rsidRPr="003A6F8A" w:rsidRDefault="002369D0" w:rsidP="002369D0">
            <w:pPr>
              <w:numPr>
                <w:ilvl w:val="0"/>
                <w:numId w:val="34"/>
              </w:numPr>
              <w:spacing w:after="0" w:line="240" w:lineRule="auto"/>
              <w:ind w:left="230" w:hanging="230"/>
              <w:rPr>
                <w:rFonts w:cs="Arial"/>
                <w:bCs/>
                <w:sz w:val="18"/>
                <w:szCs w:val="18"/>
              </w:rPr>
            </w:pPr>
            <w:r w:rsidRPr="003A6F8A">
              <w:rPr>
                <w:rFonts w:cs="Arial"/>
                <w:bCs/>
                <w:sz w:val="18"/>
                <w:szCs w:val="18"/>
              </w:rPr>
              <w:t>0</w:t>
            </w:r>
          </w:p>
          <w:p w14:paraId="5B8FD0CC" w14:textId="77777777" w:rsidR="002369D0" w:rsidRPr="003A6F8A" w:rsidRDefault="002369D0" w:rsidP="00ED794A">
            <w:pPr>
              <w:spacing w:after="0" w:line="240" w:lineRule="auto"/>
              <w:rPr>
                <w:rFonts w:cs="Arial"/>
                <w:bCs/>
                <w:sz w:val="18"/>
                <w:szCs w:val="18"/>
              </w:rPr>
            </w:pPr>
          </w:p>
          <w:p w14:paraId="374A053E" w14:textId="77777777" w:rsidR="002369D0" w:rsidRPr="003A6F8A" w:rsidRDefault="002369D0" w:rsidP="002369D0">
            <w:pPr>
              <w:numPr>
                <w:ilvl w:val="0"/>
                <w:numId w:val="34"/>
              </w:numPr>
              <w:spacing w:after="0" w:line="240" w:lineRule="auto"/>
              <w:ind w:left="230" w:hanging="230"/>
              <w:rPr>
                <w:rFonts w:cs="Arial"/>
                <w:bCs/>
                <w:sz w:val="18"/>
                <w:szCs w:val="18"/>
              </w:rPr>
            </w:pPr>
            <w:r w:rsidRPr="003A6F8A">
              <w:rPr>
                <w:rFonts w:cs="Arial"/>
                <w:bCs/>
                <w:sz w:val="18"/>
                <w:szCs w:val="18"/>
              </w:rPr>
              <w:t>10-50</w:t>
            </w:r>
            <w:r w:rsidRPr="003A6F8A">
              <w:rPr>
                <w:rStyle w:val="FootnoteReference"/>
                <w:rFonts w:cs="Arial"/>
                <w:bCs/>
              </w:rPr>
              <w:footnoteReference w:id="8"/>
            </w:r>
          </w:p>
          <w:p w14:paraId="2DB7DAEA" w14:textId="77777777" w:rsidR="002369D0" w:rsidRPr="003A6F8A" w:rsidRDefault="002369D0" w:rsidP="00ED794A">
            <w:pPr>
              <w:spacing w:after="0" w:line="240" w:lineRule="auto"/>
              <w:rPr>
                <w:rFonts w:cs="Arial"/>
                <w:bCs/>
                <w:sz w:val="18"/>
                <w:szCs w:val="18"/>
              </w:rPr>
            </w:pPr>
          </w:p>
        </w:tc>
        <w:tc>
          <w:tcPr>
            <w:tcW w:w="645" w:type="pct"/>
          </w:tcPr>
          <w:p w14:paraId="0156101D" w14:textId="77777777" w:rsidR="002369D0" w:rsidRPr="003A6F8A" w:rsidRDefault="002369D0" w:rsidP="002369D0">
            <w:pPr>
              <w:numPr>
                <w:ilvl w:val="0"/>
                <w:numId w:val="34"/>
              </w:numPr>
              <w:tabs>
                <w:tab w:val="clear" w:pos="360"/>
                <w:tab w:val="num" w:pos="225"/>
              </w:tabs>
              <w:spacing w:after="0" w:line="240" w:lineRule="auto"/>
              <w:ind w:left="230" w:hanging="230"/>
              <w:rPr>
                <w:rFonts w:cs="Arial"/>
                <w:sz w:val="18"/>
                <w:szCs w:val="18"/>
              </w:rPr>
            </w:pPr>
            <w:r w:rsidRPr="003A6F8A">
              <w:rPr>
                <w:rFonts w:cs="Arial"/>
                <w:sz w:val="18"/>
                <w:szCs w:val="18"/>
              </w:rPr>
              <w:t>2</w:t>
            </w:r>
          </w:p>
          <w:p w14:paraId="5DB4D87D" w14:textId="77777777" w:rsidR="002369D0" w:rsidRPr="003A6F8A" w:rsidRDefault="002369D0" w:rsidP="00ED794A">
            <w:pPr>
              <w:spacing w:after="0" w:line="240" w:lineRule="auto"/>
              <w:rPr>
                <w:rFonts w:cs="Arial"/>
                <w:sz w:val="18"/>
                <w:szCs w:val="18"/>
              </w:rPr>
            </w:pPr>
          </w:p>
          <w:p w14:paraId="7DE216D6" w14:textId="77777777" w:rsidR="002369D0" w:rsidRPr="003A6F8A" w:rsidRDefault="002369D0" w:rsidP="002369D0">
            <w:pPr>
              <w:numPr>
                <w:ilvl w:val="0"/>
                <w:numId w:val="34"/>
              </w:numPr>
              <w:tabs>
                <w:tab w:val="clear" w:pos="360"/>
                <w:tab w:val="num" w:pos="225"/>
              </w:tabs>
              <w:spacing w:after="0" w:line="240" w:lineRule="auto"/>
              <w:ind w:left="230" w:hanging="230"/>
              <w:rPr>
                <w:rFonts w:cs="Arial"/>
                <w:sz w:val="18"/>
                <w:szCs w:val="18"/>
              </w:rPr>
            </w:pPr>
            <w:r>
              <w:rPr>
                <w:rFonts w:cs="Arial"/>
                <w:sz w:val="18"/>
                <w:szCs w:val="18"/>
              </w:rPr>
              <w:t>300-800</w:t>
            </w:r>
          </w:p>
        </w:tc>
        <w:tc>
          <w:tcPr>
            <w:tcW w:w="1051" w:type="pct"/>
          </w:tcPr>
          <w:p w14:paraId="65931CD5" w14:textId="77777777" w:rsidR="002369D0" w:rsidRPr="003A6F8A" w:rsidRDefault="002369D0" w:rsidP="002369D0">
            <w:pPr>
              <w:numPr>
                <w:ilvl w:val="0"/>
                <w:numId w:val="33"/>
              </w:numPr>
              <w:tabs>
                <w:tab w:val="num" w:pos="316"/>
              </w:tabs>
              <w:spacing w:after="0" w:line="240" w:lineRule="auto"/>
              <w:ind w:left="316" w:hanging="316"/>
              <w:rPr>
                <w:rFonts w:cs="Arial"/>
                <w:sz w:val="18"/>
                <w:szCs w:val="18"/>
              </w:rPr>
            </w:pPr>
            <w:r>
              <w:rPr>
                <w:rFonts w:cs="Arial"/>
                <w:sz w:val="18"/>
                <w:szCs w:val="18"/>
              </w:rPr>
              <w:t>Gender responsive w</w:t>
            </w:r>
            <w:r w:rsidRPr="003A6F8A">
              <w:rPr>
                <w:rFonts w:cs="Arial"/>
                <w:sz w:val="18"/>
                <w:szCs w:val="18"/>
              </w:rPr>
              <w:t>orkshop and seminar proceedings</w:t>
            </w:r>
          </w:p>
          <w:p w14:paraId="57C5F26A" w14:textId="77777777" w:rsidR="002369D0" w:rsidRPr="003A6F8A" w:rsidRDefault="002369D0" w:rsidP="002369D0">
            <w:pPr>
              <w:numPr>
                <w:ilvl w:val="0"/>
                <w:numId w:val="33"/>
              </w:numPr>
              <w:tabs>
                <w:tab w:val="clear" w:pos="360"/>
              </w:tabs>
              <w:spacing w:after="0" w:line="240" w:lineRule="auto"/>
              <w:ind w:left="266" w:hanging="266"/>
              <w:rPr>
                <w:rFonts w:cs="Arial"/>
                <w:sz w:val="18"/>
                <w:szCs w:val="18"/>
              </w:rPr>
            </w:pPr>
            <w:r w:rsidRPr="003A6F8A">
              <w:rPr>
                <w:rFonts w:cs="Arial"/>
                <w:sz w:val="18"/>
                <w:szCs w:val="18"/>
              </w:rPr>
              <w:t>Training evaluations by participants</w:t>
            </w:r>
          </w:p>
        </w:tc>
        <w:tc>
          <w:tcPr>
            <w:tcW w:w="822" w:type="pct"/>
          </w:tcPr>
          <w:p w14:paraId="5FF1C0F2" w14:textId="77777777" w:rsidR="002369D0" w:rsidRPr="003A6F8A" w:rsidRDefault="002369D0" w:rsidP="002369D0">
            <w:pPr>
              <w:numPr>
                <w:ilvl w:val="0"/>
                <w:numId w:val="33"/>
              </w:numPr>
              <w:tabs>
                <w:tab w:val="num" w:pos="290"/>
              </w:tabs>
              <w:spacing w:after="0" w:line="240" w:lineRule="auto"/>
              <w:ind w:left="316" w:hanging="316"/>
              <w:rPr>
                <w:rFonts w:cs="Arial"/>
                <w:sz w:val="18"/>
                <w:szCs w:val="18"/>
              </w:rPr>
            </w:pPr>
            <w:r w:rsidRPr="003A6F8A">
              <w:rPr>
                <w:rFonts w:cs="Arial"/>
                <w:sz w:val="18"/>
                <w:szCs w:val="18"/>
              </w:rPr>
              <w:t>Local and regional stakeholders continue to be engaged during the various phases of the Ten Island Challenge</w:t>
            </w:r>
          </w:p>
        </w:tc>
      </w:tr>
      <w:tr w:rsidR="00ED794A" w:rsidRPr="003A6F8A" w14:paraId="3713ABB0" w14:textId="77777777" w:rsidTr="00ED794A">
        <w:trPr>
          <w:jc w:val="center"/>
        </w:trPr>
        <w:tc>
          <w:tcPr>
            <w:tcW w:w="656" w:type="pct"/>
            <w:shd w:val="pct12" w:color="auto" w:fill="auto"/>
          </w:tcPr>
          <w:p w14:paraId="576BB4F0" w14:textId="77777777" w:rsidR="002369D0" w:rsidRPr="003A6F8A" w:rsidRDefault="002369D0" w:rsidP="00ED794A">
            <w:pPr>
              <w:spacing w:after="0" w:line="240" w:lineRule="auto"/>
              <w:rPr>
                <w:rFonts w:cs="Arial"/>
                <w:b/>
                <w:bCs/>
                <w:sz w:val="18"/>
                <w:szCs w:val="18"/>
              </w:rPr>
            </w:pPr>
            <w:r w:rsidRPr="003A6F8A">
              <w:rPr>
                <w:rFonts w:cs="Arial"/>
                <w:b/>
                <w:bCs/>
                <w:sz w:val="18"/>
                <w:szCs w:val="18"/>
              </w:rPr>
              <w:t>Outcome 3:</w:t>
            </w:r>
          </w:p>
          <w:p w14:paraId="5A093B52" w14:textId="77777777" w:rsidR="002369D0" w:rsidRPr="003A6F8A" w:rsidRDefault="002369D0" w:rsidP="00ED794A">
            <w:pPr>
              <w:spacing w:after="0" w:line="240" w:lineRule="auto"/>
              <w:rPr>
                <w:rFonts w:cs="Arial"/>
                <w:bCs/>
                <w:sz w:val="18"/>
                <w:szCs w:val="18"/>
                <w:u w:val="single"/>
              </w:rPr>
            </w:pPr>
            <w:r w:rsidRPr="003A6F8A">
              <w:rPr>
                <w:rFonts w:cs="Arial"/>
                <w:bCs/>
                <w:sz w:val="18"/>
                <w:szCs w:val="18"/>
                <w:u w:val="single"/>
              </w:rPr>
              <w:t>Investment Projects and Financial Mechanisms</w:t>
            </w:r>
          </w:p>
          <w:p w14:paraId="2F35945A" w14:textId="77777777" w:rsidR="002369D0" w:rsidRDefault="002369D0" w:rsidP="00ED794A">
            <w:pPr>
              <w:spacing w:after="0" w:line="240" w:lineRule="auto"/>
              <w:rPr>
                <w:rFonts w:cs="Arial"/>
                <w:bCs/>
                <w:sz w:val="18"/>
                <w:szCs w:val="18"/>
              </w:rPr>
            </w:pPr>
          </w:p>
          <w:p w14:paraId="35891930" w14:textId="77777777" w:rsidR="002369D0" w:rsidRPr="003A6F8A" w:rsidRDefault="002369D0" w:rsidP="00ED794A">
            <w:pPr>
              <w:spacing w:after="0" w:line="240" w:lineRule="auto"/>
              <w:rPr>
                <w:rFonts w:cs="Arial"/>
                <w:b/>
                <w:bCs/>
                <w:sz w:val="18"/>
                <w:szCs w:val="18"/>
              </w:rPr>
            </w:pPr>
            <w:r w:rsidRPr="003A6F8A">
              <w:rPr>
                <w:rFonts w:cs="Arial"/>
                <w:bCs/>
                <w:sz w:val="18"/>
                <w:szCs w:val="18"/>
              </w:rPr>
              <w:t>Catalyzed island funding for low GHG technology deployment</w:t>
            </w:r>
          </w:p>
        </w:tc>
        <w:tc>
          <w:tcPr>
            <w:tcW w:w="1192" w:type="pct"/>
          </w:tcPr>
          <w:p w14:paraId="67980DC4" w14:textId="77777777" w:rsidR="002369D0" w:rsidRPr="003A6F8A" w:rsidRDefault="002369D0" w:rsidP="002369D0">
            <w:pPr>
              <w:numPr>
                <w:ilvl w:val="0"/>
                <w:numId w:val="35"/>
              </w:numPr>
              <w:tabs>
                <w:tab w:val="clear" w:pos="360"/>
                <w:tab w:val="num" w:pos="252"/>
              </w:tabs>
              <w:spacing w:after="0" w:line="240" w:lineRule="auto"/>
              <w:ind w:left="252" w:hanging="252"/>
              <w:rPr>
                <w:rFonts w:cs="Arial"/>
                <w:sz w:val="18"/>
                <w:szCs w:val="18"/>
              </w:rPr>
            </w:pPr>
            <w:r w:rsidRPr="003A6F8A">
              <w:rPr>
                <w:rFonts w:cs="Arial"/>
                <w:sz w:val="18"/>
                <w:szCs w:val="18"/>
              </w:rPr>
              <w:t>Installed RE capacity through Ten Island Challenge</w:t>
            </w:r>
          </w:p>
          <w:p w14:paraId="4F551568" w14:textId="77777777" w:rsidR="002369D0" w:rsidRPr="003A6F8A" w:rsidRDefault="002369D0" w:rsidP="002369D0">
            <w:pPr>
              <w:numPr>
                <w:ilvl w:val="0"/>
                <w:numId w:val="35"/>
              </w:numPr>
              <w:tabs>
                <w:tab w:val="clear" w:pos="360"/>
                <w:tab w:val="num" w:pos="252"/>
              </w:tabs>
              <w:spacing w:after="0" w:line="240" w:lineRule="auto"/>
              <w:ind w:left="252" w:hanging="252"/>
              <w:rPr>
                <w:rFonts w:cs="Arial"/>
                <w:sz w:val="18"/>
                <w:szCs w:val="18"/>
              </w:rPr>
            </w:pPr>
            <w:r w:rsidRPr="003A6F8A">
              <w:rPr>
                <w:rFonts w:cs="Arial"/>
                <w:sz w:val="18"/>
                <w:szCs w:val="18"/>
              </w:rPr>
              <w:t>Number of jobs</w:t>
            </w:r>
            <w:r>
              <w:rPr>
                <w:rFonts w:cs="Arial"/>
                <w:sz w:val="18"/>
                <w:szCs w:val="18"/>
              </w:rPr>
              <w:t xml:space="preserve"> and livelihoods</w:t>
            </w:r>
            <w:r w:rsidRPr="003A6F8A">
              <w:rPr>
                <w:rFonts w:cs="Arial"/>
                <w:sz w:val="18"/>
                <w:szCs w:val="18"/>
              </w:rPr>
              <w:t>/beneficiaries from Ten Island Challenge</w:t>
            </w:r>
            <w:r>
              <w:rPr>
                <w:rFonts w:cs="Arial"/>
                <w:sz w:val="18"/>
                <w:szCs w:val="18"/>
              </w:rPr>
              <w:t>, disaggregated by sector and sub-sector, by sex, age, and excluded groups and by wage category were available and by rural and urban</w:t>
            </w:r>
          </w:p>
          <w:p w14:paraId="0E2324A1" w14:textId="77777777" w:rsidR="002369D0" w:rsidRDefault="002369D0" w:rsidP="002369D0">
            <w:pPr>
              <w:numPr>
                <w:ilvl w:val="0"/>
                <w:numId w:val="35"/>
              </w:numPr>
              <w:tabs>
                <w:tab w:val="clear" w:pos="360"/>
                <w:tab w:val="num" w:pos="252"/>
              </w:tabs>
              <w:spacing w:after="0" w:line="240" w:lineRule="auto"/>
              <w:ind w:left="252" w:hanging="252"/>
              <w:rPr>
                <w:rFonts w:cs="Arial"/>
                <w:sz w:val="18"/>
                <w:szCs w:val="18"/>
              </w:rPr>
            </w:pPr>
            <w:r w:rsidRPr="003A6F8A">
              <w:rPr>
                <w:rFonts w:cs="Arial"/>
                <w:sz w:val="18"/>
                <w:szCs w:val="18"/>
              </w:rPr>
              <w:t xml:space="preserve">Capital </w:t>
            </w:r>
            <w:proofErr w:type="spellStart"/>
            <w:r>
              <w:rPr>
                <w:rFonts w:cs="Arial"/>
                <w:sz w:val="18"/>
                <w:szCs w:val="18"/>
              </w:rPr>
              <w:t>mobilised</w:t>
            </w:r>
            <w:proofErr w:type="spellEnd"/>
            <w:r w:rsidRPr="003A6F8A">
              <w:rPr>
                <w:rFonts w:cs="Arial"/>
                <w:sz w:val="18"/>
                <w:szCs w:val="18"/>
              </w:rPr>
              <w:t xml:space="preserve"> following support by Ten Island Challenge</w:t>
            </w:r>
          </w:p>
          <w:p w14:paraId="7540F2E7" w14:textId="77777777" w:rsidR="002369D0" w:rsidRPr="003A6F8A" w:rsidRDefault="002369D0" w:rsidP="002369D0">
            <w:pPr>
              <w:numPr>
                <w:ilvl w:val="0"/>
                <w:numId w:val="35"/>
              </w:numPr>
              <w:tabs>
                <w:tab w:val="clear" w:pos="360"/>
                <w:tab w:val="num" w:pos="252"/>
              </w:tabs>
              <w:spacing w:after="0" w:line="240" w:lineRule="auto"/>
              <w:ind w:left="252" w:hanging="252"/>
              <w:rPr>
                <w:rFonts w:cs="Arial"/>
                <w:sz w:val="18"/>
                <w:szCs w:val="18"/>
              </w:rPr>
            </w:pPr>
            <w:r w:rsidRPr="00DA4C0A">
              <w:rPr>
                <w:sz w:val="18"/>
              </w:rPr>
              <w:t>Number of new development partnerships with funding for improved energy efficiency and/or sustainable energy solutions targeting underserved communities/groups and women (SP1.5.1)</w:t>
            </w:r>
          </w:p>
        </w:tc>
        <w:tc>
          <w:tcPr>
            <w:tcW w:w="634" w:type="pct"/>
          </w:tcPr>
          <w:p w14:paraId="57B36D85" w14:textId="77777777" w:rsidR="002369D0" w:rsidRPr="003A6F8A" w:rsidRDefault="002369D0" w:rsidP="002369D0">
            <w:pPr>
              <w:numPr>
                <w:ilvl w:val="0"/>
                <w:numId w:val="35"/>
              </w:numPr>
              <w:spacing w:after="0" w:line="240" w:lineRule="auto"/>
              <w:ind w:left="304" w:hanging="252"/>
              <w:rPr>
                <w:rFonts w:cs="Arial"/>
                <w:sz w:val="18"/>
                <w:szCs w:val="18"/>
              </w:rPr>
            </w:pPr>
            <w:r w:rsidRPr="003A6F8A">
              <w:rPr>
                <w:rFonts w:cs="Arial"/>
                <w:sz w:val="18"/>
                <w:szCs w:val="18"/>
              </w:rPr>
              <w:t>0</w:t>
            </w:r>
          </w:p>
          <w:p w14:paraId="197D6CD9" w14:textId="77777777" w:rsidR="002369D0" w:rsidRDefault="002369D0" w:rsidP="00ED794A">
            <w:pPr>
              <w:spacing w:after="0" w:line="240" w:lineRule="auto"/>
              <w:rPr>
                <w:rFonts w:cs="Arial"/>
                <w:sz w:val="18"/>
                <w:szCs w:val="18"/>
              </w:rPr>
            </w:pPr>
          </w:p>
          <w:p w14:paraId="7BC57906" w14:textId="77777777" w:rsidR="002369D0" w:rsidRPr="003A6F8A" w:rsidRDefault="002369D0" w:rsidP="00ED794A">
            <w:pPr>
              <w:spacing w:after="0" w:line="240" w:lineRule="auto"/>
              <w:rPr>
                <w:rFonts w:cs="Arial"/>
                <w:sz w:val="18"/>
                <w:szCs w:val="18"/>
              </w:rPr>
            </w:pPr>
          </w:p>
          <w:p w14:paraId="61C0E439" w14:textId="77777777" w:rsidR="002369D0" w:rsidRPr="003A6F8A" w:rsidRDefault="002369D0" w:rsidP="002369D0">
            <w:pPr>
              <w:numPr>
                <w:ilvl w:val="0"/>
                <w:numId w:val="35"/>
              </w:numPr>
              <w:spacing w:after="0" w:line="240" w:lineRule="auto"/>
              <w:ind w:left="304" w:hanging="252"/>
              <w:rPr>
                <w:rFonts w:cs="Arial"/>
                <w:sz w:val="18"/>
                <w:szCs w:val="18"/>
              </w:rPr>
            </w:pPr>
            <w:r w:rsidRPr="003A6F8A">
              <w:rPr>
                <w:rFonts w:cs="Arial"/>
                <w:sz w:val="18"/>
                <w:szCs w:val="18"/>
              </w:rPr>
              <w:t>0</w:t>
            </w:r>
          </w:p>
          <w:p w14:paraId="40004117" w14:textId="77777777" w:rsidR="002369D0" w:rsidRDefault="002369D0" w:rsidP="00ED794A">
            <w:pPr>
              <w:pStyle w:val="ListParagraph"/>
              <w:spacing w:after="0"/>
              <w:rPr>
                <w:rFonts w:cs="Arial"/>
                <w:sz w:val="18"/>
              </w:rPr>
            </w:pPr>
          </w:p>
          <w:p w14:paraId="64CDD5C9" w14:textId="77777777" w:rsidR="002369D0" w:rsidRPr="003A6F8A" w:rsidRDefault="002369D0" w:rsidP="00ED794A">
            <w:pPr>
              <w:pStyle w:val="ListParagraph"/>
              <w:spacing w:after="0"/>
              <w:rPr>
                <w:rFonts w:cs="Arial"/>
                <w:sz w:val="18"/>
              </w:rPr>
            </w:pPr>
          </w:p>
          <w:p w14:paraId="478F7655" w14:textId="77777777" w:rsidR="002369D0" w:rsidRDefault="002369D0" w:rsidP="002369D0">
            <w:pPr>
              <w:numPr>
                <w:ilvl w:val="0"/>
                <w:numId w:val="35"/>
              </w:numPr>
              <w:spacing w:after="0" w:line="240" w:lineRule="auto"/>
              <w:ind w:left="304" w:hanging="252"/>
              <w:rPr>
                <w:rFonts w:cs="Arial"/>
                <w:sz w:val="18"/>
                <w:szCs w:val="18"/>
              </w:rPr>
            </w:pPr>
            <w:r w:rsidRPr="003A6F8A">
              <w:rPr>
                <w:rFonts w:cs="Arial"/>
                <w:sz w:val="18"/>
                <w:szCs w:val="18"/>
              </w:rPr>
              <w:t>$3m</w:t>
            </w:r>
            <w:r>
              <w:rPr>
                <w:rFonts w:cs="Arial"/>
                <w:sz w:val="18"/>
                <w:szCs w:val="18"/>
              </w:rPr>
              <w:t>illion</w:t>
            </w:r>
          </w:p>
          <w:p w14:paraId="65BB6D73" w14:textId="77777777" w:rsidR="002369D0" w:rsidRDefault="002369D0" w:rsidP="00ED794A">
            <w:pPr>
              <w:spacing w:after="0" w:line="240" w:lineRule="auto"/>
              <w:rPr>
                <w:rFonts w:cs="Arial"/>
                <w:sz w:val="18"/>
                <w:szCs w:val="18"/>
              </w:rPr>
            </w:pPr>
          </w:p>
          <w:p w14:paraId="6262B50F" w14:textId="77777777" w:rsidR="002369D0" w:rsidRDefault="002369D0" w:rsidP="00ED794A">
            <w:pPr>
              <w:spacing w:after="0" w:line="240" w:lineRule="auto"/>
              <w:rPr>
                <w:rFonts w:cs="Arial"/>
                <w:sz w:val="18"/>
                <w:szCs w:val="18"/>
              </w:rPr>
            </w:pPr>
          </w:p>
          <w:p w14:paraId="7FC8E9F2" w14:textId="77777777" w:rsidR="002369D0" w:rsidRPr="003A6F8A" w:rsidRDefault="002369D0" w:rsidP="002369D0">
            <w:pPr>
              <w:numPr>
                <w:ilvl w:val="0"/>
                <w:numId w:val="35"/>
              </w:numPr>
              <w:spacing w:after="0" w:line="240" w:lineRule="auto"/>
              <w:ind w:left="304" w:hanging="252"/>
              <w:rPr>
                <w:rFonts w:cs="Arial"/>
                <w:sz w:val="18"/>
                <w:szCs w:val="18"/>
              </w:rPr>
            </w:pPr>
            <w:r>
              <w:rPr>
                <w:rFonts w:cs="Arial"/>
                <w:sz w:val="18"/>
                <w:szCs w:val="18"/>
              </w:rPr>
              <w:t>0</w:t>
            </w:r>
          </w:p>
          <w:p w14:paraId="59C3DF86" w14:textId="77777777" w:rsidR="002369D0" w:rsidRPr="003A6F8A" w:rsidRDefault="002369D0" w:rsidP="00ED794A">
            <w:pPr>
              <w:spacing w:after="0" w:line="240" w:lineRule="auto"/>
              <w:ind w:left="52"/>
              <w:rPr>
                <w:rFonts w:cs="Arial"/>
                <w:sz w:val="18"/>
                <w:szCs w:val="18"/>
              </w:rPr>
            </w:pPr>
          </w:p>
        </w:tc>
        <w:tc>
          <w:tcPr>
            <w:tcW w:w="645" w:type="pct"/>
          </w:tcPr>
          <w:p w14:paraId="4A630633" w14:textId="77777777" w:rsidR="002369D0" w:rsidRDefault="002369D0" w:rsidP="002369D0">
            <w:pPr>
              <w:numPr>
                <w:ilvl w:val="0"/>
                <w:numId w:val="33"/>
              </w:numPr>
              <w:tabs>
                <w:tab w:val="num" w:pos="200"/>
              </w:tabs>
              <w:spacing w:after="0" w:line="240" w:lineRule="auto"/>
              <w:ind w:left="200" w:hanging="200"/>
              <w:rPr>
                <w:rFonts w:cs="Arial"/>
                <w:sz w:val="18"/>
                <w:szCs w:val="18"/>
              </w:rPr>
            </w:pPr>
            <w:r>
              <w:rPr>
                <w:rFonts w:cs="Arial"/>
                <w:sz w:val="18"/>
                <w:szCs w:val="18"/>
              </w:rPr>
              <w:t xml:space="preserve">85 </w:t>
            </w:r>
            <w:r w:rsidRPr="003A6F8A">
              <w:rPr>
                <w:rFonts w:cs="Arial"/>
                <w:sz w:val="18"/>
                <w:szCs w:val="18"/>
              </w:rPr>
              <w:t>MW</w:t>
            </w:r>
            <w:r>
              <w:rPr>
                <w:rFonts w:cs="Arial"/>
                <w:sz w:val="18"/>
                <w:szCs w:val="18"/>
              </w:rPr>
              <w:t xml:space="preserve"> of installed capacity.</w:t>
            </w:r>
          </w:p>
          <w:p w14:paraId="53F1A94B" w14:textId="77777777" w:rsidR="002369D0" w:rsidRPr="00182E10" w:rsidRDefault="002369D0" w:rsidP="00ED794A">
            <w:pPr>
              <w:spacing w:after="0" w:line="240" w:lineRule="auto"/>
              <w:ind w:left="200"/>
              <w:rPr>
                <w:rFonts w:cs="Arial"/>
                <w:sz w:val="18"/>
                <w:szCs w:val="18"/>
              </w:rPr>
            </w:pPr>
          </w:p>
          <w:p w14:paraId="78F8891F" w14:textId="77777777" w:rsidR="002369D0" w:rsidRPr="003A6F8A" w:rsidRDefault="002369D0" w:rsidP="002369D0">
            <w:pPr>
              <w:numPr>
                <w:ilvl w:val="0"/>
                <w:numId w:val="33"/>
              </w:numPr>
              <w:tabs>
                <w:tab w:val="num" w:pos="200"/>
              </w:tabs>
              <w:spacing w:after="0" w:line="240" w:lineRule="auto"/>
              <w:ind w:left="200" w:hanging="200"/>
              <w:rPr>
                <w:rFonts w:cs="Arial"/>
                <w:sz w:val="18"/>
                <w:szCs w:val="18"/>
              </w:rPr>
            </w:pPr>
            <w:r>
              <w:rPr>
                <w:rFonts w:cs="Arial"/>
                <w:sz w:val="18"/>
                <w:szCs w:val="18"/>
              </w:rPr>
              <w:t>209 MW of committed RE capacity</w:t>
            </w:r>
          </w:p>
          <w:p w14:paraId="71B15329" w14:textId="77777777" w:rsidR="002369D0" w:rsidRDefault="002369D0" w:rsidP="00ED794A">
            <w:pPr>
              <w:spacing w:after="0" w:line="240" w:lineRule="auto"/>
              <w:rPr>
                <w:rFonts w:cs="Arial"/>
                <w:sz w:val="18"/>
                <w:szCs w:val="18"/>
              </w:rPr>
            </w:pPr>
          </w:p>
          <w:p w14:paraId="3AD03120" w14:textId="77777777" w:rsidR="002369D0" w:rsidRPr="003A6F8A" w:rsidRDefault="002369D0" w:rsidP="00ED794A">
            <w:pPr>
              <w:spacing w:after="0" w:line="240" w:lineRule="auto"/>
              <w:rPr>
                <w:rFonts w:cs="Arial"/>
                <w:sz w:val="18"/>
                <w:szCs w:val="18"/>
              </w:rPr>
            </w:pPr>
          </w:p>
          <w:p w14:paraId="5FF95B62" w14:textId="77777777" w:rsidR="002369D0" w:rsidRPr="003A6F8A" w:rsidRDefault="002369D0" w:rsidP="002369D0">
            <w:pPr>
              <w:numPr>
                <w:ilvl w:val="0"/>
                <w:numId w:val="33"/>
              </w:numPr>
              <w:tabs>
                <w:tab w:val="num" w:pos="200"/>
              </w:tabs>
              <w:spacing w:after="0" w:line="240" w:lineRule="auto"/>
              <w:ind w:left="200" w:hanging="200"/>
              <w:rPr>
                <w:rFonts w:cs="Arial"/>
                <w:sz w:val="18"/>
                <w:szCs w:val="18"/>
              </w:rPr>
            </w:pPr>
            <w:r>
              <w:rPr>
                <w:rFonts w:cs="Arial"/>
                <w:sz w:val="18"/>
                <w:szCs w:val="18"/>
              </w:rPr>
              <w:t>700-1,0</w:t>
            </w:r>
            <w:r w:rsidRPr="003A6F8A">
              <w:rPr>
                <w:rFonts w:cs="Arial"/>
                <w:sz w:val="18"/>
                <w:szCs w:val="18"/>
              </w:rPr>
              <w:t>00</w:t>
            </w:r>
            <w:r>
              <w:rPr>
                <w:rFonts w:cs="Arial"/>
                <w:sz w:val="18"/>
                <w:szCs w:val="18"/>
              </w:rPr>
              <w:t>; 40% women</w:t>
            </w:r>
          </w:p>
          <w:p w14:paraId="7C33B8BB" w14:textId="77777777" w:rsidR="002369D0" w:rsidRDefault="002369D0" w:rsidP="00ED794A">
            <w:pPr>
              <w:pStyle w:val="ListParagraph"/>
              <w:spacing w:after="0"/>
              <w:rPr>
                <w:rFonts w:cs="Arial"/>
                <w:sz w:val="18"/>
              </w:rPr>
            </w:pPr>
          </w:p>
          <w:p w14:paraId="6742E0FB" w14:textId="77777777" w:rsidR="002369D0" w:rsidRDefault="002369D0" w:rsidP="002369D0">
            <w:pPr>
              <w:numPr>
                <w:ilvl w:val="0"/>
                <w:numId w:val="33"/>
              </w:numPr>
              <w:tabs>
                <w:tab w:val="num" w:pos="200"/>
              </w:tabs>
              <w:spacing w:after="0" w:line="240" w:lineRule="auto"/>
              <w:ind w:left="200" w:hanging="200"/>
              <w:rPr>
                <w:rFonts w:cs="Arial"/>
                <w:sz w:val="18"/>
                <w:szCs w:val="18"/>
              </w:rPr>
            </w:pPr>
            <w:r w:rsidRPr="003A6F8A">
              <w:rPr>
                <w:rFonts w:cs="Arial"/>
                <w:sz w:val="18"/>
                <w:szCs w:val="18"/>
              </w:rPr>
              <w:t>&gt;US</w:t>
            </w:r>
            <w:r>
              <w:rPr>
                <w:rFonts w:cs="Arial"/>
                <w:sz w:val="18"/>
                <w:szCs w:val="18"/>
              </w:rPr>
              <w:t>$63 million</w:t>
            </w:r>
          </w:p>
          <w:p w14:paraId="0BBDF18D" w14:textId="77777777" w:rsidR="002369D0" w:rsidRDefault="002369D0" w:rsidP="00ED794A">
            <w:pPr>
              <w:spacing w:after="0" w:line="240" w:lineRule="auto"/>
              <w:rPr>
                <w:rFonts w:cs="Arial"/>
                <w:sz w:val="18"/>
                <w:szCs w:val="18"/>
              </w:rPr>
            </w:pPr>
          </w:p>
          <w:p w14:paraId="10E86513" w14:textId="77777777" w:rsidR="002369D0" w:rsidRDefault="002369D0" w:rsidP="00ED794A">
            <w:pPr>
              <w:spacing w:after="0" w:line="240" w:lineRule="auto"/>
              <w:rPr>
                <w:rFonts w:cs="Arial"/>
                <w:sz w:val="18"/>
                <w:szCs w:val="18"/>
              </w:rPr>
            </w:pPr>
          </w:p>
          <w:p w14:paraId="3E7A3BE1" w14:textId="77777777" w:rsidR="002369D0" w:rsidRPr="003A6F8A" w:rsidRDefault="002369D0" w:rsidP="002369D0">
            <w:pPr>
              <w:numPr>
                <w:ilvl w:val="0"/>
                <w:numId w:val="33"/>
              </w:numPr>
              <w:tabs>
                <w:tab w:val="num" w:pos="200"/>
              </w:tabs>
              <w:spacing w:after="0" w:line="240" w:lineRule="auto"/>
              <w:ind w:left="200" w:hanging="200"/>
              <w:rPr>
                <w:rFonts w:cs="Arial"/>
                <w:sz w:val="18"/>
                <w:szCs w:val="18"/>
              </w:rPr>
            </w:pPr>
            <w:r>
              <w:rPr>
                <w:rFonts w:cs="Arial"/>
                <w:sz w:val="18"/>
                <w:szCs w:val="18"/>
              </w:rPr>
              <w:t>4</w:t>
            </w:r>
          </w:p>
          <w:p w14:paraId="7258067E" w14:textId="77777777" w:rsidR="002369D0" w:rsidRPr="003A6F8A" w:rsidRDefault="002369D0" w:rsidP="00ED794A">
            <w:pPr>
              <w:spacing w:after="0" w:line="240" w:lineRule="auto"/>
              <w:rPr>
                <w:rFonts w:cs="Arial"/>
                <w:sz w:val="18"/>
                <w:szCs w:val="18"/>
              </w:rPr>
            </w:pPr>
          </w:p>
        </w:tc>
        <w:tc>
          <w:tcPr>
            <w:tcW w:w="1051" w:type="pct"/>
          </w:tcPr>
          <w:p w14:paraId="35FE1539" w14:textId="77777777" w:rsidR="002369D0" w:rsidRPr="003A6F8A" w:rsidRDefault="002369D0" w:rsidP="002369D0">
            <w:pPr>
              <w:numPr>
                <w:ilvl w:val="0"/>
                <w:numId w:val="36"/>
              </w:numPr>
              <w:tabs>
                <w:tab w:val="clear" w:pos="360"/>
                <w:tab w:val="num" w:pos="273"/>
              </w:tabs>
              <w:spacing w:after="0" w:line="240" w:lineRule="auto"/>
              <w:ind w:left="273" w:hanging="273"/>
              <w:rPr>
                <w:rFonts w:cs="Arial"/>
                <w:sz w:val="18"/>
                <w:szCs w:val="18"/>
              </w:rPr>
            </w:pPr>
            <w:r w:rsidRPr="003A6F8A">
              <w:rPr>
                <w:rFonts w:cs="Arial"/>
                <w:sz w:val="18"/>
                <w:szCs w:val="18"/>
              </w:rPr>
              <w:t>Feasibility studies of RE technologies</w:t>
            </w:r>
          </w:p>
          <w:p w14:paraId="6F80F283" w14:textId="77777777" w:rsidR="002369D0" w:rsidRPr="003A6F8A" w:rsidRDefault="002369D0" w:rsidP="002369D0">
            <w:pPr>
              <w:numPr>
                <w:ilvl w:val="0"/>
                <w:numId w:val="36"/>
              </w:numPr>
              <w:tabs>
                <w:tab w:val="clear" w:pos="360"/>
                <w:tab w:val="num" w:pos="273"/>
              </w:tabs>
              <w:spacing w:after="0" w:line="240" w:lineRule="auto"/>
              <w:ind w:left="273" w:hanging="273"/>
              <w:rPr>
                <w:rFonts w:cs="Arial"/>
                <w:sz w:val="18"/>
                <w:szCs w:val="18"/>
              </w:rPr>
            </w:pPr>
            <w:r w:rsidRPr="003A6F8A">
              <w:rPr>
                <w:rFonts w:cs="Arial"/>
                <w:sz w:val="18"/>
                <w:szCs w:val="18"/>
              </w:rPr>
              <w:t>Bankable project reports</w:t>
            </w:r>
          </w:p>
          <w:p w14:paraId="40E47E61" w14:textId="77777777" w:rsidR="002369D0" w:rsidRPr="003A6F8A" w:rsidRDefault="002369D0" w:rsidP="002369D0">
            <w:pPr>
              <w:numPr>
                <w:ilvl w:val="0"/>
                <w:numId w:val="36"/>
              </w:numPr>
              <w:tabs>
                <w:tab w:val="clear" w:pos="360"/>
                <w:tab w:val="num" w:pos="273"/>
              </w:tabs>
              <w:spacing w:after="0" w:line="240" w:lineRule="auto"/>
              <w:ind w:left="273" w:hanging="273"/>
              <w:rPr>
                <w:rFonts w:cs="Arial"/>
                <w:sz w:val="18"/>
                <w:szCs w:val="18"/>
              </w:rPr>
            </w:pPr>
            <w:r w:rsidRPr="003A6F8A">
              <w:rPr>
                <w:rFonts w:cs="Arial"/>
                <w:sz w:val="18"/>
                <w:szCs w:val="18"/>
              </w:rPr>
              <w:t>PPAs and approval permits</w:t>
            </w:r>
          </w:p>
          <w:p w14:paraId="18D13392" w14:textId="77777777" w:rsidR="002369D0" w:rsidRDefault="002369D0" w:rsidP="002369D0">
            <w:pPr>
              <w:numPr>
                <w:ilvl w:val="0"/>
                <w:numId w:val="36"/>
              </w:numPr>
              <w:tabs>
                <w:tab w:val="clear" w:pos="360"/>
                <w:tab w:val="num" w:pos="273"/>
              </w:tabs>
              <w:spacing w:after="0" w:line="240" w:lineRule="auto"/>
              <w:ind w:left="273" w:hanging="273"/>
              <w:rPr>
                <w:rFonts w:cs="Arial"/>
                <w:sz w:val="18"/>
                <w:szCs w:val="18"/>
              </w:rPr>
            </w:pPr>
            <w:r w:rsidRPr="003A6F8A">
              <w:rPr>
                <w:rFonts w:cs="Arial"/>
                <w:sz w:val="18"/>
                <w:szCs w:val="18"/>
              </w:rPr>
              <w:t>Work inspection reports</w:t>
            </w:r>
          </w:p>
          <w:p w14:paraId="2CB423D5" w14:textId="77777777" w:rsidR="002369D0" w:rsidRPr="003A6F8A" w:rsidRDefault="002369D0" w:rsidP="002369D0">
            <w:pPr>
              <w:numPr>
                <w:ilvl w:val="0"/>
                <w:numId w:val="36"/>
              </w:numPr>
              <w:tabs>
                <w:tab w:val="clear" w:pos="360"/>
                <w:tab w:val="num" w:pos="273"/>
              </w:tabs>
              <w:spacing w:after="0" w:line="240" w:lineRule="auto"/>
              <w:ind w:left="273" w:hanging="273"/>
              <w:rPr>
                <w:rFonts w:cs="Arial"/>
                <w:sz w:val="18"/>
                <w:szCs w:val="18"/>
              </w:rPr>
            </w:pPr>
            <w:r>
              <w:rPr>
                <w:rFonts w:cs="Arial"/>
                <w:sz w:val="18"/>
                <w:szCs w:val="18"/>
              </w:rPr>
              <w:t>MOU, grant or loan approvals or other partnership agreements</w:t>
            </w:r>
          </w:p>
        </w:tc>
        <w:tc>
          <w:tcPr>
            <w:tcW w:w="822" w:type="pct"/>
          </w:tcPr>
          <w:p w14:paraId="15CF7A46" w14:textId="77777777" w:rsidR="002369D0" w:rsidRPr="003A6F8A" w:rsidRDefault="002369D0" w:rsidP="002369D0">
            <w:pPr>
              <w:numPr>
                <w:ilvl w:val="0"/>
                <w:numId w:val="36"/>
              </w:numPr>
              <w:tabs>
                <w:tab w:val="clear" w:pos="360"/>
                <w:tab w:val="num" w:pos="290"/>
              </w:tabs>
              <w:spacing w:after="0" w:line="240" w:lineRule="auto"/>
              <w:ind w:left="273" w:hanging="273"/>
              <w:rPr>
                <w:rFonts w:cs="Arial"/>
                <w:sz w:val="18"/>
                <w:szCs w:val="18"/>
              </w:rPr>
            </w:pPr>
            <w:r w:rsidRPr="003A6F8A">
              <w:rPr>
                <w:rFonts w:cs="Arial"/>
                <w:sz w:val="18"/>
                <w:szCs w:val="18"/>
              </w:rPr>
              <w:t>Sufficient annual replenishment of RE development funds</w:t>
            </w:r>
          </w:p>
          <w:p w14:paraId="53928561" w14:textId="77777777" w:rsidR="002369D0" w:rsidRPr="003A6F8A" w:rsidRDefault="002369D0" w:rsidP="002369D0">
            <w:pPr>
              <w:numPr>
                <w:ilvl w:val="0"/>
                <w:numId w:val="36"/>
              </w:numPr>
              <w:tabs>
                <w:tab w:val="clear" w:pos="360"/>
                <w:tab w:val="num" w:pos="290"/>
              </w:tabs>
              <w:spacing w:after="0" w:line="240" w:lineRule="auto"/>
              <w:ind w:left="273" w:hanging="273"/>
              <w:rPr>
                <w:rFonts w:cs="Arial"/>
                <w:sz w:val="18"/>
                <w:szCs w:val="18"/>
              </w:rPr>
            </w:pPr>
            <w:r w:rsidRPr="003A6F8A">
              <w:rPr>
                <w:rFonts w:cs="Arial"/>
                <w:sz w:val="18"/>
                <w:szCs w:val="18"/>
              </w:rPr>
              <w:t>Capacity of government does not substantially delay approval of RE policies and RE projects</w:t>
            </w:r>
          </w:p>
        </w:tc>
      </w:tr>
    </w:tbl>
    <w:p w14:paraId="2A39FFE6" w14:textId="77777777" w:rsidR="00243355" w:rsidRDefault="00243355">
      <w:pPr>
        <w:rPr>
          <w:rFonts w:eastAsia="Times New Roman"/>
          <w:b/>
          <w:caps/>
          <w:spacing w:val="10"/>
        </w:rPr>
      </w:pPr>
      <w:bookmarkStart w:id="60" w:name="_TOR_Annex_B:"/>
      <w:bookmarkStart w:id="61" w:name="_Toc299133054"/>
      <w:bookmarkStart w:id="62" w:name="_Toc321341563"/>
      <w:bookmarkEnd w:id="60"/>
      <w:r>
        <w:br w:type="page"/>
      </w:r>
    </w:p>
    <w:p w14:paraId="0B0025B4" w14:textId="140BF81C" w:rsidR="00D6638C" w:rsidRPr="00D6638C" w:rsidRDefault="00D6638C" w:rsidP="00F05366">
      <w:pPr>
        <w:pStyle w:val="Heading31"/>
      </w:pPr>
      <w:r w:rsidRPr="00D6638C">
        <w:lastRenderedPageBreak/>
        <w:t>Annex B: List of Documents to be reviewed by the evaluators</w:t>
      </w:r>
      <w:bookmarkEnd w:id="57"/>
      <w:bookmarkEnd w:id="58"/>
      <w:bookmarkEnd w:id="59"/>
      <w:bookmarkEnd w:id="61"/>
      <w:bookmarkEnd w:id="62"/>
    </w:p>
    <w:p w14:paraId="142186E1" w14:textId="77777777" w:rsidR="00243355" w:rsidRPr="00F620E0" w:rsidRDefault="00243355" w:rsidP="00243355">
      <w:pPr>
        <w:pStyle w:val="ListParagraph"/>
        <w:numPr>
          <w:ilvl w:val="0"/>
          <w:numId w:val="39"/>
        </w:numPr>
        <w:spacing w:after="0" w:line="240" w:lineRule="auto"/>
        <w:jc w:val="both"/>
        <w:rPr>
          <w:rFonts w:ascii="Calibri" w:hAnsi="Calibri" w:cs="Times New Roman"/>
          <w:i/>
          <w:highlight w:val="lightGray"/>
          <w:lang w:val="en-GB"/>
        </w:rPr>
      </w:pPr>
      <w:r w:rsidRPr="00F620E0">
        <w:rPr>
          <w:rFonts w:ascii="Calibri" w:hAnsi="Calibri" w:cs="Times New Roman"/>
          <w:i/>
          <w:highlight w:val="lightGray"/>
          <w:lang w:val="en-GB"/>
        </w:rPr>
        <w:t>PIF</w:t>
      </w:r>
    </w:p>
    <w:p w14:paraId="65403217" w14:textId="77777777" w:rsidR="00243355" w:rsidRPr="00F620E0" w:rsidRDefault="00243355" w:rsidP="00243355">
      <w:pPr>
        <w:pStyle w:val="ListParagraph"/>
        <w:numPr>
          <w:ilvl w:val="0"/>
          <w:numId w:val="39"/>
        </w:numPr>
        <w:spacing w:after="0" w:line="240" w:lineRule="auto"/>
        <w:jc w:val="both"/>
        <w:rPr>
          <w:rFonts w:ascii="Calibri" w:hAnsi="Calibri" w:cs="Times New Roman"/>
          <w:i/>
          <w:highlight w:val="lightGray"/>
          <w:lang w:val="en-GB"/>
        </w:rPr>
      </w:pPr>
      <w:r w:rsidRPr="00F620E0">
        <w:rPr>
          <w:rFonts w:ascii="Calibri" w:hAnsi="Calibri" w:cs="Times New Roman"/>
          <w:i/>
          <w:highlight w:val="lightGray"/>
          <w:lang w:val="en-GB"/>
        </w:rPr>
        <w:t>Project Document</w:t>
      </w:r>
    </w:p>
    <w:p w14:paraId="6ACE79B7" w14:textId="77777777" w:rsidR="00243355" w:rsidRPr="00F620E0" w:rsidRDefault="00243355" w:rsidP="00243355">
      <w:pPr>
        <w:pStyle w:val="ListParagraph"/>
        <w:numPr>
          <w:ilvl w:val="0"/>
          <w:numId w:val="39"/>
        </w:numPr>
        <w:spacing w:after="0" w:line="240" w:lineRule="auto"/>
        <w:jc w:val="both"/>
        <w:rPr>
          <w:rFonts w:ascii="Calibri" w:hAnsi="Calibri" w:cs="Times New Roman"/>
          <w:i/>
          <w:highlight w:val="lightGray"/>
          <w:lang w:val="en-GB"/>
        </w:rPr>
      </w:pPr>
      <w:r w:rsidRPr="00F620E0">
        <w:rPr>
          <w:rFonts w:ascii="Calibri" w:hAnsi="Calibri" w:cs="Times New Roman"/>
          <w:i/>
          <w:highlight w:val="lightGray"/>
          <w:lang w:val="en-GB"/>
        </w:rPr>
        <w:t>HACT Assessment</w:t>
      </w:r>
    </w:p>
    <w:p w14:paraId="0E2047C3" w14:textId="77777777" w:rsidR="00243355" w:rsidRPr="00F620E0" w:rsidRDefault="00243355" w:rsidP="00243355">
      <w:pPr>
        <w:pStyle w:val="ListParagraph"/>
        <w:numPr>
          <w:ilvl w:val="0"/>
          <w:numId w:val="39"/>
        </w:numPr>
        <w:spacing w:after="0" w:line="240" w:lineRule="auto"/>
        <w:jc w:val="both"/>
        <w:rPr>
          <w:rFonts w:ascii="Calibri" w:hAnsi="Calibri" w:cs="Times New Roman"/>
          <w:i/>
          <w:highlight w:val="lightGray"/>
          <w:lang w:val="en-GB"/>
        </w:rPr>
      </w:pPr>
      <w:r w:rsidRPr="00F620E0">
        <w:rPr>
          <w:rFonts w:ascii="Calibri" w:hAnsi="Calibri" w:cs="Times New Roman"/>
          <w:i/>
          <w:highlight w:val="lightGray"/>
          <w:lang w:val="en-GB"/>
        </w:rPr>
        <w:t>Inception Report</w:t>
      </w:r>
    </w:p>
    <w:p w14:paraId="076DB512" w14:textId="77777777" w:rsidR="00243355" w:rsidRPr="00F620E0" w:rsidRDefault="00243355" w:rsidP="00243355">
      <w:pPr>
        <w:pStyle w:val="ListParagraph"/>
        <w:numPr>
          <w:ilvl w:val="0"/>
          <w:numId w:val="39"/>
        </w:numPr>
        <w:spacing w:after="0" w:line="240" w:lineRule="auto"/>
        <w:jc w:val="both"/>
        <w:rPr>
          <w:rFonts w:ascii="Calibri" w:hAnsi="Calibri" w:cs="Times New Roman"/>
          <w:i/>
          <w:highlight w:val="lightGray"/>
          <w:lang w:val="en-GB"/>
        </w:rPr>
      </w:pPr>
      <w:r w:rsidRPr="00F620E0">
        <w:rPr>
          <w:rFonts w:ascii="Calibri" w:hAnsi="Calibri" w:cs="Times New Roman"/>
          <w:i/>
          <w:highlight w:val="lightGray"/>
          <w:lang w:val="en-GB"/>
        </w:rPr>
        <w:t>Letter (s) of Agreement</w:t>
      </w:r>
    </w:p>
    <w:p w14:paraId="16C833FB" w14:textId="77777777" w:rsidR="00243355" w:rsidRPr="00F620E0" w:rsidRDefault="00243355" w:rsidP="00243355">
      <w:pPr>
        <w:pStyle w:val="ListParagraph"/>
        <w:numPr>
          <w:ilvl w:val="0"/>
          <w:numId w:val="39"/>
        </w:numPr>
        <w:spacing w:after="0" w:line="240" w:lineRule="auto"/>
        <w:jc w:val="both"/>
        <w:rPr>
          <w:rFonts w:ascii="Calibri" w:hAnsi="Calibri" w:cs="Times New Roman"/>
          <w:i/>
          <w:highlight w:val="lightGray"/>
          <w:lang w:val="en-GB"/>
        </w:rPr>
      </w:pPr>
      <w:r w:rsidRPr="00F620E0">
        <w:rPr>
          <w:rFonts w:ascii="Calibri" w:hAnsi="Calibri" w:cs="Times New Roman"/>
          <w:i/>
          <w:highlight w:val="lightGray"/>
          <w:lang w:val="en-GB"/>
        </w:rPr>
        <w:t>CDRs</w:t>
      </w:r>
    </w:p>
    <w:p w14:paraId="197EDFC1" w14:textId="77777777" w:rsidR="00243355" w:rsidRPr="00F620E0" w:rsidRDefault="00243355" w:rsidP="00243355">
      <w:pPr>
        <w:pStyle w:val="ListParagraph"/>
        <w:numPr>
          <w:ilvl w:val="0"/>
          <w:numId w:val="39"/>
        </w:numPr>
        <w:spacing w:after="0" w:line="240" w:lineRule="auto"/>
        <w:jc w:val="both"/>
        <w:rPr>
          <w:rFonts w:ascii="Calibri" w:hAnsi="Calibri" w:cs="Times New Roman"/>
          <w:i/>
          <w:highlight w:val="lightGray"/>
          <w:lang w:val="en-GB"/>
        </w:rPr>
      </w:pPr>
      <w:r w:rsidRPr="00F620E0">
        <w:rPr>
          <w:rFonts w:ascii="Calibri" w:hAnsi="Calibri" w:cs="Times New Roman"/>
          <w:i/>
          <w:highlight w:val="lightGray"/>
          <w:lang w:val="en-GB"/>
        </w:rPr>
        <w:t>FACE Forms</w:t>
      </w:r>
    </w:p>
    <w:p w14:paraId="335AB21A" w14:textId="77777777" w:rsidR="00243355" w:rsidRPr="00F620E0" w:rsidRDefault="00243355" w:rsidP="00243355">
      <w:pPr>
        <w:pStyle w:val="ListParagraph"/>
        <w:numPr>
          <w:ilvl w:val="0"/>
          <w:numId w:val="39"/>
        </w:numPr>
        <w:spacing w:after="0" w:line="240" w:lineRule="auto"/>
        <w:jc w:val="both"/>
        <w:rPr>
          <w:rFonts w:ascii="Calibri" w:hAnsi="Calibri" w:cs="Times New Roman"/>
          <w:i/>
          <w:highlight w:val="lightGray"/>
          <w:lang w:val="en-GB"/>
        </w:rPr>
      </w:pPr>
      <w:r w:rsidRPr="00F620E0">
        <w:rPr>
          <w:rFonts w:ascii="Calibri" w:hAnsi="Calibri" w:cs="Times New Roman"/>
          <w:i/>
          <w:highlight w:val="lightGray"/>
          <w:lang w:val="en-GB"/>
        </w:rPr>
        <w:t>Quarterly Narrative Progress Reports</w:t>
      </w:r>
    </w:p>
    <w:p w14:paraId="396F51C2" w14:textId="77777777" w:rsidR="00243355" w:rsidRPr="00F620E0" w:rsidRDefault="00243355" w:rsidP="00243355">
      <w:pPr>
        <w:pStyle w:val="ListParagraph"/>
        <w:numPr>
          <w:ilvl w:val="0"/>
          <w:numId w:val="39"/>
        </w:numPr>
        <w:spacing w:after="0" w:line="240" w:lineRule="auto"/>
        <w:jc w:val="both"/>
        <w:rPr>
          <w:rFonts w:ascii="Calibri" w:hAnsi="Calibri" w:cs="Times New Roman"/>
          <w:i/>
          <w:highlight w:val="lightGray"/>
          <w:lang w:val="en-GB"/>
        </w:rPr>
      </w:pPr>
      <w:r w:rsidRPr="00F620E0">
        <w:rPr>
          <w:rFonts w:ascii="Calibri" w:hAnsi="Calibri" w:cs="Times New Roman"/>
          <w:i/>
          <w:highlight w:val="lightGray"/>
          <w:lang w:val="en-GB"/>
        </w:rPr>
        <w:t>Financial Audit Reports</w:t>
      </w:r>
    </w:p>
    <w:p w14:paraId="7EA04FCC" w14:textId="77777777" w:rsidR="00243355" w:rsidRPr="00F620E0" w:rsidRDefault="00243355" w:rsidP="00243355">
      <w:pPr>
        <w:pStyle w:val="ListParagraph"/>
        <w:numPr>
          <w:ilvl w:val="0"/>
          <w:numId w:val="39"/>
        </w:numPr>
        <w:spacing w:after="0" w:line="240" w:lineRule="auto"/>
        <w:jc w:val="both"/>
        <w:rPr>
          <w:rFonts w:ascii="Calibri" w:hAnsi="Calibri" w:cs="Times New Roman"/>
          <w:i/>
          <w:highlight w:val="lightGray"/>
          <w:lang w:val="en-GB"/>
        </w:rPr>
      </w:pPr>
      <w:r w:rsidRPr="00F620E0">
        <w:rPr>
          <w:rFonts w:ascii="Calibri" w:hAnsi="Calibri" w:cs="Times New Roman"/>
          <w:i/>
          <w:highlight w:val="lightGray"/>
          <w:lang w:val="en-GB"/>
        </w:rPr>
        <w:t>Asset Registry</w:t>
      </w:r>
    </w:p>
    <w:p w14:paraId="67223A85" w14:textId="77777777" w:rsidR="00243355" w:rsidRPr="00F620E0" w:rsidRDefault="00243355" w:rsidP="00243355">
      <w:pPr>
        <w:pStyle w:val="ListParagraph"/>
        <w:numPr>
          <w:ilvl w:val="0"/>
          <w:numId w:val="39"/>
        </w:numPr>
        <w:spacing w:after="0" w:line="240" w:lineRule="auto"/>
        <w:jc w:val="both"/>
        <w:rPr>
          <w:rFonts w:ascii="Calibri" w:hAnsi="Calibri" w:cs="Times New Roman"/>
          <w:i/>
          <w:highlight w:val="lightGray"/>
          <w:lang w:val="en-GB"/>
        </w:rPr>
      </w:pPr>
      <w:r w:rsidRPr="00F620E0">
        <w:rPr>
          <w:rFonts w:ascii="Calibri" w:hAnsi="Calibri" w:cs="Times New Roman"/>
          <w:i/>
          <w:highlight w:val="lightGray"/>
          <w:lang w:val="en-GB"/>
        </w:rPr>
        <w:t>Annual Reports (PIRs)</w:t>
      </w:r>
    </w:p>
    <w:p w14:paraId="272BF26F" w14:textId="77777777" w:rsidR="00243355" w:rsidRPr="00F620E0" w:rsidRDefault="00243355" w:rsidP="00243355">
      <w:pPr>
        <w:pStyle w:val="ListParagraph"/>
        <w:numPr>
          <w:ilvl w:val="0"/>
          <w:numId w:val="39"/>
        </w:numPr>
        <w:spacing w:after="0" w:line="240" w:lineRule="auto"/>
        <w:jc w:val="both"/>
        <w:rPr>
          <w:rFonts w:ascii="Calibri" w:hAnsi="Calibri" w:cs="Times New Roman"/>
          <w:i/>
          <w:highlight w:val="lightGray"/>
          <w:lang w:val="en-GB"/>
        </w:rPr>
      </w:pPr>
      <w:r w:rsidRPr="00F620E0">
        <w:rPr>
          <w:rFonts w:ascii="Calibri" w:hAnsi="Calibri" w:cs="Times New Roman"/>
          <w:i/>
          <w:highlight w:val="lightGray"/>
          <w:lang w:val="en-GB"/>
        </w:rPr>
        <w:t>Site Visit/Field Reports</w:t>
      </w:r>
    </w:p>
    <w:p w14:paraId="144862DC" w14:textId="1793099F" w:rsidR="00243355" w:rsidRDefault="00243355" w:rsidP="00243355">
      <w:pPr>
        <w:pStyle w:val="ListParagraph"/>
        <w:numPr>
          <w:ilvl w:val="0"/>
          <w:numId w:val="39"/>
        </w:numPr>
        <w:spacing w:after="0" w:line="240" w:lineRule="auto"/>
        <w:jc w:val="both"/>
        <w:rPr>
          <w:rFonts w:ascii="Calibri" w:hAnsi="Calibri" w:cs="Times New Roman"/>
          <w:i/>
          <w:highlight w:val="lightGray"/>
          <w:lang w:val="en-GB"/>
        </w:rPr>
      </w:pPr>
      <w:r>
        <w:rPr>
          <w:rFonts w:ascii="Calibri" w:hAnsi="Calibri" w:cs="Times New Roman"/>
          <w:i/>
          <w:highlight w:val="lightGray"/>
          <w:lang w:val="en-GB"/>
        </w:rPr>
        <w:t>National Integrated Resource Plans (IRPs)</w:t>
      </w:r>
    </w:p>
    <w:p w14:paraId="7EE4DD78" w14:textId="46C575FC" w:rsidR="00243355" w:rsidRDefault="00243355" w:rsidP="00243355">
      <w:pPr>
        <w:pStyle w:val="ListParagraph"/>
        <w:numPr>
          <w:ilvl w:val="0"/>
          <w:numId w:val="39"/>
        </w:numPr>
        <w:spacing w:after="0" w:line="240" w:lineRule="auto"/>
        <w:jc w:val="both"/>
        <w:rPr>
          <w:rFonts w:ascii="Calibri" w:hAnsi="Calibri" w:cs="Times New Roman"/>
          <w:i/>
          <w:highlight w:val="lightGray"/>
          <w:lang w:val="en-GB"/>
        </w:rPr>
      </w:pPr>
      <w:r>
        <w:rPr>
          <w:rFonts w:ascii="Calibri" w:hAnsi="Calibri" w:cs="Times New Roman"/>
          <w:i/>
          <w:highlight w:val="lightGray"/>
          <w:lang w:val="en-GB"/>
        </w:rPr>
        <w:t>News/Media Reports</w:t>
      </w:r>
    </w:p>
    <w:p w14:paraId="204C207C" w14:textId="54D9247F" w:rsidR="00243355" w:rsidRDefault="00243355" w:rsidP="00243355">
      <w:pPr>
        <w:pStyle w:val="ListParagraph"/>
        <w:numPr>
          <w:ilvl w:val="0"/>
          <w:numId w:val="39"/>
        </w:numPr>
        <w:spacing w:after="0" w:line="240" w:lineRule="auto"/>
        <w:jc w:val="both"/>
        <w:rPr>
          <w:rFonts w:ascii="Calibri" w:hAnsi="Calibri" w:cs="Times New Roman"/>
          <w:i/>
          <w:highlight w:val="lightGray"/>
          <w:lang w:val="en-GB"/>
        </w:rPr>
      </w:pPr>
      <w:r>
        <w:rPr>
          <w:rFonts w:ascii="Calibri" w:hAnsi="Calibri" w:cs="Times New Roman"/>
          <w:i/>
          <w:highlight w:val="lightGray"/>
          <w:lang w:val="en-GB"/>
        </w:rPr>
        <w:t>CAREC Reports</w:t>
      </w:r>
    </w:p>
    <w:p w14:paraId="2959FC6C" w14:textId="6B1F6B35" w:rsidR="00243355" w:rsidRPr="00F620E0" w:rsidRDefault="00243355" w:rsidP="00243355">
      <w:pPr>
        <w:pStyle w:val="ListParagraph"/>
        <w:numPr>
          <w:ilvl w:val="0"/>
          <w:numId w:val="39"/>
        </w:numPr>
        <w:spacing w:after="0" w:line="240" w:lineRule="auto"/>
        <w:jc w:val="both"/>
        <w:rPr>
          <w:rFonts w:ascii="Calibri" w:hAnsi="Calibri" w:cs="Times New Roman"/>
          <w:i/>
          <w:highlight w:val="lightGray"/>
          <w:lang w:val="en-GB"/>
        </w:rPr>
      </w:pPr>
      <w:r>
        <w:rPr>
          <w:rFonts w:ascii="Calibri" w:hAnsi="Calibri" w:cs="Times New Roman"/>
          <w:i/>
          <w:highlight w:val="lightGray"/>
          <w:lang w:val="en-GB"/>
        </w:rPr>
        <w:t>Sustainability Plan/Exit Strategy</w:t>
      </w:r>
    </w:p>
    <w:p w14:paraId="1FB31600" w14:textId="52DCA52F" w:rsidR="00243355" w:rsidRPr="00243355" w:rsidRDefault="00243355" w:rsidP="00243355">
      <w:pPr>
        <w:pStyle w:val="ListParagraph"/>
        <w:numPr>
          <w:ilvl w:val="0"/>
          <w:numId w:val="39"/>
        </w:numPr>
        <w:spacing w:after="0" w:line="240" w:lineRule="auto"/>
        <w:jc w:val="both"/>
        <w:rPr>
          <w:rFonts w:ascii="Calibri" w:hAnsi="Calibri" w:cs="Times New Roman"/>
          <w:i/>
          <w:highlight w:val="lightGray"/>
          <w:lang w:val="en-GB"/>
        </w:rPr>
        <w:sectPr w:rsidR="00243355" w:rsidRPr="00243355" w:rsidSect="00224F9C">
          <w:footerReference w:type="default" r:id="rId10"/>
          <w:pgSz w:w="12240" w:h="15840"/>
          <w:pgMar w:top="1440" w:right="1325" w:bottom="1440" w:left="1440" w:header="708" w:footer="708" w:gutter="0"/>
          <w:cols w:space="708"/>
          <w:docGrid w:linePitch="360"/>
        </w:sectPr>
      </w:pPr>
      <w:r w:rsidRPr="00243355">
        <w:rPr>
          <w:rFonts w:ascii="Calibri" w:hAnsi="Calibri" w:cs="Times New Roman"/>
          <w:i/>
          <w:highlight w:val="lightGray"/>
          <w:lang w:val="en-GB"/>
        </w:rPr>
        <w:t>Steering Committee Meeting Minutes</w:t>
      </w:r>
    </w:p>
    <w:p w14:paraId="345FCCE7" w14:textId="77777777" w:rsidR="00D6638C" w:rsidRDefault="00D6638C" w:rsidP="00F05366">
      <w:pPr>
        <w:pStyle w:val="Heading31"/>
      </w:pPr>
      <w:bookmarkStart w:id="63" w:name="_TOR_Annex_C:"/>
      <w:bookmarkStart w:id="64" w:name="_Toc321341564"/>
      <w:bookmarkStart w:id="65" w:name="_Toc299122846"/>
      <w:bookmarkStart w:id="66" w:name="_Toc299122868"/>
      <w:bookmarkStart w:id="67" w:name="_Toc299126632"/>
      <w:bookmarkEnd w:id="63"/>
      <w:r w:rsidRPr="00D6638C">
        <w:lastRenderedPageBreak/>
        <w:t>Annex C: Evaluation Questions</w:t>
      </w:r>
      <w:bookmarkEnd w:id="64"/>
    </w:p>
    <w:p w14:paraId="5A4477A8" w14:textId="77777777" w:rsidR="00E23201" w:rsidRDefault="00E23201" w:rsidP="00E23201">
      <w:pPr>
        <w:rPr>
          <w:i/>
        </w:rPr>
      </w:pPr>
      <w:r w:rsidRPr="00224F9C">
        <w:rPr>
          <w:i/>
          <w:highlight w:val="lightGray"/>
        </w:rPr>
        <w:t>This is a generic list, to b</w:t>
      </w:r>
      <w:r w:rsidR="00224F9C" w:rsidRPr="00224F9C">
        <w:rPr>
          <w:i/>
          <w:highlight w:val="lightGray"/>
        </w:rPr>
        <w:t>e</w:t>
      </w:r>
      <w:r w:rsidR="00310398">
        <w:rPr>
          <w:i/>
          <w:highlight w:val="lightGray"/>
        </w:rPr>
        <w:t xml:space="preserve"> further detailed</w:t>
      </w:r>
      <w:r w:rsidR="00224F9C" w:rsidRPr="00224F9C">
        <w:rPr>
          <w:i/>
          <w:highlight w:val="lightGray"/>
        </w:rPr>
        <w:t xml:space="preserve"> </w:t>
      </w:r>
      <w:r w:rsidR="00310398">
        <w:rPr>
          <w:i/>
          <w:highlight w:val="lightGray"/>
        </w:rPr>
        <w:t xml:space="preserve">with more specific questions </w:t>
      </w:r>
      <w:r w:rsidR="00224F9C" w:rsidRPr="00224F9C">
        <w:rPr>
          <w:i/>
          <w:highlight w:val="lightGray"/>
        </w:rPr>
        <w:t xml:space="preserve">by </w:t>
      </w:r>
      <w:r w:rsidR="00224F9C" w:rsidRPr="00224F9C">
        <w:rPr>
          <w:rFonts w:ascii="Calibri" w:eastAsia="Times New Roman" w:hAnsi="Calibri" w:cs="Times New Roman"/>
          <w:i/>
          <w:sz w:val="20"/>
          <w:szCs w:val="20"/>
          <w:highlight w:val="lightGray"/>
        </w:rPr>
        <w:t xml:space="preserve">CO and UNDP GEF Technical Adviser </w:t>
      </w:r>
      <w:r w:rsidR="00224F9C" w:rsidRPr="00224F9C">
        <w:rPr>
          <w:i/>
          <w:highlight w:val="lightGray"/>
        </w:rPr>
        <w:t>based on the particulars of the project</w:t>
      </w:r>
      <w:r w:rsidR="00310398">
        <w:rPr>
          <w:i/>
        </w:rPr>
        <w:t>.</w:t>
      </w:r>
    </w:p>
    <w:p w14:paraId="0FAF5BA6" w14:textId="77777777" w:rsidR="00EA0FAD" w:rsidRDefault="00EA0FAD" w:rsidP="00E23201"/>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5013"/>
        <w:gridCol w:w="4500"/>
        <w:gridCol w:w="2340"/>
        <w:gridCol w:w="2528"/>
        <w:gridCol w:w="21"/>
      </w:tblGrid>
      <w:tr w:rsidR="00EA0FAD" w:rsidRPr="00D6638C" w14:paraId="44F79C45" w14:textId="77777777" w:rsidTr="00ED794A">
        <w:trPr>
          <w:gridAfter w:val="1"/>
          <w:wAfter w:w="21" w:type="dxa"/>
          <w:tblHeader/>
        </w:trPr>
        <w:tc>
          <w:tcPr>
            <w:tcW w:w="5212"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555BAD32" w14:textId="77777777" w:rsidR="00EA0FAD" w:rsidRPr="00D6638C" w:rsidRDefault="00EA0FAD" w:rsidP="00ED794A">
            <w:pPr>
              <w:spacing w:after="0"/>
              <w:jc w:val="both"/>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4500" w:type="dxa"/>
            <w:tcBorders>
              <w:top w:val="single" w:sz="6" w:space="0" w:color="auto"/>
              <w:bottom w:val="single" w:sz="6" w:space="0" w:color="auto"/>
            </w:tcBorders>
            <w:shd w:val="clear" w:color="auto" w:fill="D9D9D9" w:themeFill="background1" w:themeFillShade="D9"/>
            <w:vAlign w:val="center"/>
          </w:tcPr>
          <w:p w14:paraId="3910325A" w14:textId="77777777" w:rsidR="00EA0FAD" w:rsidRPr="00D6638C" w:rsidRDefault="00EA0FAD" w:rsidP="00ED794A">
            <w:pPr>
              <w:spacing w:after="0"/>
              <w:jc w:val="both"/>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340" w:type="dxa"/>
            <w:tcBorders>
              <w:top w:val="single" w:sz="6" w:space="0" w:color="auto"/>
              <w:bottom w:val="single" w:sz="6" w:space="0" w:color="auto"/>
            </w:tcBorders>
            <w:shd w:val="clear" w:color="auto" w:fill="D9D9D9" w:themeFill="background1" w:themeFillShade="D9"/>
            <w:vAlign w:val="center"/>
          </w:tcPr>
          <w:p w14:paraId="3D6882B5" w14:textId="77777777" w:rsidR="00EA0FAD" w:rsidRPr="00D6638C" w:rsidRDefault="00EA0FAD" w:rsidP="00ED794A">
            <w:pPr>
              <w:spacing w:after="0"/>
              <w:jc w:val="both"/>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2528" w:type="dxa"/>
            <w:tcBorders>
              <w:top w:val="single" w:sz="6" w:space="0" w:color="auto"/>
              <w:bottom w:val="single" w:sz="6" w:space="0" w:color="auto"/>
              <w:right w:val="single" w:sz="6" w:space="0" w:color="auto"/>
            </w:tcBorders>
            <w:shd w:val="clear" w:color="auto" w:fill="D9D9D9" w:themeFill="background1" w:themeFillShade="D9"/>
            <w:vAlign w:val="center"/>
          </w:tcPr>
          <w:p w14:paraId="6D6B35B0" w14:textId="77777777" w:rsidR="00EA0FAD" w:rsidRPr="00D6638C" w:rsidRDefault="00EA0FAD" w:rsidP="00ED794A">
            <w:pPr>
              <w:spacing w:after="0"/>
              <w:jc w:val="both"/>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EA0FAD" w:rsidRPr="00D6638C" w14:paraId="3C3A82FD" w14:textId="77777777" w:rsidTr="00ED794A">
        <w:trPr>
          <w:gridAfter w:val="1"/>
          <w:wAfter w:w="21" w:type="dxa"/>
        </w:trPr>
        <w:tc>
          <w:tcPr>
            <w:tcW w:w="14580" w:type="dxa"/>
            <w:gridSpan w:val="5"/>
            <w:tcBorders>
              <w:left w:val="single" w:sz="6" w:space="0" w:color="auto"/>
              <w:right w:val="single" w:sz="6" w:space="0" w:color="auto"/>
            </w:tcBorders>
            <w:shd w:val="pct12" w:color="auto" w:fill="000000" w:themeFill="text1"/>
          </w:tcPr>
          <w:p w14:paraId="6A32DC4E" w14:textId="77777777" w:rsidR="00EA0FAD" w:rsidRPr="00310398" w:rsidRDefault="00EA0FAD" w:rsidP="00ED794A">
            <w:pPr>
              <w:numPr>
                <w:ilvl w:val="12"/>
                <w:numId w:val="0"/>
              </w:numPr>
              <w:spacing w:after="0"/>
              <w:jc w:val="both"/>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EA0FAD" w:rsidRPr="00D6638C" w14:paraId="43BB98DA" w14:textId="77777777" w:rsidTr="00ED794A">
        <w:trPr>
          <w:gridAfter w:val="1"/>
          <w:wAfter w:w="21" w:type="dxa"/>
        </w:trPr>
        <w:tc>
          <w:tcPr>
            <w:tcW w:w="199" w:type="dxa"/>
            <w:tcBorders>
              <w:top w:val="nil"/>
              <w:left w:val="nil"/>
              <w:bottom w:val="nil"/>
              <w:right w:val="nil"/>
            </w:tcBorders>
            <w:shd w:val="pct12" w:color="auto" w:fill="FFFFFF"/>
          </w:tcPr>
          <w:p w14:paraId="2BBFF7E8" w14:textId="77777777" w:rsidR="00EA0FAD" w:rsidRPr="00D6638C" w:rsidRDefault="00EA0FAD" w:rsidP="00ED794A">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sz w:val="20"/>
                <w:szCs w:val="20"/>
                <w:lang w:bidi="ar-SA"/>
              </w:rPr>
            </w:pPr>
          </w:p>
        </w:tc>
        <w:tc>
          <w:tcPr>
            <w:tcW w:w="5013" w:type="dxa"/>
            <w:tcBorders>
              <w:left w:val="nil"/>
            </w:tcBorders>
          </w:tcPr>
          <w:p w14:paraId="7E964A81" w14:textId="77777777" w:rsidR="00EA0FAD" w:rsidRPr="00D6638C" w:rsidRDefault="00EA0FAD" w:rsidP="00ED794A">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Does the project relate to the GEF Climate Change focal area and has it been designed to deliver global environmental benefits in line with relevant international climate change objectives?</w:t>
            </w:r>
          </w:p>
        </w:tc>
        <w:tc>
          <w:tcPr>
            <w:tcW w:w="4500" w:type="dxa"/>
          </w:tcPr>
          <w:p w14:paraId="66B54526" w14:textId="77777777" w:rsidR="00EA0FAD" w:rsidRDefault="00EA0FAD" w:rsidP="00ED794A">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rPr>
            </w:pPr>
            <w:r>
              <w:rPr>
                <w:rFonts w:ascii="Calibri" w:eastAsia="Times New Roman" w:hAnsi="Calibri" w:cs="Calibri"/>
                <w:sz w:val="20"/>
                <w:szCs w:val="20"/>
              </w:rPr>
              <w:t>The project includes the relevant GEF outcomes, outputs and indicators</w:t>
            </w:r>
          </w:p>
          <w:p w14:paraId="532AC09C" w14:textId="77777777" w:rsidR="00EA0FAD" w:rsidRPr="00D6638C" w:rsidRDefault="00EA0FAD" w:rsidP="00ED794A">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rPr>
            </w:pPr>
            <w:r>
              <w:rPr>
                <w:rFonts w:ascii="Calibri" w:eastAsia="Times New Roman" w:hAnsi="Calibri" w:cs="Calibri"/>
                <w:sz w:val="20"/>
                <w:szCs w:val="20"/>
              </w:rPr>
              <w:t>The project makes explicit links with global climate action goals (e.g. SE4ALL)</w:t>
            </w:r>
          </w:p>
        </w:tc>
        <w:tc>
          <w:tcPr>
            <w:tcW w:w="2340" w:type="dxa"/>
          </w:tcPr>
          <w:p w14:paraId="2A2BF98A" w14:textId="77777777" w:rsidR="00EA0FAD" w:rsidRDefault="00EA0FAD" w:rsidP="00ED794A">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rPr>
            </w:pPr>
            <w:r>
              <w:rPr>
                <w:rFonts w:ascii="Calibri" w:eastAsia="Times New Roman" w:hAnsi="Calibri" w:cs="Calibri"/>
                <w:sz w:val="20"/>
                <w:szCs w:val="20"/>
              </w:rPr>
              <w:t>Project Document</w:t>
            </w:r>
          </w:p>
          <w:p w14:paraId="7410E6F1" w14:textId="77777777" w:rsidR="00EA0FAD" w:rsidRDefault="00EA0FAD" w:rsidP="00ED794A">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rPr>
            </w:pPr>
            <w:r>
              <w:rPr>
                <w:rFonts w:ascii="Calibri" w:eastAsia="Times New Roman" w:hAnsi="Calibri" w:cs="Calibri"/>
                <w:sz w:val="20"/>
                <w:szCs w:val="20"/>
              </w:rPr>
              <w:t>GEF 5 Focal Area Strategies</w:t>
            </w:r>
          </w:p>
          <w:p w14:paraId="47789427" w14:textId="77777777" w:rsidR="00EA0FAD" w:rsidRPr="00D6638C" w:rsidRDefault="00EA0FAD" w:rsidP="00ED794A">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rPr>
            </w:pPr>
            <w:r>
              <w:rPr>
                <w:rFonts w:ascii="Calibri" w:eastAsia="Times New Roman" w:hAnsi="Calibri" w:cs="Calibri"/>
                <w:sz w:val="20"/>
                <w:szCs w:val="20"/>
              </w:rPr>
              <w:t>PIF</w:t>
            </w:r>
          </w:p>
        </w:tc>
        <w:tc>
          <w:tcPr>
            <w:tcW w:w="2528" w:type="dxa"/>
            <w:tcBorders>
              <w:right w:val="single" w:sz="6" w:space="0" w:color="auto"/>
            </w:tcBorders>
          </w:tcPr>
          <w:p w14:paraId="77D86585" w14:textId="77777777" w:rsidR="00EA0FAD" w:rsidRPr="00D6638C" w:rsidRDefault="00EA0FAD" w:rsidP="00ED794A">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rPr>
            </w:pPr>
            <w:r>
              <w:rPr>
                <w:rFonts w:ascii="Calibri" w:eastAsia="Times New Roman" w:hAnsi="Calibri" w:cs="Calibri"/>
                <w:sz w:val="20"/>
                <w:szCs w:val="20"/>
              </w:rPr>
              <w:t>Desk Review of Documents</w:t>
            </w:r>
          </w:p>
        </w:tc>
      </w:tr>
      <w:tr w:rsidR="00EA0FAD" w:rsidRPr="00D6638C" w14:paraId="03B884A7" w14:textId="77777777" w:rsidTr="00ED794A">
        <w:trPr>
          <w:gridAfter w:val="1"/>
          <w:wAfter w:w="21" w:type="dxa"/>
        </w:trPr>
        <w:tc>
          <w:tcPr>
            <w:tcW w:w="199" w:type="dxa"/>
            <w:tcBorders>
              <w:top w:val="nil"/>
              <w:left w:val="nil"/>
              <w:bottom w:val="nil"/>
              <w:right w:val="nil"/>
            </w:tcBorders>
            <w:shd w:val="pct12" w:color="auto" w:fill="FFFFFF"/>
          </w:tcPr>
          <w:p w14:paraId="0EE3AEA7" w14:textId="77777777" w:rsidR="00EA0FAD" w:rsidRPr="00D6638C" w:rsidRDefault="00EA0FAD" w:rsidP="00ED794A">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sz w:val="20"/>
                <w:szCs w:val="20"/>
                <w:lang w:bidi="ar-SA"/>
              </w:rPr>
            </w:pPr>
          </w:p>
        </w:tc>
        <w:tc>
          <w:tcPr>
            <w:tcW w:w="5013" w:type="dxa"/>
            <w:tcBorders>
              <w:left w:val="nil"/>
            </w:tcBorders>
          </w:tcPr>
          <w:p w14:paraId="4FAFECC5" w14:textId="77777777" w:rsidR="00EA0FAD" w:rsidRDefault="00EA0FAD" w:rsidP="00ED794A">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rPr>
            </w:pPr>
            <w:r>
              <w:rPr>
                <w:rFonts w:ascii="Calibri" w:eastAsia="Times New Roman" w:hAnsi="Calibri" w:cs="Calibri"/>
                <w:sz w:val="20"/>
                <w:szCs w:val="20"/>
              </w:rPr>
              <w:t>Is the project aligned to National development objectives, broadly, and to national energy transition priorities specifically?</w:t>
            </w:r>
          </w:p>
        </w:tc>
        <w:tc>
          <w:tcPr>
            <w:tcW w:w="4500" w:type="dxa"/>
          </w:tcPr>
          <w:p w14:paraId="2B1B32EF" w14:textId="77777777" w:rsidR="00EA0FAD" w:rsidRDefault="00EA0FAD" w:rsidP="00ED794A">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rPr>
            </w:pPr>
            <w:r>
              <w:rPr>
                <w:rFonts w:ascii="Calibri" w:eastAsia="Times New Roman" w:hAnsi="Calibri" w:cs="Calibri"/>
                <w:sz w:val="20"/>
                <w:szCs w:val="20"/>
              </w:rPr>
              <w:t>The project design includes explicit links (indicators, outputs, outcomes) to the national development policy/national energy policies.</w:t>
            </w:r>
          </w:p>
        </w:tc>
        <w:tc>
          <w:tcPr>
            <w:tcW w:w="2340" w:type="dxa"/>
          </w:tcPr>
          <w:p w14:paraId="4D7DCDD8" w14:textId="77777777" w:rsidR="00EA0FAD" w:rsidRDefault="00EA0FAD" w:rsidP="00ED794A">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rPr>
            </w:pPr>
            <w:r>
              <w:rPr>
                <w:rFonts w:ascii="Calibri" w:eastAsia="Times New Roman" w:hAnsi="Calibri" w:cs="Calibri"/>
                <w:sz w:val="20"/>
                <w:szCs w:val="20"/>
              </w:rPr>
              <w:t>Project Document</w:t>
            </w:r>
          </w:p>
          <w:p w14:paraId="6E4EBB32" w14:textId="77777777" w:rsidR="00EA0FAD" w:rsidRDefault="00EA0FAD" w:rsidP="00ED794A">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rPr>
            </w:pPr>
            <w:r>
              <w:rPr>
                <w:rFonts w:ascii="Calibri" w:eastAsia="Times New Roman" w:hAnsi="Calibri" w:cs="Calibri"/>
                <w:sz w:val="20"/>
                <w:szCs w:val="20"/>
              </w:rPr>
              <w:t>National development strategies, energy policies, Nationally Determined Contributions, etc.</w:t>
            </w:r>
          </w:p>
          <w:p w14:paraId="5D70644C" w14:textId="77777777" w:rsidR="00EA0FAD" w:rsidRPr="00D6638C" w:rsidRDefault="00EA0FAD" w:rsidP="00ED794A">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rPr>
            </w:pPr>
            <w:r>
              <w:rPr>
                <w:rFonts w:ascii="Calibri" w:eastAsia="Times New Roman" w:hAnsi="Calibri" w:cs="Calibri"/>
                <w:sz w:val="20"/>
                <w:szCs w:val="20"/>
              </w:rPr>
              <w:t>PIF</w:t>
            </w:r>
          </w:p>
        </w:tc>
        <w:tc>
          <w:tcPr>
            <w:tcW w:w="2528" w:type="dxa"/>
            <w:tcBorders>
              <w:right w:val="single" w:sz="6" w:space="0" w:color="auto"/>
            </w:tcBorders>
          </w:tcPr>
          <w:p w14:paraId="3BC4B09F" w14:textId="77777777" w:rsidR="00EA0FAD" w:rsidRPr="00D6638C" w:rsidRDefault="00EA0FAD" w:rsidP="00ED794A">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rPr>
            </w:pPr>
            <w:r>
              <w:rPr>
                <w:rFonts w:ascii="Calibri" w:eastAsia="Times New Roman" w:hAnsi="Calibri" w:cs="Calibri"/>
                <w:sz w:val="20"/>
                <w:szCs w:val="20"/>
              </w:rPr>
              <w:t>Desk Review of Documents</w:t>
            </w:r>
          </w:p>
        </w:tc>
      </w:tr>
      <w:tr w:rsidR="00EA0FAD" w:rsidRPr="00D6638C" w14:paraId="507147BF" w14:textId="77777777" w:rsidTr="00ED794A">
        <w:trPr>
          <w:gridAfter w:val="1"/>
          <w:wAfter w:w="21" w:type="dxa"/>
        </w:trPr>
        <w:tc>
          <w:tcPr>
            <w:tcW w:w="199" w:type="dxa"/>
            <w:tcBorders>
              <w:top w:val="nil"/>
              <w:left w:val="nil"/>
              <w:bottom w:val="nil"/>
              <w:right w:val="nil"/>
            </w:tcBorders>
            <w:shd w:val="pct12" w:color="auto" w:fill="FFFFFF"/>
          </w:tcPr>
          <w:p w14:paraId="58C5B9AE" w14:textId="77777777" w:rsidR="00EA0FAD" w:rsidRPr="00D6638C" w:rsidRDefault="00EA0FAD" w:rsidP="00ED794A">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sz w:val="20"/>
                <w:szCs w:val="20"/>
                <w:lang w:bidi="ar-SA"/>
              </w:rPr>
            </w:pPr>
          </w:p>
        </w:tc>
        <w:tc>
          <w:tcPr>
            <w:tcW w:w="5013" w:type="dxa"/>
            <w:tcBorders>
              <w:left w:val="nil"/>
            </w:tcBorders>
          </w:tcPr>
          <w:p w14:paraId="34713F33" w14:textId="77777777" w:rsidR="00EA0FAD" w:rsidRDefault="00EA0FAD" w:rsidP="00ED794A">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Is the project relevant to stated regional development objectives as defined by CARICOM, OECS and other regional frameworks?</w:t>
            </w:r>
          </w:p>
        </w:tc>
        <w:tc>
          <w:tcPr>
            <w:tcW w:w="4500" w:type="dxa"/>
          </w:tcPr>
          <w:p w14:paraId="77924C15" w14:textId="77777777" w:rsidR="00EA0FAD" w:rsidRDefault="00EA0FAD" w:rsidP="00ED794A">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Explicit links are made within the project to regional development policies, action plans and associated initiatives such as the CARICOM Energy Policy.</w:t>
            </w:r>
          </w:p>
        </w:tc>
        <w:tc>
          <w:tcPr>
            <w:tcW w:w="2340" w:type="dxa"/>
          </w:tcPr>
          <w:p w14:paraId="427DC98D" w14:textId="77777777" w:rsidR="00EA0FAD" w:rsidRDefault="00EA0FAD" w:rsidP="00ED794A">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Project Document</w:t>
            </w:r>
          </w:p>
          <w:p w14:paraId="6EA9ECE1" w14:textId="77777777" w:rsidR="00EA0FAD" w:rsidRDefault="00EA0FAD" w:rsidP="00ED794A">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CARICOM Energy Policy</w:t>
            </w:r>
          </w:p>
          <w:p w14:paraId="07F15898" w14:textId="77777777" w:rsidR="00EA0FAD" w:rsidRPr="00D6638C" w:rsidRDefault="00EA0FAD" w:rsidP="00ED794A">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PIF</w:t>
            </w:r>
          </w:p>
        </w:tc>
        <w:tc>
          <w:tcPr>
            <w:tcW w:w="2528" w:type="dxa"/>
            <w:tcBorders>
              <w:right w:val="single" w:sz="6" w:space="0" w:color="auto"/>
            </w:tcBorders>
          </w:tcPr>
          <w:p w14:paraId="50E08593" w14:textId="77777777" w:rsidR="00EA0FAD" w:rsidRPr="00D6638C" w:rsidRDefault="00EA0FAD" w:rsidP="00ED794A">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Desk Review of Documents</w:t>
            </w:r>
          </w:p>
        </w:tc>
      </w:tr>
      <w:tr w:rsidR="00EA0FAD" w:rsidRPr="00D6638C" w14:paraId="15502B4C" w14:textId="77777777" w:rsidTr="00ED794A">
        <w:trPr>
          <w:gridAfter w:val="1"/>
          <w:wAfter w:w="21" w:type="dxa"/>
        </w:trPr>
        <w:tc>
          <w:tcPr>
            <w:tcW w:w="199" w:type="dxa"/>
            <w:tcBorders>
              <w:top w:val="nil"/>
              <w:left w:val="nil"/>
              <w:bottom w:val="nil"/>
              <w:right w:val="nil"/>
            </w:tcBorders>
            <w:shd w:val="pct12" w:color="auto" w:fill="FFFFFF"/>
          </w:tcPr>
          <w:p w14:paraId="24DA4115" w14:textId="77777777" w:rsidR="00EA0FAD" w:rsidRPr="00D6638C" w:rsidRDefault="00EA0FAD" w:rsidP="00ED794A">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sz w:val="20"/>
                <w:szCs w:val="20"/>
                <w:lang w:bidi="ar-SA"/>
              </w:rPr>
            </w:pPr>
          </w:p>
        </w:tc>
        <w:tc>
          <w:tcPr>
            <w:tcW w:w="5013" w:type="dxa"/>
            <w:tcBorders>
              <w:left w:val="nil"/>
            </w:tcBorders>
          </w:tcPr>
          <w:p w14:paraId="63FF7C2C" w14:textId="77777777" w:rsidR="00EA0FAD" w:rsidRDefault="00EA0FAD" w:rsidP="00ED794A">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Is the project’s Theory of Change relevant to addressing the development challenge(s) identified?</w:t>
            </w:r>
          </w:p>
        </w:tc>
        <w:tc>
          <w:tcPr>
            <w:tcW w:w="4500" w:type="dxa"/>
          </w:tcPr>
          <w:p w14:paraId="5B4B9101" w14:textId="77777777" w:rsidR="00EA0FAD" w:rsidRDefault="00EA0FAD" w:rsidP="00ED794A">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The Theory of Change clearly indicates how project interventions and projected results</w:t>
            </w:r>
            <w:r w:rsidR="00B63CB5">
              <w:rPr>
                <w:rFonts w:ascii="Calibri" w:eastAsia="Times New Roman" w:hAnsi="Calibri" w:cs="Calibri"/>
                <w:sz w:val="20"/>
                <w:szCs w:val="20"/>
              </w:rPr>
              <w:t xml:space="preserve"> will </w:t>
            </w:r>
            <w:r>
              <w:rPr>
                <w:rFonts w:ascii="Calibri" w:eastAsia="Times New Roman" w:hAnsi="Calibri" w:cs="Calibri"/>
                <w:sz w:val="20"/>
                <w:szCs w:val="20"/>
              </w:rPr>
              <w:t>contribute to the reduction of the three major barriers to low carbon development (Policy, institutional/technical capacity and financial)</w:t>
            </w:r>
          </w:p>
        </w:tc>
        <w:tc>
          <w:tcPr>
            <w:tcW w:w="2340" w:type="dxa"/>
          </w:tcPr>
          <w:p w14:paraId="7D06B837" w14:textId="77777777" w:rsidR="00EA0FAD" w:rsidRDefault="00EA0FAD" w:rsidP="00ED794A">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Project Document</w:t>
            </w:r>
          </w:p>
          <w:p w14:paraId="05D6028E" w14:textId="77777777" w:rsidR="00EA0FAD" w:rsidRDefault="00EA0FAD" w:rsidP="00ED794A">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PIF</w:t>
            </w:r>
          </w:p>
        </w:tc>
        <w:tc>
          <w:tcPr>
            <w:tcW w:w="2528" w:type="dxa"/>
            <w:tcBorders>
              <w:right w:val="single" w:sz="6" w:space="0" w:color="auto"/>
            </w:tcBorders>
          </w:tcPr>
          <w:p w14:paraId="7E2CBCB3" w14:textId="77777777" w:rsidR="00EA0FAD" w:rsidRDefault="00EA0FAD" w:rsidP="00ED794A">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Desk Review of Documents</w:t>
            </w:r>
          </w:p>
        </w:tc>
      </w:tr>
      <w:tr w:rsidR="007A2845" w:rsidRPr="00D6638C" w14:paraId="188492BD" w14:textId="77777777" w:rsidTr="00ED794A">
        <w:trPr>
          <w:gridAfter w:val="1"/>
          <w:wAfter w:w="21" w:type="dxa"/>
        </w:trPr>
        <w:tc>
          <w:tcPr>
            <w:tcW w:w="199" w:type="dxa"/>
            <w:tcBorders>
              <w:top w:val="nil"/>
              <w:left w:val="nil"/>
              <w:bottom w:val="nil"/>
              <w:right w:val="nil"/>
            </w:tcBorders>
            <w:shd w:val="pct12" w:color="auto" w:fill="FFFFFF"/>
          </w:tcPr>
          <w:p w14:paraId="3F99B749" w14:textId="77777777" w:rsidR="007A2845" w:rsidRPr="00D6638C" w:rsidRDefault="007A2845" w:rsidP="007A2845">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sz w:val="20"/>
                <w:szCs w:val="20"/>
                <w:lang w:bidi="ar-SA"/>
              </w:rPr>
            </w:pPr>
          </w:p>
        </w:tc>
        <w:tc>
          <w:tcPr>
            <w:tcW w:w="5013" w:type="dxa"/>
            <w:tcBorders>
              <w:left w:val="nil"/>
            </w:tcBorders>
          </w:tcPr>
          <w:p w14:paraId="07193999"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Does the project directly and adequately address the needs of beneficiaries at local and regional levels?</w:t>
            </w:r>
          </w:p>
        </w:tc>
        <w:tc>
          <w:tcPr>
            <w:tcW w:w="4500" w:type="dxa"/>
          </w:tcPr>
          <w:p w14:paraId="6DC36065"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 xml:space="preserve">The Theory of Change clearly identifies beneficiary groups and defines how their capabilities will be enhanced by the project. </w:t>
            </w:r>
          </w:p>
        </w:tc>
        <w:tc>
          <w:tcPr>
            <w:tcW w:w="2340" w:type="dxa"/>
          </w:tcPr>
          <w:p w14:paraId="7B55FD45"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Project Document</w:t>
            </w:r>
          </w:p>
          <w:p w14:paraId="2CE24690"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PIF</w:t>
            </w:r>
          </w:p>
        </w:tc>
        <w:tc>
          <w:tcPr>
            <w:tcW w:w="2528" w:type="dxa"/>
            <w:tcBorders>
              <w:right w:val="single" w:sz="6" w:space="0" w:color="auto"/>
            </w:tcBorders>
          </w:tcPr>
          <w:p w14:paraId="7FB9DDF2"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Desk Review of Documents</w:t>
            </w:r>
          </w:p>
        </w:tc>
      </w:tr>
      <w:tr w:rsidR="007A2845" w:rsidRPr="00D6638C" w14:paraId="76DD1A66" w14:textId="77777777" w:rsidTr="00ED794A">
        <w:trPr>
          <w:gridAfter w:val="1"/>
          <w:wAfter w:w="21" w:type="dxa"/>
        </w:trPr>
        <w:tc>
          <w:tcPr>
            <w:tcW w:w="199" w:type="dxa"/>
            <w:tcBorders>
              <w:top w:val="nil"/>
              <w:left w:val="nil"/>
              <w:bottom w:val="nil"/>
              <w:right w:val="nil"/>
            </w:tcBorders>
            <w:shd w:val="pct12" w:color="auto" w:fill="FFFFFF"/>
          </w:tcPr>
          <w:p w14:paraId="30FE2006" w14:textId="77777777" w:rsidR="007A2845" w:rsidRPr="00D6638C" w:rsidRDefault="007A2845" w:rsidP="007A2845">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sz w:val="20"/>
                <w:szCs w:val="20"/>
                <w:lang w:bidi="ar-SA"/>
              </w:rPr>
            </w:pPr>
          </w:p>
        </w:tc>
        <w:tc>
          <w:tcPr>
            <w:tcW w:w="5013" w:type="dxa"/>
            <w:tcBorders>
              <w:left w:val="nil"/>
            </w:tcBorders>
          </w:tcPr>
          <w:p w14:paraId="201F44F9"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Is the project’s results framework relevant to the development challenges and are results at the appropriate level?</w:t>
            </w:r>
          </w:p>
        </w:tc>
        <w:tc>
          <w:tcPr>
            <w:tcW w:w="4500" w:type="dxa"/>
          </w:tcPr>
          <w:p w14:paraId="6AA5C02C"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The project results framework adequately measures impact</w:t>
            </w:r>
          </w:p>
          <w:p w14:paraId="73CA4F44"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The project indicators are SMART</w:t>
            </w:r>
          </w:p>
          <w:p w14:paraId="334FEA80"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 xml:space="preserve">Indicator baselines are clearly defined and </w:t>
            </w:r>
            <w:proofErr w:type="gramStart"/>
            <w:r>
              <w:rPr>
                <w:rFonts w:ascii="Calibri" w:eastAsia="Times New Roman" w:hAnsi="Calibri" w:cs="Calibri"/>
                <w:sz w:val="20"/>
                <w:szCs w:val="20"/>
              </w:rPr>
              <w:t>populated</w:t>
            </w:r>
            <w:proofErr w:type="gramEnd"/>
            <w:r>
              <w:rPr>
                <w:rFonts w:ascii="Calibri" w:eastAsia="Times New Roman" w:hAnsi="Calibri" w:cs="Calibri"/>
                <w:sz w:val="20"/>
                <w:szCs w:val="20"/>
              </w:rPr>
              <w:t xml:space="preserve"> and milestones and targets are </w:t>
            </w:r>
          </w:p>
          <w:p w14:paraId="1BE401A6"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The results framework is comprehensive and demonstrates systematic links to the theory of change</w:t>
            </w:r>
          </w:p>
        </w:tc>
        <w:tc>
          <w:tcPr>
            <w:tcW w:w="2340" w:type="dxa"/>
          </w:tcPr>
          <w:p w14:paraId="15200C48"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Project Document</w:t>
            </w:r>
          </w:p>
          <w:p w14:paraId="0983EADF"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PIF</w:t>
            </w:r>
          </w:p>
          <w:p w14:paraId="24D60FC8" w14:textId="77777777" w:rsidR="007A2845" w:rsidRDefault="007A2845" w:rsidP="007A2845">
            <w:p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p>
        </w:tc>
        <w:tc>
          <w:tcPr>
            <w:tcW w:w="2528" w:type="dxa"/>
            <w:tcBorders>
              <w:right w:val="single" w:sz="6" w:space="0" w:color="auto"/>
            </w:tcBorders>
          </w:tcPr>
          <w:p w14:paraId="432829EC"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Desk Review of Documents</w:t>
            </w:r>
          </w:p>
        </w:tc>
      </w:tr>
      <w:tr w:rsidR="007A2845" w:rsidRPr="00D6638C" w14:paraId="604DD85C" w14:textId="77777777" w:rsidTr="00ED794A">
        <w:trPr>
          <w:gridAfter w:val="1"/>
          <w:wAfter w:w="21" w:type="dxa"/>
        </w:trPr>
        <w:tc>
          <w:tcPr>
            <w:tcW w:w="199" w:type="dxa"/>
            <w:tcBorders>
              <w:top w:val="nil"/>
              <w:left w:val="nil"/>
              <w:bottom w:val="nil"/>
              <w:right w:val="nil"/>
            </w:tcBorders>
            <w:shd w:val="pct12" w:color="auto" w:fill="FFFFFF"/>
          </w:tcPr>
          <w:p w14:paraId="1B4AA8D4" w14:textId="77777777" w:rsidR="007A2845" w:rsidRPr="00D6638C" w:rsidRDefault="007A2845" w:rsidP="007A2845">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sz w:val="20"/>
                <w:szCs w:val="20"/>
                <w:lang w:bidi="ar-SA"/>
              </w:rPr>
            </w:pPr>
          </w:p>
        </w:tc>
        <w:tc>
          <w:tcPr>
            <w:tcW w:w="5013" w:type="dxa"/>
            <w:tcBorders>
              <w:left w:val="nil"/>
            </w:tcBorders>
          </w:tcPr>
          <w:p w14:paraId="1A3B848A" w14:textId="77777777" w:rsidR="007A2845" w:rsidRPr="00D6638C"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Is the project appropriately aligned with relevant UN system priorities, including thematic objectives at the national/regional and international levels?</w:t>
            </w:r>
          </w:p>
        </w:tc>
        <w:tc>
          <w:tcPr>
            <w:tcW w:w="4500" w:type="dxa"/>
          </w:tcPr>
          <w:p w14:paraId="78586C75" w14:textId="77777777" w:rsidR="007A2845" w:rsidRPr="00D6638C"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 xml:space="preserve">The project’s results framework includes relevant thematic outcomes and indicators from the UNDP Strategic Plan, the UNDAF, UNDP CPD and other relevant corporate objectives </w:t>
            </w:r>
          </w:p>
        </w:tc>
        <w:tc>
          <w:tcPr>
            <w:tcW w:w="2340" w:type="dxa"/>
          </w:tcPr>
          <w:p w14:paraId="7345CBE6"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Project Document</w:t>
            </w:r>
          </w:p>
          <w:p w14:paraId="57AC1916" w14:textId="77777777" w:rsidR="007A2845" w:rsidRPr="00D6638C"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UNDP CPD, UNDAF, SP</w:t>
            </w:r>
          </w:p>
        </w:tc>
        <w:tc>
          <w:tcPr>
            <w:tcW w:w="2528" w:type="dxa"/>
            <w:tcBorders>
              <w:right w:val="single" w:sz="6" w:space="0" w:color="auto"/>
            </w:tcBorders>
          </w:tcPr>
          <w:p w14:paraId="004B3571" w14:textId="77777777" w:rsidR="007A2845" w:rsidRPr="00D6638C"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Desk Review of Documents</w:t>
            </w:r>
          </w:p>
        </w:tc>
      </w:tr>
      <w:tr w:rsidR="007A2845" w:rsidRPr="00D6638C" w14:paraId="2D756213" w14:textId="77777777" w:rsidTr="00ED794A">
        <w:trPr>
          <w:gridAfter w:val="1"/>
          <w:wAfter w:w="21" w:type="dxa"/>
        </w:trPr>
        <w:tc>
          <w:tcPr>
            <w:tcW w:w="199" w:type="dxa"/>
            <w:tcBorders>
              <w:top w:val="nil"/>
              <w:left w:val="nil"/>
              <w:bottom w:val="nil"/>
              <w:right w:val="nil"/>
            </w:tcBorders>
            <w:shd w:val="pct12" w:color="auto" w:fill="FFFFFF"/>
          </w:tcPr>
          <w:p w14:paraId="257236FD" w14:textId="77777777" w:rsidR="007A2845" w:rsidRPr="00D6638C" w:rsidRDefault="007A2845" w:rsidP="007A2845">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sz w:val="20"/>
                <w:szCs w:val="20"/>
                <w:lang w:bidi="ar-SA"/>
              </w:rPr>
            </w:pPr>
          </w:p>
        </w:tc>
        <w:tc>
          <w:tcPr>
            <w:tcW w:w="5013" w:type="dxa"/>
            <w:tcBorders>
              <w:left w:val="nil"/>
            </w:tcBorders>
          </w:tcPr>
          <w:p w14:paraId="29B4498D"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Have the relevant stakeholders been adequately identified and have their views, needs and rights been considered during design and implementation?</w:t>
            </w:r>
          </w:p>
        </w:tc>
        <w:tc>
          <w:tcPr>
            <w:tcW w:w="4500" w:type="dxa"/>
          </w:tcPr>
          <w:p w14:paraId="04765E33"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The stakeholder mapping and associated engagement plan includes all relevant stakeholders and appropriate modalities for engagement.</w:t>
            </w:r>
          </w:p>
          <w:p w14:paraId="4C0871F0" w14:textId="77777777" w:rsidR="007A2845" w:rsidRPr="00E83F3E"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sidRPr="00E83F3E">
              <w:rPr>
                <w:rFonts w:ascii="Calibri" w:eastAsia="Times New Roman" w:hAnsi="Calibri" w:cs="Calibri"/>
                <w:sz w:val="20"/>
                <w:szCs w:val="20"/>
              </w:rPr>
              <w:t>Planning and implementation have been participatory and inclusive</w:t>
            </w:r>
          </w:p>
        </w:tc>
        <w:tc>
          <w:tcPr>
            <w:tcW w:w="2340" w:type="dxa"/>
          </w:tcPr>
          <w:p w14:paraId="7B07F2DA"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Stakeholder mapping/engagement plan and reporting</w:t>
            </w:r>
          </w:p>
          <w:p w14:paraId="7AFCA042"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Quarterly Reports</w:t>
            </w:r>
          </w:p>
          <w:p w14:paraId="489D08F9"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Annual Reports (PIR)</w:t>
            </w:r>
          </w:p>
          <w:p w14:paraId="4B6E222E" w14:textId="77777777" w:rsidR="007A2845" w:rsidRPr="00864813"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Stakeholder Consultation Reports</w:t>
            </w:r>
          </w:p>
        </w:tc>
        <w:tc>
          <w:tcPr>
            <w:tcW w:w="2528" w:type="dxa"/>
            <w:tcBorders>
              <w:right w:val="single" w:sz="6" w:space="0" w:color="auto"/>
            </w:tcBorders>
          </w:tcPr>
          <w:p w14:paraId="5B2223DD"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Desk Review of Documents</w:t>
            </w:r>
          </w:p>
          <w:p w14:paraId="47C6B75E" w14:textId="77777777" w:rsidR="007A2845" w:rsidRPr="00D6638C"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Stakeholder Interviews</w:t>
            </w:r>
          </w:p>
        </w:tc>
      </w:tr>
      <w:tr w:rsidR="007A2845" w:rsidRPr="00D6638C" w14:paraId="16EA6536" w14:textId="77777777" w:rsidTr="00ED794A">
        <w:trPr>
          <w:gridAfter w:val="1"/>
          <w:wAfter w:w="21" w:type="dxa"/>
        </w:trPr>
        <w:tc>
          <w:tcPr>
            <w:tcW w:w="199" w:type="dxa"/>
            <w:tcBorders>
              <w:top w:val="nil"/>
              <w:left w:val="nil"/>
              <w:bottom w:val="nil"/>
              <w:right w:val="nil"/>
            </w:tcBorders>
            <w:shd w:val="pct12" w:color="auto" w:fill="FFFFFF"/>
          </w:tcPr>
          <w:p w14:paraId="0B402CFA" w14:textId="77777777" w:rsidR="007A2845" w:rsidRPr="00D6638C" w:rsidRDefault="007A2845" w:rsidP="007A2845">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sz w:val="20"/>
                <w:szCs w:val="20"/>
                <w:lang w:bidi="ar-SA"/>
              </w:rPr>
            </w:pPr>
          </w:p>
        </w:tc>
        <w:tc>
          <w:tcPr>
            <w:tcW w:w="5013" w:type="dxa"/>
            <w:tcBorders>
              <w:left w:val="nil"/>
            </w:tcBorders>
          </w:tcPr>
          <w:p w14:paraId="380A1D88"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Have the interventions of the project been adequately considered in the context of other development activities being undertaken in the same or related thematic area?</w:t>
            </w:r>
          </w:p>
        </w:tc>
        <w:tc>
          <w:tcPr>
            <w:tcW w:w="4500" w:type="dxa"/>
          </w:tcPr>
          <w:p w14:paraId="771BB269" w14:textId="77777777" w:rsidR="007A2845" w:rsidRPr="00D6638C"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A Partnership framework has been developed that incorporates parallel initiatives, key partners and identifies complementarities</w:t>
            </w:r>
          </w:p>
        </w:tc>
        <w:tc>
          <w:tcPr>
            <w:tcW w:w="2340" w:type="dxa"/>
          </w:tcPr>
          <w:p w14:paraId="7C985556"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Project Document</w:t>
            </w:r>
          </w:p>
          <w:p w14:paraId="7B0EB35C"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Quarterly Reports</w:t>
            </w:r>
          </w:p>
          <w:p w14:paraId="7E03B8A5"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Annual Reports (PIR)</w:t>
            </w:r>
          </w:p>
          <w:p w14:paraId="6FCF8541" w14:textId="77777777" w:rsidR="007A2845" w:rsidRPr="0048346B"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Stakeholder mapping/engagement plan and reporting</w:t>
            </w:r>
          </w:p>
        </w:tc>
        <w:tc>
          <w:tcPr>
            <w:tcW w:w="2528" w:type="dxa"/>
            <w:tcBorders>
              <w:right w:val="single" w:sz="6" w:space="0" w:color="auto"/>
            </w:tcBorders>
          </w:tcPr>
          <w:p w14:paraId="0737FD70"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Desk Review of Documents</w:t>
            </w:r>
          </w:p>
          <w:p w14:paraId="0A0257AE" w14:textId="77777777" w:rsidR="007A2845" w:rsidRPr="0048346B"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sidRPr="0048346B">
              <w:rPr>
                <w:rFonts w:ascii="Calibri" w:eastAsia="Times New Roman" w:hAnsi="Calibri" w:cs="Calibri"/>
                <w:sz w:val="20"/>
                <w:szCs w:val="20"/>
              </w:rPr>
              <w:t>Stakeholder Interviews</w:t>
            </w:r>
          </w:p>
        </w:tc>
      </w:tr>
      <w:tr w:rsidR="007A2845" w:rsidRPr="00D6638C" w14:paraId="0CE154DE" w14:textId="77777777" w:rsidTr="00ED794A">
        <w:trPr>
          <w:gridAfter w:val="1"/>
          <w:wAfter w:w="21" w:type="dxa"/>
        </w:trPr>
        <w:tc>
          <w:tcPr>
            <w:tcW w:w="199" w:type="dxa"/>
            <w:tcBorders>
              <w:top w:val="nil"/>
              <w:left w:val="nil"/>
              <w:bottom w:val="nil"/>
              <w:right w:val="nil"/>
            </w:tcBorders>
            <w:shd w:val="pct12" w:color="auto" w:fill="FFFFFF"/>
          </w:tcPr>
          <w:p w14:paraId="39398888" w14:textId="77777777" w:rsidR="007A2845" w:rsidRPr="00D6638C" w:rsidRDefault="007A2845" w:rsidP="007A2845">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sz w:val="20"/>
                <w:szCs w:val="20"/>
                <w:lang w:bidi="ar-SA"/>
              </w:rPr>
            </w:pPr>
          </w:p>
        </w:tc>
        <w:tc>
          <w:tcPr>
            <w:tcW w:w="5013" w:type="dxa"/>
            <w:tcBorders>
              <w:left w:val="nil"/>
            </w:tcBorders>
          </w:tcPr>
          <w:p w14:paraId="6F37A0EC"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Have relevant lessons learned from previous projects informed the design, implementation, risk management and monitoring of the project?</w:t>
            </w:r>
          </w:p>
        </w:tc>
        <w:tc>
          <w:tcPr>
            <w:tcW w:w="4500" w:type="dxa"/>
          </w:tcPr>
          <w:p w14:paraId="44255D91"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Lessons learned are explicitly identified and integrated into all aspects of the Project Document</w:t>
            </w:r>
          </w:p>
          <w:p w14:paraId="688369CD" w14:textId="77777777" w:rsidR="007A2845" w:rsidRPr="00D6638C" w:rsidRDefault="007A2845" w:rsidP="007A2845">
            <w:pPr>
              <w:tabs>
                <w:tab w:val="left" w:pos="227"/>
              </w:tabs>
              <w:autoSpaceDE w:val="0"/>
              <w:autoSpaceDN w:val="0"/>
              <w:adjustRightInd w:val="0"/>
              <w:spacing w:after="0" w:line="240" w:lineRule="auto"/>
              <w:ind w:left="272"/>
              <w:jc w:val="both"/>
              <w:rPr>
                <w:rFonts w:ascii="Calibri" w:eastAsia="Times New Roman" w:hAnsi="Calibri" w:cs="Calibri"/>
                <w:sz w:val="20"/>
                <w:szCs w:val="20"/>
              </w:rPr>
            </w:pPr>
          </w:p>
        </w:tc>
        <w:tc>
          <w:tcPr>
            <w:tcW w:w="2340" w:type="dxa"/>
          </w:tcPr>
          <w:p w14:paraId="147ECD6B"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Project Document</w:t>
            </w:r>
          </w:p>
          <w:p w14:paraId="5F9B4395" w14:textId="77777777" w:rsidR="007A2845" w:rsidRPr="00D6638C"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PIF</w:t>
            </w:r>
          </w:p>
        </w:tc>
        <w:tc>
          <w:tcPr>
            <w:tcW w:w="2528" w:type="dxa"/>
            <w:tcBorders>
              <w:right w:val="single" w:sz="6" w:space="0" w:color="auto"/>
            </w:tcBorders>
          </w:tcPr>
          <w:p w14:paraId="627C906E"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Desk Review of Documents</w:t>
            </w:r>
          </w:p>
          <w:p w14:paraId="5FBDBBFA" w14:textId="77777777" w:rsidR="007A2845" w:rsidRPr="00D6638C" w:rsidRDefault="007A2845" w:rsidP="007A2845">
            <w:pPr>
              <w:tabs>
                <w:tab w:val="left" w:pos="227"/>
              </w:tabs>
              <w:autoSpaceDE w:val="0"/>
              <w:autoSpaceDN w:val="0"/>
              <w:adjustRightInd w:val="0"/>
              <w:spacing w:after="0" w:line="240" w:lineRule="auto"/>
              <w:ind w:left="272"/>
              <w:jc w:val="both"/>
              <w:rPr>
                <w:rFonts w:ascii="Calibri" w:eastAsia="Times New Roman" w:hAnsi="Calibri" w:cs="Calibri"/>
                <w:sz w:val="20"/>
                <w:szCs w:val="20"/>
              </w:rPr>
            </w:pPr>
          </w:p>
        </w:tc>
      </w:tr>
      <w:tr w:rsidR="007A2845" w:rsidRPr="00D6638C" w14:paraId="238125BD" w14:textId="77777777" w:rsidTr="00ED794A">
        <w:trPr>
          <w:gridAfter w:val="1"/>
          <w:wAfter w:w="21" w:type="dxa"/>
        </w:trPr>
        <w:tc>
          <w:tcPr>
            <w:tcW w:w="199" w:type="dxa"/>
            <w:tcBorders>
              <w:top w:val="nil"/>
              <w:left w:val="nil"/>
              <w:bottom w:val="nil"/>
              <w:right w:val="nil"/>
            </w:tcBorders>
            <w:shd w:val="pct12" w:color="auto" w:fill="FFFFFF"/>
          </w:tcPr>
          <w:p w14:paraId="3B818378" w14:textId="77777777" w:rsidR="007A2845" w:rsidRPr="00D6638C" w:rsidRDefault="007A2845" w:rsidP="007A2845">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sz w:val="20"/>
                <w:szCs w:val="20"/>
                <w:lang w:bidi="ar-SA"/>
              </w:rPr>
            </w:pPr>
          </w:p>
        </w:tc>
        <w:tc>
          <w:tcPr>
            <w:tcW w:w="5013" w:type="dxa"/>
            <w:tcBorders>
              <w:left w:val="nil"/>
            </w:tcBorders>
          </w:tcPr>
          <w:p w14:paraId="729D5C9F"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Did the project design adequately identify, assess and design appropriate mitigation actions for the potential social and environmental risks posed by its interventions?</w:t>
            </w:r>
          </w:p>
        </w:tc>
        <w:tc>
          <w:tcPr>
            <w:tcW w:w="4500" w:type="dxa"/>
          </w:tcPr>
          <w:p w14:paraId="19F72B49"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 xml:space="preserve">The SES checklist was completed </w:t>
            </w:r>
            <w:proofErr w:type="gramStart"/>
            <w:r>
              <w:rPr>
                <w:rFonts w:ascii="Calibri" w:eastAsia="Times New Roman" w:hAnsi="Calibri" w:cs="Calibri"/>
                <w:sz w:val="20"/>
                <w:szCs w:val="20"/>
              </w:rPr>
              <w:t>appropriately</w:t>
            </w:r>
            <w:proofErr w:type="gramEnd"/>
            <w:r>
              <w:rPr>
                <w:rFonts w:ascii="Calibri" w:eastAsia="Times New Roman" w:hAnsi="Calibri" w:cs="Calibri"/>
                <w:sz w:val="20"/>
                <w:szCs w:val="20"/>
              </w:rPr>
              <w:t xml:space="preserve"> and all reasonable risks were identified with appropriate impact and probability ratings and risk mitigation measures specified</w:t>
            </w:r>
          </w:p>
        </w:tc>
        <w:tc>
          <w:tcPr>
            <w:tcW w:w="2340" w:type="dxa"/>
          </w:tcPr>
          <w:p w14:paraId="3A445C2C"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Project Document</w:t>
            </w:r>
          </w:p>
          <w:p w14:paraId="6B90D6DA"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SES Annex</w:t>
            </w:r>
          </w:p>
        </w:tc>
        <w:tc>
          <w:tcPr>
            <w:tcW w:w="2528" w:type="dxa"/>
            <w:tcBorders>
              <w:right w:val="single" w:sz="6" w:space="0" w:color="auto"/>
            </w:tcBorders>
          </w:tcPr>
          <w:p w14:paraId="2E8F655A"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Desk Review of Documents</w:t>
            </w:r>
          </w:p>
          <w:p w14:paraId="4E3006C9" w14:textId="77777777" w:rsidR="007A2845" w:rsidRDefault="007A2845" w:rsidP="007A2845">
            <w:pPr>
              <w:tabs>
                <w:tab w:val="left" w:pos="227"/>
              </w:tabs>
              <w:autoSpaceDE w:val="0"/>
              <w:autoSpaceDN w:val="0"/>
              <w:adjustRightInd w:val="0"/>
              <w:spacing w:after="0" w:line="240" w:lineRule="auto"/>
              <w:ind w:left="2"/>
              <w:jc w:val="both"/>
              <w:rPr>
                <w:rFonts w:ascii="Calibri" w:eastAsia="Times New Roman" w:hAnsi="Calibri" w:cs="Calibri"/>
                <w:sz w:val="20"/>
                <w:szCs w:val="20"/>
              </w:rPr>
            </w:pPr>
          </w:p>
        </w:tc>
      </w:tr>
      <w:tr w:rsidR="007A2845" w:rsidRPr="00D6638C" w14:paraId="63F0473F" w14:textId="77777777" w:rsidTr="00ED794A">
        <w:tc>
          <w:tcPr>
            <w:tcW w:w="14601" w:type="dxa"/>
            <w:gridSpan w:val="6"/>
            <w:tcBorders>
              <w:top w:val="nil"/>
              <w:left w:val="single" w:sz="6" w:space="0" w:color="auto"/>
              <w:bottom w:val="nil"/>
              <w:right w:val="single" w:sz="6" w:space="0" w:color="auto"/>
            </w:tcBorders>
            <w:shd w:val="pct12" w:color="auto" w:fill="000000" w:themeFill="text1"/>
          </w:tcPr>
          <w:p w14:paraId="2C917989" w14:textId="77777777" w:rsidR="007A2845" w:rsidRPr="00310398" w:rsidRDefault="007A2845" w:rsidP="007A2845">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7A2845" w:rsidRPr="00D6638C" w14:paraId="6CAD6E95" w14:textId="77777777" w:rsidTr="00ED794A">
        <w:tc>
          <w:tcPr>
            <w:tcW w:w="199" w:type="dxa"/>
            <w:tcBorders>
              <w:top w:val="nil"/>
              <w:left w:val="nil"/>
              <w:bottom w:val="nil"/>
              <w:right w:val="nil"/>
            </w:tcBorders>
            <w:shd w:val="pct12" w:color="auto" w:fill="FFFFFF"/>
          </w:tcPr>
          <w:p w14:paraId="13EA2ADC" w14:textId="77777777" w:rsidR="007A2845" w:rsidRPr="00D6638C" w:rsidRDefault="007A2845" w:rsidP="007A2845">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sz w:val="20"/>
                <w:szCs w:val="20"/>
                <w:lang w:bidi="ar-SA"/>
              </w:rPr>
            </w:pPr>
          </w:p>
        </w:tc>
        <w:tc>
          <w:tcPr>
            <w:tcW w:w="5013" w:type="dxa"/>
            <w:tcBorders>
              <w:left w:val="nil"/>
            </w:tcBorders>
          </w:tcPr>
          <w:p w14:paraId="197AEDC6" w14:textId="77777777" w:rsidR="007A2845" w:rsidRPr="00D6638C"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Has the project achieved its output and outcome level objectives?</w:t>
            </w:r>
          </w:p>
        </w:tc>
        <w:tc>
          <w:tcPr>
            <w:tcW w:w="4500" w:type="dxa"/>
          </w:tcPr>
          <w:p w14:paraId="1C009315" w14:textId="77777777" w:rsidR="007A2845" w:rsidRPr="00D6638C"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The project has met or exceeded the output and outcome indicator end-of-project targets</w:t>
            </w:r>
          </w:p>
        </w:tc>
        <w:tc>
          <w:tcPr>
            <w:tcW w:w="2340" w:type="dxa"/>
          </w:tcPr>
          <w:p w14:paraId="5D175169"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Quarterly Reports</w:t>
            </w:r>
          </w:p>
          <w:p w14:paraId="629B1F9B"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Annual Reports (PIR)</w:t>
            </w:r>
          </w:p>
          <w:p w14:paraId="74185DD0"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Monitoring Reports</w:t>
            </w:r>
          </w:p>
          <w:p w14:paraId="65D3F2F7"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Beneficiary testimony</w:t>
            </w:r>
          </w:p>
          <w:p w14:paraId="0F1CD80F"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Site visit/field reports</w:t>
            </w:r>
          </w:p>
          <w:p w14:paraId="60996142" w14:textId="77777777" w:rsidR="007A2845" w:rsidRPr="00864813"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Pilot Data Analysis/Reports</w:t>
            </w:r>
          </w:p>
        </w:tc>
        <w:tc>
          <w:tcPr>
            <w:tcW w:w="2549" w:type="dxa"/>
            <w:gridSpan w:val="2"/>
            <w:tcBorders>
              <w:right w:val="single" w:sz="6" w:space="0" w:color="auto"/>
            </w:tcBorders>
          </w:tcPr>
          <w:p w14:paraId="77350873"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Desk Review of Documents</w:t>
            </w:r>
          </w:p>
          <w:p w14:paraId="48921E0F"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Interviews with project staff, stakeholders and beneficiaries</w:t>
            </w:r>
          </w:p>
          <w:p w14:paraId="28981013" w14:textId="77777777" w:rsidR="007A2845" w:rsidRPr="00E730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Site visits</w:t>
            </w:r>
          </w:p>
        </w:tc>
      </w:tr>
      <w:tr w:rsidR="007A2845" w:rsidRPr="00D6638C" w14:paraId="4A823661" w14:textId="77777777" w:rsidTr="00ED794A">
        <w:tc>
          <w:tcPr>
            <w:tcW w:w="199" w:type="dxa"/>
            <w:tcBorders>
              <w:top w:val="nil"/>
              <w:left w:val="nil"/>
              <w:bottom w:val="nil"/>
              <w:right w:val="nil"/>
            </w:tcBorders>
            <w:shd w:val="pct12" w:color="auto" w:fill="FFFFFF"/>
          </w:tcPr>
          <w:p w14:paraId="5478477C" w14:textId="77777777" w:rsidR="007A2845" w:rsidRPr="00D6638C" w:rsidRDefault="007A2845" w:rsidP="007A2845">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sz w:val="20"/>
                <w:szCs w:val="20"/>
                <w:lang w:bidi="ar-SA"/>
              </w:rPr>
            </w:pPr>
          </w:p>
        </w:tc>
        <w:tc>
          <w:tcPr>
            <w:tcW w:w="5013" w:type="dxa"/>
            <w:tcBorders>
              <w:left w:val="nil"/>
            </w:tcBorders>
          </w:tcPr>
          <w:p w14:paraId="255B358B" w14:textId="77777777" w:rsidR="007A2845" w:rsidRPr="00D6638C"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sidRPr="00020D23">
              <w:rPr>
                <w:rFonts w:ascii="Calibri" w:eastAsia="Times New Roman" w:hAnsi="Calibri" w:cs="Calibri"/>
                <w:sz w:val="20"/>
                <w:szCs w:val="20"/>
              </w:rPr>
              <w:t>Were lessons learned captured and integrated into project planning and decision-making?</w:t>
            </w:r>
          </w:p>
        </w:tc>
        <w:tc>
          <w:tcPr>
            <w:tcW w:w="4500" w:type="dxa"/>
          </w:tcPr>
          <w:p w14:paraId="3721D2A3" w14:textId="77777777" w:rsidR="007A2845" w:rsidRPr="00D6638C"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Lessons learned have been captured periodically and/or at project end</w:t>
            </w:r>
          </w:p>
        </w:tc>
        <w:tc>
          <w:tcPr>
            <w:tcW w:w="2340" w:type="dxa"/>
          </w:tcPr>
          <w:p w14:paraId="279A9973"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Steering Committee Meeting Minutes</w:t>
            </w:r>
          </w:p>
          <w:p w14:paraId="70FD8945"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Quarterly Reports</w:t>
            </w:r>
          </w:p>
          <w:p w14:paraId="49881A9F" w14:textId="77777777" w:rsidR="007A2845" w:rsidRPr="00D6638C"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Annual Reports (PIR)</w:t>
            </w:r>
          </w:p>
        </w:tc>
        <w:tc>
          <w:tcPr>
            <w:tcW w:w="2549" w:type="dxa"/>
            <w:gridSpan w:val="2"/>
            <w:tcBorders>
              <w:right w:val="single" w:sz="6" w:space="0" w:color="auto"/>
            </w:tcBorders>
          </w:tcPr>
          <w:p w14:paraId="057217AA"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Desk Review of Documents</w:t>
            </w:r>
          </w:p>
          <w:p w14:paraId="05027654" w14:textId="77777777" w:rsidR="007A2845" w:rsidRPr="00E730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Interviews with project staff, stakeholders and beneficiaries</w:t>
            </w:r>
          </w:p>
        </w:tc>
      </w:tr>
      <w:tr w:rsidR="007A2845" w:rsidRPr="00D6638C" w14:paraId="0E324693" w14:textId="77777777" w:rsidTr="00ED794A">
        <w:tc>
          <w:tcPr>
            <w:tcW w:w="199" w:type="dxa"/>
            <w:tcBorders>
              <w:top w:val="nil"/>
              <w:left w:val="nil"/>
              <w:bottom w:val="nil"/>
              <w:right w:val="nil"/>
            </w:tcBorders>
            <w:shd w:val="pct12" w:color="auto" w:fill="FFFFFF"/>
          </w:tcPr>
          <w:p w14:paraId="006CF41E" w14:textId="77777777" w:rsidR="007A2845" w:rsidRPr="00D6638C" w:rsidRDefault="007A2845" w:rsidP="007A2845">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sz w:val="20"/>
                <w:szCs w:val="20"/>
                <w:lang w:bidi="ar-SA"/>
              </w:rPr>
            </w:pPr>
          </w:p>
        </w:tc>
        <w:tc>
          <w:tcPr>
            <w:tcW w:w="5013" w:type="dxa"/>
            <w:tcBorders>
              <w:left w:val="nil"/>
            </w:tcBorders>
          </w:tcPr>
          <w:p w14:paraId="6EDDE44F" w14:textId="77777777" w:rsidR="007A2845" w:rsidRPr="00020D23"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sidRPr="00020D23">
              <w:rPr>
                <w:rFonts w:ascii="Calibri" w:eastAsia="Times New Roman" w:hAnsi="Calibri" w:cs="Calibri"/>
                <w:sz w:val="20"/>
                <w:szCs w:val="20"/>
              </w:rPr>
              <w:t>How well were risks</w:t>
            </w:r>
            <w:r>
              <w:rPr>
                <w:rFonts w:ascii="Calibri" w:eastAsia="Times New Roman" w:hAnsi="Calibri" w:cs="Calibri"/>
                <w:sz w:val="20"/>
                <w:szCs w:val="20"/>
              </w:rPr>
              <w:t xml:space="preserve"> (including those identified in the Social and Environmental Screening (SES) Checklist)</w:t>
            </w:r>
            <w:r w:rsidRPr="00020D23">
              <w:rPr>
                <w:rFonts w:ascii="Calibri" w:eastAsia="Times New Roman" w:hAnsi="Calibri" w:cs="Calibri"/>
                <w:sz w:val="20"/>
                <w:szCs w:val="20"/>
              </w:rPr>
              <w:t>, assumptions and impact drivers being managed?</w:t>
            </w:r>
          </w:p>
        </w:tc>
        <w:tc>
          <w:tcPr>
            <w:tcW w:w="4500" w:type="dxa"/>
          </w:tcPr>
          <w:p w14:paraId="518C9A7E" w14:textId="77777777" w:rsidR="007A2845" w:rsidRPr="008544FA"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sidRPr="00020D23">
              <w:rPr>
                <w:rFonts w:ascii="Calibri" w:eastAsia="Times New Roman" w:hAnsi="Calibri" w:cs="Calibri"/>
                <w:sz w:val="20"/>
                <w:szCs w:val="20"/>
              </w:rPr>
              <w:t>A clearly defined risk identification, categorization and mitigation strategy (updated risk log in ATLAS)</w:t>
            </w:r>
          </w:p>
          <w:p w14:paraId="1A0FB974" w14:textId="77777777" w:rsidR="007A2845" w:rsidRDefault="007A2845" w:rsidP="007A2845">
            <w:p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p>
        </w:tc>
        <w:tc>
          <w:tcPr>
            <w:tcW w:w="2340" w:type="dxa"/>
          </w:tcPr>
          <w:p w14:paraId="684A5D45"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ATLAS Risk Log</w:t>
            </w:r>
          </w:p>
          <w:p w14:paraId="07E920DF" w14:textId="77777777" w:rsidR="007A2845" w:rsidRPr="008544FA"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M&amp;E Reports</w:t>
            </w:r>
          </w:p>
        </w:tc>
        <w:tc>
          <w:tcPr>
            <w:tcW w:w="2549" w:type="dxa"/>
            <w:gridSpan w:val="2"/>
            <w:tcBorders>
              <w:right w:val="single" w:sz="6" w:space="0" w:color="auto"/>
            </w:tcBorders>
          </w:tcPr>
          <w:p w14:paraId="159EC7B5"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Desk Review of Documents</w:t>
            </w:r>
          </w:p>
          <w:p w14:paraId="0760232E" w14:textId="77777777" w:rsidR="007A2845" w:rsidRPr="00D6638C"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Interviews with project staff, stakeholders and beneficiaries</w:t>
            </w:r>
          </w:p>
        </w:tc>
      </w:tr>
      <w:tr w:rsidR="007A2845" w:rsidRPr="00D6638C" w14:paraId="08B17240" w14:textId="77777777" w:rsidTr="00ED794A">
        <w:tc>
          <w:tcPr>
            <w:tcW w:w="199" w:type="dxa"/>
            <w:tcBorders>
              <w:top w:val="nil"/>
              <w:left w:val="nil"/>
              <w:bottom w:val="nil"/>
              <w:right w:val="nil"/>
            </w:tcBorders>
            <w:shd w:val="pct12" w:color="auto" w:fill="FFFFFF"/>
          </w:tcPr>
          <w:p w14:paraId="39CA24FC" w14:textId="77777777" w:rsidR="007A2845" w:rsidRPr="00D6638C" w:rsidRDefault="007A2845" w:rsidP="007A2845">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b/>
                <w:bCs/>
                <w:iCs/>
                <w:sz w:val="20"/>
                <w:szCs w:val="20"/>
                <w:lang w:bidi="ar-SA"/>
              </w:rPr>
            </w:pPr>
          </w:p>
        </w:tc>
        <w:tc>
          <w:tcPr>
            <w:tcW w:w="5013" w:type="dxa"/>
            <w:tcBorders>
              <w:left w:val="nil"/>
            </w:tcBorders>
          </w:tcPr>
          <w:p w14:paraId="1AF99823" w14:textId="77777777" w:rsidR="007A2845" w:rsidRPr="00D6638C" w:rsidRDefault="007A2845" w:rsidP="007A2845">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rPr>
            </w:pPr>
            <w:r w:rsidRPr="00020D23">
              <w:rPr>
                <w:rFonts w:ascii="Calibri" w:eastAsia="Times New Roman" w:hAnsi="Calibri" w:cs="Calibri"/>
                <w:sz w:val="20"/>
                <w:szCs w:val="20"/>
              </w:rPr>
              <w:t>Were relevant counterparts from government and civil society involved in project implementation, including as part of the project steering committee?</w:t>
            </w:r>
          </w:p>
        </w:tc>
        <w:tc>
          <w:tcPr>
            <w:tcW w:w="4500" w:type="dxa"/>
          </w:tcPr>
          <w:p w14:paraId="744E4037" w14:textId="77777777" w:rsidR="007A2845" w:rsidRPr="00020D23" w:rsidRDefault="007A2845" w:rsidP="007A2845">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rPr>
            </w:pPr>
            <w:r w:rsidRPr="00020D23">
              <w:rPr>
                <w:rFonts w:ascii="Calibri" w:eastAsia="Times New Roman" w:hAnsi="Calibri" w:cs="Calibri"/>
                <w:sz w:val="20"/>
                <w:szCs w:val="20"/>
              </w:rPr>
              <w:t>The steering committee participation included representatives from key institutions</w:t>
            </w:r>
            <w:r>
              <w:rPr>
                <w:rFonts w:ascii="Calibri" w:eastAsia="Times New Roman" w:hAnsi="Calibri" w:cs="Calibri"/>
                <w:sz w:val="20"/>
                <w:szCs w:val="20"/>
              </w:rPr>
              <w:t xml:space="preserve"> in Government</w:t>
            </w:r>
          </w:p>
        </w:tc>
        <w:tc>
          <w:tcPr>
            <w:tcW w:w="2340" w:type="dxa"/>
          </w:tcPr>
          <w:p w14:paraId="79028573" w14:textId="77777777" w:rsidR="007A2845" w:rsidRPr="00D6638C" w:rsidRDefault="007A2845" w:rsidP="007A2845">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rPr>
            </w:pPr>
            <w:r>
              <w:rPr>
                <w:rFonts w:ascii="Calibri" w:eastAsia="Times New Roman" w:hAnsi="Calibri" w:cs="Calibri"/>
                <w:sz w:val="20"/>
                <w:szCs w:val="20"/>
              </w:rPr>
              <w:t>Steering Committee Meeting Minutes</w:t>
            </w:r>
          </w:p>
        </w:tc>
        <w:tc>
          <w:tcPr>
            <w:tcW w:w="2549" w:type="dxa"/>
            <w:gridSpan w:val="2"/>
            <w:tcBorders>
              <w:right w:val="single" w:sz="6" w:space="0" w:color="auto"/>
            </w:tcBorders>
          </w:tcPr>
          <w:p w14:paraId="70C67633" w14:textId="77777777" w:rsidR="007A2845" w:rsidRPr="00D6638C" w:rsidRDefault="007A2845" w:rsidP="007A2845">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rPr>
            </w:pPr>
            <w:r>
              <w:rPr>
                <w:rFonts w:ascii="Calibri" w:eastAsia="Times New Roman" w:hAnsi="Calibri" w:cs="Calibri"/>
                <w:sz w:val="20"/>
                <w:szCs w:val="20"/>
              </w:rPr>
              <w:t>Interviews with project staff, stakeholders and beneficiaries</w:t>
            </w:r>
          </w:p>
        </w:tc>
      </w:tr>
      <w:tr w:rsidR="007A2845" w:rsidRPr="00D6638C" w14:paraId="672C5F31" w14:textId="77777777" w:rsidTr="00ED794A">
        <w:tc>
          <w:tcPr>
            <w:tcW w:w="199" w:type="dxa"/>
            <w:tcBorders>
              <w:top w:val="nil"/>
              <w:left w:val="nil"/>
              <w:bottom w:val="nil"/>
              <w:right w:val="nil"/>
            </w:tcBorders>
            <w:shd w:val="pct12" w:color="auto" w:fill="FFFFFF"/>
          </w:tcPr>
          <w:p w14:paraId="1A78AE22" w14:textId="77777777" w:rsidR="007A2845" w:rsidRPr="00D6638C" w:rsidRDefault="007A2845" w:rsidP="007A2845">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b/>
                <w:bCs/>
                <w:iCs/>
                <w:sz w:val="20"/>
                <w:szCs w:val="20"/>
                <w:lang w:bidi="ar-SA"/>
              </w:rPr>
            </w:pPr>
          </w:p>
        </w:tc>
        <w:tc>
          <w:tcPr>
            <w:tcW w:w="5013" w:type="dxa"/>
            <w:tcBorders>
              <w:left w:val="nil"/>
            </w:tcBorders>
          </w:tcPr>
          <w:p w14:paraId="22BD20A0" w14:textId="77777777" w:rsidR="007A2845" w:rsidRPr="00020D23"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sidRPr="00A7062D">
              <w:rPr>
                <w:rFonts w:ascii="Calibri" w:eastAsia="Times New Roman" w:hAnsi="Calibri" w:cs="Calibri"/>
                <w:sz w:val="20"/>
                <w:szCs w:val="20"/>
              </w:rPr>
              <w:t>Ha</w:t>
            </w:r>
            <w:r>
              <w:rPr>
                <w:rFonts w:ascii="Calibri" w:eastAsia="Times New Roman" w:hAnsi="Calibri" w:cs="Calibri"/>
                <w:sz w:val="20"/>
                <w:szCs w:val="20"/>
              </w:rPr>
              <w:t xml:space="preserve">s the project contributed directly to any changes in legislation or policy </w:t>
            </w:r>
            <w:r w:rsidRPr="00A7062D">
              <w:rPr>
                <w:rFonts w:ascii="Calibri" w:eastAsia="Times New Roman" w:hAnsi="Calibri" w:cs="Calibri"/>
                <w:sz w:val="20"/>
                <w:szCs w:val="20"/>
              </w:rPr>
              <w:t>in line with the project’s objectives?</w:t>
            </w:r>
          </w:p>
        </w:tc>
        <w:tc>
          <w:tcPr>
            <w:tcW w:w="4500" w:type="dxa"/>
          </w:tcPr>
          <w:p w14:paraId="4C995E89"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 xml:space="preserve">Draft legislation has been developed or enacted to </w:t>
            </w:r>
            <w:proofErr w:type="spellStart"/>
            <w:r>
              <w:rPr>
                <w:rFonts w:ascii="Calibri" w:eastAsia="Times New Roman" w:hAnsi="Calibri" w:cs="Calibri"/>
                <w:sz w:val="20"/>
                <w:szCs w:val="20"/>
              </w:rPr>
              <w:t>catalyse</w:t>
            </w:r>
            <w:proofErr w:type="spellEnd"/>
            <w:r>
              <w:rPr>
                <w:rFonts w:ascii="Calibri" w:eastAsia="Times New Roman" w:hAnsi="Calibri" w:cs="Calibri"/>
                <w:sz w:val="20"/>
                <w:szCs w:val="20"/>
              </w:rPr>
              <w:t xml:space="preserve"> the reduction of barriers to the increased penetration of renewable energy/energy efficient technologies</w:t>
            </w:r>
          </w:p>
          <w:p w14:paraId="32CC8164" w14:textId="77777777" w:rsidR="007A2845" w:rsidRPr="00020D23" w:rsidRDefault="007A2845" w:rsidP="007A2845">
            <w:p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p>
        </w:tc>
        <w:tc>
          <w:tcPr>
            <w:tcW w:w="2340" w:type="dxa"/>
          </w:tcPr>
          <w:p w14:paraId="6A8CA813"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Draft legislation</w:t>
            </w:r>
          </w:p>
          <w:p w14:paraId="3118DD6F"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Policy Documents</w:t>
            </w:r>
          </w:p>
          <w:p w14:paraId="21F3C0D2"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Action/Implementation Plans</w:t>
            </w:r>
          </w:p>
        </w:tc>
        <w:tc>
          <w:tcPr>
            <w:tcW w:w="2549" w:type="dxa"/>
            <w:gridSpan w:val="2"/>
            <w:tcBorders>
              <w:right w:val="single" w:sz="6" w:space="0" w:color="auto"/>
            </w:tcBorders>
          </w:tcPr>
          <w:p w14:paraId="1F38F56F" w14:textId="77777777" w:rsidR="007A2845" w:rsidRPr="00D6638C"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Desk Review of Documents</w:t>
            </w:r>
          </w:p>
        </w:tc>
      </w:tr>
      <w:tr w:rsidR="007A2845" w:rsidRPr="00D6638C" w14:paraId="0C06E406" w14:textId="77777777" w:rsidTr="00ED794A">
        <w:tc>
          <w:tcPr>
            <w:tcW w:w="199" w:type="dxa"/>
            <w:tcBorders>
              <w:top w:val="nil"/>
              <w:left w:val="nil"/>
              <w:bottom w:val="nil"/>
              <w:right w:val="nil"/>
            </w:tcBorders>
            <w:shd w:val="pct12" w:color="auto" w:fill="FFFFFF"/>
          </w:tcPr>
          <w:p w14:paraId="2C4CB9A9" w14:textId="77777777" w:rsidR="007A2845" w:rsidRPr="00D6638C" w:rsidRDefault="007A2845" w:rsidP="007A2845">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b/>
                <w:bCs/>
                <w:iCs/>
                <w:sz w:val="20"/>
                <w:szCs w:val="20"/>
                <w:lang w:bidi="ar-SA"/>
              </w:rPr>
            </w:pPr>
          </w:p>
        </w:tc>
        <w:tc>
          <w:tcPr>
            <w:tcW w:w="5013" w:type="dxa"/>
            <w:tcBorders>
              <w:left w:val="nil"/>
            </w:tcBorders>
          </w:tcPr>
          <w:p w14:paraId="167B6097"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sidRPr="00B16C84">
              <w:rPr>
                <w:rFonts w:ascii="Calibri" w:eastAsia="Times New Roman" w:hAnsi="Calibri" w:cs="Calibri"/>
                <w:sz w:val="20"/>
                <w:szCs w:val="20"/>
              </w:rPr>
              <w:t>Is there evidence that the project outcomes have contributed to better preparations to cope with natural disasters</w:t>
            </w:r>
            <w:r>
              <w:rPr>
                <w:rFonts w:ascii="Calibri" w:eastAsia="Times New Roman" w:hAnsi="Calibri" w:cs="Calibri"/>
                <w:sz w:val="20"/>
                <w:szCs w:val="20"/>
              </w:rPr>
              <w:t>?</w:t>
            </w:r>
            <w:r w:rsidRPr="00B16C84">
              <w:rPr>
                <w:rFonts w:ascii="Calibri" w:eastAsia="Times New Roman" w:hAnsi="Calibri" w:cs="Calibri"/>
                <w:sz w:val="20"/>
                <w:szCs w:val="20"/>
              </w:rPr>
              <w:t xml:space="preserve"> </w:t>
            </w:r>
          </w:p>
        </w:tc>
        <w:tc>
          <w:tcPr>
            <w:tcW w:w="4500" w:type="dxa"/>
          </w:tcPr>
          <w:p w14:paraId="16352C51" w14:textId="77777777" w:rsidR="007A2845" w:rsidRPr="00B16C84"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sidRPr="00B16C84">
              <w:rPr>
                <w:rFonts w:ascii="Calibri" w:eastAsia="Times New Roman" w:hAnsi="Calibri" w:cs="Calibri"/>
                <w:sz w:val="20"/>
                <w:szCs w:val="20"/>
              </w:rPr>
              <w:t xml:space="preserve"> The project has directly contributed to reductions in one or more vulnerabilities associated with natural disasters</w:t>
            </w:r>
          </w:p>
        </w:tc>
        <w:tc>
          <w:tcPr>
            <w:tcW w:w="2340" w:type="dxa"/>
          </w:tcPr>
          <w:p w14:paraId="10F1E064"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Quarterly Reports</w:t>
            </w:r>
          </w:p>
          <w:p w14:paraId="2A3A2250"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Annual Reports (PIR)</w:t>
            </w:r>
          </w:p>
          <w:p w14:paraId="13432391" w14:textId="77777777" w:rsidR="007A2845" w:rsidRPr="00D6638C"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Stakeholder/beneficiary testimony</w:t>
            </w:r>
          </w:p>
        </w:tc>
        <w:tc>
          <w:tcPr>
            <w:tcW w:w="2549" w:type="dxa"/>
            <w:gridSpan w:val="2"/>
            <w:tcBorders>
              <w:right w:val="single" w:sz="6" w:space="0" w:color="auto"/>
            </w:tcBorders>
          </w:tcPr>
          <w:p w14:paraId="11B8369D"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Desk Review of Documents</w:t>
            </w:r>
          </w:p>
          <w:p w14:paraId="6313DCB4" w14:textId="77777777" w:rsidR="007A2845" w:rsidRPr="00D6638C"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Interviews with project staff, stakeholders and beneficiaries</w:t>
            </w:r>
          </w:p>
        </w:tc>
      </w:tr>
      <w:tr w:rsidR="007A2845" w:rsidRPr="00D6638C" w14:paraId="23EB2C71" w14:textId="77777777" w:rsidTr="00ED794A">
        <w:tc>
          <w:tcPr>
            <w:tcW w:w="199" w:type="dxa"/>
            <w:tcBorders>
              <w:top w:val="nil"/>
              <w:left w:val="nil"/>
              <w:bottom w:val="nil"/>
              <w:right w:val="nil"/>
            </w:tcBorders>
            <w:shd w:val="pct12" w:color="auto" w:fill="FFFFFF"/>
          </w:tcPr>
          <w:p w14:paraId="7F666C9A" w14:textId="77777777" w:rsidR="007A2845" w:rsidRPr="00D6638C" w:rsidRDefault="007A2845" w:rsidP="007A2845">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b/>
                <w:bCs/>
                <w:iCs/>
                <w:sz w:val="20"/>
                <w:szCs w:val="20"/>
                <w:lang w:bidi="ar-SA"/>
              </w:rPr>
            </w:pPr>
          </w:p>
        </w:tc>
        <w:tc>
          <w:tcPr>
            <w:tcW w:w="5013" w:type="dxa"/>
            <w:tcBorders>
              <w:left w:val="nil"/>
            </w:tcBorders>
          </w:tcPr>
          <w:p w14:paraId="17615984"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 xml:space="preserve">Has the project carefully considered the thematic issues related to human rights? In particular, has the project sought to and actively pursued equality of access to clean energy services and opportunities for women and men </w:t>
            </w:r>
            <w:r w:rsidRPr="00450610">
              <w:rPr>
                <w:rFonts w:ascii="Calibri" w:eastAsia="Times New Roman" w:hAnsi="Calibri" w:cs="Calibri"/>
                <w:sz w:val="20"/>
                <w:szCs w:val="20"/>
              </w:rPr>
              <w:t xml:space="preserve">(i.e. project team composition, gender-related aspects of </w:t>
            </w:r>
            <w:r w:rsidRPr="00450610">
              <w:rPr>
                <w:rFonts w:ascii="Calibri" w:eastAsia="Times New Roman" w:hAnsi="Calibri" w:cs="Calibri"/>
                <w:sz w:val="20"/>
                <w:szCs w:val="20"/>
              </w:rPr>
              <w:lastRenderedPageBreak/>
              <w:t>pollution impacts, stakeholder outreach to women’s groups, etc.)</w:t>
            </w:r>
          </w:p>
        </w:tc>
        <w:tc>
          <w:tcPr>
            <w:tcW w:w="4500" w:type="dxa"/>
          </w:tcPr>
          <w:p w14:paraId="0CB3E350"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lastRenderedPageBreak/>
              <w:t>A gender mainstreaming plan was completed</w:t>
            </w:r>
          </w:p>
          <w:p w14:paraId="6C243D0A"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 xml:space="preserve">The project results framework has incorporated gender equality considerations, as relevant. </w:t>
            </w:r>
          </w:p>
          <w:p w14:paraId="4546A5B0"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Multi-dimensional poverty reduction is an explicit objective</w:t>
            </w:r>
          </w:p>
          <w:p w14:paraId="424F30EC" w14:textId="77777777" w:rsidR="007A2845" w:rsidRPr="00D6638C"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lastRenderedPageBreak/>
              <w:t>The project prioritized the most vulnerable as key beneficiaries</w:t>
            </w:r>
          </w:p>
        </w:tc>
        <w:tc>
          <w:tcPr>
            <w:tcW w:w="2340" w:type="dxa"/>
          </w:tcPr>
          <w:p w14:paraId="73149B5B"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lastRenderedPageBreak/>
              <w:t>Gender Mainstreaming Plan</w:t>
            </w:r>
          </w:p>
          <w:p w14:paraId="7898F927"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Project Document</w:t>
            </w:r>
          </w:p>
          <w:p w14:paraId="1F9B3A31" w14:textId="77777777" w:rsidR="007A2845" w:rsidRPr="00D6638C"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Stakeholder analysis and engagement plan</w:t>
            </w:r>
          </w:p>
        </w:tc>
        <w:tc>
          <w:tcPr>
            <w:tcW w:w="2549" w:type="dxa"/>
            <w:gridSpan w:val="2"/>
            <w:tcBorders>
              <w:right w:val="single" w:sz="6" w:space="0" w:color="auto"/>
            </w:tcBorders>
          </w:tcPr>
          <w:p w14:paraId="2114285E"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Desk Review of Documents</w:t>
            </w:r>
          </w:p>
          <w:p w14:paraId="1D5D6B54" w14:textId="77777777" w:rsidR="007A2845" w:rsidRPr="00D6638C" w:rsidRDefault="007A2845" w:rsidP="007A2845">
            <w:p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p>
        </w:tc>
      </w:tr>
      <w:tr w:rsidR="007A2845" w:rsidRPr="00D6638C" w14:paraId="02E44947" w14:textId="77777777" w:rsidTr="00ED794A">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1014A400" w14:textId="77777777" w:rsidR="007A2845" w:rsidRPr="00310398"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7A2845" w:rsidRPr="00D6638C" w14:paraId="542CF834" w14:textId="77777777" w:rsidTr="00ED794A">
        <w:tc>
          <w:tcPr>
            <w:tcW w:w="199" w:type="dxa"/>
            <w:tcBorders>
              <w:top w:val="nil"/>
              <w:left w:val="nil"/>
              <w:bottom w:val="nil"/>
              <w:right w:val="nil"/>
            </w:tcBorders>
            <w:shd w:val="pct12" w:color="auto" w:fill="FFFFFF"/>
          </w:tcPr>
          <w:p w14:paraId="0ADBE1E4" w14:textId="77777777" w:rsidR="007A2845" w:rsidRPr="00D6638C" w:rsidRDefault="007A2845" w:rsidP="007A2845">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sz w:val="20"/>
                <w:szCs w:val="20"/>
                <w:lang w:bidi="ar-SA"/>
              </w:rPr>
            </w:pPr>
          </w:p>
        </w:tc>
        <w:tc>
          <w:tcPr>
            <w:tcW w:w="5013" w:type="dxa"/>
            <w:tcBorders>
              <w:left w:val="nil"/>
            </w:tcBorders>
          </w:tcPr>
          <w:p w14:paraId="3075AB0B"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Did the project adjust dynamically to reflect changing national priorities/external evaluations during implementation to ensure it remained relevant?</w:t>
            </w:r>
          </w:p>
        </w:tc>
        <w:tc>
          <w:tcPr>
            <w:tcW w:w="4500" w:type="dxa"/>
          </w:tcPr>
          <w:p w14:paraId="2D2F8CD8"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The project demonstrated adaptive management and changes were integrated into project planning and implementation through adjustments to annual work plans, budgets and activities</w:t>
            </w:r>
          </w:p>
          <w:p w14:paraId="143B0C7B"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Changes to AWP/Budget were made based on mid-term or other external evaluation</w:t>
            </w:r>
          </w:p>
          <w:p w14:paraId="385A89E3"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Any changes to the project’s planned activities were approved by the Steering Committee</w:t>
            </w:r>
          </w:p>
          <w:p w14:paraId="04689855" w14:textId="77777777" w:rsidR="007A2845" w:rsidRPr="00D6638C"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 xml:space="preserve">Any </w:t>
            </w:r>
            <w:r w:rsidRPr="00450610">
              <w:rPr>
                <w:rFonts w:ascii="Calibri" w:eastAsia="Times New Roman" w:hAnsi="Calibri" w:cs="Calibri"/>
                <w:sz w:val="20"/>
                <w:szCs w:val="20"/>
              </w:rPr>
              <w:t>substantive</w:t>
            </w:r>
            <w:r>
              <w:rPr>
                <w:rFonts w:ascii="Calibri" w:eastAsia="Times New Roman" w:hAnsi="Calibri" w:cs="Calibri"/>
                <w:sz w:val="20"/>
                <w:szCs w:val="20"/>
              </w:rPr>
              <w:t xml:space="preserve"> changes (outcome-level changes) approved by the Steering Committee and donor, as required </w:t>
            </w:r>
          </w:p>
        </w:tc>
        <w:tc>
          <w:tcPr>
            <w:tcW w:w="2340" w:type="dxa"/>
          </w:tcPr>
          <w:p w14:paraId="3BA89BFE"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Annual Work Plans</w:t>
            </w:r>
          </w:p>
          <w:p w14:paraId="4E753212" w14:textId="77777777" w:rsidR="007A2845" w:rsidRPr="00DC4142"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 xml:space="preserve">Steering Committee </w:t>
            </w:r>
            <w:r w:rsidRPr="00DC4142">
              <w:rPr>
                <w:rFonts w:ascii="Calibri" w:eastAsia="Times New Roman" w:hAnsi="Calibri" w:cs="Calibri"/>
                <w:sz w:val="20"/>
                <w:szCs w:val="20"/>
              </w:rPr>
              <w:t>Meeting Reports</w:t>
            </w:r>
          </w:p>
          <w:p w14:paraId="010EAB5E" w14:textId="77777777" w:rsidR="007A2845" w:rsidRPr="00645DE9"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sidRPr="00645DE9">
              <w:rPr>
                <w:rFonts w:ascii="Calibri" w:eastAsia="Times New Roman" w:hAnsi="Calibri" w:cs="Calibri"/>
                <w:sz w:val="20"/>
                <w:szCs w:val="20"/>
              </w:rPr>
              <w:t>Quarterly Reports</w:t>
            </w:r>
          </w:p>
          <w:p w14:paraId="2AD0EBEC" w14:textId="77777777" w:rsidR="007A2845" w:rsidRPr="00645DE9"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sidRPr="00645DE9">
              <w:rPr>
                <w:rFonts w:ascii="Calibri" w:eastAsia="Times New Roman" w:hAnsi="Calibri" w:cs="Calibri"/>
                <w:sz w:val="20"/>
                <w:szCs w:val="20"/>
              </w:rPr>
              <w:t>Annual Reports (PIR)</w:t>
            </w:r>
          </w:p>
          <w:p w14:paraId="2BF78E1C"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sidRPr="00645DE9">
              <w:rPr>
                <w:rFonts w:ascii="Calibri" w:eastAsia="Times New Roman" w:hAnsi="Calibri" w:cs="Calibri"/>
                <w:sz w:val="20"/>
                <w:szCs w:val="20"/>
              </w:rPr>
              <w:t>Stakeholder/beneficiary testimony</w:t>
            </w:r>
          </w:p>
          <w:p w14:paraId="53139130" w14:textId="77777777" w:rsidR="007A2845" w:rsidRPr="00D6638C"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Revised Project Results Framework</w:t>
            </w:r>
          </w:p>
        </w:tc>
        <w:tc>
          <w:tcPr>
            <w:tcW w:w="2549" w:type="dxa"/>
            <w:gridSpan w:val="2"/>
            <w:tcBorders>
              <w:right w:val="single" w:sz="6" w:space="0" w:color="auto"/>
            </w:tcBorders>
          </w:tcPr>
          <w:p w14:paraId="30B5CBCC"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Desk Review of Documents</w:t>
            </w:r>
          </w:p>
          <w:p w14:paraId="49581BBD" w14:textId="77777777" w:rsidR="007A2845" w:rsidRPr="00D6638C"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Interviews with project staff, stakeholders and beneficiaries</w:t>
            </w:r>
          </w:p>
        </w:tc>
      </w:tr>
      <w:tr w:rsidR="007A2845" w:rsidRPr="00D6638C" w14:paraId="48C05D7B" w14:textId="77777777" w:rsidTr="00ED794A">
        <w:tc>
          <w:tcPr>
            <w:tcW w:w="199" w:type="dxa"/>
            <w:tcBorders>
              <w:top w:val="nil"/>
              <w:left w:val="nil"/>
              <w:bottom w:val="nil"/>
              <w:right w:val="nil"/>
            </w:tcBorders>
            <w:shd w:val="pct12" w:color="auto" w:fill="FFFFFF"/>
          </w:tcPr>
          <w:p w14:paraId="5C3AB4DC" w14:textId="77777777" w:rsidR="007A2845" w:rsidRPr="00D6638C" w:rsidRDefault="007A2845" w:rsidP="007A2845">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sz w:val="20"/>
                <w:szCs w:val="20"/>
                <w:lang w:bidi="ar-SA"/>
              </w:rPr>
            </w:pPr>
          </w:p>
        </w:tc>
        <w:tc>
          <w:tcPr>
            <w:tcW w:w="5013" w:type="dxa"/>
            <w:tcBorders>
              <w:left w:val="nil"/>
            </w:tcBorders>
          </w:tcPr>
          <w:p w14:paraId="5339512F" w14:textId="77777777" w:rsidR="007A2845" w:rsidRPr="00020D23" w:rsidRDefault="007A2845" w:rsidP="007A2845">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rPr>
            </w:pPr>
            <w:r w:rsidRPr="00020D23">
              <w:rPr>
                <w:rFonts w:ascii="Calibri" w:eastAsia="Times New Roman" w:hAnsi="Calibri" w:cs="Calibri"/>
                <w:sz w:val="20"/>
                <w:szCs w:val="20"/>
              </w:rPr>
              <w:t xml:space="preserve">To what extent were the Project results delivered with the greatest value for money? </w:t>
            </w:r>
          </w:p>
        </w:tc>
        <w:tc>
          <w:tcPr>
            <w:tcW w:w="4500" w:type="dxa"/>
          </w:tcPr>
          <w:p w14:paraId="58EC5C2D" w14:textId="77777777" w:rsidR="007A2845" w:rsidRPr="00020D23" w:rsidRDefault="007A2845" w:rsidP="007A2845">
            <w:pPr>
              <w:numPr>
                <w:ilvl w:val="0"/>
                <w:numId w:val="9"/>
              </w:numPr>
              <w:tabs>
                <w:tab w:val="left" w:pos="182"/>
              </w:tabs>
              <w:autoSpaceDE w:val="0"/>
              <w:autoSpaceDN w:val="0"/>
              <w:adjustRightInd w:val="0"/>
              <w:spacing w:after="0" w:line="240" w:lineRule="auto"/>
              <w:ind w:left="182" w:hanging="178"/>
              <w:jc w:val="both"/>
              <w:rPr>
                <w:rFonts w:ascii="Calibri" w:eastAsia="Times New Roman" w:hAnsi="Calibri" w:cs="Calibri"/>
                <w:sz w:val="20"/>
                <w:szCs w:val="20"/>
              </w:rPr>
            </w:pPr>
            <w:r w:rsidRPr="00020D23">
              <w:rPr>
                <w:rFonts w:ascii="Calibri" w:eastAsia="Times New Roman" w:hAnsi="Calibri" w:cs="Calibri"/>
                <w:sz w:val="20"/>
                <w:szCs w:val="20"/>
              </w:rPr>
              <w:t xml:space="preserve">Value for money analyses, requests for information, market surveys and other market intelligence </w:t>
            </w:r>
            <w:r>
              <w:rPr>
                <w:rFonts w:ascii="Calibri" w:eastAsia="Times New Roman" w:hAnsi="Calibri" w:cs="Calibri"/>
                <w:sz w:val="20"/>
                <w:szCs w:val="20"/>
              </w:rPr>
              <w:t xml:space="preserve">were </w:t>
            </w:r>
            <w:r w:rsidRPr="00020D23">
              <w:rPr>
                <w:rFonts w:ascii="Calibri" w:eastAsia="Times New Roman" w:hAnsi="Calibri" w:cs="Calibri"/>
                <w:sz w:val="20"/>
                <w:szCs w:val="20"/>
              </w:rPr>
              <w:t>undertaken for key procurements.</w:t>
            </w:r>
          </w:p>
          <w:p w14:paraId="7E991DF5" w14:textId="77777777" w:rsidR="007A2845" w:rsidRPr="00020D23" w:rsidRDefault="007A2845" w:rsidP="007A2845">
            <w:pPr>
              <w:numPr>
                <w:ilvl w:val="0"/>
                <w:numId w:val="9"/>
              </w:numPr>
              <w:tabs>
                <w:tab w:val="left" w:pos="182"/>
              </w:tabs>
              <w:autoSpaceDE w:val="0"/>
              <w:autoSpaceDN w:val="0"/>
              <w:adjustRightInd w:val="0"/>
              <w:spacing w:after="0" w:line="240" w:lineRule="auto"/>
              <w:ind w:left="182" w:hanging="178"/>
              <w:jc w:val="both"/>
              <w:rPr>
                <w:rFonts w:ascii="Calibri" w:eastAsia="Times New Roman" w:hAnsi="Calibri" w:cs="Calibri"/>
                <w:sz w:val="20"/>
                <w:szCs w:val="20"/>
              </w:rPr>
            </w:pPr>
            <w:r w:rsidRPr="00020D23">
              <w:rPr>
                <w:rFonts w:ascii="Calibri" w:eastAsia="Times New Roman" w:hAnsi="Calibri" w:cs="Calibri"/>
                <w:sz w:val="20"/>
                <w:szCs w:val="20"/>
              </w:rPr>
              <w:t>Procurement is done on a competitive basis, where relevant.</w:t>
            </w:r>
          </w:p>
        </w:tc>
        <w:tc>
          <w:tcPr>
            <w:tcW w:w="2340" w:type="dxa"/>
          </w:tcPr>
          <w:p w14:paraId="531F4A9F" w14:textId="77777777" w:rsidR="007A2845" w:rsidRDefault="007A2845" w:rsidP="007A2845">
            <w:pPr>
              <w:numPr>
                <w:ilvl w:val="0"/>
                <w:numId w:val="9"/>
              </w:numPr>
              <w:tabs>
                <w:tab w:val="left" w:pos="182"/>
              </w:tabs>
              <w:autoSpaceDE w:val="0"/>
              <w:autoSpaceDN w:val="0"/>
              <w:adjustRightInd w:val="0"/>
              <w:spacing w:after="0" w:line="240" w:lineRule="auto"/>
              <w:ind w:left="182" w:hanging="178"/>
              <w:jc w:val="both"/>
              <w:rPr>
                <w:rFonts w:ascii="Calibri" w:eastAsia="Times New Roman" w:hAnsi="Calibri" w:cs="Calibri"/>
                <w:sz w:val="20"/>
                <w:szCs w:val="20"/>
              </w:rPr>
            </w:pPr>
            <w:r>
              <w:rPr>
                <w:rFonts w:ascii="Calibri" w:eastAsia="Times New Roman" w:hAnsi="Calibri" w:cs="Calibri"/>
                <w:sz w:val="20"/>
                <w:szCs w:val="20"/>
              </w:rPr>
              <w:t>VFM, RFI, Market Surveys</w:t>
            </w:r>
          </w:p>
          <w:p w14:paraId="727E9119" w14:textId="77777777" w:rsidR="007A2845" w:rsidRDefault="007A2845" w:rsidP="007A2845">
            <w:pPr>
              <w:numPr>
                <w:ilvl w:val="0"/>
                <w:numId w:val="9"/>
              </w:numPr>
              <w:tabs>
                <w:tab w:val="left" w:pos="182"/>
              </w:tabs>
              <w:autoSpaceDE w:val="0"/>
              <w:autoSpaceDN w:val="0"/>
              <w:adjustRightInd w:val="0"/>
              <w:spacing w:after="0" w:line="240" w:lineRule="auto"/>
              <w:ind w:left="182" w:hanging="178"/>
              <w:jc w:val="both"/>
              <w:rPr>
                <w:rFonts w:ascii="Calibri" w:eastAsia="Times New Roman" w:hAnsi="Calibri" w:cs="Calibri"/>
                <w:sz w:val="20"/>
                <w:szCs w:val="20"/>
              </w:rPr>
            </w:pPr>
            <w:r>
              <w:rPr>
                <w:rFonts w:ascii="Calibri" w:eastAsia="Times New Roman" w:hAnsi="Calibri" w:cs="Calibri"/>
                <w:sz w:val="20"/>
                <w:szCs w:val="20"/>
              </w:rPr>
              <w:t>Procurement Evaluation Documents</w:t>
            </w:r>
          </w:p>
        </w:tc>
        <w:tc>
          <w:tcPr>
            <w:tcW w:w="2549" w:type="dxa"/>
            <w:gridSpan w:val="2"/>
            <w:tcBorders>
              <w:right w:val="single" w:sz="6" w:space="0" w:color="auto"/>
            </w:tcBorders>
          </w:tcPr>
          <w:p w14:paraId="7C915607" w14:textId="77777777" w:rsidR="007A2845" w:rsidRDefault="007A2845" w:rsidP="007A2845">
            <w:pPr>
              <w:numPr>
                <w:ilvl w:val="0"/>
                <w:numId w:val="9"/>
              </w:numPr>
              <w:tabs>
                <w:tab w:val="left" w:pos="182"/>
              </w:tabs>
              <w:autoSpaceDE w:val="0"/>
              <w:autoSpaceDN w:val="0"/>
              <w:adjustRightInd w:val="0"/>
              <w:spacing w:after="0" w:line="240" w:lineRule="auto"/>
              <w:ind w:left="182" w:hanging="178"/>
              <w:jc w:val="both"/>
              <w:rPr>
                <w:rFonts w:ascii="Calibri" w:eastAsia="Times New Roman" w:hAnsi="Calibri" w:cs="Calibri"/>
                <w:sz w:val="20"/>
                <w:szCs w:val="20"/>
              </w:rPr>
            </w:pPr>
            <w:r>
              <w:rPr>
                <w:rFonts w:ascii="Calibri" w:eastAsia="Times New Roman" w:hAnsi="Calibri" w:cs="Calibri"/>
                <w:sz w:val="20"/>
                <w:szCs w:val="20"/>
              </w:rPr>
              <w:t>Desk Review of Documents</w:t>
            </w:r>
          </w:p>
          <w:p w14:paraId="6E9E44C0" w14:textId="77777777" w:rsidR="007A2845" w:rsidRPr="00D6638C" w:rsidRDefault="007A2845" w:rsidP="007A2845">
            <w:pPr>
              <w:numPr>
                <w:ilvl w:val="0"/>
                <w:numId w:val="9"/>
              </w:numPr>
              <w:tabs>
                <w:tab w:val="left" w:pos="182"/>
              </w:tabs>
              <w:autoSpaceDE w:val="0"/>
              <w:autoSpaceDN w:val="0"/>
              <w:adjustRightInd w:val="0"/>
              <w:spacing w:after="0" w:line="240" w:lineRule="auto"/>
              <w:ind w:left="182" w:hanging="178"/>
              <w:jc w:val="both"/>
              <w:rPr>
                <w:rFonts w:ascii="Calibri" w:eastAsia="Times New Roman" w:hAnsi="Calibri" w:cs="Calibri"/>
                <w:sz w:val="20"/>
                <w:szCs w:val="20"/>
              </w:rPr>
            </w:pPr>
            <w:r>
              <w:rPr>
                <w:rFonts w:ascii="Calibri" w:eastAsia="Times New Roman" w:hAnsi="Calibri" w:cs="Calibri"/>
                <w:sz w:val="20"/>
                <w:szCs w:val="20"/>
              </w:rPr>
              <w:t>Interviews with project staff and government stakeholders</w:t>
            </w:r>
          </w:p>
        </w:tc>
      </w:tr>
      <w:tr w:rsidR="007A2845" w:rsidRPr="00D6638C" w14:paraId="54B95575" w14:textId="77777777" w:rsidTr="00ED794A">
        <w:tc>
          <w:tcPr>
            <w:tcW w:w="199" w:type="dxa"/>
            <w:tcBorders>
              <w:top w:val="nil"/>
              <w:left w:val="nil"/>
              <w:bottom w:val="nil"/>
              <w:right w:val="nil"/>
            </w:tcBorders>
            <w:shd w:val="pct12" w:color="auto" w:fill="FFFFFF"/>
          </w:tcPr>
          <w:p w14:paraId="16CF0889" w14:textId="77777777" w:rsidR="007A2845" w:rsidRPr="00D6638C" w:rsidRDefault="007A2845" w:rsidP="007A2845">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b/>
                <w:bCs/>
                <w:iCs/>
                <w:sz w:val="20"/>
                <w:szCs w:val="20"/>
                <w:lang w:bidi="ar-SA"/>
              </w:rPr>
            </w:pPr>
          </w:p>
        </w:tc>
        <w:tc>
          <w:tcPr>
            <w:tcW w:w="5013" w:type="dxa"/>
            <w:tcBorders>
              <w:left w:val="nil"/>
            </w:tcBorders>
          </w:tcPr>
          <w:p w14:paraId="1F8722DF"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sidRPr="00DC4142">
              <w:rPr>
                <w:rFonts w:ascii="Calibri" w:eastAsia="Times New Roman" w:hAnsi="Calibri" w:cs="Calibri"/>
                <w:sz w:val="20"/>
                <w:szCs w:val="20"/>
              </w:rPr>
              <w:t>Was co-financing adequately estimated during project design</w:t>
            </w:r>
            <w:r>
              <w:rPr>
                <w:rFonts w:ascii="Calibri" w:eastAsia="Times New Roman" w:hAnsi="Calibri" w:cs="Calibri"/>
                <w:sz w:val="20"/>
                <w:szCs w:val="20"/>
              </w:rPr>
              <w:t xml:space="preserve"> (sources, type, value, relevance)</w:t>
            </w:r>
            <w:r w:rsidRPr="00DC4142">
              <w:rPr>
                <w:rFonts w:ascii="Calibri" w:eastAsia="Times New Roman" w:hAnsi="Calibri" w:cs="Calibri"/>
                <w:sz w:val="20"/>
                <w:szCs w:val="20"/>
              </w:rPr>
              <w:t>, tracked during implementation and w</w:t>
            </w:r>
            <w:r>
              <w:rPr>
                <w:rFonts w:ascii="Calibri" w:eastAsia="Times New Roman" w:hAnsi="Calibri" w:cs="Calibri"/>
                <w:sz w:val="20"/>
                <w:szCs w:val="20"/>
              </w:rPr>
              <w:t xml:space="preserve">hat were the reasons for any differences between expected and </w:t>
            </w:r>
            <w:proofErr w:type="spellStart"/>
            <w:r>
              <w:rPr>
                <w:rFonts w:ascii="Calibri" w:eastAsia="Times New Roman" w:hAnsi="Calibri" w:cs="Calibri"/>
                <w:sz w:val="20"/>
                <w:szCs w:val="20"/>
              </w:rPr>
              <w:t>realised</w:t>
            </w:r>
            <w:proofErr w:type="spellEnd"/>
            <w:r>
              <w:rPr>
                <w:rFonts w:ascii="Calibri" w:eastAsia="Times New Roman" w:hAnsi="Calibri" w:cs="Calibri"/>
                <w:sz w:val="20"/>
                <w:szCs w:val="20"/>
              </w:rPr>
              <w:t xml:space="preserve"> co-financing?</w:t>
            </w:r>
          </w:p>
        </w:tc>
        <w:tc>
          <w:tcPr>
            <w:tcW w:w="4500" w:type="dxa"/>
          </w:tcPr>
          <w:p w14:paraId="1E519A35" w14:textId="77777777" w:rsidR="007A2845" w:rsidRPr="00DC4142"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sidRPr="00DC4142">
              <w:rPr>
                <w:rFonts w:ascii="Calibri" w:eastAsia="Times New Roman" w:hAnsi="Calibri" w:cs="Calibri"/>
                <w:sz w:val="20"/>
                <w:szCs w:val="20"/>
              </w:rPr>
              <w:t>Co-financing was realized in keeping with original estimates</w:t>
            </w:r>
          </w:p>
          <w:p w14:paraId="3B95AAE3" w14:textId="77777777" w:rsidR="007A2845" w:rsidRPr="00DC4142"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sidRPr="00DC4142">
              <w:rPr>
                <w:rFonts w:ascii="Calibri" w:eastAsia="Times New Roman" w:hAnsi="Calibri" w:cs="Calibri"/>
                <w:sz w:val="20"/>
                <w:szCs w:val="20"/>
              </w:rPr>
              <w:t>Co-financing was tracked continuously throughout the project lifecycle and deviations identified</w:t>
            </w:r>
            <w:r>
              <w:rPr>
                <w:rFonts w:ascii="Calibri" w:eastAsia="Times New Roman" w:hAnsi="Calibri" w:cs="Calibri"/>
                <w:sz w:val="20"/>
                <w:szCs w:val="20"/>
              </w:rPr>
              <w:t xml:space="preserve"> and alternative sources identified</w:t>
            </w:r>
          </w:p>
          <w:p w14:paraId="77C992D0" w14:textId="77777777" w:rsidR="007A2845" w:rsidRPr="00DC4142"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sidRPr="00DC4142">
              <w:rPr>
                <w:rFonts w:ascii="Calibri" w:eastAsia="Times New Roman" w:hAnsi="Calibri" w:cs="Calibri"/>
                <w:sz w:val="20"/>
                <w:szCs w:val="20"/>
              </w:rPr>
              <w:t>Co-financiers were actively engaged throughout project implementation</w:t>
            </w:r>
          </w:p>
        </w:tc>
        <w:tc>
          <w:tcPr>
            <w:tcW w:w="2340" w:type="dxa"/>
          </w:tcPr>
          <w:p w14:paraId="0B12394A"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Annual Work Plans</w:t>
            </w:r>
          </w:p>
          <w:p w14:paraId="552C8BF2" w14:textId="77777777" w:rsidR="007A2845" w:rsidRPr="00DC4142"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 xml:space="preserve">Steering Committee </w:t>
            </w:r>
            <w:r w:rsidRPr="00DC4142">
              <w:rPr>
                <w:rFonts w:ascii="Calibri" w:eastAsia="Times New Roman" w:hAnsi="Calibri" w:cs="Calibri"/>
                <w:sz w:val="20"/>
                <w:szCs w:val="20"/>
              </w:rPr>
              <w:t>Meeting Reports</w:t>
            </w:r>
          </w:p>
          <w:p w14:paraId="2901A85E" w14:textId="77777777" w:rsidR="007A2845" w:rsidRPr="00645DE9"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sidRPr="00645DE9">
              <w:rPr>
                <w:rFonts w:ascii="Calibri" w:eastAsia="Times New Roman" w:hAnsi="Calibri" w:cs="Calibri"/>
                <w:sz w:val="20"/>
                <w:szCs w:val="20"/>
              </w:rPr>
              <w:t>Quarterly Reports</w:t>
            </w:r>
          </w:p>
          <w:p w14:paraId="3FA4F5BD" w14:textId="77777777" w:rsidR="007A2845" w:rsidRPr="00DC4142"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sidRPr="00645DE9">
              <w:rPr>
                <w:rFonts w:ascii="Calibri" w:eastAsia="Times New Roman" w:hAnsi="Calibri" w:cs="Calibri"/>
                <w:sz w:val="20"/>
                <w:szCs w:val="20"/>
              </w:rPr>
              <w:t>Annual Reports (PIR</w:t>
            </w:r>
            <w:r>
              <w:rPr>
                <w:rFonts w:ascii="Calibri" w:eastAsia="Times New Roman" w:hAnsi="Calibri" w:cs="Calibri"/>
                <w:sz w:val="20"/>
                <w:szCs w:val="20"/>
              </w:rPr>
              <w:t>)</w:t>
            </w:r>
          </w:p>
        </w:tc>
        <w:tc>
          <w:tcPr>
            <w:tcW w:w="2549" w:type="dxa"/>
            <w:gridSpan w:val="2"/>
            <w:tcBorders>
              <w:right w:val="single" w:sz="6" w:space="0" w:color="auto"/>
            </w:tcBorders>
          </w:tcPr>
          <w:p w14:paraId="36743A76"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Desk Review of Documents</w:t>
            </w:r>
          </w:p>
          <w:p w14:paraId="23F3A2CD" w14:textId="77777777" w:rsidR="007A2845" w:rsidRPr="00D6638C"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Interviews with project staff, stakeholders and beneficiaries</w:t>
            </w:r>
          </w:p>
        </w:tc>
      </w:tr>
      <w:tr w:rsidR="007A2845" w:rsidRPr="00D6638C" w14:paraId="5DEE9A8D" w14:textId="77777777" w:rsidTr="00ED794A">
        <w:tc>
          <w:tcPr>
            <w:tcW w:w="199" w:type="dxa"/>
            <w:tcBorders>
              <w:top w:val="nil"/>
              <w:left w:val="nil"/>
              <w:bottom w:val="nil"/>
              <w:right w:val="nil"/>
            </w:tcBorders>
            <w:shd w:val="pct12" w:color="auto" w:fill="FFFFFF"/>
          </w:tcPr>
          <w:p w14:paraId="6510522D" w14:textId="77777777" w:rsidR="007A2845" w:rsidRPr="00D6638C" w:rsidRDefault="007A2845" w:rsidP="007A2845">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sz w:val="20"/>
                <w:szCs w:val="20"/>
                <w:lang w:bidi="ar-SA"/>
              </w:rPr>
            </w:pPr>
          </w:p>
        </w:tc>
        <w:tc>
          <w:tcPr>
            <w:tcW w:w="5013" w:type="dxa"/>
            <w:tcBorders>
              <w:left w:val="nil"/>
              <w:bottom w:val="nil"/>
            </w:tcBorders>
          </w:tcPr>
          <w:p w14:paraId="3E2D7F09" w14:textId="77777777" w:rsidR="007A2845" w:rsidRPr="00D6638C"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Was the level of implementation support provided by UNDP adequate and in keeping with the implementation modality and any related agreements (i.e. LOA)?</w:t>
            </w:r>
          </w:p>
        </w:tc>
        <w:tc>
          <w:tcPr>
            <w:tcW w:w="4500" w:type="dxa"/>
            <w:tcBorders>
              <w:bottom w:val="nil"/>
            </w:tcBorders>
          </w:tcPr>
          <w:p w14:paraId="726F4B51" w14:textId="77777777" w:rsidR="007A2845" w:rsidRPr="0037207A"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T</w:t>
            </w:r>
            <w:r w:rsidRPr="0037207A">
              <w:rPr>
                <w:rFonts w:ascii="Calibri" w:eastAsia="Times New Roman" w:hAnsi="Calibri" w:cs="Calibri"/>
                <w:sz w:val="20"/>
                <w:szCs w:val="20"/>
              </w:rPr>
              <w:t>echnical support to the Executing Agency and project team</w:t>
            </w:r>
            <w:r>
              <w:rPr>
                <w:rFonts w:ascii="Calibri" w:eastAsia="Times New Roman" w:hAnsi="Calibri" w:cs="Calibri"/>
                <w:sz w:val="20"/>
                <w:szCs w:val="20"/>
              </w:rPr>
              <w:t xml:space="preserve"> were timely and of acceptable quality.</w:t>
            </w:r>
          </w:p>
          <w:p w14:paraId="32A95478" w14:textId="77777777" w:rsidR="007A2845" w:rsidRPr="00D6638C"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Management</w:t>
            </w:r>
            <w:r w:rsidRPr="0037207A">
              <w:rPr>
                <w:rFonts w:ascii="Calibri" w:eastAsia="Times New Roman" w:hAnsi="Calibri" w:cs="Calibri"/>
                <w:sz w:val="20"/>
                <w:szCs w:val="20"/>
              </w:rPr>
              <w:t xml:space="preserve"> inputs and processes, including budgeting and procurement</w:t>
            </w:r>
            <w:r>
              <w:rPr>
                <w:rFonts w:ascii="Calibri" w:eastAsia="Times New Roman" w:hAnsi="Calibri" w:cs="Calibri"/>
                <w:sz w:val="20"/>
                <w:szCs w:val="20"/>
              </w:rPr>
              <w:t>, were adequ</w:t>
            </w:r>
            <w:r w:rsidRPr="0037207A">
              <w:rPr>
                <w:rFonts w:ascii="Calibri" w:eastAsia="Times New Roman" w:hAnsi="Calibri" w:cs="Calibri"/>
                <w:sz w:val="20"/>
                <w:szCs w:val="20"/>
              </w:rPr>
              <w:t>ate</w:t>
            </w:r>
          </w:p>
        </w:tc>
        <w:tc>
          <w:tcPr>
            <w:tcW w:w="2340" w:type="dxa"/>
            <w:tcBorders>
              <w:bottom w:val="nil"/>
            </w:tcBorders>
          </w:tcPr>
          <w:p w14:paraId="251A44C1"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LOA (s)/Cooperation Agreement(s)</w:t>
            </w:r>
          </w:p>
          <w:p w14:paraId="7BCC6CB0"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UNDP project support documents (emails, procurement/recruitment documents)</w:t>
            </w:r>
          </w:p>
          <w:p w14:paraId="6C728E33"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Quarterly Reports</w:t>
            </w:r>
          </w:p>
          <w:p w14:paraId="01C63AE2" w14:textId="77777777" w:rsidR="007A2845" w:rsidRPr="00D6638C"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Annual Reports (PIR)</w:t>
            </w:r>
          </w:p>
        </w:tc>
        <w:tc>
          <w:tcPr>
            <w:tcW w:w="2549" w:type="dxa"/>
            <w:gridSpan w:val="2"/>
            <w:tcBorders>
              <w:bottom w:val="nil"/>
              <w:right w:val="single" w:sz="6" w:space="0" w:color="auto"/>
            </w:tcBorders>
          </w:tcPr>
          <w:p w14:paraId="2CCDA96C"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Desk Review of Documents</w:t>
            </w:r>
          </w:p>
          <w:p w14:paraId="68E96C5A" w14:textId="77777777" w:rsidR="007A2845" w:rsidRPr="00D6638C"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 xml:space="preserve">Interviews with project staff, UNDP personnel </w:t>
            </w:r>
          </w:p>
        </w:tc>
      </w:tr>
      <w:tr w:rsidR="007A2845" w:rsidRPr="00D6638C" w14:paraId="70F75BBF" w14:textId="77777777" w:rsidTr="00ED794A">
        <w:tc>
          <w:tcPr>
            <w:tcW w:w="199" w:type="dxa"/>
            <w:tcBorders>
              <w:top w:val="nil"/>
              <w:left w:val="nil"/>
              <w:bottom w:val="nil"/>
              <w:right w:val="nil"/>
            </w:tcBorders>
            <w:shd w:val="pct12" w:color="auto" w:fill="FFFFFF"/>
          </w:tcPr>
          <w:p w14:paraId="25ABF59B" w14:textId="77777777" w:rsidR="007A2845" w:rsidRPr="00D6638C" w:rsidRDefault="007A2845" w:rsidP="007A2845">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b/>
                <w:bCs/>
                <w:iCs/>
                <w:sz w:val="20"/>
                <w:szCs w:val="20"/>
                <w:lang w:bidi="ar-SA"/>
              </w:rPr>
            </w:pPr>
          </w:p>
        </w:tc>
        <w:tc>
          <w:tcPr>
            <w:tcW w:w="5013" w:type="dxa"/>
            <w:tcBorders>
              <w:left w:val="nil"/>
            </w:tcBorders>
          </w:tcPr>
          <w:p w14:paraId="50FA01BE" w14:textId="77777777" w:rsidR="007A2845" w:rsidRPr="00B160B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Have</w:t>
            </w:r>
            <w:r w:rsidRPr="00DC4142">
              <w:rPr>
                <w:rFonts w:ascii="Calibri" w:eastAsia="Times New Roman" w:hAnsi="Calibri" w:cs="Calibri"/>
                <w:sz w:val="20"/>
                <w:szCs w:val="20"/>
              </w:rPr>
              <w:t xml:space="preserve"> the capacities of the executing institution(s) and counterparts </w:t>
            </w:r>
            <w:r>
              <w:rPr>
                <w:rFonts w:ascii="Calibri" w:eastAsia="Times New Roman" w:hAnsi="Calibri" w:cs="Calibri"/>
                <w:sz w:val="20"/>
                <w:szCs w:val="20"/>
              </w:rPr>
              <w:t xml:space="preserve">been </w:t>
            </w:r>
            <w:r w:rsidRPr="00DC4142">
              <w:rPr>
                <w:rFonts w:ascii="Calibri" w:eastAsia="Times New Roman" w:hAnsi="Calibri" w:cs="Calibri"/>
                <w:sz w:val="20"/>
                <w:szCs w:val="20"/>
              </w:rPr>
              <w:t>properly considered when the project was designed?</w:t>
            </w:r>
          </w:p>
        </w:tc>
        <w:tc>
          <w:tcPr>
            <w:tcW w:w="4500" w:type="dxa"/>
          </w:tcPr>
          <w:p w14:paraId="2221A5F9"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 xml:space="preserve">An ex-ante analysis was undertaken of the internal control framework and internal capacities of the IP </w:t>
            </w:r>
          </w:p>
          <w:p w14:paraId="7FE91406"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An ex-ante capacity analysis was undertaken of key partners with explicit responsibilities for implementation of project funds</w:t>
            </w:r>
          </w:p>
          <w:p w14:paraId="2BB230D4" w14:textId="77777777" w:rsidR="007A2845" w:rsidRPr="00D6638C"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The cash transfer modality and implementation modality appropriately reflected the findings of any ex-ante analyses</w:t>
            </w:r>
          </w:p>
        </w:tc>
        <w:tc>
          <w:tcPr>
            <w:tcW w:w="2340" w:type="dxa"/>
          </w:tcPr>
          <w:p w14:paraId="6E07F839"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HACT Assessment(s)</w:t>
            </w:r>
          </w:p>
          <w:p w14:paraId="42CAA049"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Capacity Assessments</w:t>
            </w:r>
          </w:p>
          <w:p w14:paraId="7273FAD7" w14:textId="77777777" w:rsidR="007A2845" w:rsidRPr="00D6638C" w:rsidRDefault="007A2845" w:rsidP="007A2845">
            <w:p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p>
        </w:tc>
        <w:tc>
          <w:tcPr>
            <w:tcW w:w="2549" w:type="dxa"/>
            <w:gridSpan w:val="2"/>
            <w:tcBorders>
              <w:right w:val="single" w:sz="6" w:space="0" w:color="auto"/>
            </w:tcBorders>
          </w:tcPr>
          <w:p w14:paraId="666B00A4"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Desk Review of Documents</w:t>
            </w:r>
          </w:p>
          <w:p w14:paraId="32047B35" w14:textId="77777777" w:rsidR="007A2845" w:rsidRPr="00D6638C" w:rsidRDefault="007A2845" w:rsidP="007A2845">
            <w:p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p>
        </w:tc>
      </w:tr>
      <w:tr w:rsidR="007A2845" w:rsidRPr="00D6638C" w14:paraId="13AF1D61" w14:textId="77777777" w:rsidTr="00ED794A">
        <w:tc>
          <w:tcPr>
            <w:tcW w:w="199" w:type="dxa"/>
            <w:tcBorders>
              <w:top w:val="nil"/>
              <w:left w:val="nil"/>
              <w:bottom w:val="nil"/>
              <w:right w:val="nil"/>
            </w:tcBorders>
            <w:shd w:val="pct12" w:color="auto" w:fill="FFFFFF"/>
          </w:tcPr>
          <w:p w14:paraId="5C8790C4" w14:textId="77777777" w:rsidR="007A2845" w:rsidRPr="00D6638C" w:rsidRDefault="007A2845" w:rsidP="007A2845">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b/>
                <w:bCs/>
                <w:iCs/>
                <w:sz w:val="20"/>
                <w:szCs w:val="20"/>
                <w:lang w:bidi="ar-SA"/>
              </w:rPr>
            </w:pPr>
          </w:p>
        </w:tc>
        <w:tc>
          <w:tcPr>
            <w:tcW w:w="5013" w:type="dxa"/>
            <w:tcBorders>
              <w:left w:val="nil"/>
            </w:tcBorders>
          </w:tcPr>
          <w:p w14:paraId="57C99C13" w14:textId="77777777" w:rsidR="007A2845" w:rsidRPr="00991224" w:rsidRDefault="007A2845" w:rsidP="007A2845">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rPr>
            </w:pPr>
            <w:r w:rsidRPr="00991224">
              <w:rPr>
                <w:rFonts w:ascii="Calibri" w:eastAsia="Times New Roman" w:hAnsi="Calibri" w:cs="Calibri"/>
                <w:sz w:val="20"/>
                <w:szCs w:val="20"/>
              </w:rPr>
              <w:t xml:space="preserve">Has the M&amp;E plan been well-formulated, and has it served as an effective tool to support project implementation. </w:t>
            </w:r>
          </w:p>
        </w:tc>
        <w:tc>
          <w:tcPr>
            <w:tcW w:w="4500" w:type="dxa"/>
          </w:tcPr>
          <w:p w14:paraId="6C755BD1" w14:textId="77777777" w:rsidR="007A2845" w:rsidRDefault="007A2845" w:rsidP="007A2845">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rPr>
            </w:pPr>
            <w:r>
              <w:rPr>
                <w:rFonts w:ascii="Calibri" w:eastAsia="Times New Roman" w:hAnsi="Calibri" w:cs="Calibri"/>
                <w:sz w:val="20"/>
                <w:szCs w:val="20"/>
              </w:rPr>
              <w:t>The M&amp;E plan has an adequate budget and was adequately funded</w:t>
            </w:r>
          </w:p>
          <w:p w14:paraId="6D5055BD" w14:textId="77777777" w:rsidR="007A2845" w:rsidRPr="00B160B5" w:rsidRDefault="007A2845" w:rsidP="007A2845">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rPr>
            </w:pPr>
            <w:r>
              <w:rPr>
                <w:rFonts w:ascii="Calibri" w:eastAsia="Times New Roman" w:hAnsi="Calibri" w:cs="Calibri"/>
                <w:sz w:val="20"/>
                <w:szCs w:val="20"/>
              </w:rPr>
              <w:t xml:space="preserve">The </w:t>
            </w:r>
            <w:r w:rsidRPr="00991224">
              <w:rPr>
                <w:rFonts w:ascii="Calibri" w:eastAsia="Times New Roman" w:hAnsi="Calibri" w:cs="Calibri"/>
                <w:sz w:val="20"/>
                <w:szCs w:val="20"/>
              </w:rPr>
              <w:t>logical framework was used during implementation as a management and M&amp;E tool</w:t>
            </w:r>
          </w:p>
          <w:p w14:paraId="3DF61465" w14:textId="77777777" w:rsidR="007A2845" w:rsidRPr="00B160B5" w:rsidRDefault="00113CE3" w:rsidP="007A2845">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rPr>
            </w:pPr>
            <w:r>
              <w:rPr>
                <w:rFonts w:ascii="Calibri" w:eastAsia="Times New Roman" w:hAnsi="Calibri" w:cs="Calibri"/>
                <w:sz w:val="20"/>
                <w:szCs w:val="20"/>
              </w:rPr>
              <w:t>There was c</w:t>
            </w:r>
            <w:r w:rsidR="007A2845" w:rsidRPr="00991224">
              <w:rPr>
                <w:rFonts w:ascii="Calibri" w:eastAsia="Times New Roman" w:hAnsi="Calibri" w:cs="Calibri"/>
                <w:sz w:val="20"/>
                <w:szCs w:val="20"/>
              </w:rPr>
              <w:t>ompliance with the financial and narrative reporting requirements (timeliness and quality)</w:t>
            </w:r>
          </w:p>
          <w:p w14:paraId="24792D5A" w14:textId="77777777" w:rsidR="007A2845" w:rsidRPr="00D6638C" w:rsidRDefault="007A2845" w:rsidP="007A2845">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rPr>
            </w:pPr>
            <w:r w:rsidRPr="00991224">
              <w:rPr>
                <w:rFonts w:ascii="Calibri" w:eastAsia="Times New Roman" w:hAnsi="Calibri" w:cs="Calibri"/>
                <w:sz w:val="20"/>
                <w:szCs w:val="20"/>
              </w:rPr>
              <w:t>Monitoring and reporting has been at both the activity and results levels</w:t>
            </w:r>
          </w:p>
        </w:tc>
        <w:tc>
          <w:tcPr>
            <w:tcW w:w="2340" w:type="dxa"/>
          </w:tcPr>
          <w:p w14:paraId="57CD942F" w14:textId="77777777" w:rsidR="007A2845" w:rsidRDefault="007A2845" w:rsidP="007A2845">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rPr>
            </w:pPr>
            <w:r>
              <w:rPr>
                <w:rFonts w:ascii="Calibri" w:eastAsia="Times New Roman" w:hAnsi="Calibri" w:cs="Calibri"/>
                <w:sz w:val="20"/>
                <w:szCs w:val="20"/>
              </w:rPr>
              <w:t>Project Document</w:t>
            </w:r>
          </w:p>
          <w:p w14:paraId="04BABBA6" w14:textId="77777777" w:rsidR="007A2845" w:rsidRDefault="007A2845" w:rsidP="007A2845">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rPr>
            </w:pPr>
            <w:r>
              <w:rPr>
                <w:rFonts w:ascii="Calibri" w:eastAsia="Times New Roman" w:hAnsi="Calibri" w:cs="Calibri"/>
                <w:sz w:val="20"/>
                <w:szCs w:val="20"/>
              </w:rPr>
              <w:t>M&amp;E Plan</w:t>
            </w:r>
          </w:p>
          <w:p w14:paraId="0ABD8A5A" w14:textId="77777777" w:rsidR="007A2845" w:rsidRDefault="007A2845" w:rsidP="007A2845">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rPr>
            </w:pPr>
            <w:r>
              <w:rPr>
                <w:rFonts w:ascii="Calibri" w:eastAsia="Times New Roman" w:hAnsi="Calibri" w:cs="Calibri"/>
                <w:sz w:val="20"/>
                <w:szCs w:val="20"/>
              </w:rPr>
              <w:t>AWPs</w:t>
            </w:r>
          </w:p>
          <w:p w14:paraId="24715745" w14:textId="77777777" w:rsidR="007A2845" w:rsidRDefault="007A2845" w:rsidP="007A2845">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rPr>
            </w:pPr>
            <w:r>
              <w:rPr>
                <w:rFonts w:ascii="Calibri" w:eastAsia="Times New Roman" w:hAnsi="Calibri" w:cs="Calibri"/>
                <w:sz w:val="20"/>
                <w:szCs w:val="20"/>
              </w:rPr>
              <w:t>FACE forms</w:t>
            </w:r>
          </w:p>
          <w:p w14:paraId="2B2DAADD" w14:textId="77777777" w:rsidR="007A2845" w:rsidRDefault="007A2845" w:rsidP="007A2845">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rPr>
            </w:pPr>
            <w:r>
              <w:rPr>
                <w:rFonts w:ascii="Calibri" w:eastAsia="Times New Roman" w:hAnsi="Calibri" w:cs="Calibri"/>
                <w:sz w:val="20"/>
                <w:szCs w:val="20"/>
              </w:rPr>
              <w:t>Quarterly Narrative Reports</w:t>
            </w:r>
          </w:p>
          <w:p w14:paraId="1200ADFD" w14:textId="77777777" w:rsidR="007A2845" w:rsidRPr="00D6638C" w:rsidRDefault="007A2845" w:rsidP="007A2845">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rPr>
            </w:pPr>
            <w:r>
              <w:rPr>
                <w:rFonts w:ascii="Calibri" w:eastAsia="Times New Roman" w:hAnsi="Calibri" w:cs="Calibri"/>
                <w:sz w:val="20"/>
                <w:szCs w:val="20"/>
              </w:rPr>
              <w:t>Site visit reports</w:t>
            </w:r>
          </w:p>
        </w:tc>
        <w:tc>
          <w:tcPr>
            <w:tcW w:w="2549" w:type="dxa"/>
            <w:gridSpan w:val="2"/>
            <w:tcBorders>
              <w:right w:val="single" w:sz="6" w:space="0" w:color="auto"/>
            </w:tcBorders>
          </w:tcPr>
          <w:p w14:paraId="3F1F843F" w14:textId="77777777" w:rsidR="007A2845" w:rsidRDefault="007A2845" w:rsidP="007A2845">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rPr>
            </w:pPr>
            <w:r>
              <w:rPr>
                <w:rFonts w:ascii="Calibri" w:eastAsia="Times New Roman" w:hAnsi="Calibri" w:cs="Calibri"/>
                <w:sz w:val="20"/>
                <w:szCs w:val="20"/>
              </w:rPr>
              <w:t>Desk Review of Documents</w:t>
            </w:r>
          </w:p>
          <w:p w14:paraId="37214DB6" w14:textId="77777777" w:rsidR="007A2845" w:rsidRPr="00D6638C" w:rsidRDefault="007A2845" w:rsidP="007A2845">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rPr>
            </w:pPr>
            <w:r>
              <w:rPr>
                <w:rFonts w:ascii="Calibri" w:eastAsia="Times New Roman" w:hAnsi="Calibri" w:cs="Calibri"/>
                <w:sz w:val="20"/>
                <w:szCs w:val="20"/>
              </w:rPr>
              <w:t>Interviews with project staff and government stakeholders</w:t>
            </w:r>
          </w:p>
        </w:tc>
      </w:tr>
      <w:tr w:rsidR="007A2845" w:rsidRPr="00D6638C" w14:paraId="47CB32AF" w14:textId="77777777" w:rsidTr="00ED794A">
        <w:tc>
          <w:tcPr>
            <w:tcW w:w="199" w:type="dxa"/>
            <w:tcBorders>
              <w:top w:val="nil"/>
              <w:left w:val="nil"/>
              <w:bottom w:val="nil"/>
              <w:right w:val="nil"/>
            </w:tcBorders>
            <w:shd w:val="pct12" w:color="auto" w:fill="FFFFFF"/>
          </w:tcPr>
          <w:p w14:paraId="4006D90C" w14:textId="77777777" w:rsidR="007A2845" w:rsidRPr="00D6638C" w:rsidRDefault="007A2845" w:rsidP="007A2845">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b/>
                <w:bCs/>
                <w:iCs/>
                <w:sz w:val="20"/>
                <w:szCs w:val="20"/>
                <w:lang w:bidi="ar-SA"/>
              </w:rPr>
            </w:pPr>
          </w:p>
        </w:tc>
        <w:tc>
          <w:tcPr>
            <w:tcW w:w="5013" w:type="dxa"/>
            <w:tcBorders>
              <w:left w:val="nil"/>
            </w:tcBorders>
          </w:tcPr>
          <w:p w14:paraId="61C16DC9" w14:textId="77777777" w:rsidR="007A2845" w:rsidRPr="00D6638C"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 xml:space="preserve">Has the project adequately used relevant </w:t>
            </w:r>
            <w:r w:rsidR="00113CE3">
              <w:rPr>
                <w:rFonts w:ascii="Calibri" w:eastAsia="Times New Roman" w:hAnsi="Calibri" w:cs="Calibri"/>
                <w:sz w:val="20"/>
                <w:szCs w:val="20"/>
              </w:rPr>
              <w:t xml:space="preserve">national </w:t>
            </w:r>
            <w:r>
              <w:rPr>
                <w:rFonts w:ascii="Calibri" w:eastAsia="Times New Roman" w:hAnsi="Calibri" w:cs="Calibri"/>
                <w:sz w:val="20"/>
                <w:szCs w:val="20"/>
              </w:rPr>
              <w:t>systems (procurement, recruitment, payments) for project implementation where possible?</w:t>
            </w:r>
          </w:p>
        </w:tc>
        <w:tc>
          <w:tcPr>
            <w:tcW w:w="4500" w:type="dxa"/>
          </w:tcPr>
          <w:p w14:paraId="549D9C59" w14:textId="77777777" w:rsidR="007A2845" w:rsidRDefault="007A2845" w:rsidP="007A2845">
            <w:pPr>
              <w:numPr>
                <w:ilvl w:val="0"/>
                <w:numId w:val="9"/>
              </w:numPr>
              <w:tabs>
                <w:tab w:val="left" w:pos="227"/>
              </w:tabs>
              <w:spacing w:after="0" w:line="240" w:lineRule="auto"/>
              <w:ind w:left="272" w:hanging="270"/>
              <w:contextualSpacing/>
              <w:jc w:val="both"/>
              <w:rPr>
                <w:rFonts w:ascii="Calibri" w:eastAsia="Times New Roman" w:hAnsi="Calibri" w:cs="Calibri"/>
                <w:sz w:val="20"/>
                <w:szCs w:val="20"/>
              </w:rPr>
            </w:pPr>
            <w:r>
              <w:rPr>
                <w:rFonts w:ascii="Calibri" w:eastAsia="Times New Roman" w:hAnsi="Calibri" w:cs="Calibri"/>
                <w:sz w:val="20"/>
                <w:szCs w:val="20"/>
              </w:rPr>
              <w:t>Use of national systems was in keeping with relevant national requirements and internal control frameworks</w:t>
            </w:r>
          </w:p>
          <w:p w14:paraId="3D83E47D" w14:textId="77777777" w:rsidR="007A2845" w:rsidRDefault="007A2845" w:rsidP="007A2845">
            <w:pPr>
              <w:numPr>
                <w:ilvl w:val="0"/>
                <w:numId w:val="9"/>
              </w:numPr>
              <w:tabs>
                <w:tab w:val="left" w:pos="227"/>
              </w:tabs>
              <w:spacing w:after="0" w:line="240" w:lineRule="auto"/>
              <w:ind w:left="272" w:hanging="270"/>
              <w:contextualSpacing/>
              <w:jc w:val="both"/>
              <w:rPr>
                <w:rFonts w:ascii="Calibri" w:eastAsia="Times New Roman" w:hAnsi="Calibri" w:cs="Calibri"/>
                <w:sz w:val="20"/>
                <w:szCs w:val="20"/>
              </w:rPr>
            </w:pPr>
            <w:r>
              <w:rPr>
                <w:rFonts w:ascii="Calibri" w:eastAsia="Times New Roman" w:hAnsi="Calibri" w:cs="Calibri"/>
                <w:sz w:val="20"/>
                <w:szCs w:val="20"/>
              </w:rPr>
              <w:t>Management of financial resources has been in line with accounting best practice</w:t>
            </w:r>
          </w:p>
          <w:p w14:paraId="07E1674E" w14:textId="77777777" w:rsidR="007A2845" w:rsidRPr="00792ACA" w:rsidRDefault="007A2845" w:rsidP="007A2845">
            <w:pPr>
              <w:numPr>
                <w:ilvl w:val="0"/>
                <w:numId w:val="9"/>
              </w:numPr>
              <w:tabs>
                <w:tab w:val="left" w:pos="227"/>
              </w:tabs>
              <w:spacing w:after="0" w:line="240" w:lineRule="auto"/>
              <w:ind w:left="272" w:hanging="270"/>
              <w:contextualSpacing/>
              <w:jc w:val="both"/>
              <w:rPr>
                <w:rFonts w:ascii="Calibri" w:eastAsia="Times New Roman" w:hAnsi="Calibri" w:cs="Calibri"/>
                <w:sz w:val="20"/>
                <w:szCs w:val="20"/>
              </w:rPr>
            </w:pPr>
            <w:r>
              <w:rPr>
                <w:rFonts w:ascii="Calibri" w:eastAsia="Times New Roman" w:hAnsi="Calibri" w:cs="Calibri"/>
                <w:sz w:val="20"/>
                <w:szCs w:val="20"/>
              </w:rPr>
              <w:t>Management of project assets has been in line with accounting best practice</w:t>
            </w:r>
          </w:p>
        </w:tc>
        <w:tc>
          <w:tcPr>
            <w:tcW w:w="2340" w:type="dxa"/>
          </w:tcPr>
          <w:p w14:paraId="6D44D148"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Procurement/Recruitment reports</w:t>
            </w:r>
          </w:p>
          <w:p w14:paraId="041DAEF8"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FACE forms</w:t>
            </w:r>
          </w:p>
          <w:p w14:paraId="01CE24A8" w14:textId="77777777" w:rsidR="007A2845" w:rsidRPr="00021AB7"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CDRs</w:t>
            </w:r>
          </w:p>
        </w:tc>
        <w:tc>
          <w:tcPr>
            <w:tcW w:w="2549" w:type="dxa"/>
            <w:gridSpan w:val="2"/>
            <w:tcBorders>
              <w:right w:val="single" w:sz="6" w:space="0" w:color="auto"/>
            </w:tcBorders>
          </w:tcPr>
          <w:p w14:paraId="5C60FC39"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Desk Review of Documents</w:t>
            </w:r>
          </w:p>
          <w:p w14:paraId="0FB90395" w14:textId="77777777" w:rsidR="007A2845" w:rsidRPr="00D6638C"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Interviews with project staff and government stakeholders</w:t>
            </w:r>
          </w:p>
        </w:tc>
      </w:tr>
      <w:tr w:rsidR="007A2845" w:rsidRPr="00D6638C" w14:paraId="60C23DAB" w14:textId="77777777" w:rsidTr="00ED794A">
        <w:tc>
          <w:tcPr>
            <w:tcW w:w="199" w:type="dxa"/>
            <w:tcBorders>
              <w:top w:val="nil"/>
              <w:left w:val="nil"/>
              <w:bottom w:val="nil"/>
              <w:right w:val="nil"/>
            </w:tcBorders>
            <w:shd w:val="pct12" w:color="auto" w:fill="FFFFFF"/>
          </w:tcPr>
          <w:p w14:paraId="59644F52" w14:textId="77777777" w:rsidR="007A2845" w:rsidRPr="00D6638C" w:rsidRDefault="007A2845" w:rsidP="007A2845">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b/>
                <w:bCs/>
                <w:iCs/>
                <w:sz w:val="20"/>
                <w:szCs w:val="20"/>
                <w:lang w:bidi="ar-SA"/>
              </w:rPr>
            </w:pPr>
          </w:p>
        </w:tc>
        <w:tc>
          <w:tcPr>
            <w:tcW w:w="5013" w:type="dxa"/>
            <w:tcBorders>
              <w:left w:val="nil"/>
            </w:tcBorders>
          </w:tcPr>
          <w:p w14:paraId="7843DE45"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Were financial audit/spot check findings adequately addressed and relevant changes made to improve financial management?</w:t>
            </w:r>
          </w:p>
        </w:tc>
        <w:tc>
          <w:tcPr>
            <w:tcW w:w="4500" w:type="dxa"/>
          </w:tcPr>
          <w:p w14:paraId="5EB2E2F8" w14:textId="77777777" w:rsidR="007A2845" w:rsidRDefault="007A2845" w:rsidP="007A2845">
            <w:pPr>
              <w:numPr>
                <w:ilvl w:val="0"/>
                <w:numId w:val="9"/>
              </w:numPr>
              <w:tabs>
                <w:tab w:val="left" w:pos="227"/>
              </w:tabs>
              <w:spacing w:after="0" w:line="240" w:lineRule="auto"/>
              <w:ind w:left="272" w:hanging="270"/>
              <w:contextualSpacing/>
              <w:jc w:val="both"/>
              <w:rPr>
                <w:rFonts w:ascii="Calibri" w:eastAsia="Times New Roman" w:hAnsi="Calibri" w:cs="Calibri"/>
                <w:sz w:val="20"/>
                <w:szCs w:val="20"/>
              </w:rPr>
            </w:pPr>
            <w:r>
              <w:rPr>
                <w:rFonts w:ascii="Calibri" w:eastAsia="Times New Roman" w:hAnsi="Calibri" w:cs="Calibri"/>
                <w:sz w:val="20"/>
                <w:szCs w:val="20"/>
              </w:rPr>
              <w:t>Appropriate management responses and associated actions were taken in response to audit/spot check findings.</w:t>
            </w:r>
          </w:p>
          <w:p w14:paraId="0FBA1F23" w14:textId="77777777" w:rsidR="007A2845" w:rsidRDefault="00113CE3" w:rsidP="007A2845">
            <w:pPr>
              <w:numPr>
                <w:ilvl w:val="0"/>
                <w:numId w:val="9"/>
              </w:numPr>
              <w:tabs>
                <w:tab w:val="left" w:pos="227"/>
              </w:tabs>
              <w:spacing w:after="0" w:line="240" w:lineRule="auto"/>
              <w:ind w:left="272" w:hanging="270"/>
              <w:contextualSpacing/>
              <w:jc w:val="both"/>
              <w:rPr>
                <w:rFonts w:ascii="Calibri" w:eastAsia="Times New Roman" w:hAnsi="Calibri" w:cs="Calibri"/>
                <w:sz w:val="20"/>
                <w:szCs w:val="20"/>
              </w:rPr>
            </w:pPr>
            <w:r>
              <w:rPr>
                <w:rFonts w:ascii="Calibri" w:eastAsia="Times New Roman" w:hAnsi="Calibri" w:cs="Calibri"/>
                <w:sz w:val="20"/>
                <w:szCs w:val="20"/>
              </w:rPr>
              <w:t>Successive audits demonstrated improvements in financial management practices</w:t>
            </w:r>
          </w:p>
        </w:tc>
        <w:tc>
          <w:tcPr>
            <w:tcW w:w="2340" w:type="dxa"/>
          </w:tcPr>
          <w:p w14:paraId="7249296D" w14:textId="77777777" w:rsidR="007A2845" w:rsidRDefault="00113CE3"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Project Audit Reports</w:t>
            </w:r>
          </w:p>
          <w:p w14:paraId="7BC71EC6" w14:textId="77777777" w:rsidR="00113CE3" w:rsidRDefault="00113CE3"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p>
        </w:tc>
        <w:tc>
          <w:tcPr>
            <w:tcW w:w="2549" w:type="dxa"/>
            <w:gridSpan w:val="2"/>
            <w:tcBorders>
              <w:right w:val="single" w:sz="6" w:space="0" w:color="auto"/>
            </w:tcBorders>
          </w:tcPr>
          <w:p w14:paraId="20F48C97" w14:textId="77777777" w:rsidR="007A2845" w:rsidRDefault="00113CE3"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Desk Review of Documents</w:t>
            </w:r>
          </w:p>
        </w:tc>
      </w:tr>
      <w:tr w:rsidR="007A2845" w:rsidRPr="00D6638C" w14:paraId="115BE127" w14:textId="77777777" w:rsidTr="00ED794A">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16C4A789" w14:textId="77777777" w:rsidR="007A2845" w:rsidRPr="0031674A"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sidRPr="0031674A">
              <w:rPr>
                <w:rFonts w:ascii="Calibri" w:eastAsia="Times New Roman" w:hAnsi="Calibri" w:cs="Calibri"/>
                <w:sz w:val="20"/>
                <w:szCs w:val="20"/>
              </w:rPr>
              <w:t xml:space="preserve"> Sustainability: To what extent are there financial, institutional, social-economic, and/or environmental risks to sustaining long-term project results?</w:t>
            </w:r>
          </w:p>
        </w:tc>
      </w:tr>
      <w:tr w:rsidR="007A2845" w:rsidRPr="00D6638C" w14:paraId="4D45D91C" w14:textId="77777777" w:rsidTr="00ED794A">
        <w:tc>
          <w:tcPr>
            <w:tcW w:w="199" w:type="dxa"/>
            <w:tcBorders>
              <w:top w:val="nil"/>
              <w:left w:val="nil"/>
              <w:bottom w:val="nil"/>
              <w:right w:val="nil"/>
            </w:tcBorders>
            <w:shd w:val="pct12" w:color="auto" w:fill="FFFFFF"/>
          </w:tcPr>
          <w:p w14:paraId="0CD9595B" w14:textId="77777777" w:rsidR="007A2845" w:rsidRPr="00D6638C" w:rsidRDefault="007A2845" w:rsidP="007A2845">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sz w:val="20"/>
                <w:szCs w:val="20"/>
                <w:lang w:bidi="ar-SA"/>
              </w:rPr>
            </w:pPr>
          </w:p>
        </w:tc>
        <w:tc>
          <w:tcPr>
            <w:tcW w:w="5013" w:type="dxa"/>
            <w:tcBorders>
              <w:left w:val="nil"/>
            </w:tcBorders>
          </w:tcPr>
          <w:p w14:paraId="0945B6C7" w14:textId="77777777" w:rsidR="007A2845" w:rsidRPr="0031674A"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sidRPr="0031674A">
              <w:rPr>
                <w:rFonts w:ascii="Calibri" w:eastAsia="Times New Roman" w:hAnsi="Calibri" w:cs="Calibri"/>
                <w:sz w:val="20"/>
                <w:szCs w:val="20"/>
              </w:rPr>
              <w:t xml:space="preserve">Are there financial risks that may jeopardize the sustainability of project outcomes? </w:t>
            </w:r>
          </w:p>
          <w:p w14:paraId="5281A50B" w14:textId="77777777" w:rsidR="007A2845" w:rsidRPr="0031674A"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p>
        </w:tc>
        <w:tc>
          <w:tcPr>
            <w:tcW w:w="4500" w:type="dxa"/>
          </w:tcPr>
          <w:p w14:paraId="52A56C0A" w14:textId="77777777" w:rsidR="007A2845" w:rsidRPr="00D6638C"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sidRPr="0031674A">
              <w:rPr>
                <w:rFonts w:ascii="Calibri" w:eastAsia="Times New Roman" w:hAnsi="Calibri" w:cs="Calibri"/>
                <w:sz w:val="20"/>
                <w:szCs w:val="20"/>
              </w:rPr>
              <w:t>The exit strategy includes explicit interventions to ensure financial sustainability of relevant activities</w:t>
            </w:r>
          </w:p>
        </w:tc>
        <w:tc>
          <w:tcPr>
            <w:tcW w:w="2340" w:type="dxa"/>
          </w:tcPr>
          <w:p w14:paraId="2F2E9BB1"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Project Exit Strategy</w:t>
            </w:r>
          </w:p>
          <w:p w14:paraId="2A17A9E6" w14:textId="77777777" w:rsidR="007A2845" w:rsidRPr="00D6638C"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Risk Log</w:t>
            </w:r>
          </w:p>
        </w:tc>
        <w:tc>
          <w:tcPr>
            <w:tcW w:w="2549" w:type="dxa"/>
            <w:gridSpan w:val="2"/>
            <w:tcBorders>
              <w:right w:val="single" w:sz="6" w:space="0" w:color="auto"/>
            </w:tcBorders>
          </w:tcPr>
          <w:p w14:paraId="68DD92CD"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Desk Review of Documents</w:t>
            </w:r>
          </w:p>
          <w:p w14:paraId="1755AFCC" w14:textId="77777777" w:rsidR="007A2845" w:rsidRPr="00D6638C" w:rsidRDefault="007A2845" w:rsidP="007A2845">
            <w:pPr>
              <w:tabs>
                <w:tab w:val="left" w:pos="227"/>
              </w:tabs>
              <w:autoSpaceDE w:val="0"/>
              <w:autoSpaceDN w:val="0"/>
              <w:adjustRightInd w:val="0"/>
              <w:spacing w:after="0" w:line="240" w:lineRule="auto"/>
              <w:ind w:left="2"/>
              <w:jc w:val="both"/>
              <w:rPr>
                <w:rFonts w:ascii="Calibri" w:eastAsia="Times New Roman" w:hAnsi="Calibri" w:cs="Calibri"/>
                <w:sz w:val="20"/>
                <w:szCs w:val="20"/>
              </w:rPr>
            </w:pPr>
          </w:p>
        </w:tc>
      </w:tr>
      <w:tr w:rsidR="007A2845" w:rsidRPr="00D6638C" w14:paraId="04B01D1C" w14:textId="77777777" w:rsidTr="00ED794A">
        <w:tc>
          <w:tcPr>
            <w:tcW w:w="199" w:type="dxa"/>
            <w:tcBorders>
              <w:top w:val="nil"/>
              <w:left w:val="nil"/>
              <w:bottom w:val="nil"/>
              <w:right w:val="nil"/>
            </w:tcBorders>
            <w:shd w:val="pct12" w:color="auto" w:fill="FFFFFF"/>
          </w:tcPr>
          <w:p w14:paraId="0BA6E343" w14:textId="77777777" w:rsidR="007A2845" w:rsidRPr="00D6638C" w:rsidRDefault="007A2845" w:rsidP="007A2845">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sz w:val="20"/>
                <w:szCs w:val="20"/>
                <w:lang w:bidi="ar-SA"/>
              </w:rPr>
            </w:pPr>
          </w:p>
        </w:tc>
        <w:tc>
          <w:tcPr>
            <w:tcW w:w="5013" w:type="dxa"/>
            <w:tcBorders>
              <w:left w:val="nil"/>
            </w:tcBorders>
          </w:tcPr>
          <w:p w14:paraId="1C693DE2" w14:textId="77777777" w:rsidR="007A2845" w:rsidRPr="0031674A"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sidRPr="0031674A">
              <w:rPr>
                <w:rFonts w:ascii="Calibri" w:eastAsia="Times New Roman" w:hAnsi="Calibri" w:cs="Calibri"/>
                <w:sz w:val="20"/>
                <w:szCs w:val="20"/>
              </w:rPr>
              <w:t>Do the legal frameworks, policies, and governance structures and processes within which the project operates pose risks that may jeopardize sustainability of project benefits?</w:t>
            </w:r>
          </w:p>
        </w:tc>
        <w:tc>
          <w:tcPr>
            <w:tcW w:w="4500" w:type="dxa"/>
          </w:tcPr>
          <w:p w14:paraId="0C77D7F4" w14:textId="77777777" w:rsidR="007A2845" w:rsidRPr="0031674A"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sidRPr="0031674A">
              <w:rPr>
                <w:rFonts w:ascii="Calibri" w:eastAsia="Times New Roman" w:hAnsi="Calibri" w:cs="Calibri"/>
                <w:sz w:val="20"/>
                <w:szCs w:val="20"/>
              </w:rPr>
              <w:t>The exit strategy identifies relevant socio-political risks and includes explicit interventions to mitigate same</w:t>
            </w:r>
          </w:p>
        </w:tc>
        <w:tc>
          <w:tcPr>
            <w:tcW w:w="2340" w:type="dxa"/>
          </w:tcPr>
          <w:p w14:paraId="6CA45EBD"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Project Exit Strategy</w:t>
            </w:r>
          </w:p>
          <w:p w14:paraId="78D37437" w14:textId="77777777" w:rsidR="007A2845" w:rsidRPr="00D6638C"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Risk Log</w:t>
            </w:r>
          </w:p>
        </w:tc>
        <w:tc>
          <w:tcPr>
            <w:tcW w:w="2549" w:type="dxa"/>
            <w:gridSpan w:val="2"/>
            <w:tcBorders>
              <w:right w:val="single" w:sz="6" w:space="0" w:color="auto"/>
            </w:tcBorders>
          </w:tcPr>
          <w:p w14:paraId="631E500C"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Desk Review of Documents</w:t>
            </w:r>
          </w:p>
          <w:p w14:paraId="1CF1D61F" w14:textId="77777777" w:rsidR="007A2845" w:rsidRPr="00D6638C" w:rsidRDefault="007A2845" w:rsidP="007A2845">
            <w:pPr>
              <w:tabs>
                <w:tab w:val="left" w:pos="227"/>
              </w:tabs>
              <w:autoSpaceDE w:val="0"/>
              <w:autoSpaceDN w:val="0"/>
              <w:adjustRightInd w:val="0"/>
              <w:spacing w:after="0" w:line="240" w:lineRule="auto"/>
              <w:ind w:left="2"/>
              <w:jc w:val="both"/>
              <w:rPr>
                <w:rFonts w:ascii="Calibri" w:eastAsia="Times New Roman" w:hAnsi="Calibri" w:cs="Calibri"/>
                <w:sz w:val="20"/>
                <w:szCs w:val="20"/>
              </w:rPr>
            </w:pPr>
          </w:p>
        </w:tc>
      </w:tr>
      <w:tr w:rsidR="007A2845" w:rsidRPr="00D6638C" w14:paraId="2A76C418" w14:textId="77777777" w:rsidTr="00ED794A">
        <w:tc>
          <w:tcPr>
            <w:tcW w:w="199" w:type="dxa"/>
            <w:tcBorders>
              <w:top w:val="nil"/>
              <w:left w:val="nil"/>
              <w:bottom w:val="nil"/>
              <w:right w:val="nil"/>
            </w:tcBorders>
            <w:shd w:val="pct12" w:color="auto" w:fill="FFFFFF"/>
          </w:tcPr>
          <w:p w14:paraId="73597756" w14:textId="77777777" w:rsidR="007A2845" w:rsidRPr="00D6638C" w:rsidRDefault="007A2845" w:rsidP="007A2845">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sz w:val="20"/>
                <w:szCs w:val="20"/>
                <w:lang w:bidi="ar-SA"/>
              </w:rPr>
            </w:pPr>
          </w:p>
        </w:tc>
        <w:tc>
          <w:tcPr>
            <w:tcW w:w="5013" w:type="dxa"/>
            <w:tcBorders>
              <w:left w:val="nil"/>
            </w:tcBorders>
          </w:tcPr>
          <w:p w14:paraId="4A4418F9" w14:textId="77777777" w:rsidR="007A2845" w:rsidRPr="0031674A"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sidRPr="0031674A">
              <w:rPr>
                <w:rFonts w:ascii="Calibri" w:eastAsia="Times New Roman" w:hAnsi="Calibri" w:cs="Calibri"/>
                <w:sz w:val="20"/>
                <w:szCs w:val="20"/>
              </w:rPr>
              <w:t xml:space="preserve">Have key stakeholders identified their interest in project benefits beyond project-end and accepted responsibility for ensuring that project benefits continue to flow? </w:t>
            </w:r>
          </w:p>
        </w:tc>
        <w:tc>
          <w:tcPr>
            <w:tcW w:w="4500" w:type="dxa"/>
          </w:tcPr>
          <w:p w14:paraId="317EF6AE" w14:textId="77777777" w:rsidR="007A2845" w:rsidRPr="0031674A" w:rsidRDefault="007A2845" w:rsidP="007A2845">
            <w:pPr>
              <w:numPr>
                <w:ilvl w:val="0"/>
                <w:numId w:val="9"/>
              </w:numPr>
              <w:tabs>
                <w:tab w:val="left" w:pos="227"/>
              </w:tabs>
              <w:spacing w:after="0" w:line="240" w:lineRule="auto"/>
              <w:ind w:left="272" w:hanging="270"/>
              <w:contextualSpacing/>
              <w:jc w:val="both"/>
              <w:rPr>
                <w:rFonts w:ascii="Calibri" w:eastAsia="Times New Roman" w:hAnsi="Calibri" w:cs="Calibri"/>
                <w:sz w:val="20"/>
                <w:szCs w:val="20"/>
              </w:rPr>
            </w:pPr>
            <w:r w:rsidRPr="0031674A">
              <w:rPr>
                <w:rFonts w:ascii="Calibri" w:eastAsia="Times New Roman" w:hAnsi="Calibri" w:cs="Calibri"/>
                <w:sz w:val="20"/>
                <w:szCs w:val="20"/>
              </w:rPr>
              <w:t>Key stakeholders are assigned specific, agreed roles and responsibilities outlined in the exit strategy</w:t>
            </w:r>
          </w:p>
          <w:p w14:paraId="6ECA2C1A" w14:textId="77777777" w:rsidR="007A2845" w:rsidRPr="0031674A" w:rsidRDefault="007A2845" w:rsidP="007A2845">
            <w:pPr>
              <w:numPr>
                <w:ilvl w:val="0"/>
                <w:numId w:val="9"/>
              </w:numPr>
              <w:tabs>
                <w:tab w:val="left" w:pos="227"/>
              </w:tabs>
              <w:spacing w:after="0" w:line="240" w:lineRule="auto"/>
              <w:ind w:left="272" w:hanging="270"/>
              <w:contextualSpacing/>
              <w:jc w:val="both"/>
              <w:rPr>
                <w:rFonts w:ascii="Calibri" w:eastAsia="Times New Roman" w:hAnsi="Calibri" w:cs="Calibri"/>
                <w:sz w:val="20"/>
                <w:szCs w:val="20"/>
              </w:rPr>
            </w:pPr>
            <w:r w:rsidRPr="0031674A">
              <w:rPr>
                <w:rFonts w:ascii="Calibri" w:eastAsia="Times New Roman" w:hAnsi="Calibri" w:cs="Calibri"/>
                <w:sz w:val="20"/>
                <w:szCs w:val="20"/>
              </w:rPr>
              <w:t>MOU(s) exist for on-going monitoring, maintenance and oversight of phased down or phased over activities</w:t>
            </w:r>
          </w:p>
        </w:tc>
        <w:tc>
          <w:tcPr>
            <w:tcW w:w="2340" w:type="dxa"/>
          </w:tcPr>
          <w:p w14:paraId="5D0AD8CE"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Project Exit Strategy</w:t>
            </w:r>
          </w:p>
          <w:p w14:paraId="042C3E51"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 xml:space="preserve">Risk Log </w:t>
            </w:r>
          </w:p>
          <w:p w14:paraId="305F56FC" w14:textId="77777777" w:rsidR="007A2845" w:rsidRPr="0031674A"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MOU(s)</w:t>
            </w:r>
          </w:p>
        </w:tc>
        <w:tc>
          <w:tcPr>
            <w:tcW w:w="2549" w:type="dxa"/>
            <w:gridSpan w:val="2"/>
            <w:tcBorders>
              <w:right w:val="single" w:sz="6" w:space="0" w:color="auto"/>
            </w:tcBorders>
          </w:tcPr>
          <w:p w14:paraId="5498C5CE"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Desk Review of Documents</w:t>
            </w:r>
          </w:p>
          <w:p w14:paraId="03E95BE3" w14:textId="77777777" w:rsidR="007A2845" w:rsidRPr="00D6638C" w:rsidRDefault="007A2845" w:rsidP="007A2845">
            <w:pPr>
              <w:tabs>
                <w:tab w:val="left" w:pos="227"/>
              </w:tabs>
              <w:autoSpaceDE w:val="0"/>
              <w:autoSpaceDN w:val="0"/>
              <w:adjustRightInd w:val="0"/>
              <w:spacing w:after="0" w:line="240" w:lineRule="auto"/>
              <w:ind w:left="272"/>
              <w:jc w:val="both"/>
              <w:rPr>
                <w:rFonts w:ascii="Calibri" w:eastAsia="Times New Roman" w:hAnsi="Calibri" w:cs="Calibri"/>
                <w:sz w:val="20"/>
                <w:szCs w:val="20"/>
              </w:rPr>
            </w:pPr>
          </w:p>
        </w:tc>
      </w:tr>
      <w:tr w:rsidR="007A2845" w:rsidRPr="00D6638C" w14:paraId="15981DD3" w14:textId="77777777" w:rsidTr="00ED794A">
        <w:tc>
          <w:tcPr>
            <w:tcW w:w="199" w:type="dxa"/>
            <w:tcBorders>
              <w:top w:val="nil"/>
              <w:left w:val="nil"/>
              <w:bottom w:val="nil"/>
              <w:right w:val="nil"/>
            </w:tcBorders>
            <w:shd w:val="pct12" w:color="auto" w:fill="FFFFFF"/>
          </w:tcPr>
          <w:p w14:paraId="294DA224" w14:textId="77777777" w:rsidR="007A2845" w:rsidRPr="00D6638C" w:rsidRDefault="007A2845" w:rsidP="007A2845">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sz w:val="20"/>
                <w:szCs w:val="20"/>
                <w:lang w:bidi="ar-SA"/>
              </w:rPr>
            </w:pPr>
          </w:p>
        </w:tc>
        <w:tc>
          <w:tcPr>
            <w:tcW w:w="5013" w:type="dxa"/>
            <w:tcBorders>
              <w:left w:val="nil"/>
            </w:tcBorders>
          </w:tcPr>
          <w:p w14:paraId="2251F541"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sidRPr="0031674A">
              <w:rPr>
                <w:rFonts w:ascii="Calibri" w:eastAsia="Times New Roman" w:hAnsi="Calibri" w:cs="Calibri"/>
                <w:sz w:val="20"/>
                <w:szCs w:val="20"/>
              </w:rPr>
              <w:t>Are there ongoing activities that may pose an environmental threat to the sustainability of project outcomes?</w:t>
            </w:r>
          </w:p>
        </w:tc>
        <w:tc>
          <w:tcPr>
            <w:tcW w:w="4500" w:type="dxa"/>
          </w:tcPr>
          <w:p w14:paraId="3D3A7E9A" w14:textId="77777777" w:rsidR="007A2845" w:rsidRPr="00D6638C" w:rsidRDefault="007A2845" w:rsidP="007A2845">
            <w:pPr>
              <w:numPr>
                <w:ilvl w:val="0"/>
                <w:numId w:val="9"/>
              </w:numPr>
              <w:tabs>
                <w:tab w:val="left" w:pos="227"/>
              </w:tabs>
              <w:spacing w:after="0" w:line="240" w:lineRule="auto"/>
              <w:ind w:left="272" w:hanging="270"/>
              <w:contextualSpacing/>
              <w:jc w:val="both"/>
              <w:rPr>
                <w:rFonts w:ascii="Calibri" w:eastAsia="Times New Roman" w:hAnsi="Calibri" w:cs="Calibri"/>
                <w:sz w:val="20"/>
                <w:szCs w:val="20"/>
              </w:rPr>
            </w:pPr>
            <w:r w:rsidRPr="0031674A">
              <w:rPr>
                <w:rFonts w:ascii="Calibri" w:eastAsia="Times New Roman" w:hAnsi="Calibri" w:cs="Calibri"/>
                <w:sz w:val="20"/>
                <w:szCs w:val="20"/>
              </w:rPr>
              <w:t xml:space="preserve">The exit strategy identifies relevant </w:t>
            </w:r>
            <w:r>
              <w:rPr>
                <w:rFonts w:ascii="Calibri" w:eastAsia="Times New Roman" w:hAnsi="Calibri" w:cs="Calibri"/>
                <w:sz w:val="20"/>
                <w:szCs w:val="20"/>
              </w:rPr>
              <w:t>environmental</w:t>
            </w:r>
            <w:r w:rsidRPr="0031674A">
              <w:rPr>
                <w:rFonts w:ascii="Calibri" w:eastAsia="Times New Roman" w:hAnsi="Calibri" w:cs="Calibri"/>
                <w:sz w:val="20"/>
                <w:szCs w:val="20"/>
              </w:rPr>
              <w:t xml:space="preserve"> risks and includes explicit interventions to mitigate same</w:t>
            </w:r>
          </w:p>
        </w:tc>
        <w:tc>
          <w:tcPr>
            <w:tcW w:w="2340" w:type="dxa"/>
          </w:tcPr>
          <w:p w14:paraId="0817B86F"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Project Exit Strategy</w:t>
            </w:r>
          </w:p>
          <w:p w14:paraId="110B2FAD" w14:textId="77777777" w:rsidR="007A2845" w:rsidRPr="00D6638C"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Risk Log</w:t>
            </w:r>
          </w:p>
        </w:tc>
        <w:tc>
          <w:tcPr>
            <w:tcW w:w="2549" w:type="dxa"/>
            <w:gridSpan w:val="2"/>
            <w:tcBorders>
              <w:right w:val="single" w:sz="6" w:space="0" w:color="auto"/>
            </w:tcBorders>
          </w:tcPr>
          <w:p w14:paraId="7530BFE9"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Desk Review of Documents</w:t>
            </w:r>
          </w:p>
          <w:p w14:paraId="6A3F3318" w14:textId="77777777" w:rsidR="007A2845" w:rsidRPr="00D6638C" w:rsidRDefault="007A2845" w:rsidP="007A2845">
            <w:pPr>
              <w:tabs>
                <w:tab w:val="left" w:pos="227"/>
              </w:tabs>
              <w:autoSpaceDE w:val="0"/>
              <w:autoSpaceDN w:val="0"/>
              <w:adjustRightInd w:val="0"/>
              <w:spacing w:after="0" w:line="240" w:lineRule="auto"/>
              <w:ind w:left="272"/>
              <w:jc w:val="both"/>
              <w:rPr>
                <w:rFonts w:ascii="Calibri" w:eastAsia="Times New Roman" w:hAnsi="Calibri" w:cs="Calibri"/>
                <w:sz w:val="20"/>
                <w:szCs w:val="20"/>
              </w:rPr>
            </w:pPr>
          </w:p>
        </w:tc>
      </w:tr>
      <w:tr w:rsidR="007A2845" w:rsidRPr="00D6638C" w14:paraId="7737443B" w14:textId="77777777" w:rsidTr="00ED794A">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07BCF608" w14:textId="77777777" w:rsidR="007A2845" w:rsidRPr="00310398" w:rsidRDefault="007A2845" w:rsidP="007A2845">
            <w:pPr>
              <w:numPr>
                <w:ilvl w:val="12"/>
                <w:numId w:val="0"/>
              </w:numPr>
              <w:overflowPunct w:val="0"/>
              <w:autoSpaceDE w:val="0"/>
              <w:autoSpaceDN w:val="0"/>
              <w:adjustRightInd w:val="0"/>
              <w:spacing w:after="0" w:line="180" w:lineRule="exact"/>
              <w:ind w:left="72" w:right="72"/>
              <w:jc w:val="both"/>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7A2845" w:rsidRPr="00D6638C" w14:paraId="12038AF8" w14:textId="77777777" w:rsidTr="00ED794A">
        <w:tc>
          <w:tcPr>
            <w:tcW w:w="199" w:type="dxa"/>
            <w:tcBorders>
              <w:top w:val="nil"/>
              <w:left w:val="nil"/>
              <w:bottom w:val="nil"/>
              <w:right w:val="nil"/>
            </w:tcBorders>
            <w:shd w:val="pct12" w:color="auto" w:fill="FFFFFF"/>
          </w:tcPr>
          <w:p w14:paraId="1E417589" w14:textId="77777777" w:rsidR="007A2845" w:rsidRPr="00D6638C" w:rsidRDefault="007A2845" w:rsidP="007A2845">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sz w:val="20"/>
                <w:szCs w:val="20"/>
                <w:lang w:bidi="ar-SA"/>
              </w:rPr>
            </w:pPr>
          </w:p>
        </w:tc>
        <w:tc>
          <w:tcPr>
            <w:tcW w:w="5013" w:type="dxa"/>
            <w:tcBorders>
              <w:left w:val="nil"/>
            </w:tcBorders>
          </w:tcPr>
          <w:p w14:paraId="5046C40A" w14:textId="77777777" w:rsidR="007A2845" w:rsidRPr="00D6638C" w:rsidRDefault="007A2845" w:rsidP="007A2845">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rPr>
            </w:pPr>
            <w:r w:rsidRPr="00465157">
              <w:rPr>
                <w:rFonts w:ascii="Calibri" w:eastAsia="Times New Roman" w:hAnsi="Calibri" w:cs="Calibri"/>
                <w:sz w:val="20"/>
                <w:szCs w:val="20"/>
              </w:rPr>
              <w:t>Are there verifiable improvements in ecological status, or reductions in ecological stress, that can be linked directly to project interventions?</w:t>
            </w:r>
          </w:p>
        </w:tc>
        <w:tc>
          <w:tcPr>
            <w:tcW w:w="4500" w:type="dxa"/>
          </w:tcPr>
          <w:p w14:paraId="45DB811C" w14:textId="77777777" w:rsidR="007A2845" w:rsidRPr="00D6638C" w:rsidRDefault="007A2845" w:rsidP="007A2845">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rPr>
            </w:pPr>
            <w:r>
              <w:rPr>
                <w:rFonts w:ascii="Calibri" w:eastAsia="Times New Roman" w:hAnsi="Calibri" w:cs="Calibri"/>
                <w:sz w:val="20"/>
                <w:szCs w:val="20"/>
              </w:rPr>
              <w:t>The project has contributed directly to improved ecological conditions, including through reduced GHG emissions for energy generation and transportation</w:t>
            </w:r>
          </w:p>
        </w:tc>
        <w:tc>
          <w:tcPr>
            <w:tcW w:w="2340" w:type="dxa"/>
          </w:tcPr>
          <w:p w14:paraId="10F4E1F9"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Quarterly Reports</w:t>
            </w:r>
          </w:p>
          <w:p w14:paraId="1D8DB5EC"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Annual Reports (PIR)</w:t>
            </w:r>
          </w:p>
          <w:p w14:paraId="6088D581"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Monitoring Reports</w:t>
            </w:r>
          </w:p>
          <w:p w14:paraId="7C73AD98" w14:textId="77777777" w:rsidR="007A2845" w:rsidRPr="00864813"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Pilot Data Analysis/Reports</w:t>
            </w:r>
          </w:p>
        </w:tc>
        <w:tc>
          <w:tcPr>
            <w:tcW w:w="2549" w:type="dxa"/>
            <w:gridSpan w:val="2"/>
            <w:tcBorders>
              <w:right w:val="single" w:sz="6" w:space="0" w:color="auto"/>
            </w:tcBorders>
          </w:tcPr>
          <w:p w14:paraId="7CD7AA75" w14:textId="77777777" w:rsidR="007A28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Desk Review of Documents</w:t>
            </w:r>
          </w:p>
          <w:p w14:paraId="78B34FA6" w14:textId="77777777" w:rsidR="007A2845" w:rsidRPr="00E73045" w:rsidRDefault="007A2845" w:rsidP="007A2845">
            <w:pPr>
              <w:numPr>
                <w:ilvl w:val="0"/>
                <w:numId w:val="9"/>
              </w:numPr>
              <w:tabs>
                <w:tab w:val="left" w:pos="227"/>
              </w:tabs>
              <w:autoSpaceDE w:val="0"/>
              <w:autoSpaceDN w:val="0"/>
              <w:adjustRightInd w:val="0"/>
              <w:spacing w:after="0" w:line="240" w:lineRule="auto"/>
              <w:ind w:left="272" w:hanging="270"/>
              <w:jc w:val="both"/>
              <w:rPr>
                <w:rFonts w:ascii="Calibri" w:eastAsia="Times New Roman" w:hAnsi="Calibri" w:cs="Calibri"/>
                <w:sz w:val="20"/>
                <w:szCs w:val="20"/>
              </w:rPr>
            </w:pPr>
            <w:r>
              <w:rPr>
                <w:rFonts w:ascii="Calibri" w:eastAsia="Times New Roman" w:hAnsi="Calibri" w:cs="Calibri"/>
                <w:sz w:val="20"/>
                <w:szCs w:val="20"/>
              </w:rPr>
              <w:t>Site visits</w:t>
            </w:r>
          </w:p>
        </w:tc>
      </w:tr>
    </w:tbl>
    <w:p w14:paraId="2CF702B8" w14:textId="77777777" w:rsidR="00EA0FAD" w:rsidRDefault="00EA0FAD" w:rsidP="00E23201"/>
    <w:p w14:paraId="1B301048" w14:textId="77777777" w:rsidR="00D6638C" w:rsidRPr="00D6638C" w:rsidRDefault="00D6638C" w:rsidP="00D6638C">
      <w:pPr>
        <w:spacing w:before="200"/>
        <w:rPr>
          <w:rFonts w:ascii="Calibri" w:eastAsia="Times New Roman" w:hAnsi="Calibri" w:cs="Times New Roman"/>
          <w:sz w:val="20"/>
          <w:szCs w:val="20"/>
        </w:rPr>
        <w:sectPr w:rsidR="00D6638C" w:rsidRPr="00D6638C" w:rsidSect="006C1964">
          <w:pgSz w:w="15840" w:h="12240" w:orient="landscape"/>
          <w:pgMar w:top="1440" w:right="900" w:bottom="1440" w:left="1440" w:header="708" w:footer="708" w:gutter="0"/>
          <w:cols w:space="708"/>
          <w:docGrid w:linePitch="360"/>
        </w:sectPr>
      </w:pPr>
    </w:p>
    <w:p w14:paraId="1DED5FEB" w14:textId="77777777" w:rsidR="00D6638C" w:rsidRDefault="00D6638C" w:rsidP="00F05366">
      <w:pPr>
        <w:pStyle w:val="Heading31"/>
      </w:pPr>
      <w:bookmarkStart w:id="68" w:name="_TOR_Annex_D:"/>
      <w:bookmarkStart w:id="69" w:name="_Toc321341565"/>
      <w:bookmarkEnd w:id="68"/>
      <w:r w:rsidRPr="00D6638C">
        <w:lastRenderedPageBreak/>
        <w:t>Annex D: Rating</w:t>
      </w:r>
      <w:r w:rsidR="00E77635">
        <w:t xml:space="preserve"> Scales</w:t>
      </w:r>
      <w:bookmarkEnd w:id="69"/>
    </w:p>
    <w:p w14:paraId="368571F8" w14:textId="77777777"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D6638C" w14:paraId="240462C1" w14:textId="77777777" w:rsidTr="00E77635">
        <w:trPr>
          <w:trHeight w:val="548"/>
        </w:trPr>
        <w:tc>
          <w:tcPr>
            <w:tcW w:w="2009" w:type="pct"/>
            <w:shd w:val="clear" w:color="auto" w:fill="auto"/>
            <w:hideMark/>
          </w:tcPr>
          <w:p w14:paraId="38720864"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14:paraId="09B8C13E"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14:paraId="0FDA23FE" w14:textId="77777777"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14:paraId="3EA39127"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14:paraId="7E2DA81E" w14:textId="77777777" w:rsidTr="00E77635">
        <w:trPr>
          <w:trHeight w:val="269"/>
        </w:trPr>
        <w:tc>
          <w:tcPr>
            <w:tcW w:w="2009" w:type="pct"/>
            <w:vMerge w:val="restart"/>
            <w:shd w:val="clear" w:color="auto" w:fill="auto"/>
            <w:hideMark/>
          </w:tcPr>
          <w:p w14:paraId="574D5AEE"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14:paraId="4DA64DFA"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14:paraId="000A50C8"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14:paraId="26C9BDC8"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3. Moderately Unsatisfactory (MU): </w:t>
            </w:r>
            <w:proofErr w:type="gramStart"/>
            <w:r w:rsidRPr="00D6638C">
              <w:rPr>
                <w:rFonts w:ascii="Calibri" w:eastAsia="Times New Roman" w:hAnsi="Calibri" w:cs="Times New Roman"/>
                <w:sz w:val="20"/>
                <w:szCs w:val="20"/>
              </w:rPr>
              <w:t>significant  shortcomings</w:t>
            </w:r>
            <w:proofErr w:type="gramEnd"/>
          </w:p>
          <w:p w14:paraId="2482732E"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14:paraId="3B8984CD"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14:paraId="25B88531" w14:textId="77777777"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14:paraId="32DA5EAD"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14:paraId="7E6EDD53"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14:paraId="672D7A37" w14:textId="77777777" w:rsidTr="00E77635">
        <w:trPr>
          <w:trHeight w:val="251"/>
        </w:trPr>
        <w:tc>
          <w:tcPr>
            <w:tcW w:w="2009" w:type="pct"/>
            <w:vMerge/>
            <w:shd w:val="clear" w:color="auto" w:fill="auto"/>
            <w:hideMark/>
          </w:tcPr>
          <w:p w14:paraId="3897878D"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14:paraId="2838016B"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w:t>
            </w:r>
            <w:proofErr w:type="gramStart"/>
            <w:r w:rsidRPr="00D6638C">
              <w:rPr>
                <w:rFonts w:ascii="Calibri" w:eastAsia="Times New Roman" w:hAnsi="Calibri" w:cs="Times New Roman"/>
                <w:sz w:val="20"/>
                <w:szCs w:val="20"/>
              </w:rPr>
              <w:t>):moderate</w:t>
            </w:r>
            <w:proofErr w:type="gramEnd"/>
            <w:r w:rsidRPr="00D6638C">
              <w:rPr>
                <w:rFonts w:ascii="Calibri" w:eastAsia="Times New Roman" w:hAnsi="Calibri" w:cs="Times New Roman"/>
                <w:sz w:val="20"/>
                <w:szCs w:val="20"/>
              </w:rPr>
              <w:t xml:space="preserve"> risks</w:t>
            </w:r>
          </w:p>
        </w:tc>
        <w:tc>
          <w:tcPr>
            <w:tcW w:w="981" w:type="pct"/>
            <w:tcBorders>
              <w:top w:val="nil"/>
              <w:bottom w:val="nil"/>
            </w:tcBorders>
            <w:shd w:val="clear" w:color="auto" w:fill="auto"/>
          </w:tcPr>
          <w:p w14:paraId="079B2D82"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14:paraId="111CB1FF" w14:textId="77777777" w:rsidTr="00E77635">
        <w:tc>
          <w:tcPr>
            <w:tcW w:w="2009" w:type="pct"/>
            <w:vMerge/>
            <w:tcBorders>
              <w:bottom w:val="single" w:sz="4" w:space="0" w:color="auto"/>
            </w:tcBorders>
            <w:shd w:val="clear" w:color="auto" w:fill="auto"/>
            <w:hideMark/>
          </w:tcPr>
          <w:p w14:paraId="56B66D57"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2F8D88E2"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14:paraId="63C91D9E"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14:paraId="3582163C" w14:textId="77777777" w:rsidR="00D6638C" w:rsidRPr="00D6638C" w:rsidRDefault="00D6638C" w:rsidP="00D6638C">
            <w:pPr>
              <w:spacing w:after="0" w:line="240" w:lineRule="auto"/>
              <w:rPr>
                <w:rFonts w:ascii="Calibri" w:eastAsia="Times New Roman" w:hAnsi="Calibri" w:cs="Times New Roman"/>
                <w:sz w:val="20"/>
                <w:szCs w:val="20"/>
              </w:rPr>
            </w:pPr>
          </w:p>
          <w:p w14:paraId="5A9BBB7C"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14:paraId="23746D06"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14:paraId="44874503"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14:paraId="146F6905"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14:paraId="3253607F"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4E53A90" w14:textId="77777777"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14:paraId="39045F42" w14:textId="77777777"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14:paraId="77C7429C"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14:paraId="43A9AB7F" w14:textId="77777777" w:rsidR="00D6638C" w:rsidRPr="00D6638C" w:rsidRDefault="00D6638C" w:rsidP="00F05366">
      <w:pPr>
        <w:pStyle w:val="Heading31"/>
      </w:pPr>
      <w:r w:rsidRPr="00D6638C">
        <w:br w:type="page"/>
      </w:r>
      <w:bookmarkStart w:id="70" w:name="_Toc299133056"/>
      <w:bookmarkStart w:id="71" w:name="_Toc321341566"/>
      <w:r w:rsidRPr="00D6638C">
        <w:lastRenderedPageBreak/>
        <w:t xml:space="preserve">Annex E: Evaluation Consultant Code of Conduct </w:t>
      </w:r>
      <w:r w:rsidR="00B913F1">
        <w:t xml:space="preserve">and </w:t>
      </w:r>
      <w:r w:rsidRPr="00D6638C">
        <w:t>Agreement Form</w:t>
      </w:r>
      <w:bookmarkEnd w:id="65"/>
      <w:bookmarkEnd w:id="66"/>
      <w:bookmarkEnd w:id="67"/>
      <w:bookmarkEnd w:id="70"/>
      <w:bookmarkEnd w:id="71"/>
    </w:p>
    <w:p w14:paraId="5F250C4A" w14:textId="77777777"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14:paraId="2B5554F7" w14:textId="77777777"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14:paraId="03A958A8"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14:paraId="12BADF1B"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14:paraId="260DB985"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B913F1">
        <w:rPr>
          <w:rFonts w:eastAsia="ACaslon-Regular"/>
          <w:lang w:val="en-GB" w:bidi="ar-SA"/>
        </w:rPr>
        <w:t>confidence, and</w:t>
      </w:r>
      <w:proofErr w:type="gramEnd"/>
      <w:r w:rsidRPr="00B913F1">
        <w:rPr>
          <w:rFonts w:eastAsia="ACaslon-Regular"/>
          <w:lang w:val="en-GB" w:bidi="ar-SA"/>
        </w:rPr>
        <w:t xml:space="preserve"> must ensure that sensitive information cannot be traced to its source. Evaluators are not expected to evaluate </w:t>
      </w:r>
      <w:bookmarkStart w:id="72" w:name="_GoBack"/>
      <w:bookmarkEnd w:id="72"/>
      <w:proofErr w:type="gramStart"/>
      <w:r w:rsidRPr="00B913F1">
        <w:rPr>
          <w:rFonts w:eastAsia="ACaslon-Regular"/>
          <w:lang w:val="en-GB" w:bidi="ar-SA"/>
        </w:rPr>
        <w:t>individuals, and</w:t>
      </w:r>
      <w:proofErr w:type="gramEnd"/>
      <w:r w:rsidRPr="00B913F1">
        <w:rPr>
          <w:rFonts w:eastAsia="ACaslon-Regular"/>
          <w:lang w:val="en-GB" w:bidi="ar-SA"/>
        </w:rPr>
        <w:t xml:space="preserve"> must balance an evaluation of management functions with this general principle.</w:t>
      </w:r>
    </w:p>
    <w:p w14:paraId="7792EB52"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A5A97FB"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14:paraId="6085674D"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78D8DD1F" w14:textId="77777777"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14:paraId="32A7DA89"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9"/>
      </w:r>
    </w:p>
    <w:p w14:paraId="6C777F60"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14:paraId="3F5E7C43"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14:paraId="26D1EFE2"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14:paraId="5EEC66E6"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14:paraId="2E346F6E"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14:paraId="2CA39BB0"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14:paraId="1B9888C7" w14:textId="77777777" w:rsidR="00D6638C" w:rsidRPr="00D6638C" w:rsidRDefault="00D6638C" w:rsidP="00F05366">
      <w:pPr>
        <w:pStyle w:val="Heading31"/>
      </w:pPr>
      <w:r w:rsidRPr="00D6638C">
        <w:rPr>
          <w:sz w:val="20"/>
          <w:szCs w:val="20"/>
        </w:rPr>
        <w:br w:type="page"/>
      </w:r>
      <w:bookmarkStart w:id="73" w:name="_TOR_Annex_F:"/>
      <w:bookmarkStart w:id="74" w:name="_Toc299122847"/>
      <w:bookmarkStart w:id="75" w:name="_Toc299122869"/>
      <w:bookmarkStart w:id="76" w:name="_Toc299126633"/>
      <w:bookmarkStart w:id="77" w:name="_Toc299133057"/>
      <w:bookmarkStart w:id="78" w:name="_Toc321341567"/>
      <w:bookmarkEnd w:id="73"/>
      <w:r w:rsidRPr="00D6638C">
        <w:lastRenderedPageBreak/>
        <w:t>Annex F: Evaluation Report Outline</w:t>
      </w:r>
      <w:bookmarkEnd w:id="74"/>
      <w:bookmarkEnd w:id="75"/>
      <w:bookmarkEnd w:id="76"/>
      <w:bookmarkEnd w:id="77"/>
      <w:r w:rsidRPr="00D6638C">
        <w:rPr>
          <w:vertAlign w:val="superscript"/>
        </w:rPr>
        <w:footnoteReference w:id="10"/>
      </w:r>
      <w:bookmarkEnd w:id="78"/>
    </w:p>
    <w:tbl>
      <w:tblPr>
        <w:tblW w:w="0" w:type="auto"/>
        <w:tblInd w:w="108" w:type="dxa"/>
        <w:tblLook w:val="04A0" w:firstRow="1" w:lastRow="0" w:firstColumn="1" w:lastColumn="0" w:noHBand="0" w:noVBand="1"/>
      </w:tblPr>
      <w:tblGrid>
        <w:gridCol w:w="968"/>
        <w:gridCol w:w="8284"/>
      </w:tblGrid>
      <w:tr w:rsidR="00D6638C" w:rsidRPr="00D6638C" w14:paraId="22B27E94" w14:textId="77777777" w:rsidTr="006C1964">
        <w:tc>
          <w:tcPr>
            <w:tcW w:w="985" w:type="dxa"/>
          </w:tcPr>
          <w:p w14:paraId="45C40BF7" w14:textId="77777777" w:rsidR="00D6638C" w:rsidRPr="00D6638C" w:rsidRDefault="00D6638C" w:rsidP="00D6638C">
            <w:pPr>
              <w:spacing w:after="0"/>
              <w:rPr>
                <w:rFonts w:ascii="Calibri" w:eastAsia="Times New Roman" w:hAnsi="Calibri" w:cs="Times New Roman"/>
                <w:b/>
                <w:bCs/>
                <w:sz w:val="20"/>
              </w:rPr>
            </w:pPr>
            <w:proofErr w:type="spellStart"/>
            <w:r w:rsidRPr="00D6638C">
              <w:rPr>
                <w:rFonts w:ascii="Calibri" w:eastAsia="Times New Roman" w:hAnsi="Calibri" w:cs="Times New Roman"/>
                <w:b/>
                <w:bCs/>
                <w:sz w:val="20"/>
              </w:rPr>
              <w:t>i</w:t>
            </w:r>
            <w:proofErr w:type="spellEnd"/>
            <w:r w:rsidRPr="00D6638C">
              <w:rPr>
                <w:rFonts w:ascii="Calibri" w:eastAsia="Times New Roman" w:hAnsi="Calibri" w:cs="Times New Roman"/>
                <w:b/>
                <w:bCs/>
                <w:sz w:val="20"/>
              </w:rPr>
              <w:t>.</w:t>
            </w:r>
          </w:p>
        </w:tc>
        <w:tc>
          <w:tcPr>
            <w:tcW w:w="8483" w:type="dxa"/>
          </w:tcPr>
          <w:p w14:paraId="0D0BDC2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14:paraId="1B085F7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w:t>
            </w:r>
            <w:proofErr w:type="gramStart"/>
            <w:r w:rsidRPr="00D6638C">
              <w:rPr>
                <w:rFonts w:ascii="Calibri" w:eastAsia="Times New Roman" w:hAnsi="Calibri" w:cs="Times New Roman"/>
                <w:sz w:val="20"/>
                <w:szCs w:val="20"/>
              </w:rPr>
              <w:t>of  UNDP</w:t>
            </w:r>
            <w:proofErr w:type="gramEnd"/>
            <w:r w:rsidRPr="00D6638C">
              <w:rPr>
                <w:rFonts w:ascii="Calibri" w:eastAsia="Times New Roman" w:hAnsi="Calibri" w:cs="Times New Roman"/>
                <w:sz w:val="20"/>
                <w:szCs w:val="20"/>
              </w:rPr>
              <w:t xml:space="preserve"> supported GEF financed project </w:t>
            </w:r>
          </w:p>
          <w:p w14:paraId="2B440A2A"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14:paraId="6C46B93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14:paraId="703D13A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14:paraId="7228CEC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14:paraId="2292918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14:paraId="6BE58FA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14:paraId="60C5E36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14:paraId="7F610980" w14:textId="77777777" w:rsidTr="006C1964">
        <w:tc>
          <w:tcPr>
            <w:tcW w:w="985" w:type="dxa"/>
          </w:tcPr>
          <w:p w14:paraId="34AEAD29"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14:paraId="2C35DCF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14:paraId="296B4FE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14:paraId="14E5AFD5"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14:paraId="4A974077"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14:paraId="2790F70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14:paraId="66F49EA4" w14:textId="77777777" w:rsidTr="006C1964">
        <w:tc>
          <w:tcPr>
            <w:tcW w:w="985" w:type="dxa"/>
          </w:tcPr>
          <w:p w14:paraId="48B6646B"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14:paraId="18372C8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14:paraId="17B3C761" w14:textId="77777777"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11"/>
            </w:r>
            <w:r w:rsidRPr="00D6638C">
              <w:rPr>
                <w:rFonts w:ascii="Calibri" w:eastAsia="Times New Roman" w:hAnsi="Calibri" w:cs="Times New Roman"/>
                <w:sz w:val="20"/>
                <w:szCs w:val="20"/>
              </w:rPr>
              <w:t>)</w:t>
            </w:r>
          </w:p>
        </w:tc>
      </w:tr>
      <w:tr w:rsidR="00D6638C" w:rsidRPr="00D6638C" w14:paraId="5CD9A861" w14:textId="77777777" w:rsidTr="006C1964">
        <w:tc>
          <w:tcPr>
            <w:tcW w:w="985" w:type="dxa"/>
          </w:tcPr>
          <w:p w14:paraId="5176E194"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14:paraId="58B8C91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14:paraId="4407B839"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14:paraId="77332B03"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14:paraId="0105F6CC"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14:paraId="65746986" w14:textId="77777777" w:rsidTr="006C1964">
        <w:tc>
          <w:tcPr>
            <w:tcW w:w="985" w:type="dxa"/>
          </w:tcPr>
          <w:p w14:paraId="251D7AE4"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14:paraId="7700401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14:paraId="5FA876B8"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14:paraId="5CDF571F"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Problems that the project </w:t>
            </w:r>
            <w:proofErr w:type="gramStart"/>
            <w:r w:rsidRPr="00D6638C">
              <w:rPr>
                <w:rFonts w:ascii="Calibri" w:eastAsia="Times New Roman" w:hAnsi="Calibri" w:cs="Times New Roman"/>
                <w:sz w:val="20"/>
                <w:szCs w:val="20"/>
              </w:rPr>
              <w:t>sought  to</w:t>
            </w:r>
            <w:proofErr w:type="gramEnd"/>
            <w:r w:rsidRPr="00D6638C">
              <w:rPr>
                <w:rFonts w:ascii="Calibri" w:eastAsia="Times New Roman" w:hAnsi="Calibri" w:cs="Times New Roman"/>
                <w:sz w:val="20"/>
                <w:szCs w:val="20"/>
              </w:rPr>
              <w:t xml:space="preserve"> address</w:t>
            </w:r>
          </w:p>
          <w:p w14:paraId="7F1E17C6"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14:paraId="40830D20"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14:paraId="7E9B6AC0"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14:paraId="2B5B37B2"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14:paraId="141FB9F0" w14:textId="77777777" w:rsidTr="006C1964">
        <w:tc>
          <w:tcPr>
            <w:tcW w:w="985" w:type="dxa"/>
          </w:tcPr>
          <w:p w14:paraId="3E012CEB"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14:paraId="4E251B2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14:paraId="008F4A3D" w14:textId="77777777"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12"/>
            </w:r>
            <w:r w:rsidRPr="00D6638C">
              <w:rPr>
                <w:rFonts w:ascii="Calibri" w:eastAsia="Times New Roman" w:hAnsi="Calibri" w:cs="Times New Roman"/>
                <w:sz w:val="20"/>
                <w:szCs w:val="20"/>
              </w:rPr>
              <w:t xml:space="preserve">) </w:t>
            </w:r>
          </w:p>
        </w:tc>
      </w:tr>
      <w:tr w:rsidR="00D6638C" w:rsidRPr="00D6638C" w14:paraId="65DCC79D" w14:textId="77777777" w:rsidTr="006C1964">
        <w:tc>
          <w:tcPr>
            <w:tcW w:w="985" w:type="dxa"/>
          </w:tcPr>
          <w:p w14:paraId="202CF35F"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14:paraId="778157E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14:paraId="3816B0B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14:paraId="59874D8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14:paraId="36B5179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14:paraId="5C56F1D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14:paraId="0E89AEB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14:paraId="53004685"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14:paraId="4C9E4451"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14:paraId="6EAFB5C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14:paraId="451933B1" w14:textId="77777777" w:rsidTr="006C1964">
        <w:tc>
          <w:tcPr>
            <w:tcW w:w="985" w:type="dxa"/>
          </w:tcPr>
          <w:p w14:paraId="61E2C0DA"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14:paraId="530D5DD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14:paraId="42D5B12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14:paraId="1AF94FC1"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14:paraId="69754FE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lastRenderedPageBreak/>
              <w:t>Feedback from M&amp;E activities used for adaptive management</w:t>
            </w:r>
          </w:p>
          <w:p w14:paraId="5486C12F"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Project Finance:  </w:t>
            </w:r>
          </w:p>
          <w:p w14:paraId="50ADFC5E"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14:paraId="3DB78940" w14:textId="77777777"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14:paraId="03E545E4" w14:textId="77777777" w:rsidTr="006C1964">
        <w:trPr>
          <w:trHeight w:val="74"/>
        </w:trPr>
        <w:tc>
          <w:tcPr>
            <w:tcW w:w="985" w:type="dxa"/>
          </w:tcPr>
          <w:p w14:paraId="72E0E62A"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3.3</w:t>
            </w:r>
          </w:p>
        </w:tc>
        <w:tc>
          <w:tcPr>
            <w:tcW w:w="8483" w:type="dxa"/>
          </w:tcPr>
          <w:p w14:paraId="38EAC36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14:paraId="21583BA3"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14:paraId="50F4AC8A"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proofErr w:type="gramStart"/>
            <w:r w:rsidRPr="00D6638C">
              <w:rPr>
                <w:rFonts w:ascii="Calibri" w:eastAsia="Times New Roman" w:hAnsi="Calibri" w:cs="Times New Roman"/>
                <w:sz w:val="20"/>
                <w:szCs w:val="20"/>
              </w:rPr>
              <w:t>Relevance(</w:t>
            </w:r>
            <w:proofErr w:type="gramEnd"/>
            <w:r w:rsidRPr="00D6638C">
              <w:rPr>
                <w:rFonts w:ascii="Calibri" w:eastAsia="Times New Roman" w:hAnsi="Calibri" w:cs="Times New Roman"/>
                <w:sz w:val="20"/>
                <w:szCs w:val="20"/>
              </w:rPr>
              <w:t>*)</w:t>
            </w:r>
          </w:p>
          <w:p w14:paraId="558BF92E"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14:paraId="75E34BC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14:paraId="2BDDF02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14:paraId="7C51BA56"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14:paraId="666676B7"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14:paraId="76A95D84" w14:textId="77777777" w:rsidTr="006C1964">
        <w:tc>
          <w:tcPr>
            <w:tcW w:w="985" w:type="dxa"/>
          </w:tcPr>
          <w:p w14:paraId="0DB6F587"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14:paraId="3EF5EA4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14:paraId="7B295C0A"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14:paraId="7CBCD8F3"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14:paraId="73DBE314"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14:paraId="55A35965"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14:paraId="0E123D67" w14:textId="77777777" w:rsidTr="006C1964">
        <w:tc>
          <w:tcPr>
            <w:tcW w:w="985" w:type="dxa"/>
          </w:tcPr>
          <w:p w14:paraId="5A758B62"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14:paraId="6A71274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14:paraId="11FDF372"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proofErr w:type="spellStart"/>
            <w:r w:rsidRPr="00D6638C">
              <w:rPr>
                <w:rFonts w:ascii="Calibri" w:eastAsia="Times New Roman" w:hAnsi="Calibri" w:cs="Times New Roman"/>
                <w:sz w:val="20"/>
                <w:szCs w:val="20"/>
              </w:rPr>
              <w:t>ToR</w:t>
            </w:r>
            <w:proofErr w:type="spellEnd"/>
          </w:p>
          <w:p w14:paraId="5671058C"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14:paraId="48EEC159"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14:paraId="0A7C45FB"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14:paraId="5C956F12"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14:paraId="6BD2EAEA"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14:paraId="158B09FF"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14:paraId="120B403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14:paraId="54AA9FB8" w14:textId="77777777" w:rsidR="00D6638C" w:rsidRPr="00D6638C" w:rsidRDefault="00D6638C" w:rsidP="00D6638C">
            <w:pPr>
              <w:spacing w:after="0"/>
              <w:rPr>
                <w:rFonts w:ascii="Calibri" w:eastAsia="Times New Roman" w:hAnsi="Calibri" w:cs="Times New Roman"/>
                <w:sz w:val="20"/>
                <w:szCs w:val="20"/>
              </w:rPr>
            </w:pPr>
          </w:p>
          <w:p w14:paraId="30BE42B7" w14:textId="77777777" w:rsidR="00D6638C" w:rsidRPr="00D6638C" w:rsidRDefault="00D6638C" w:rsidP="00D6638C">
            <w:pPr>
              <w:spacing w:after="0"/>
              <w:rPr>
                <w:rFonts w:ascii="Calibri" w:eastAsia="Times New Roman" w:hAnsi="Calibri" w:cs="Times New Roman"/>
                <w:sz w:val="20"/>
                <w:szCs w:val="20"/>
              </w:rPr>
            </w:pPr>
          </w:p>
        </w:tc>
      </w:tr>
    </w:tbl>
    <w:p w14:paraId="6CCA4081" w14:textId="77777777" w:rsidR="00D6638C" w:rsidRPr="00D6638C" w:rsidRDefault="00D6638C" w:rsidP="00D6638C">
      <w:pPr>
        <w:spacing w:before="200"/>
        <w:rPr>
          <w:rFonts w:ascii="Calibri" w:eastAsia="Times New Roman" w:hAnsi="Calibri" w:cs="Times New Roman"/>
          <w:sz w:val="20"/>
          <w:szCs w:val="20"/>
        </w:rPr>
      </w:pPr>
      <w:bookmarkStart w:id="79" w:name="_TOR_Annex_G:"/>
      <w:bookmarkStart w:id="80" w:name="_Toc299133058"/>
      <w:bookmarkStart w:id="81" w:name="_Toc299122848"/>
      <w:bookmarkStart w:id="82" w:name="_Toc299122870"/>
      <w:bookmarkStart w:id="83" w:name="_Toc299126634"/>
      <w:bookmarkEnd w:id="79"/>
    </w:p>
    <w:p w14:paraId="26197586" w14:textId="77777777"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14:paraId="39BE5572" w14:textId="77777777" w:rsidR="00D6638C" w:rsidRPr="00F05366" w:rsidRDefault="00D6638C" w:rsidP="00F05366">
      <w:pPr>
        <w:pStyle w:val="Heading31"/>
      </w:pPr>
      <w:bookmarkStart w:id="84" w:name="_TOR_Annex_G:_1"/>
      <w:bookmarkStart w:id="85" w:name="_Toc321341568"/>
      <w:bookmarkEnd w:id="84"/>
      <w:r w:rsidRPr="00F05366">
        <w:lastRenderedPageBreak/>
        <w:t>Annex G: Evaluation Report Clearance Form</w:t>
      </w:r>
      <w:bookmarkEnd w:id="80"/>
      <w:bookmarkEnd w:id="85"/>
    </w:p>
    <w:p w14:paraId="55E0BFFE" w14:textId="77777777"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val="en-GB" w:eastAsia="en-GB" w:bidi="ar-SA"/>
        </w:rPr>
        <mc:AlternateContent>
          <mc:Choice Requires="wps">
            <w:drawing>
              <wp:anchor distT="0" distB="0" distL="114300" distR="114300" simplePos="0" relativeHeight="251659264" behindDoc="0" locked="0" layoutInCell="1" allowOverlap="1" wp14:anchorId="06EB032A" wp14:editId="00E52074">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79940E51" w14:textId="77777777" w:rsidR="00FE6264" w:rsidRPr="0084083F" w:rsidRDefault="00FE6264" w:rsidP="00D6638C">
                            <w:pPr>
                              <w:rPr>
                                <w:rFonts w:eastAsia="Batang"/>
                              </w:rPr>
                            </w:pPr>
                            <w:r w:rsidRPr="0084083F">
                              <w:rPr>
                                <w:rFonts w:eastAsia="Batang"/>
                              </w:rPr>
                              <w:t>Evaluation Report Reviewed and Cleared by</w:t>
                            </w:r>
                          </w:p>
                          <w:p w14:paraId="3FF62639" w14:textId="77777777" w:rsidR="00FE6264" w:rsidRPr="0084083F" w:rsidRDefault="00FE6264" w:rsidP="00D6638C">
                            <w:r w:rsidRPr="0084083F">
                              <w:t>UNDP Country Office</w:t>
                            </w:r>
                          </w:p>
                          <w:p w14:paraId="612528A7" w14:textId="77777777" w:rsidR="00FE6264" w:rsidRPr="0084083F" w:rsidRDefault="00FE6264" w:rsidP="00D6638C">
                            <w:r w:rsidRPr="0084083F">
                              <w:t>Name:  ___________________________________________________</w:t>
                            </w:r>
                          </w:p>
                          <w:p w14:paraId="6995879A" w14:textId="77777777" w:rsidR="00FE6264" w:rsidRPr="0084083F" w:rsidRDefault="00FE6264" w:rsidP="00D6638C">
                            <w:r w:rsidRPr="0084083F">
                              <w:t>Signature: ______________________________       Date: _________________________________</w:t>
                            </w:r>
                          </w:p>
                          <w:p w14:paraId="287FFF3B" w14:textId="77777777" w:rsidR="00FE6264" w:rsidRPr="0084083F" w:rsidRDefault="00FE6264" w:rsidP="00D6638C">
                            <w:r w:rsidRPr="0084083F">
                              <w:t>UNDP GEF R</w:t>
                            </w:r>
                            <w:r>
                              <w:t>TA</w:t>
                            </w:r>
                          </w:p>
                          <w:p w14:paraId="516F3D92" w14:textId="77777777" w:rsidR="00FE6264" w:rsidRPr="0084083F" w:rsidRDefault="00FE6264" w:rsidP="00D6638C">
                            <w:r w:rsidRPr="0084083F">
                              <w:t>Name:  ___________________________________________________</w:t>
                            </w:r>
                          </w:p>
                          <w:p w14:paraId="3399DA4A" w14:textId="77777777" w:rsidR="00FE6264" w:rsidRPr="0084083F" w:rsidRDefault="00FE6264"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6EB032A"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14:paraId="79940E51" w14:textId="77777777" w:rsidR="00FE6264" w:rsidRPr="0084083F" w:rsidRDefault="00FE6264" w:rsidP="00D6638C">
                      <w:pPr>
                        <w:rPr>
                          <w:rFonts w:eastAsia="Batang"/>
                        </w:rPr>
                      </w:pPr>
                      <w:r w:rsidRPr="0084083F">
                        <w:rPr>
                          <w:rFonts w:eastAsia="Batang"/>
                        </w:rPr>
                        <w:t>Evaluation Report Reviewed and Cleared by</w:t>
                      </w:r>
                    </w:p>
                    <w:p w14:paraId="3FF62639" w14:textId="77777777" w:rsidR="00FE6264" w:rsidRPr="0084083F" w:rsidRDefault="00FE6264" w:rsidP="00D6638C">
                      <w:r w:rsidRPr="0084083F">
                        <w:t>UNDP Country Office</w:t>
                      </w:r>
                    </w:p>
                    <w:p w14:paraId="612528A7" w14:textId="77777777" w:rsidR="00FE6264" w:rsidRPr="0084083F" w:rsidRDefault="00FE6264" w:rsidP="00D6638C">
                      <w:r w:rsidRPr="0084083F">
                        <w:t>Name:  ___________________________________________________</w:t>
                      </w:r>
                    </w:p>
                    <w:p w14:paraId="6995879A" w14:textId="77777777" w:rsidR="00FE6264" w:rsidRPr="0084083F" w:rsidRDefault="00FE6264" w:rsidP="00D6638C">
                      <w:r w:rsidRPr="0084083F">
                        <w:t>Signature: ______________________________       Date: _________________________________</w:t>
                      </w:r>
                    </w:p>
                    <w:p w14:paraId="287FFF3B" w14:textId="77777777" w:rsidR="00FE6264" w:rsidRPr="0084083F" w:rsidRDefault="00FE6264" w:rsidP="00D6638C">
                      <w:r w:rsidRPr="0084083F">
                        <w:t>UNDP GEF R</w:t>
                      </w:r>
                      <w:r>
                        <w:t>TA</w:t>
                      </w:r>
                    </w:p>
                    <w:p w14:paraId="516F3D92" w14:textId="77777777" w:rsidR="00FE6264" w:rsidRPr="0084083F" w:rsidRDefault="00FE6264" w:rsidP="00D6638C">
                      <w:r w:rsidRPr="0084083F">
                        <w:t>Name:  ___________________________________________________</w:t>
                      </w:r>
                    </w:p>
                    <w:p w14:paraId="3399DA4A" w14:textId="77777777" w:rsidR="00FE6264" w:rsidRPr="0084083F" w:rsidRDefault="00FE6264"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81"/>
      <w:bookmarkEnd w:id="82"/>
      <w:bookmarkEnd w:id="83"/>
    </w:p>
    <w:p w14:paraId="2A325B5A" w14:textId="77777777" w:rsidR="00D6638C" w:rsidRPr="00D6638C" w:rsidRDefault="00D6638C" w:rsidP="00D6638C">
      <w:pPr>
        <w:spacing w:before="200"/>
        <w:rPr>
          <w:rFonts w:ascii="Calibri" w:eastAsia="Times New Roman" w:hAnsi="Calibri" w:cs="Times New Roman"/>
          <w:i/>
          <w:sz w:val="20"/>
          <w:szCs w:val="20"/>
        </w:rPr>
      </w:pPr>
    </w:p>
    <w:p w14:paraId="68E74AA2" w14:textId="77777777" w:rsidR="00D6638C" w:rsidRPr="00D6638C" w:rsidRDefault="00D6638C" w:rsidP="00D6638C">
      <w:pPr>
        <w:spacing w:before="200"/>
        <w:rPr>
          <w:rFonts w:ascii="Calibri" w:eastAsia="Times New Roman" w:hAnsi="Calibri" w:cs="Times New Roman"/>
          <w:i/>
          <w:sz w:val="20"/>
          <w:szCs w:val="20"/>
        </w:rPr>
      </w:pPr>
    </w:p>
    <w:p w14:paraId="0C2718DF" w14:textId="77777777" w:rsidR="00D6638C" w:rsidRPr="00D6638C" w:rsidRDefault="00D6638C" w:rsidP="00D6638C">
      <w:pPr>
        <w:spacing w:before="200"/>
        <w:rPr>
          <w:rFonts w:ascii="Calibri" w:eastAsia="Times New Roman" w:hAnsi="Calibri" w:cs="Times New Roman"/>
          <w:i/>
          <w:sz w:val="20"/>
          <w:szCs w:val="20"/>
        </w:rPr>
      </w:pPr>
    </w:p>
    <w:p w14:paraId="52F1EBB1" w14:textId="77777777" w:rsidR="00D6638C" w:rsidRPr="00D6638C" w:rsidRDefault="00D6638C" w:rsidP="00D6638C">
      <w:pPr>
        <w:spacing w:before="200"/>
        <w:rPr>
          <w:rFonts w:ascii="Calibri" w:eastAsia="Times New Roman" w:hAnsi="Calibri" w:cs="Times New Roman"/>
          <w:sz w:val="20"/>
          <w:szCs w:val="20"/>
        </w:rPr>
      </w:pPr>
    </w:p>
    <w:p w14:paraId="25EBC67C" w14:textId="77777777" w:rsidR="00D6638C" w:rsidRPr="00D6638C" w:rsidRDefault="00D6638C" w:rsidP="00D6638C">
      <w:pPr>
        <w:spacing w:before="200"/>
        <w:rPr>
          <w:rFonts w:ascii="Calibri" w:eastAsia="Times New Roman" w:hAnsi="Calibri" w:cs="Times New Roman"/>
          <w:sz w:val="20"/>
          <w:szCs w:val="20"/>
        </w:rPr>
      </w:pPr>
    </w:p>
    <w:p w14:paraId="612A4D13" w14:textId="77777777" w:rsidR="00D6638C" w:rsidRPr="00D6638C" w:rsidRDefault="00D6638C" w:rsidP="00D6638C">
      <w:pPr>
        <w:spacing w:before="200"/>
        <w:rPr>
          <w:rFonts w:ascii="Calibri" w:eastAsia="Times New Roman" w:hAnsi="Calibri" w:cs="Times New Roman"/>
          <w:sz w:val="20"/>
          <w:szCs w:val="20"/>
        </w:rPr>
      </w:pPr>
    </w:p>
    <w:p w14:paraId="2EDBBD6D" w14:textId="77777777" w:rsidR="00D6638C" w:rsidRPr="00D6638C" w:rsidRDefault="00D6638C" w:rsidP="00D6638C">
      <w:pPr>
        <w:spacing w:before="200"/>
        <w:rPr>
          <w:rFonts w:ascii="Calibri" w:eastAsia="Times New Roman" w:hAnsi="Calibri" w:cs="Times New Roman"/>
          <w:sz w:val="20"/>
          <w:szCs w:val="20"/>
        </w:rPr>
      </w:pPr>
    </w:p>
    <w:p w14:paraId="3EFECB2D" w14:textId="77777777" w:rsidR="00D6638C" w:rsidRPr="00D6638C" w:rsidRDefault="00D6638C" w:rsidP="00D6638C">
      <w:pPr>
        <w:spacing w:before="200"/>
        <w:rPr>
          <w:rFonts w:ascii="Calibri" w:eastAsia="Times New Roman" w:hAnsi="Calibri" w:cs="Times New Roman"/>
          <w:sz w:val="20"/>
          <w:szCs w:val="20"/>
        </w:rPr>
      </w:pPr>
    </w:p>
    <w:p w14:paraId="4FC54940" w14:textId="77777777" w:rsidR="00D6638C" w:rsidRPr="00D6638C" w:rsidRDefault="00D6638C" w:rsidP="00D6638C">
      <w:pPr>
        <w:spacing w:before="200"/>
        <w:rPr>
          <w:rFonts w:ascii="Calibri" w:eastAsia="Times New Roman" w:hAnsi="Calibri" w:cs="Times New Roman"/>
          <w:sz w:val="20"/>
          <w:szCs w:val="20"/>
        </w:rPr>
      </w:pPr>
    </w:p>
    <w:p w14:paraId="5E97F62A" w14:textId="77777777" w:rsidR="00D6638C" w:rsidRPr="00D6638C" w:rsidRDefault="00D6638C" w:rsidP="00D6638C">
      <w:pPr>
        <w:spacing w:before="200"/>
        <w:rPr>
          <w:rFonts w:ascii="Calibri" w:eastAsia="Times New Roman" w:hAnsi="Calibri" w:cs="Times New Roman"/>
          <w:sz w:val="20"/>
          <w:szCs w:val="20"/>
        </w:rPr>
      </w:pPr>
    </w:p>
    <w:p w14:paraId="06CB81E7" w14:textId="77777777" w:rsidR="00D6638C" w:rsidRPr="00D6638C" w:rsidRDefault="00D6638C" w:rsidP="00D6638C">
      <w:pPr>
        <w:spacing w:before="200"/>
        <w:rPr>
          <w:rFonts w:ascii="Calibri" w:eastAsia="Times New Roman" w:hAnsi="Calibri" w:cs="Times New Roman"/>
          <w:sz w:val="20"/>
          <w:szCs w:val="20"/>
        </w:rPr>
      </w:pPr>
    </w:p>
    <w:p w14:paraId="484329D3" w14:textId="77777777" w:rsidR="00D6638C" w:rsidRPr="00D6638C" w:rsidRDefault="00D6638C" w:rsidP="00D6638C">
      <w:pPr>
        <w:spacing w:before="200"/>
        <w:rPr>
          <w:rFonts w:ascii="Calibri" w:eastAsia="Times New Roman" w:hAnsi="Calibri" w:cs="Times New Roman"/>
          <w:sz w:val="20"/>
          <w:szCs w:val="20"/>
        </w:rPr>
      </w:pPr>
    </w:p>
    <w:p w14:paraId="53A85240" w14:textId="77777777" w:rsidR="00D6638C" w:rsidRPr="00D6638C" w:rsidRDefault="00D6638C" w:rsidP="00D6638C">
      <w:pPr>
        <w:spacing w:before="200"/>
        <w:rPr>
          <w:rFonts w:ascii="Calibri" w:eastAsia="Times New Roman" w:hAnsi="Calibri" w:cs="Times New Roman"/>
          <w:sz w:val="20"/>
          <w:szCs w:val="20"/>
        </w:rPr>
      </w:pPr>
    </w:p>
    <w:p w14:paraId="7B684FD7" w14:textId="77777777" w:rsidR="00D6638C" w:rsidRPr="00D6638C" w:rsidRDefault="00D6638C" w:rsidP="00D6638C">
      <w:pPr>
        <w:spacing w:before="200"/>
        <w:rPr>
          <w:rFonts w:ascii="Calibri" w:eastAsia="Times New Roman" w:hAnsi="Calibri" w:cs="Times New Roman"/>
          <w:sz w:val="20"/>
          <w:szCs w:val="20"/>
        </w:rPr>
      </w:pPr>
    </w:p>
    <w:p w14:paraId="6BCBEF34" w14:textId="77777777" w:rsidR="00303541" w:rsidRDefault="00303541" w:rsidP="00D6638C">
      <w:pPr>
        <w:spacing w:before="200"/>
      </w:pPr>
      <w:bookmarkStart w:id="86" w:name="_Annex_3._Sample"/>
      <w:bookmarkEnd w:id="86"/>
    </w:p>
    <w:sectPr w:rsidR="00303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367D4" w14:textId="77777777" w:rsidR="00A61FEF" w:rsidRDefault="00A61FEF" w:rsidP="00D6638C">
      <w:pPr>
        <w:spacing w:after="0" w:line="240" w:lineRule="auto"/>
      </w:pPr>
      <w:r>
        <w:separator/>
      </w:r>
    </w:p>
  </w:endnote>
  <w:endnote w:type="continuationSeparator" w:id="0">
    <w:p w14:paraId="79442EC0" w14:textId="77777777" w:rsidR="00A61FEF" w:rsidRDefault="00A61FEF"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arnockPro-Light">
    <w:charset w:val="00"/>
    <w:family w:val="roman"/>
    <w:pitch w:val="default"/>
    <w:sig w:usb0="00000003" w:usb1="00000000" w:usb2="00000000" w:usb3="00000000" w:csb0="00000001" w:csb1="00000000"/>
  </w:font>
  <w:font w:name="Myriad-Bold">
    <w:altName w:val="Calibri"/>
    <w:charset w:val="00"/>
    <w:family w:val="swiss"/>
    <w:pitch w:val="default"/>
    <w:sig w:usb0="00000003" w:usb1="00000000" w:usb2="00000000" w:usb3="00000000" w:csb0="00000001" w:csb1="00000000"/>
  </w:font>
  <w:font w:name="ACaslon-Regular">
    <w:altName w:val="MS Mincho"/>
    <w:charset w:val="80"/>
    <w:family w:val="roman"/>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715490"/>
      <w:docPartObj>
        <w:docPartGallery w:val="Page Numbers (Bottom of Page)"/>
        <w:docPartUnique/>
      </w:docPartObj>
    </w:sdtPr>
    <w:sdtEndPr>
      <w:rPr>
        <w:noProof/>
      </w:rPr>
    </w:sdtEndPr>
    <w:sdtContent>
      <w:p w14:paraId="70C87C8A" w14:textId="77777777" w:rsidR="00FE6264" w:rsidRDefault="00FE626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65EB5D7" w14:textId="77777777" w:rsidR="00FE6264" w:rsidRDefault="00FE6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BB9E4" w14:textId="77777777" w:rsidR="00A61FEF" w:rsidRDefault="00A61FEF" w:rsidP="00D6638C">
      <w:pPr>
        <w:spacing w:after="0" w:line="240" w:lineRule="auto"/>
      </w:pPr>
      <w:r>
        <w:separator/>
      </w:r>
    </w:p>
  </w:footnote>
  <w:footnote w:type="continuationSeparator" w:id="0">
    <w:p w14:paraId="4A28EFE7" w14:textId="77777777" w:rsidR="00A61FEF" w:rsidRDefault="00A61FEF" w:rsidP="00D6638C">
      <w:pPr>
        <w:spacing w:after="0" w:line="240" w:lineRule="auto"/>
      </w:pPr>
      <w:r>
        <w:continuationSeparator/>
      </w:r>
    </w:p>
  </w:footnote>
  <w:footnote w:id="1">
    <w:p w14:paraId="402C11A8" w14:textId="77777777" w:rsidR="00FE6264" w:rsidRPr="00325054" w:rsidRDefault="00FE6264" w:rsidP="00FE6264">
      <w:pPr>
        <w:pStyle w:val="FootnoteText"/>
      </w:pPr>
      <w:r w:rsidRPr="00325054">
        <w:rPr>
          <w:rStyle w:val="FootnoteReference"/>
          <w:sz w:val="16"/>
        </w:rPr>
        <w:footnoteRef/>
      </w:r>
      <w:r w:rsidRPr="00325054">
        <w:t xml:space="preserve"> This figure includes 106 MW target for energy storage (mainly electricity battery-based type, with potential thermal water heating applications) estimated to trigger of $79.5m of investment (i.e. $0.8-0.9m per MW installed).</w:t>
      </w:r>
    </w:p>
  </w:footnote>
  <w:footnote w:id="2">
    <w:p w14:paraId="4CDFAD01" w14:textId="77777777" w:rsidR="00FE6264" w:rsidRDefault="00FE6264"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3">
    <w:p w14:paraId="3BFCDF0C" w14:textId="77777777" w:rsidR="00FE6264" w:rsidRPr="00022F8E" w:rsidRDefault="00FE6264">
      <w:pPr>
        <w:pStyle w:val="FootnoteText"/>
        <w:rPr>
          <w:lang w:val="en-GB"/>
        </w:rPr>
      </w:pPr>
      <w:r>
        <w:rPr>
          <w:rStyle w:val="FootnoteReference"/>
        </w:rPr>
        <w:footnoteRef/>
      </w:r>
      <w:r>
        <w:t xml:space="preserve"> </w:t>
      </w:r>
      <w:r>
        <w:rPr>
          <w:lang w:val="en-GB"/>
        </w:rPr>
        <w:t>A useful tool for gauging progress to impact is the Review of Outcomes to Impacts (</w:t>
      </w:r>
      <w:proofErr w:type="spellStart"/>
      <w:r>
        <w:rPr>
          <w:lang w:val="en-GB"/>
        </w:rPr>
        <w:t>ROtI</w:t>
      </w:r>
      <w:proofErr w:type="spellEnd"/>
      <w:r>
        <w:rPr>
          <w:lang w:val="en-GB"/>
        </w:rPr>
        <w:t xml:space="preserve">) method developed by the GEF Evaluation Office: </w:t>
      </w:r>
      <w:hyperlink r:id="rId2" w:history="1">
        <w:r w:rsidRPr="00E23201">
          <w:rPr>
            <w:rStyle w:val="Hyperlink"/>
            <w:lang w:val="en-GB"/>
          </w:rPr>
          <w:t xml:space="preserve"> ROTI Handbook 2009</w:t>
        </w:r>
      </w:hyperlink>
    </w:p>
  </w:footnote>
  <w:footnote w:id="4">
    <w:p w14:paraId="535306A5" w14:textId="77777777" w:rsidR="00FE6264" w:rsidRPr="00325054" w:rsidRDefault="00FE6264" w:rsidP="002369D0">
      <w:pPr>
        <w:pStyle w:val="FootnoteText"/>
      </w:pPr>
      <w:r w:rsidRPr="00325054">
        <w:footnoteRef/>
      </w:r>
      <w:r w:rsidRPr="00325054">
        <w:t xml:space="preserve"> </w:t>
      </w:r>
      <w:r w:rsidRPr="00325054">
        <w:rPr>
          <w:rStyle w:val="FootnoteTextChar"/>
        </w:rPr>
        <w:t xml:space="preserve">Objective (Atlas output) monitored quarterly </w:t>
      </w:r>
      <w:proofErr w:type="gramStart"/>
      <w:r w:rsidRPr="00325054">
        <w:rPr>
          <w:rStyle w:val="FootnoteTextChar"/>
        </w:rPr>
        <w:t>ERBM  and</w:t>
      </w:r>
      <w:proofErr w:type="gramEnd"/>
      <w:r w:rsidRPr="00325054">
        <w:rPr>
          <w:rStyle w:val="FootnoteTextChar"/>
        </w:rPr>
        <w:t xml:space="preserve"> annually in APR/PIR</w:t>
      </w:r>
    </w:p>
  </w:footnote>
  <w:footnote w:id="5">
    <w:p w14:paraId="3332C7C7" w14:textId="77777777" w:rsidR="00FE6264" w:rsidRPr="00325054" w:rsidRDefault="00FE6264" w:rsidP="002369D0">
      <w:pPr>
        <w:pStyle w:val="FootnoteText"/>
      </w:pPr>
      <w:r w:rsidRPr="00325054">
        <w:rPr>
          <w:rStyle w:val="FootnoteReference"/>
          <w:sz w:val="16"/>
        </w:rPr>
        <w:footnoteRef/>
      </w:r>
      <w:r w:rsidRPr="00325054">
        <w:t xml:space="preserve"> Source: IRENA. Figures range across islands from 1% in Bahamas, to 7% in Grenada</w:t>
      </w:r>
    </w:p>
  </w:footnote>
  <w:footnote w:id="6">
    <w:p w14:paraId="3E26DCFC" w14:textId="77777777" w:rsidR="00FE6264" w:rsidRPr="00325054" w:rsidRDefault="00FE6264" w:rsidP="002369D0">
      <w:pPr>
        <w:pStyle w:val="FootnoteText"/>
      </w:pPr>
      <w:r w:rsidRPr="00325054">
        <w:rPr>
          <w:rStyle w:val="FootnoteReference"/>
          <w:sz w:val="16"/>
        </w:rPr>
        <w:footnoteRef/>
      </w:r>
      <w:r w:rsidRPr="00325054">
        <w:t xml:space="preserve"> Source: Carbon War Room</w:t>
      </w:r>
    </w:p>
  </w:footnote>
  <w:footnote w:id="7">
    <w:p w14:paraId="73F87228" w14:textId="77777777" w:rsidR="00FE6264" w:rsidRPr="00FE4BBC" w:rsidRDefault="00FE6264" w:rsidP="002369D0">
      <w:pPr>
        <w:pStyle w:val="FootnoteText"/>
        <w:rPr>
          <w:rFonts w:cs="Arial"/>
        </w:rPr>
      </w:pPr>
      <w:r w:rsidRPr="00325054">
        <w:rPr>
          <w:rStyle w:val="FootnoteReference"/>
          <w:sz w:val="16"/>
        </w:rPr>
        <w:footnoteRef/>
      </w:r>
      <w:r w:rsidRPr="00325054">
        <w:t xml:space="preserve"> All outcomes monitored annually in the APR/PIR.</w:t>
      </w:r>
    </w:p>
  </w:footnote>
  <w:footnote w:id="8">
    <w:p w14:paraId="1D4054BB" w14:textId="77777777" w:rsidR="00FE6264" w:rsidRPr="00580C41" w:rsidRDefault="00FE6264" w:rsidP="002369D0">
      <w:pPr>
        <w:pStyle w:val="FootnoteText"/>
        <w:rPr>
          <w:szCs w:val="18"/>
        </w:rPr>
      </w:pPr>
      <w:r>
        <w:rPr>
          <w:rStyle w:val="FootnoteReference"/>
        </w:rPr>
        <w:footnoteRef/>
      </w:r>
      <w:r>
        <w:rPr>
          <w:szCs w:val="18"/>
        </w:rPr>
        <w:t xml:space="preserve"> </w:t>
      </w:r>
      <w:r w:rsidRPr="00325054">
        <w:t>These personnel are from the Energy Unit</w:t>
      </w:r>
    </w:p>
  </w:footnote>
  <w:footnote w:id="9">
    <w:p w14:paraId="43A17194" w14:textId="77777777" w:rsidR="00FE6264" w:rsidRDefault="00FE6264" w:rsidP="00D6638C">
      <w:pPr>
        <w:pStyle w:val="FootnoteText"/>
      </w:pPr>
      <w:r w:rsidRPr="004B6248">
        <w:rPr>
          <w:rStyle w:val="FootnoteReference"/>
        </w:rPr>
        <w:footnoteRef/>
      </w:r>
      <w:r w:rsidRPr="00FB1376">
        <w:t>www.unevaluation.org/unegcodeofconduct</w:t>
      </w:r>
    </w:p>
    <w:p w14:paraId="238F0A57" w14:textId="77777777" w:rsidR="00FE6264" w:rsidRDefault="00FE6264" w:rsidP="00D6638C">
      <w:pPr>
        <w:pStyle w:val="FootnoteText"/>
      </w:pPr>
    </w:p>
  </w:footnote>
  <w:footnote w:id="10">
    <w:p w14:paraId="418C81B3" w14:textId="77777777" w:rsidR="00FE6264" w:rsidRPr="002B7151" w:rsidRDefault="00FE6264"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11">
    <w:p w14:paraId="46587E8D" w14:textId="77777777" w:rsidR="00FE6264" w:rsidRPr="002B7151" w:rsidRDefault="00FE6264"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12">
    <w:p w14:paraId="4BFBCED9" w14:textId="77777777" w:rsidR="00FE6264" w:rsidRPr="002B7151" w:rsidRDefault="00FE6264"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1F40D3"/>
    <w:multiLevelType w:val="hybridMultilevel"/>
    <w:tmpl w:val="21D0A434"/>
    <w:lvl w:ilvl="0" w:tplc="0409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B76DA0"/>
    <w:multiLevelType w:val="hybridMultilevel"/>
    <w:tmpl w:val="B45A8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2" w15:restartNumberingAfterBreak="0">
    <w:nsid w:val="284D5C86"/>
    <w:multiLevelType w:val="hybridMultilevel"/>
    <w:tmpl w:val="FEAE27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5"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7" w15:restartNumberingAfterBreak="0">
    <w:nsid w:val="3740542C"/>
    <w:multiLevelType w:val="hybridMultilevel"/>
    <w:tmpl w:val="DAD26B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3E2A1C09"/>
    <w:multiLevelType w:val="hybridMultilevel"/>
    <w:tmpl w:val="9072DA88"/>
    <w:lvl w:ilvl="0" w:tplc="08090011">
      <w:start w:val="1"/>
      <w:numFmt w:val="bullet"/>
      <w:lvlText w:val=""/>
      <w:lvlJc w:val="left"/>
      <w:pPr>
        <w:tabs>
          <w:tab w:val="num" w:pos="360"/>
        </w:tabs>
        <w:ind w:left="360" w:hanging="360"/>
      </w:pPr>
      <w:rPr>
        <w:rFonts w:ascii="Symbol" w:hAnsi="Symbol" w:cs="Symbol" w:hint="default"/>
      </w:rPr>
    </w:lvl>
    <w:lvl w:ilvl="1" w:tplc="08090019">
      <w:start w:val="1"/>
      <w:numFmt w:val="bullet"/>
      <w:lvlText w:val="o"/>
      <w:lvlJc w:val="left"/>
      <w:pPr>
        <w:tabs>
          <w:tab w:val="num" w:pos="1080"/>
        </w:tabs>
        <w:ind w:left="1080" w:hanging="360"/>
      </w:pPr>
      <w:rPr>
        <w:rFonts w:ascii="Courier New" w:hAnsi="Courier New" w:cs="Courier New" w:hint="default"/>
      </w:rPr>
    </w:lvl>
    <w:lvl w:ilvl="2" w:tplc="0809001B">
      <w:start w:val="1"/>
      <w:numFmt w:val="bullet"/>
      <w:lvlText w:val=""/>
      <w:lvlJc w:val="left"/>
      <w:pPr>
        <w:tabs>
          <w:tab w:val="num" w:pos="1800"/>
        </w:tabs>
        <w:ind w:left="1800" w:hanging="360"/>
      </w:pPr>
      <w:rPr>
        <w:rFonts w:ascii="Wingdings" w:hAnsi="Wingdings" w:cs="Wingdings" w:hint="default"/>
      </w:rPr>
    </w:lvl>
    <w:lvl w:ilvl="3" w:tplc="0809000F">
      <w:start w:val="1"/>
      <w:numFmt w:val="bullet"/>
      <w:lvlText w:val=""/>
      <w:lvlJc w:val="left"/>
      <w:pPr>
        <w:tabs>
          <w:tab w:val="num" w:pos="2520"/>
        </w:tabs>
        <w:ind w:left="2520" w:hanging="360"/>
      </w:pPr>
      <w:rPr>
        <w:rFonts w:ascii="Symbol" w:hAnsi="Symbol" w:cs="Symbol" w:hint="default"/>
      </w:rPr>
    </w:lvl>
    <w:lvl w:ilvl="4" w:tplc="08090019">
      <w:start w:val="1"/>
      <w:numFmt w:val="bullet"/>
      <w:lvlText w:val="o"/>
      <w:lvlJc w:val="left"/>
      <w:pPr>
        <w:tabs>
          <w:tab w:val="num" w:pos="3240"/>
        </w:tabs>
        <w:ind w:left="3240" w:hanging="360"/>
      </w:pPr>
      <w:rPr>
        <w:rFonts w:ascii="Courier New" w:hAnsi="Courier New" w:cs="Courier New" w:hint="default"/>
      </w:rPr>
    </w:lvl>
    <w:lvl w:ilvl="5" w:tplc="0809001B">
      <w:start w:val="1"/>
      <w:numFmt w:val="bullet"/>
      <w:lvlText w:val=""/>
      <w:lvlJc w:val="left"/>
      <w:pPr>
        <w:tabs>
          <w:tab w:val="num" w:pos="3960"/>
        </w:tabs>
        <w:ind w:left="3960" w:hanging="360"/>
      </w:pPr>
      <w:rPr>
        <w:rFonts w:ascii="Wingdings" w:hAnsi="Wingdings" w:cs="Wingdings" w:hint="default"/>
      </w:rPr>
    </w:lvl>
    <w:lvl w:ilvl="6" w:tplc="0809000F">
      <w:start w:val="1"/>
      <w:numFmt w:val="bullet"/>
      <w:lvlText w:val=""/>
      <w:lvlJc w:val="left"/>
      <w:pPr>
        <w:tabs>
          <w:tab w:val="num" w:pos="4680"/>
        </w:tabs>
        <w:ind w:left="4680" w:hanging="360"/>
      </w:pPr>
      <w:rPr>
        <w:rFonts w:ascii="Symbol" w:hAnsi="Symbol" w:cs="Symbol" w:hint="default"/>
      </w:rPr>
    </w:lvl>
    <w:lvl w:ilvl="7" w:tplc="08090019">
      <w:start w:val="1"/>
      <w:numFmt w:val="bullet"/>
      <w:lvlText w:val="o"/>
      <w:lvlJc w:val="left"/>
      <w:pPr>
        <w:tabs>
          <w:tab w:val="num" w:pos="5400"/>
        </w:tabs>
        <w:ind w:left="5400" w:hanging="360"/>
      </w:pPr>
      <w:rPr>
        <w:rFonts w:ascii="Courier New" w:hAnsi="Courier New" w:cs="Courier New" w:hint="default"/>
      </w:rPr>
    </w:lvl>
    <w:lvl w:ilvl="8" w:tplc="0809001B">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D440E8"/>
    <w:multiLevelType w:val="hybridMultilevel"/>
    <w:tmpl w:val="3496A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6"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8" w15:restartNumberingAfterBreak="0">
    <w:nsid w:val="566D554B"/>
    <w:multiLevelType w:val="hybridMultilevel"/>
    <w:tmpl w:val="E3549E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1"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2"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58C7EA8"/>
    <w:multiLevelType w:val="hybridMultilevel"/>
    <w:tmpl w:val="B7C48B60"/>
    <w:lvl w:ilvl="0" w:tplc="25160F0E">
      <w:start w:val="1"/>
      <w:numFmt w:val="bullet"/>
      <w:pStyle w:val="Footer"/>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EC07EB4"/>
    <w:multiLevelType w:val="hybridMultilevel"/>
    <w:tmpl w:val="1BF29BB8"/>
    <w:lvl w:ilvl="0" w:tplc="0809001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8"/>
  </w:num>
  <w:num w:numId="3">
    <w:abstractNumId w:val="30"/>
  </w:num>
  <w:num w:numId="4">
    <w:abstractNumId w:val="21"/>
  </w:num>
  <w:num w:numId="5">
    <w:abstractNumId w:val="2"/>
  </w:num>
  <w:num w:numId="6">
    <w:abstractNumId w:val="26"/>
  </w:num>
  <w:num w:numId="7">
    <w:abstractNumId w:val="1"/>
  </w:num>
  <w:num w:numId="8">
    <w:abstractNumId w:val="32"/>
  </w:num>
  <w:num w:numId="9">
    <w:abstractNumId w:val="14"/>
  </w:num>
  <w:num w:numId="10">
    <w:abstractNumId w:val="31"/>
  </w:num>
  <w:num w:numId="11">
    <w:abstractNumId w:val="11"/>
  </w:num>
  <w:num w:numId="12">
    <w:abstractNumId w:val="27"/>
  </w:num>
  <w:num w:numId="13">
    <w:abstractNumId w:val="25"/>
  </w:num>
  <w:num w:numId="14">
    <w:abstractNumId w:val="3"/>
  </w:num>
  <w:num w:numId="15">
    <w:abstractNumId w:val="24"/>
  </w:num>
  <w:num w:numId="16">
    <w:abstractNumId w:val="16"/>
  </w:num>
  <w:num w:numId="17">
    <w:abstractNumId w:val="6"/>
  </w:num>
  <w:num w:numId="18">
    <w:abstractNumId w:val="15"/>
  </w:num>
  <w:num w:numId="19">
    <w:abstractNumId w:val="37"/>
  </w:num>
  <w:num w:numId="20">
    <w:abstractNumId w:val="19"/>
  </w:num>
  <w:num w:numId="21">
    <w:abstractNumId w:val="13"/>
  </w:num>
  <w:num w:numId="22">
    <w:abstractNumId w:val="7"/>
  </w:num>
  <w:num w:numId="23">
    <w:abstractNumId w:val="8"/>
  </w:num>
  <w:num w:numId="24">
    <w:abstractNumId w:val="34"/>
  </w:num>
  <w:num w:numId="25">
    <w:abstractNumId w:val="0"/>
  </w:num>
  <w:num w:numId="26">
    <w:abstractNumId w:val="39"/>
  </w:num>
  <w:num w:numId="27">
    <w:abstractNumId w:val="10"/>
  </w:num>
  <w:num w:numId="28">
    <w:abstractNumId w:val="36"/>
  </w:num>
  <w:num w:numId="29">
    <w:abstractNumId w:val="23"/>
  </w:num>
  <w:num w:numId="30">
    <w:abstractNumId w:val="20"/>
  </w:num>
  <w:num w:numId="31">
    <w:abstractNumId w:val="29"/>
  </w:num>
  <w:num w:numId="32">
    <w:abstractNumId w:val="28"/>
  </w:num>
  <w:num w:numId="33">
    <w:abstractNumId w:val="12"/>
  </w:num>
  <w:num w:numId="34">
    <w:abstractNumId w:val="17"/>
  </w:num>
  <w:num w:numId="35">
    <w:abstractNumId w:val="18"/>
  </w:num>
  <w:num w:numId="36">
    <w:abstractNumId w:val="35"/>
  </w:num>
  <w:num w:numId="37">
    <w:abstractNumId w:val="4"/>
  </w:num>
  <w:num w:numId="38">
    <w:abstractNumId w:val="22"/>
  </w:num>
  <w:num w:numId="39">
    <w:abstractNumId w:val="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8C"/>
    <w:rsid w:val="00022F8E"/>
    <w:rsid w:val="00032958"/>
    <w:rsid w:val="00054371"/>
    <w:rsid w:val="00113CE3"/>
    <w:rsid w:val="00123FC1"/>
    <w:rsid w:val="00224F9C"/>
    <w:rsid w:val="002369D0"/>
    <w:rsid w:val="00243355"/>
    <w:rsid w:val="002447F0"/>
    <w:rsid w:val="00263283"/>
    <w:rsid w:val="002B2510"/>
    <w:rsid w:val="002F082B"/>
    <w:rsid w:val="00303541"/>
    <w:rsid w:val="00310398"/>
    <w:rsid w:val="003325E1"/>
    <w:rsid w:val="0035077B"/>
    <w:rsid w:val="003A1C86"/>
    <w:rsid w:val="003A6281"/>
    <w:rsid w:val="003B5F34"/>
    <w:rsid w:val="003F4EE0"/>
    <w:rsid w:val="004600C4"/>
    <w:rsid w:val="0048346B"/>
    <w:rsid w:val="00562D6D"/>
    <w:rsid w:val="00563362"/>
    <w:rsid w:val="00586659"/>
    <w:rsid w:val="005A3C79"/>
    <w:rsid w:val="005B58C2"/>
    <w:rsid w:val="006C1964"/>
    <w:rsid w:val="006D4A55"/>
    <w:rsid w:val="00720F73"/>
    <w:rsid w:val="007A2845"/>
    <w:rsid w:val="007B1E1F"/>
    <w:rsid w:val="007E6B75"/>
    <w:rsid w:val="00861563"/>
    <w:rsid w:val="008757D9"/>
    <w:rsid w:val="008B3C60"/>
    <w:rsid w:val="009307B4"/>
    <w:rsid w:val="00972C06"/>
    <w:rsid w:val="009D46D4"/>
    <w:rsid w:val="00A20890"/>
    <w:rsid w:val="00A36307"/>
    <w:rsid w:val="00A61FEF"/>
    <w:rsid w:val="00AD126B"/>
    <w:rsid w:val="00B35F7D"/>
    <w:rsid w:val="00B61899"/>
    <w:rsid w:val="00B63CB5"/>
    <w:rsid w:val="00B913F1"/>
    <w:rsid w:val="00BA0F94"/>
    <w:rsid w:val="00BA42B6"/>
    <w:rsid w:val="00BB01A9"/>
    <w:rsid w:val="00D6638C"/>
    <w:rsid w:val="00D70515"/>
    <w:rsid w:val="00DC707C"/>
    <w:rsid w:val="00DD7B70"/>
    <w:rsid w:val="00E23201"/>
    <w:rsid w:val="00E35327"/>
    <w:rsid w:val="00E42FAC"/>
    <w:rsid w:val="00E45000"/>
    <w:rsid w:val="00E77635"/>
    <w:rsid w:val="00E8357E"/>
    <w:rsid w:val="00EA0FAD"/>
    <w:rsid w:val="00ED794A"/>
    <w:rsid w:val="00F05366"/>
    <w:rsid w:val="00F77E80"/>
    <w:rsid w:val="00FE5CA7"/>
    <w:rsid w:val="00FE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0227D"/>
  <w15:docId w15:val="{BA52716A-667E-49CE-8E4E-6A5C945A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List Paragraph1,Bullets,ADB List Paragraph,List Paragraph (numbered (a)),Lapis Bulleted List,References,List_Paragraph,Multilevel para_II,Table/Figure Heading,Dot pt,F5 List Paragraph,No Spacing1,List Paragraph Char Char Char"/>
    <w:basedOn w:val="Normal"/>
    <w:link w:val="ListParagraphChar"/>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Superscript 6 Point + 11 pt,SUPERS,Footnote Reference Superscript,Ref,de nota al pie,number,BVI fnr, BVI fnr,ftref,Footnote Reference Number,Footnote Reference_LVL6,Footnote Reference_LVL61,Знак сноски-FN"/>
    <w:basedOn w:val="DefaultParagraphFont"/>
    <w:uiPriority w:val="99"/>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f"/>
    <w:basedOn w:val="Normal"/>
    <w:link w:val="FootnoteTextChar"/>
    <w:uiPriority w:val="99"/>
    <w:unhideWhenUsed/>
    <w:qFormat/>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Geneva 9 Char"/>
    <w:basedOn w:val="DefaultParagraphFont"/>
    <w:link w:val="FootnoteText"/>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aliases w:val="List Paragraph1 Char,Bullets Char,ADB List Paragraph Char,List Paragraph (numbered (a)) Char,Lapis Bulleted List Char,References Char,List_Paragraph Char,Multilevel para_II Char,Table/Figure Heading Char,Dot pt Char,No Spacing1 Char"/>
    <w:basedOn w:val="DefaultParagraphFont"/>
    <w:link w:val="ListParagraph"/>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Caption">
    <w:name w:val="caption"/>
    <w:basedOn w:val="Normal"/>
    <w:next w:val="Normal"/>
    <w:qFormat/>
    <w:rsid w:val="00FE6264"/>
    <w:pPr>
      <w:spacing w:after="0"/>
    </w:pPr>
    <w:rPr>
      <w:rFonts w:ascii="Arial" w:eastAsia="Times New Roman" w:hAnsi="Arial" w:cs="Times New Roman"/>
      <w:bCs/>
      <w:color w:val="000000" w:themeColor="text1"/>
      <w:sz w:val="18"/>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2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evaluation.org/ethicalguidelin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C7791-55B3-4A34-A939-0B8C3D94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23</Pages>
  <Words>7344</Words>
  <Characters>41862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Fox</dc:creator>
  <cp:lastModifiedBy>Jason LaCorbiniere</cp:lastModifiedBy>
  <cp:revision>5</cp:revision>
  <dcterms:created xsi:type="dcterms:W3CDTF">2019-05-27T17:11:00Z</dcterms:created>
  <dcterms:modified xsi:type="dcterms:W3CDTF">2019-05-28T15:29:00Z</dcterms:modified>
</cp:coreProperties>
</file>