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CDF" w:rsidRDefault="00A32CDF" w:rsidP="00A32CDF">
      <w:pPr>
        <w:pStyle w:val="Titre2"/>
        <w:spacing w:before="0" w:after="0" w:line="360" w:lineRule="auto"/>
      </w:pPr>
      <w:bookmarkStart w:id="0" w:name="_Toc445111693"/>
      <w:r>
        <w:t xml:space="preserve">Annexe 3: </w:t>
      </w:r>
      <w:r>
        <w:rPr>
          <w:lang w:val="fr-FR"/>
        </w:rPr>
        <w:t>Termes de référence</w:t>
      </w:r>
      <w:bookmarkEnd w:id="0"/>
    </w:p>
    <w:p w:rsidR="00A32CDF" w:rsidRPr="00810B5C" w:rsidRDefault="00A32CDF" w:rsidP="00A32CDF">
      <w:pPr>
        <w:tabs>
          <w:tab w:val="left" w:pos="1410"/>
        </w:tabs>
        <w:ind w:left="1410"/>
        <w:jc w:val="right"/>
        <w:rPr>
          <w:rFonts w:ascii="Times New Roman" w:hAnsi="Times New Roman"/>
          <w:b/>
          <w:lang w:eastAsia="rw-RW"/>
        </w:rPr>
      </w:pPr>
      <w:r>
        <w:rPr>
          <w:rFonts w:ascii="Times New Roman" w:hAnsi="Times New Roman"/>
          <w:b/>
          <w:noProof/>
          <w:color w:val="1F497D"/>
          <w:lang w:eastAsia="fr-FR"/>
        </w:rPr>
        <w:drawing>
          <wp:inline distT="0" distB="0" distL="0" distR="0" wp14:anchorId="2B068999" wp14:editId="34D97F89">
            <wp:extent cx="228600" cy="590550"/>
            <wp:effectExtent l="1905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28600" cy="590550"/>
                    </a:xfrm>
                    <a:prstGeom prst="rect">
                      <a:avLst/>
                    </a:prstGeom>
                    <a:noFill/>
                    <a:ln w="9525">
                      <a:noFill/>
                      <a:miter lim="800000"/>
                      <a:headEnd/>
                      <a:tailEnd/>
                    </a:ln>
                  </pic:spPr>
                </pic:pic>
              </a:graphicData>
            </a:graphic>
          </wp:inline>
        </w:drawing>
      </w:r>
    </w:p>
    <w:p w:rsidR="00A32CDF" w:rsidRPr="0052396D" w:rsidRDefault="00A32CDF" w:rsidP="00A32CDF">
      <w:pPr>
        <w:tabs>
          <w:tab w:val="left" w:pos="1410"/>
        </w:tabs>
        <w:jc w:val="center"/>
        <w:rPr>
          <w:rFonts w:cs="Calibri"/>
          <w:b/>
          <w:lang w:eastAsia="rw-RW"/>
        </w:rPr>
      </w:pPr>
      <w:r w:rsidRPr="0052396D">
        <w:rPr>
          <w:rFonts w:cs="Calibri"/>
          <w:b/>
          <w:lang w:eastAsia="rw-RW"/>
        </w:rPr>
        <w:t>Notice de sélection pour Consultant Individuel</w:t>
      </w:r>
    </w:p>
    <w:p w:rsidR="00A32CDF" w:rsidRPr="0052396D" w:rsidRDefault="00A32CDF" w:rsidP="00A32CDF">
      <w:pPr>
        <w:spacing w:after="0"/>
        <w:jc w:val="center"/>
        <w:rPr>
          <w:rFonts w:cs="Calibri"/>
          <w:b/>
        </w:rPr>
      </w:pPr>
      <w:r w:rsidRPr="0052396D">
        <w:rPr>
          <w:rFonts w:cs="Calibri"/>
          <w:b/>
        </w:rPr>
        <w:t>Elaboration d’un plan de communication pour le Fonds Climat Mali</w:t>
      </w:r>
    </w:p>
    <w:p w:rsidR="00A32CDF" w:rsidRPr="0052396D" w:rsidRDefault="00A32CDF" w:rsidP="00A32CDF">
      <w:pPr>
        <w:spacing w:after="0"/>
        <w:jc w:val="center"/>
        <w:rPr>
          <w:rFonts w:cs="Calibri"/>
          <w:b/>
        </w:rPr>
      </w:pPr>
    </w:p>
    <w:p w:rsidR="00A32CDF" w:rsidRPr="0052396D" w:rsidRDefault="00A32CDF" w:rsidP="00A32CDF">
      <w:pPr>
        <w:spacing w:after="0"/>
        <w:rPr>
          <w:rFonts w:cs="Calibri"/>
          <w:b/>
        </w:rPr>
      </w:pPr>
      <w:r w:rsidRPr="0052396D">
        <w:rPr>
          <w:rFonts w:cs="Calibri"/>
          <w:b/>
        </w:rPr>
        <w:t xml:space="preserve">Date : </w:t>
      </w:r>
      <w:r>
        <w:rPr>
          <w:rFonts w:cs="Calibri"/>
          <w:b/>
        </w:rPr>
        <w:t>5 février</w:t>
      </w:r>
      <w:r w:rsidRPr="0052396D">
        <w:rPr>
          <w:rFonts w:cs="Calibri"/>
          <w:b/>
        </w:rPr>
        <w:t>201</w:t>
      </w:r>
      <w:r>
        <w:rPr>
          <w:rFonts w:cs="Calibri"/>
          <w:b/>
        </w:rPr>
        <w:t>9</w:t>
      </w:r>
    </w:p>
    <w:p w:rsidR="00A32CDF" w:rsidRPr="0052396D" w:rsidRDefault="00A32CDF" w:rsidP="00A32CDF">
      <w:pPr>
        <w:spacing w:after="0"/>
        <w:rPr>
          <w:rFonts w:cs="Calibri"/>
          <w:b/>
        </w:rPr>
      </w:pPr>
    </w:p>
    <w:p w:rsidR="00A32CDF" w:rsidRPr="0052396D" w:rsidRDefault="00A32CDF" w:rsidP="00A32CDF">
      <w:pPr>
        <w:spacing w:after="0"/>
        <w:jc w:val="center"/>
        <w:rPr>
          <w:rFonts w:cs="Calibri"/>
        </w:rPr>
      </w:pPr>
      <w:r>
        <w:rPr>
          <w:rFonts w:cs="Calibri"/>
          <w:noProof/>
          <w:lang w:eastAsia="fr-FR"/>
        </w:rPr>
        <mc:AlternateContent>
          <mc:Choice Requires="wps">
            <w:drawing>
              <wp:anchor distT="4294967293" distB="4294967293" distL="114300" distR="114300" simplePos="0" relativeHeight="251659264" behindDoc="0" locked="0" layoutInCell="1" allowOverlap="1" wp14:anchorId="16FE7327" wp14:editId="3A94647A">
                <wp:simplePos x="0" y="0"/>
                <wp:positionH relativeFrom="margin">
                  <wp:posOffset>0</wp:posOffset>
                </wp:positionH>
                <wp:positionV relativeFrom="paragraph">
                  <wp:posOffset>19050</wp:posOffset>
                </wp:positionV>
                <wp:extent cx="6638925" cy="0"/>
                <wp:effectExtent l="9525" t="9525" r="9525" b="9525"/>
                <wp:wrapNone/>
                <wp:docPr id="6"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9525">
                          <a:solidFill>
                            <a:srgbClr val="4F81BD"/>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E1583E" id="_x0000_t32" coordsize="21600,21600" o:spt="32" o:oned="t" path="m,l21600,21600e" filled="f">
                <v:path arrowok="t" fillok="f" o:connecttype="none"/>
                <o:lock v:ext="edit" shapetype="t"/>
              </v:shapetype>
              <v:shape id="Connecteur droit avec flèche 3" o:spid="_x0000_s1026" type="#_x0000_t32" style="position:absolute;margin-left:0;margin-top:1.5pt;width:522.75pt;height:0;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" strokecolor="#4f81bd">
                <v:stroke dashstyle="dash"/>
                <w10:wrap anchorx="margin"/>
              </v:shape>
            </w:pict>
          </mc:Fallback>
        </mc:AlternateContent>
      </w:r>
    </w:p>
    <w:p w:rsidR="00A32CDF" w:rsidRPr="0052396D" w:rsidRDefault="00A32CDF" w:rsidP="00A32CDF">
      <w:pPr>
        <w:tabs>
          <w:tab w:val="left" w:pos="1410"/>
        </w:tabs>
        <w:rPr>
          <w:rFonts w:cs="Calibri"/>
          <w:b/>
          <w:lang w:eastAsia="rw-RW"/>
        </w:rPr>
      </w:pPr>
      <w:r w:rsidRPr="0052396D">
        <w:rPr>
          <w:rFonts w:cs="Calibri"/>
          <w:b/>
          <w:lang w:eastAsia="rw-RW"/>
        </w:rPr>
        <w:t>Pays : PNUD MALI</w:t>
      </w:r>
    </w:p>
    <w:p w:rsidR="00A32CDF" w:rsidRDefault="00A32CDF" w:rsidP="00A32CDF">
      <w:pPr>
        <w:spacing w:after="0"/>
        <w:rPr>
          <w:rFonts w:cs="Calibri"/>
          <w:b/>
        </w:rPr>
      </w:pPr>
      <w:r w:rsidRPr="0052396D">
        <w:rPr>
          <w:rFonts w:cs="Calibri"/>
          <w:b/>
          <w:lang w:eastAsia="rw-RW"/>
        </w:rPr>
        <w:t>Intitulé de la mission</w:t>
      </w:r>
      <w:r w:rsidRPr="0052396D">
        <w:rPr>
          <w:rFonts w:cs="Calibri"/>
          <w:lang w:eastAsia="rw-RW"/>
        </w:rPr>
        <w:t> </w:t>
      </w:r>
      <w:r w:rsidRPr="0052396D">
        <w:rPr>
          <w:rFonts w:cs="Calibri"/>
          <w:b/>
          <w:lang w:eastAsia="rw-RW"/>
        </w:rPr>
        <w:t xml:space="preserve">: </w:t>
      </w:r>
      <w:r w:rsidRPr="0052396D">
        <w:rPr>
          <w:rFonts w:cs="Calibri"/>
          <w:b/>
        </w:rPr>
        <w:t>Recrutement d’un consultant pour l</w:t>
      </w:r>
      <w:r>
        <w:rPr>
          <w:rFonts w:cs="Calibri"/>
          <w:b/>
        </w:rPr>
        <w:t xml:space="preserve">’évaluation à mi-parcours du Projet </w:t>
      </w:r>
      <w:proofErr w:type="spellStart"/>
      <w:r>
        <w:rPr>
          <w:rFonts w:cs="Calibri"/>
          <w:b/>
        </w:rPr>
        <w:t>ASNaCC</w:t>
      </w:r>
      <w:proofErr w:type="spellEnd"/>
    </w:p>
    <w:p w:rsidR="00A32CDF" w:rsidRPr="0052396D" w:rsidRDefault="00A32CDF" w:rsidP="00A32CDF">
      <w:pPr>
        <w:spacing w:after="0"/>
        <w:rPr>
          <w:rFonts w:cs="Calibri"/>
          <w:b/>
        </w:rPr>
      </w:pPr>
    </w:p>
    <w:p w:rsidR="00A32CDF" w:rsidRPr="0052396D" w:rsidRDefault="00A32CDF" w:rsidP="00A32CDF">
      <w:pPr>
        <w:rPr>
          <w:rFonts w:cs="Calibri"/>
          <w:lang w:eastAsia="rw-RW"/>
        </w:rPr>
      </w:pPr>
      <w:r w:rsidRPr="0052396D">
        <w:rPr>
          <w:rFonts w:cs="Calibri"/>
          <w:b/>
          <w:lang w:eastAsia="rw-RW"/>
        </w:rPr>
        <w:t>Durée :</w:t>
      </w:r>
      <w:r>
        <w:rPr>
          <w:rFonts w:cs="Calibri"/>
          <w:b/>
          <w:lang w:eastAsia="rw-RW"/>
        </w:rPr>
        <w:t xml:space="preserve">30 jours </w:t>
      </w:r>
    </w:p>
    <w:p w:rsidR="00A32CDF" w:rsidRPr="0052396D" w:rsidRDefault="00A32CDF" w:rsidP="00A32CDF">
      <w:pPr>
        <w:spacing w:after="0"/>
        <w:rPr>
          <w:rFonts w:cs="Calibri"/>
          <w:b/>
          <w:color w:val="0000FF"/>
          <w:u w:val="single"/>
        </w:rPr>
      </w:pPr>
      <w:r w:rsidRPr="0052396D">
        <w:rPr>
          <w:rFonts w:cs="Calibri"/>
          <w:lang w:eastAsia="rw-RW"/>
        </w:rPr>
        <w:t>Prière envoyer vos propositions (propositions technique et financière) dûment signées à l’adresse e-mail</w:t>
      </w:r>
      <w:hyperlink r:id="rId8" w:history="1">
        <w:r w:rsidRPr="0052396D">
          <w:rPr>
            <w:rStyle w:val="Lienhypertexte"/>
            <w:rFonts w:cs="Calibri"/>
            <w:lang w:eastAsia="rw-RW"/>
          </w:rPr>
          <w:t>mali.procurement@undp.org</w:t>
        </w:r>
      </w:hyperlink>
      <w:r w:rsidRPr="0052396D">
        <w:rPr>
          <w:rFonts w:cs="Calibri"/>
          <w:lang w:eastAsia="rw-RW"/>
        </w:rPr>
        <w:t xml:space="preserve"> avec mention de la référence et intitulé du dossier</w:t>
      </w:r>
      <w:r w:rsidRPr="0052396D">
        <w:rPr>
          <w:rFonts w:cs="Calibri"/>
          <w:b/>
          <w:lang w:eastAsia="rw-RW"/>
        </w:rPr>
        <w:t xml:space="preserve">. </w:t>
      </w:r>
      <w:r w:rsidRPr="0052396D">
        <w:rPr>
          <w:rFonts w:cs="Calibri"/>
          <w:b/>
        </w:rPr>
        <w:t xml:space="preserve">Votre proposition devra être reçue </w:t>
      </w:r>
      <w:r w:rsidRPr="0052396D">
        <w:rPr>
          <w:rFonts w:cs="Calibri"/>
        </w:rPr>
        <w:t>au plus tard le à 17H00 précises.</w:t>
      </w:r>
    </w:p>
    <w:p w:rsidR="00A32CDF" w:rsidRPr="0052396D" w:rsidRDefault="00A32CDF" w:rsidP="00A32CDF">
      <w:pPr>
        <w:spacing w:after="0"/>
        <w:rPr>
          <w:rFonts w:cs="Calibri"/>
          <w:b/>
        </w:rPr>
      </w:pPr>
    </w:p>
    <w:p w:rsidR="00A32CDF" w:rsidRPr="0052396D" w:rsidRDefault="00A32CDF" w:rsidP="00A32CDF">
      <w:pPr>
        <w:spacing w:after="0"/>
        <w:rPr>
          <w:rFonts w:cs="Calibri"/>
          <w:b/>
        </w:rPr>
      </w:pPr>
      <w:r>
        <w:rPr>
          <w:rFonts w:cs="Calibri"/>
          <w:noProof/>
          <w:lang w:eastAsia="fr-FR"/>
        </w:rPr>
        <mc:AlternateContent>
          <mc:Choice Requires="wps">
            <w:drawing>
              <wp:anchor distT="4294967293" distB="4294967293" distL="114300" distR="114300" simplePos="0" relativeHeight="251660288" behindDoc="0" locked="0" layoutInCell="1" allowOverlap="1" wp14:anchorId="69DF76D5" wp14:editId="3CDEB367">
                <wp:simplePos x="0" y="0"/>
                <wp:positionH relativeFrom="margin">
                  <wp:posOffset>0</wp:posOffset>
                </wp:positionH>
                <wp:positionV relativeFrom="paragraph">
                  <wp:posOffset>0</wp:posOffset>
                </wp:positionV>
                <wp:extent cx="6638925" cy="0"/>
                <wp:effectExtent l="9525" t="8255" r="9525" b="10795"/>
                <wp:wrapNone/>
                <wp:docPr id="5"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9525">
                          <a:solidFill>
                            <a:srgbClr val="4F81BD"/>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97E21" id="Connecteur droit avec flèche 1" o:spid="_x0000_s1026" type="#_x0000_t32" style="position:absolute;margin-left:0;margin-top:0;width:522.75pt;height:0;z-index:25166028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" strokecolor="#4f81bd">
                <v:stroke dashstyle="dash"/>
                <w10:wrap anchorx="margin"/>
              </v:shape>
            </w:pict>
          </mc:Fallback>
        </mc:AlternateContent>
      </w:r>
    </w:p>
    <w:p w:rsidR="00A32CDF" w:rsidRDefault="00A32CDF" w:rsidP="00A32CDF">
      <w:pPr>
        <w:pStyle w:val="Paragraphedeliste"/>
        <w:numPr>
          <w:ilvl w:val="0"/>
          <w:numId w:val="2"/>
        </w:numPr>
        <w:spacing w:before="0" w:after="0"/>
        <w:rPr>
          <w:rFonts w:cs="Calibri"/>
          <w:b/>
          <w:u w:val="single"/>
        </w:rPr>
      </w:pPr>
      <w:r w:rsidRPr="0052396D">
        <w:rPr>
          <w:rFonts w:cs="Calibri"/>
          <w:b/>
          <w:u w:val="single"/>
        </w:rPr>
        <w:t>Contexte</w:t>
      </w:r>
    </w:p>
    <w:p w:rsidR="00A32CDF" w:rsidRPr="002C5356" w:rsidRDefault="00A32CDF" w:rsidP="00A32CDF">
      <w:pPr>
        <w:spacing w:after="0"/>
        <w:rPr>
          <w:rFonts w:eastAsia="Malgun Gothic" w:cs="Calibri"/>
          <w:lang w:eastAsia="ja-JP"/>
        </w:rPr>
      </w:pPr>
      <w:r w:rsidRPr="002C5356">
        <w:rPr>
          <w:rFonts w:eastAsia="Malgun Gothic" w:cs="Calibri"/>
          <w:lang w:eastAsia="ja-JP"/>
        </w:rPr>
        <w:t>Pour soutenir les efforts du Mali dans la gestion des risques climatiques des secteurs prioritaires de développement et des communautés, le MEADD, avec l'appui financier du Ministère Fédéral Allemand de l'Environnement, de la Protection de la Nature et de la Sûreté Nucléaire (BMUB) et du PNUD, a lancé le Programme d'Appui à la mise en œuvre de la Stratégie Nationale d'Adaptation aux Changements Climatiques.</w:t>
      </w:r>
    </w:p>
    <w:p w:rsidR="00A32CDF" w:rsidRPr="002C5356" w:rsidRDefault="00A32CDF" w:rsidP="00A32CDF">
      <w:pPr>
        <w:spacing w:after="0"/>
        <w:rPr>
          <w:rFonts w:eastAsia="Malgun Gothic" w:cs="Calibri"/>
        </w:rPr>
      </w:pPr>
    </w:p>
    <w:p w:rsidR="00A32CDF" w:rsidRPr="002C5356" w:rsidRDefault="00A32CDF" w:rsidP="00A32CDF">
      <w:pPr>
        <w:spacing w:after="0"/>
        <w:rPr>
          <w:rFonts w:eastAsia="Malgun Gothic" w:cs="Calibri"/>
        </w:rPr>
      </w:pPr>
      <w:r w:rsidRPr="002C5356">
        <w:rPr>
          <w:rFonts w:eastAsia="Malgun Gothic" w:cs="Calibri"/>
        </w:rPr>
        <w:t>Ce document présente le mandat pour l’examen à mi-</w:t>
      </w:r>
      <w:proofErr w:type="spellStart"/>
      <w:r w:rsidRPr="002C5356">
        <w:rPr>
          <w:rFonts w:eastAsia="Malgun Gothic" w:cs="Calibri"/>
        </w:rPr>
        <w:t>parcoursdu</w:t>
      </w:r>
      <w:proofErr w:type="spellEnd"/>
      <w:r w:rsidRPr="002C5356">
        <w:rPr>
          <w:rFonts w:eastAsia="Malgun Gothic" w:cs="Calibri"/>
        </w:rPr>
        <w:t xml:space="preserve"> PNUD-BMU </w:t>
      </w:r>
      <w:r w:rsidRPr="002C5356">
        <w:rPr>
          <w:rFonts w:eastAsia="Malgun Gothic" w:cs="Calibri"/>
          <w:lang w:eastAsia="ja-JP"/>
        </w:rPr>
        <w:t xml:space="preserve">relativement au projet intitulé </w:t>
      </w:r>
      <w:r w:rsidRPr="00077DE5">
        <w:rPr>
          <w:rFonts w:eastAsia="Malgun Gothic" w:cs="Calibri"/>
          <w:highlight w:val="lightGray"/>
          <w:shd w:val="clear" w:color="auto" w:fill="FFFFFF"/>
          <w:lang w:eastAsia="ja-JP"/>
        </w:rPr>
        <w:t>« </w:t>
      </w:r>
      <w:r w:rsidRPr="002C5356">
        <w:rPr>
          <w:rFonts w:eastAsia="Malgun Gothic" w:cs="Calibri"/>
          <w:i/>
          <w:lang w:eastAsia="ja-JP"/>
        </w:rPr>
        <w:t>Appui à la mise en œuvre de la Stratégie Nationale Changements Climatiques du Mali (</w:t>
      </w:r>
      <w:proofErr w:type="spellStart"/>
      <w:r w:rsidRPr="002C5356">
        <w:rPr>
          <w:rFonts w:eastAsia="Malgun Gothic" w:cs="Calibri"/>
          <w:i/>
          <w:lang w:eastAsia="ja-JP"/>
        </w:rPr>
        <w:t>ASNaCC</w:t>
      </w:r>
      <w:proofErr w:type="spellEnd"/>
      <w:r w:rsidRPr="002C5356">
        <w:rPr>
          <w:rFonts w:eastAsia="Malgun Gothic" w:cs="Calibri"/>
          <w:i/>
          <w:lang w:eastAsia="ja-JP"/>
        </w:rPr>
        <w:t xml:space="preserve">) » </w:t>
      </w:r>
      <w:r w:rsidRPr="002C5356">
        <w:rPr>
          <w:rFonts w:eastAsia="Malgun Gothic" w:cs="Calibri"/>
          <w:lang w:eastAsia="ja-JP"/>
        </w:rPr>
        <w:t>(</w:t>
      </w:r>
      <w:r w:rsidRPr="002C5356">
        <w:rPr>
          <w:rFonts w:eastAsia="Malgun Gothic" w:cs="Calibri"/>
          <w:highlight w:val="lightGray"/>
          <w:lang w:eastAsia="ja-JP"/>
        </w:rPr>
        <w:t>n°</w:t>
      </w:r>
      <w:r w:rsidRPr="002C5356">
        <w:rPr>
          <w:rFonts w:eastAsia="Malgun Gothic" w:cs="Calibri"/>
          <w:lang w:eastAsia="ja-JP"/>
        </w:rPr>
        <w:t xml:space="preserve"> PIMS 4919), mis en œuvre par l’Agence de l’Environnement et du Développement Durable (AEDD), qui doit être réalisé en cinq (05) </w:t>
      </w:r>
      <w:r w:rsidRPr="002C5356">
        <w:rPr>
          <w:rFonts w:eastAsia="Malgun Gothic" w:cs="Calibri"/>
        </w:rPr>
        <w:t>années</w:t>
      </w:r>
      <w:r w:rsidRPr="00454249">
        <w:rPr>
          <w:rFonts w:eastAsia="Malgun Gothic" w:cs="Calibri"/>
        </w:rPr>
        <w:t xml:space="preserve"> à partir de la date de signature du document de projet avec la BMU</w:t>
      </w:r>
      <w:r w:rsidRPr="002C5356">
        <w:rPr>
          <w:rFonts w:eastAsia="Malgun Gothic" w:cs="Calibri"/>
          <w:lang w:eastAsia="ja-JP"/>
        </w:rPr>
        <w:t xml:space="preserve">. </w:t>
      </w:r>
      <w:r w:rsidRPr="002C5356">
        <w:rPr>
          <w:rFonts w:eastAsia="Malgun Gothic" w:cs="Calibri"/>
        </w:rPr>
        <w:t xml:space="preserve">Le projet a été </w:t>
      </w:r>
      <w:r w:rsidRPr="00454249">
        <w:rPr>
          <w:rFonts w:eastAsia="Malgun Gothic" w:cs="Calibri"/>
        </w:rPr>
        <w:t>signé en avril 2015</w:t>
      </w:r>
      <w:r w:rsidRPr="002C5356">
        <w:rPr>
          <w:rFonts w:eastAsia="Malgun Gothic" w:cs="Calibri"/>
        </w:rPr>
        <w:t xml:space="preserve">et se trouve dans sa </w:t>
      </w:r>
      <w:r w:rsidRPr="00454249">
        <w:rPr>
          <w:rFonts w:eastAsia="Malgun Gothic" w:cs="Calibri"/>
          <w:lang w:eastAsia="ja-JP"/>
        </w:rPr>
        <w:t>quatrième</w:t>
      </w:r>
      <w:r w:rsidRPr="002C5356">
        <w:rPr>
          <w:rFonts w:eastAsia="Malgun Gothic" w:cs="Calibri"/>
        </w:rPr>
        <w:t xml:space="preserve"> année de mise en œuvre. Le présent mandat énonce les éléments à prendre en compte dans le cadre de l’examen à mi-parcours</w:t>
      </w:r>
      <w:r w:rsidRPr="002C5356">
        <w:rPr>
          <w:rFonts w:eastAsia="Malgun Gothic" w:cs="Calibri"/>
          <w:color w:val="000000"/>
        </w:rPr>
        <w:t xml:space="preserve">. </w:t>
      </w:r>
    </w:p>
    <w:p w:rsidR="00A32CDF" w:rsidRPr="0052396D" w:rsidRDefault="00A32CDF" w:rsidP="00A32CDF">
      <w:pPr>
        <w:spacing w:after="0"/>
        <w:rPr>
          <w:rFonts w:cs="Calibri"/>
        </w:rPr>
      </w:pPr>
    </w:p>
    <w:p w:rsidR="00A32CDF" w:rsidRPr="0052396D" w:rsidRDefault="00A32CDF" w:rsidP="00A32CDF">
      <w:pPr>
        <w:pStyle w:val="Paragraphedeliste"/>
        <w:numPr>
          <w:ilvl w:val="0"/>
          <w:numId w:val="2"/>
        </w:numPr>
        <w:spacing w:before="0" w:after="0"/>
        <w:rPr>
          <w:rFonts w:cs="Calibri"/>
          <w:b/>
          <w:u w:val="single"/>
        </w:rPr>
      </w:pPr>
      <w:r w:rsidRPr="0052396D">
        <w:rPr>
          <w:rFonts w:cs="Calibri"/>
          <w:b/>
          <w:u w:val="single"/>
        </w:rPr>
        <w:lastRenderedPageBreak/>
        <w:t>Justification</w:t>
      </w:r>
    </w:p>
    <w:p w:rsidR="00A32CDF" w:rsidRPr="002C5356" w:rsidRDefault="00A32CDF" w:rsidP="00A32CDF">
      <w:pPr>
        <w:spacing w:after="0"/>
        <w:rPr>
          <w:rFonts w:eastAsia="Malgun Gothic" w:cs="Calibri"/>
        </w:rPr>
      </w:pPr>
      <w:r w:rsidRPr="002C5356">
        <w:rPr>
          <w:rFonts w:eastAsia="Malgun Gothic" w:cs="Calibri"/>
        </w:rPr>
        <w:t>Le projet a été mis au point pour :</w:t>
      </w:r>
    </w:p>
    <w:p w:rsidR="00A32CDF" w:rsidRPr="00077DE5" w:rsidRDefault="00A32CDF" w:rsidP="00A32CDF">
      <w:pPr>
        <w:pStyle w:val="Paragraphedeliste"/>
        <w:numPr>
          <w:ilvl w:val="0"/>
          <w:numId w:val="3"/>
        </w:numPr>
        <w:spacing w:before="0" w:after="200"/>
        <w:rPr>
          <w:rFonts w:eastAsia="Malgun Gothic" w:cs="Calibri"/>
        </w:rPr>
      </w:pPr>
      <w:r w:rsidRPr="00077DE5">
        <w:rPr>
          <w:rFonts w:eastAsia="Malgun Gothic" w:cs="Calibri"/>
        </w:rPr>
        <w:t>Améliorer la qualité et l'accès aux informations sur le climat, et renforcer le suivi des stimuli liés au climat et les effets du changement climatique</w:t>
      </w:r>
      <w:r>
        <w:rPr>
          <w:rFonts w:eastAsia="Malgun Gothic" w:cs="Calibri"/>
        </w:rPr>
        <w:t> ;</w:t>
      </w:r>
    </w:p>
    <w:p w:rsidR="00A32CDF" w:rsidRPr="00077DE5" w:rsidRDefault="00A32CDF" w:rsidP="00A32CDF">
      <w:pPr>
        <w:pStyle w:val="Paragraphedeliste"/>
        <w:numPr>
          <w:ilvl w:val="0"/>
          <w:numId w:val="3"/>
        </w:numPr>
        <w:spacing w:before="0" w:after="200"/>
        <w:rPr>
          <w:rFonts w:eastAsia="Malgun Gothic" w:cs="Calibri"/>
        </w:rPr>
      </w:pPr>
      <w:proofErr w:type="gramStart"/>
      <w:r>
        <w:rPr>
          <w:rFonts w:eastAsia="Malgun Gothic" w:cs="Calibri"/>
        </w:rPr>
        <w:t>r</w:t>
      </w:r>
      <w:r w:rsidRPr="00077DE5">
        <w:rPr>
          <w:rFonts w:eastAsia="Malgun Gothic" w:cs="Calibri"/>
        </w:rPr>
        <w:t>enforcer</w:t>
      </w:r>
      <w:proofErr w:type="gramEnd"/>
      <w:r w:rsidRPr="00077DE5">
        <w:rPr>
          <w:rFonts w:eastAsia="Malgun Gothic" w:cs="Calibri"/>
        </w:rPr>
        <w:t xml:space="preserve"> les capacités d'action des collectivités, du secteur privé et les décideurs des institutions gouvernementales ; </w:t>
      </w:r>
    </w:p>
    <w:p w:rsidR="00A32CDF" w:rsidRPr="00077DE5" w:rsidRDefault="00A32CDF" w:rsidP="00A32CDF">
      <w:pPr>
        <w:pStyle w:val="Paragraphedeliste"/>
        <w:numPr>
          <w:ilvl w:val="0"/>
          <w:numId w:val="3"/>
        </w:numPr>
        <w:spacing w:before="0" w:after="200"/>
        <w:rPr>
          <w:rFonts w:eastAsia="Malgun Gothic" w:cs="Calibri"/>
        </w:rPr>
      </w:pPr>
      <w:proofErr w:type="gramStart"/>
      <w:r>
        <w:rPr>
          <w:rFonts w:eastAsia="Malgun Gothic" w:cs="Calibri"/>
        </w:rPr>
        <w:t>d</w:t>
      </w:r>
      <w:r w:rsidRPr="00077DE5">
        <w:rPr>
          <w:rFonts w:eastAsia="Malgun Gothic" w:cs="Calibri"/>
        </w:rPr>
        <w:t>évelopper</w:t>
      </w:r>
      <w:proofErr w:type="gramEnd"/>
      <w:r w:rsidRPr="00077DE5">
        <w:rPr>
          <w:rFonts w:eastAsia="Malgun Gothic" w:cs="Calibri"/>
        </w:rPr>
        <w:t xml:space="preserve"> des méthodes et des outils novateurs visant à l'intégration systématique de l'adaptation au changement climatique dans les politiques et les investissements au niveau des secteurs prioritaires identifiés par la SNCC et l'intégration dans la planification de développement à travers le Plan de Développement Economique, Social, et Culturel (PDESC)</w:t>
      </w:r>
      <w:r>
        <w:rPr>
          <w:rFonts w:eastAsia="Malgun Gothic" w:cs="Calibri"/>
        </w:rPr>
        <w:t> ;</w:t>
      </w:r>
    </w:p>
    <w:p w:rsidR="00A32CDF" w:rsidRPr="00077DE5" w:rsidRDefault="00A32CDF" w:rsidP="00A32CDF">
      <w:pPr>
        <w:pStyle w:val="Paragraphedeliste"/>
        <w:numPr>
          <w:ilvl w:val="0"/>
          <w:numId w:val="3"/>
        </w:numPr>
        <w:spacing w:before="0" w:after="200"/>
        <w:rPr>
          <w:rFonts w:eastAsia="Malgun Gothic" w:cs="Calibri"/>
        </w:rPr>
      </w:pPr>
      <w:proofErr w:type="gramStart"/>
      <w:r>
        <w:rPr>
          <w:rFonts w:eastAsia="Malgun Gothic" w:cs="Calibri"/>
        </w:rPr>
        <w:t>i</w:t>
      </w:r>
      <w:r w:rsidRPr="00077DE5">
        <w:rPr>
          <w:rFonts w:eastAsia="Malgun Gothic" w:cs="Calibri"/>
        </w:rPr>
        <w:t>ntégrer</w:t>
      </w:r>
      <w:proofErr w:type="gramEnd"/>
      <w:r w:rsidRPr="00077DE5">
        <w:rPr>
          <w:rFonts w:eastAsia="Malgun Gothic" w:cs="Calibri"/>
        </w:rPr>
        <w:t xml:space="preserve"> l'adaptation et maximiser les Co avantages : réhabilitation des terres dégradées, séquestration du carbone, et la sauvegarde de la biodiversité </w:t>
      </w:r>
    </w:p>
    <w:p w:rsidR="00A32CDF" w:rsidRDefault="00A32CDF" w:rsidP="00A32CDF">
      <w:pPr>
        <w:pStyle w:val="Paragraphedeliste"/>
        <w:numPr>
          <w:ilvl w:val="0"/>
          <w:numId w:val="3"/>
        </w:numPr>
        <w:spacing w:before="0" w:after="200"/>
        <w:rPr>
          <w:rFonts w:eastAsia="Malgun Gothic" w:cs="Calibri"/>
        </w:rPr>
      </w:pPr>
      <w:proofErr w:type="gramStart"/>
      <w:r>
        <w:rPr>
          <w:rFonts w:eastAsia="Malgun Gothic" w:cs="Calibri"/>
        </w:rPr>
        <w:t>a</w:t>
      </w:r>
      <w:r w:rsidRPr="00077DE5">
        <w:rPr>
          <w:rFonts w:eastAsia="Malgun Gothic" w:cs="Calibri"/>
        </w:rPr>
        <w:t>méliorer</w:t>
      </w:r>
      <w:proofErr w:type="gramEnd"/>
      <w:r w:rsidRPr="00077DE5">
        <w:rPr>
          <w:rFonts w:eastAsia="Malgun Gothic" w:cs="Calibri"/>
        </w:rPr>
        <w:t xml:space="preserve"> la coordination intersectorielle et synchroniser les activités des différents partenaires techniques et financiers.</w:t>
      </w:r>
    </w:p>
    <w:p w:rsidR="00A32CDF" w:rsidRPr="00077DE5" w:rsidRDefault="00A32CDF" w:rsidP="00A32CDF">
      <w:pPr>
        <w:pStyle w:val="Paragraphedeliste"/>
        <w:spacing w:after="0"/>
        <w:rPr>
          <w:rFonts w:eastAsia="Malgun Gothic" w:cs="Calibri"/>
          <w:b/>
        </w:rPr>
      </w:pPr>
      <w:r w:rsidRPr="00077DE5">
        <w:rPr>
          <w:rFonts w:eastAsia="Malgun Gothic" w:cs="Calibri"/>
          <w:b/>
        </w:rPr>
        <w:t>2.1. Les objectifs du projet et groupes cibles</w:t>
      </w:r>
    </w:p>
    <w:p w:rsidR="00A32CDF" w:rsidRPr="00077DE5" w:rsidRDefault="00A32CDF" w:rsidP="00A32CDF">
      <w:pPr>
        <w:spacing w:after="0"/>
        <w:rPr>
          <w:rFonts w:eastAsia="Malgun Gothic" w:cs="Calibri"/>
        </w:rPr>
      </w:pPr>
      <w:r w:rsidRPr="00077DE5">
        <w:rPr>
          <w:rFonts w:eastAsia="Malgun Gothic" w:cs="Calibri"/>
        </w:rPr>
        <w:t xml:space="preserve">Le projet du PNUD fait partie intégrante d'un programme plus large mis en œuvre conjointement avec la GIZ. Le programme vise à appuyer le Mali face aux défis du changement climatique qui menace le développement durable du pays. Tous les deux projets celui du PNUD et celui de la GIZ contribuent à l'objectif global du programme. </w:t>
      </w:r>
    </w:p>
    <w:p w:rsidR="00A32CDF" w:rsidRPr="00077DE5" w:rsidRDefault="00A32CDF" w:rsidP="00A32CDF">
      <w:pPr>
        <w:pStyle w:val="Paragraphedeliste"/>
        <w:spacing w:after="0"/>
        <w:rPr>
          <w:rFonts w:eastAsia="Malgun Gothic" w:cs="Calibri"/>
          <w:b/>
        </w:rPr>
      </w:pPr>
    </w:p>
    <w:p w:rsidR="00A32CDF" w:rsidRPr="00077DE5" w:rsidRDefault="00A32CDF" w:rsidP="00A32CDF">
      <w:pPr>
        <w:spacing w:after="0"/>
        <w:ind w:left="360" w:firstLine="348"/>
        <w:rPr>
          <w:rFonts w:eastAsia="Malgun Gothic" w:cs="Calibri"/>
          <w:b/>
        </w:rPr>
      </w:pPr>
      <w:r w:rsidRPr="00077DE5">
        <w:rPr>
          <w:rFonts w:eastAsia="Malgun Gothic" w:cs="Calibri"/>
          <w:b/>
        </w:rPr>
        <w:t xml:space="preserve">2.2. Objectif global du programme </w:t>
      </w:r>
    </w:p>
    <w:p w:rsidR="00A32CDF" w:rsidRDefault="00A32CDF" w:rsidP="00A32CDF">
      <w:pPr>
        <w:spacing w:after="0"/>
        <w:rPr>
          <w:rFonts w:eastAsia="Malgun Gothic" w:cs="Calibri"/>
        </w:rPr>
      </w:pPr>
      <w:r w:rsidRPr="00077DE5">
        <w:rPr>
          <w:rFonts w:eastAsia="Malgun Gothic" w:cs="Calibri"/>
        </w:rPr>
        <w:t>La résilience des systèmes écologiques, de production et les systèmes sociaux dans les zones vulnérables du Mali due aux impacts du changement climatique est accrue par les capacités d'adaptation renforcées, et des approches d'adaptation intégrées et novatrices.</w:t>
      </w:r>
    </w:p>
    <w:p w:rsidR="00A32CDF" w:rsidRPr="00077DE5" w:rsidRDefault="00A32CDF" w:rsidP="00A32CDF">
      <w:pPr>
        <w:spacing w:after="0"/>
        <w:rPr>
          <w:rFonts w:eastAsia="Malgun Gothic" w:cs="Calibri"/>
        </w:rPr>
      </w:pPr>
    </w:p>
    <w:p w:rsidR="00A32CDF" w:rsidRPr="00077DE5" w:rsidRDefault="00A32CDF" w:rsidP="00A32CDF">
      <w:pPr>
        <w:ind w:left="360" w:firstLine="348"/>
        <w:rPr>
          <w:rFonts w:eastAsia="Malgun Gothic" w:cs="Calibri"/>
        </w:rPr>
      </w:pPr>
      <w:r w:rsidRPr="00077DE5">
        <w:rPr>
          <w:rFonts w:eastAsia="Malgun Gothic" w:cs="Calibri"/>
          <w:b/>
        </w:rPr>
        <w:t>2.3. Résultats (Objectifs spécifiques du projet PNUD</w:t>
      </w:r>
      <w:proofErr w:type="gramStart"/>
      <w:r w:rsidRPr="00077DE5">
        <w:rPr>
          <w:rFonts w:eastAsia="Malgun Gothic" w:cs="Calibri"/>
          <w:b/>
        </w:rPr>
        <w:t>)</w:t>
      </w:r>
      <w:r w:rsidRPr="00077DE5">
        <w:rPr>
          <w:rFonts w:eastAsia="Malgun Gothic" w:cs="Calibri"/>
        </w:rPr>
        <w:t>:</w:t>
      </w:r>
      <w:proofErr w:type="gramEnd"/>
    </w:p>
    <w:p w:rsidR="00A32CDF" w:rsidRPr="00077DE5" w:rsidRDefault="00A32CDF" w:rsidP="00A32CDF">
      <w:pPr>
        <w:pStyle w:val="Paragraphedeliste"/>
        <w:numPr>
          <w:ilvl w:val="0"/>
          <w:numId w:val="4"/>
        </w:numPr>
        <w:spacing w:before="0" w:after="200"/>
        <w:rPr>
          <w:rFonts w:eastAsia="Malgun Gothic" w:cs="Calibri"/>
        </w:rPr>
      </w:pPr>
      <w:r w:rsidRPr="00077DE5">
        <w:rPr>
          <w:rFonts w:eastAsia="Malgun Gothic" w:cs="Calibri"/>
          <w:b/>
        </w:rPr>
        <w:t>Résultat 1</w:t>
      </w:r>
      <w:r w:rsidRPr="00077DE5">
        <w:rPr>
          <w:rFonts w:eastAsia="Malgun Gothic" w:cs="Calibri"/>
        </w:rPr>
        <w:t>.</w:t>
      </w:r>
      <w:r w:rsidRPr="00077DE5">
        <w:rPr>
          <w:rFonts w:eastAsia="Malgun Gothic" w:cs="Calibri"/>
        </w:rPr>
        <w:tab/>
        <w:t>Des données climatiques et d'informations fiables sont disponibles pour améliorer l'analyse des impacts du changement climatique sur le développement socio-économique et environnemental et l'intégration et le développement de solutions d'adaptation appropriées.</w:t>
      </w:r>
    </w:p>
    <w:p w:rsidR="00A32CDF" w:rsidRPr="00077DE5" w:rsidRDefault="00A32CDF" w:rsidP="00A32CDF">
      <w:pPr>
        <w:pStyle w:val="Paragraphedeliste"/>
        <w:numPr>
          <w:ilvl w:val="0"/>
          <w:numId w:val="4"/>
        </w:numPr>
        <w:spacing w:before="0" w:after="200"/>
        <w:rPr>
          <w:rFonts w:eastAsia="Malgun Gothic" w:cs="Calibri"/>
        </w:rPr>
      </w:pPr>
      <w:r w:rsidRPr="00077DE5">
        <w:rPr>
          <w:rFonts w:eastAsia="Malgun Gothic" w:cs="Calibri"/>
          <w:b/>
        </w:rPr>
        <w:t>Résultat 2</w:t>
      </w:r>
      <w:r w:rsidRPr="00077DE5">
        <w:rPr>
          <w:rFonts w:eastAsia="Malgun Gothic" w:cs="Calibri"/>
        </w:rPr>
        <w:t>.</w:t>
      </w:r>
      <w:r w:rsidRPr="00077DE5">
        <w:rPr>
          <w:rFonts w:eastAsia="Malgun Gothic" w:cs="Calibri"/>
        </w:rPr>
        <w:tab/>
        <w:t>Des outils opérationnels pertinents pour le Fonds Climat Mali sont élaborés par l‘AEDD et le Ministère en charge des Finances et promus vers différents acteurs gouvernementaux, multilatéraux, bilatéraux, secteurs privés et société civile.</w:t>
      </w:r>
    </w:p>
    <w:p w:rsidR="00A32CDF" w:rsidRPr="00077DE5" w:rsidRDefault="00A32CDF" w:rsidP="00A32CDF">
      <w:pPr>
        <w:pStyle w:val="Paragraphedeliste"/>
        <w:numPr>
          <w:ilvl w:val="0"/>
          <w:numId w:val="4"/>
        </w:numPr>
        <w:spacing w:before="0" w:after="200"/>
        <w:rPr>
          <w:rFonts w:eastAsia="Malgun Gothic" w:cs="Calibri"/>
        </w:rPr>
      </w:pPr>
      <w:r w:rsidRPr="00077DE5">
        <w:rPr>
          <w:rFonts w:eastAsia="Malgun Gothic" w:cs="Calibri"/>
          <w:b/>
        </w:rPr>
        <w:t>Résultat 3.</w:t>
      </w:r>
      <w:r w:rsidRPr="00077DE5">
        <w:rPr>
          <w:rFonts w:eastAsia="Malgun Gothic" w:cs="Calibri"/>
        </w:rPr>
        <w:tab/>
        <w:t>Les parties prenantes concernées mettent en œuvre les mesures d'adaptation innovantes sensibles au genre pour la résilience accrue des systèmes écologiques, économiques et sociaux dans les zones les plus vulnérables du Mali ciblées par le projet.</w:t>
      </w:r>
    </w:p>
    <w:p w:rsidR="00A32CDF" w:rsidRPr="00077DE5" w:rsidRDefault="00A32CDF" w:rsidP="00A32CDF">
      <w:pPr>
        <w:pStyle w:val="Paragraphedeliste"/>
        <w:numPr>
          <w:ilvl w:val="1"/>
          <w:numId w:val="2"/>
        </w:numPr>
        <w:spacing w:before="0" w:after="200"/>
        <w:rPr>
          <w:rFonts w:eastAsia="Malgun Gothic" w:cs="Calibri"/>
          <w:b/>
        </w:rPr>
      </w:pPr>
      <w:r w:rsidRPr="00077DE5">
        <w:rPr>
          <w:rFonts w:eastAsia="Malgun Gothic" w:cs="Calibri"/>
          <w:b/>
        </w:rPr>
        <w:t>Résultats (les objectifs spécifiques du projet GIZ</w:t>
      </w:r>
      <w:proofErr w:type="gramStart"/>
      <w:r w:rsidRPr="00077DE5">
        <w:rPr>
          <w:rFonts w:eastAsia="Malgun Gothic" w:cs="Calibri"/>
          <w:b/>
        </w:rPr>
        <w:t>):</w:t>
      </w:r>
      <w:proofErr w:type="gramEnd"/>
    </w:p>
    <w:p w:rsidR="00A32CDF" w:rsidRPr="00077DE5" w:rsidRDefault="00A32CDF" w:rsidP="00A32CDF">
      <w:pPr>
        <w:pStyle w:val="Paragraphedeliste"/>
        <w:numPr>
          <w:ilvl w:val="0"/>
          <w:numId w:val="3"/>
        </w:numPr>
        <w:spacing w:before="0" w:after="200"/>
        <w:rPr>
          <w:rFonts w:eastAsia="Malgun Gothic" w:cs="Calibri"/>
        </w:rPr>
      </w:pPr>
      <w:r w:rsidRPr="00077DE5">
        <w:rPr>
          <w:rFonts w:eastAsia="Malgun Gothic" w:cs="Calibri"/>
          <w:b/>
        </w:rPr>
        <w:t>Résultat 1</w:t>
      </w:r>
      <w:r w:rsidRPr="00077DE5">
        <w:rPr>
          <w:rFonts w:eastAsia="Malgun Gothic" w:cs="Calibri"/>
        </w:rPr>
        <w:t xml:space="preserve"> : Les mesures d'adaptation au changement climatique sont intégrées dans les politiques et stratégies de développement socio-économique national pour les secteurs considérés comme vulnérables au changement climatique et dans les outils de planification régionaux, municipaux et locaux. </w:t>
      </w:r>
    </w:p>
    <w:p w:rsidR="00A32CDF" w:rsidRPr="00077DE5" w:rsidRDefault="00A32CDF" w:rsidP="00A32CDF">
      <w:pPr>
        <w:pStyle w:val="Paragraphedeliste"/>
        <w:numPr>
          <w:ilvl w:val="0"/>
          <w:numId w:val="3"/>
        </w:numPr>
        <w:spacing w:before="0" w:after="200"/>
        <w:rPr>
          <w:rFonts w:eastAsia="Malgun Gothic" w:cs="Calibri"/>
        </w:rPr>
      </w:pPr>
      <w:r w:rsidRPr="00077DE5">
        <w:rPr>
          <w:rFonts w:eastAsia="Malgun Gothic" w:cs="Calibri"/>
          <w:b/>
        </w:rPr>
        <w:t>Résultat 2</w:t>
      </w:r>
      <w:r w:rsidRPr="00077DE5">
        <w:rPr>
          <w:rFonts w:eastAsia="Malgun Gothic" w:cs="Calibri"/>
        </w:rPr>
        <w:t> : Les parties prenantes concernées mettent en œuvre les mesures d'adaptation innovantes sensibles au genre pour la résilience accrue des systèmes écologiques, économiques et sociaux dans les zones les plus vulnérables du Mali ciblées par le projet.</w:t>
      </w:r>
    </w:p>
    <w:p w:rsidR="00A32CDF" w:rsidRDefault="00A32CDF" w:rsidP="00A32CDF">
      <w:pPr>
        <w:pStyle w:val="Paragraphedeliste"/>
        <w:numPr>
          <w:ilvl w:val="0"/>
          <w:numId w:val="3"/>
        </w:numPr>
        <w:spacing w:before="0" w:after="200"/>
        <w:rPr>
          <w:rFonts w:eastAsia="Malgun Gothic" w:cs="Calibri"/>
        </w:rPr>
      </w:pPr>
      <w:r w:rsidRPr="00077DE5">
        <w:rPr>
          <w:rFonts w:eastAsia="Malgun Gothic" w:cs="Calibri"/>
          <w:b/>
        </w:rPr>
        <w:t>Groupe(s) cible(s)</w:t>
      </w:r>
      <w:r w:rsidRPr="00077DE5">
        <w:rPr>
          <w:rFonts w:eastAsia="Malgun Gothic" w:cs="Calibri"/>
        </w:rPr>
        <w:t xml:space="preserve"> : Les bénéficiaires directs sont les institutions et les populations des municipalités rurales, urbaines et nationales, en particulier les plus vulnérables dans les zones cibles. </w:t>
      </w:r>
    </w:p>
    <w:p w:rsidR="00A32CDF" w:rsidRPr="002C5356" w:rsidRDefault="00A32CDF" w:rsidP="00A32CDF">
      <w:pPr>
        <w:spacing w:after="0"/>
        <w:ind w:firstLine="360"/>
        <w:rPr>
          <w:rFonts w:eastAsia="Malgun Gothic" w:cs="Calibri"/>
          <w:b/>
        </w:rPr>
      </w:pPr>
      <w:r w:rsidRPr="002C5356">
        <w:rPr>
          <w:rFonts w:eastAsia="Malgun Gothic" w:cs="Calibri"/>
          <w:b/>
        </w:rPr>
        <w:t>2.</w:t>
      </w:r>
      <w:r>
        <w:rPr>
          <w:rFonts w:eastAsia="Malgun Gothic" w:cs="Calibri"/>
          <w:b/>
        </w:rPr>
        <w:t>3</w:t>
      </w:r>
      <w:r w:rsidRPr="002C5356">
        <w:rPr>
          <w:rFonts w:eastAsia="Malgun Gothic" w:cs="Calibri"/>
          <w:b/>
        </w:rPr>
        <w:t xml:space="preserve">. </w:t>
      </w:r>
      <w:bookmarkStart w:id="1" w:name="_Toc463439819"/>
      <w:r w:rsidRPr="002C5356">
        <w:rPr>
          <w:rFonts w:eastAsia="Malgun Gothic" w:cs="Calibri"/>
          <w:b/>
        </w:rPr>
        <w:t>Zones d’intervention</w:t>
      </w:r>
      <w:bookmarkEnd w:id="1"/>
    </w:p>
    <w:p w:rsidR="00A32CDF" w:rsidRDefault="00A32CDF" w:rsidP="00A32CDF">
      <w:pPr>
        <w:spacing w:after="0"/>
        <w:rPr>
          <w:rFonts w:eastAsia="Malgun Gothic" w:cs="Calibri"/>
          <w:bCs/>
        </w:rPr>
      </w:pPr>
      <w:r w:rsidRPr="002C5356">
        <w:rPr>
          <w:rFonts w:eastAsia="Malgun Gothic" w:cs="Calibri"/>
        </w:rPr>
        <w:t xml:space="preserve">Les quatre régions Kayes, Koulikoro, Ségou, et Sikasso ont été identifiées comme les principaux domaines d'intervention pour l'ensemble du programme pour les activités aux niveaux régional et local.  </w:t>
      </w:r>
      <w:proofErr w:type="spellStart"/>
      <w:r w:rsidRPr="002C5356">
        <w:rPr>
          <w:rFonts w:eastAsia="Malgun Gothic" w:cs="Calibri"/>
        </w:rPr>
        <w:t>ASNaCC</w:t>
      </w:r>
      <w:proofErr w:type="spellEnd"/>
      <w:r w:rsidRPr="002C5356">
        <w:rPr>
          <w:rFonts w:eastAsia="Malgun Gothic" w:cs="Calibri"/>
        </w:rPr>
        <w:t>/PNUD intervient dans les régions de Kayes et Sikasso.</w:t>
      </w:r>
      <w:r>
        <w:rPr>
          <w:rFonts w:eastAsia="Malgun Gothic" w:cs="Calibri"/>
        </w:rPr>
        <w:t xml:space="preserve"> Les </w:t>
      </w:r>
      <w:r w:rsidRPr="001B68C8">
        <w:rPr>
          <w:rFonts w:eastAsia="Malgun Gothic" w:cs="Calibri"/>
        </w:rPr>
        <w:t>c</w:t>
      </w:r>
      <w:r w:rsidRPr="001B68C8">
        <w:rPr>
          <w:rFonts w:eastAsia="Malgun Gothic" w:cs="Calibri"/>
          <w:bCs/>
        </w:rPr>
        <w:t xml:space="preserve">ommunes d’intervention pour la mise en œuvre des mesures d’adaptation du Projet </w:t>
      </w:r>
      <w:proofErr w:type="spellStart"/>
      <w:r w:rsidRPr="001B68C8">
        <w:rPr>
          <w:rFonts w:eastAsia="Malgun Gothic" w:cs="Calibri"/>
          <w:bCs/>
        </w:rPr>
        <w:t>ASNaCC</w:t>
      </w:r>
      <w:proofErr w:type="spellEnd"/>
      <w:r w:rsidRPr="001B68C8">
        <w:rPr>
          <w:rFonts w:eastAsia="Malgun Gothic" w:cs="Calibri"/>
          <w:bCs/>
        </w:rPr>
        <w:t>/PNUD</w:t>
      </w:r>
    </w:p>
    <w:p w:rsidR="00A32CDF" w:rsidRPr="002C5356" w:rsidRDefault="00A32CDF" w:rsidP="00A32CDF">
      <w:pPr>
        <w:spacing w:after="0"/>
        <w:rPr>
          <w:rFonts w:eastAsia="Malgun Gothic" w:cs="Calibr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976"/>
        <w:gridCol w:w="1979"/>
        <w:gridCol w:w="4359"/>
      </w:tblGrid>
      <w:tr w:rsidR="00A32CDF" w:rsidRPr="00A82815" w:rsidTr="0047114D">
        <w:trPr>
          <w:trHeight w:val="467"/>
          <w:jc w:val="center"/>
        </w:trPr>
        <w:tc>
          <w:tcPr>
            <w:tcW w:w="704" w:type="dxa"/>
            <w:shd w:val="clear" w:color="auto" w:fill="auto"/>
          </w:tcPr>
          <w:p w:rsidR="00A32CDF" w:rsidRPr="00A82815" w:rsidRDefault="00A32CDF" w:rsidP="0047114D">
            <w:pPr>
              <w:rPr>
                <w:rFonts w:eastAsia="Malgun Gothic" w:cs="Calibri"/>
                <w:b/>
              </w:rPr>
            </w:pPr>
            <w:r w:rsidRPr="00A82815">
              <w:rPr>
                <w:rFonts w:eastAsia="Malgun Gothic" w:cs="Calibri"/>
                <w:b/>
              </w:rPr>
              <w:t>N°</w:t>
            </w:r>
          </w:p>
        </w:tc>
        <w:tc>
          <w:tcPr>
            <w:tcW w:w="1985" w:type="dxa"/>
            <w:shd w:val="clear" w:color="auto" w:fill="auto"/>
          </w:tcPr>
          <w:p w:rsidR="00A32CDF" w:rsidRPr="00A82815" w:rsidRDefault="00A32CDF" w:rsidP="0047114D">
            <w:pPr>
              <w:rPr>
                <w:rFonts w:eastAsia="Malgun Gothic" w:cs="Calibri"/>
                <w:b/>
              </w:rPr>
            </w:pPr>
            <w:r w:rsidRPr="00A82815">
              <w:rPr>
                <w:rFonts w:eastAsia="Malgun Gothic" w:cs="Calibri"/>
                <w:b/>
              </w:rPr>
              <w:t>Régions</w:t>
            </w:r>
          </w:p>
        </w:tc>
        <w:tc>
          <w:tcPr>
            <w:tcW w:w="1984" w:type="dxa"/>
            <w:shd w:val="clear" w:color="auto" w:fill="auto"/>
          </w:tcPr>
          <w:p w:rsidR="00A32CDF" w:rsidRPr="00A82815" w:rsidRDefault="00A32CDF" w:rsidP="0047114D">
            <w:pPr>
              <w:rPr>
                <w:rFonts w:eastAsia="Malgun Gothic" w:cs="Calibri"/>
                <w:b/>
              </w:rPr>
            </w:pPr>
            <w:r w:rsidRPr="00A82815">
              <w:rPr>
                <w:rFonts w:eastAsia="Malgun Gothic" w:cs="Calibri"/>
                <w:b/>
              </w:rPr>
              <w:t>Cercles</w:t>
            </w:r>
          </w:p>
        </w:tc>
        <w:tc>
          <w:tcPr>
            <w:tcW w:w="4389" w:type="dxa"/>
            <w:shd w:val="clear" w:color="auto" w:fill="auto"/>
          </w:tcPr>
          <w:p w:rsidR="00A32CDF" w:rsidRPr="00A82815" w:rsidRDefault="00A32CDF" w:rsidP="0047114D">
            <w:pPr>
              <w:rPr>
                <w:rFonts w:eastAsia="Malgun Gothic" w:cs="Calibri"/>
                <w:b/>
              </w:rPr>
            </w:pPr>
            <w:r w:rsidRPr="00A82815">
              <w:rPr>
                <w:rFonts w:eastAsia="Malgun Gothic" w:cs="Calibri"/>
                <w:b/>
              </w:rPr>
              <w:t>Communes</w:t>
            </w:r>
          </w:p>
        </w:tc>
      </w:tr>
      <w:tr w:rsidR="00A32CDF" w:rsidRPr="00A82815" w:rsidTr="0047114D">
        <w:trPr>
          <w:jc w:val="center"/>
        </w:trPr>
        <w:tc>
          <w:tcPr>
            <w:tcW w:w="704" w:type="dxa"/>
            <w:shd w:val="clear" w:color="auto" w:fill="auto"/>
          </w:tcPr>
          <w:p w:rsidR="00A32CDF" w:rsidRPr="00A82815" w:rsidRDefault="00A32CDF" w:rsidP="0047114D">
            <w:pPr>
              <w:rPr>
                <w:rFonts w:eastAsia="Malgun Gothic" w:cs="Calibri"/>
              </w:rPr>
            </w:pPr>
            <w:r w:rsidRPr="00A82815">
              <w:rPr>
                <w:rFonts w:eastAsia="Malgun Gothic" w:cs="Calibri"/>
              </w:rPr>
              <w:t>1</w:t>
            </w:r>
          </w:p>
        </w:tc>
        <w:tc>
          <w:tcPr>
            <w:tcW w:w="1985" w:type="dxa"/>
            <w:vMerge w:val="restart"/>
            <w:shd w:val="clear" w:color="auto" w:fill="auto"/>
          </w:tcPr>
          <w:p w:rsidR="00A32CDF" w:rsidRPr="00A82815" w:rsidRDefault="00A32CDF" w:rsidP="0047114D">
            <w:pPr>
              <w:rPr>
                <w:rFonts w:eastAsia="Malgun Gothic" w:cs="Calibri"/>
                <w:b/>
              </w:rPr>
            </w:pPr>
          </w:p>
          <w:p w:rsidR="00A32CDF" w:rsidRPr="00A82815" w:rsidRDefault="00A32CDF" w:rsidP="0047114D">
            <w:pPr>
              <w:rPr>
                <w:rFonts w:eastAsia="Malgun Gothic" w:cs="Calibri"/>
                <w:b/>
              </w:rPr>
            </w:pPr>
          </w:p>
          <w:p w:rsidR="00A32CDF" w:rsidRPr="00A82815" w:rsidRDefault="00A32CDF" w:rsidP="0047114D">
            <w:pPr>
              <w:rPr>
                <w:rFonts w:eastAsia="Malgun Gothic" w:cs="Calibri"/>
                <w:b/>
              </w:rPr>
            </w:pPr>
            <w:r w:rsidRPr="00A82815">
              <w:rPr>
                <w:rFonts w:eastAsia="Malgun Gothic" w:cs="Calibri"/>
                <w:b/>
              </w:rPr>
              <w:t>Kayes</w:t>
            </w:r>
          </w:p>
        </w:tc>
        <w:tc>
          <w:tcPr>
            <w:tcW w:w="1984" w:type="dxa"/>
            <w:shd w:val="clear" w:color="auto" w:fill="auto"/>
          </w:tcPr>
          <w:p w:rsidR="00A32CDF" w:rsidRPr="00A82815" w:rsidRDefault="00A32CDF" w:rsidP="0047114D">
            <w:pPr>
              <w:rPr>
                <w:rFonts w:eastAsia="Malgun Gothic" w:cs="Calibri"/>
              </w:rPr>
            </w:pPr>
            <w:r w:rsidRPr="00A82815">
              <w:rPr>
                <w:rFonts w:eastAsia="Malgun Gothic" w:cs="Calibri"/>
              </w:rPr>
              <w:t>Kayes</w:t>
            </w:r>
          </w:p>
        </w:tc>
        <w:tc>
          <w:tcPr>
            <w:tcW w:w="4389" w:type="dxa"/>
            <w:shd w:val="clear" w:color="auto" w:fill="auto"/>
          </w:tcPr>
          <w:p w:rsidR="00A32CDF" w:rsidRPr="00A82815" w:rsidRDefault="00A32CDF" w:rsidP="0047114D">
            <w:pPr>
              <w:rPr>
                <w:rFonts w:eastAsia="Malgun Gothic" w:cs="Calibri"/>
              </w:rPr>
            </w:pPr>
            <w:proofErr w:type="spellStart"/>
            <w:r w:rsidRPr="00A82815">
              <w:rPr>
                <w:rFonts w:eastAsia="Malgun Gothic" w:cs="Calibri"/>
              </w:rPr>
              <w:t>Koussané</w:t>
            </w:r>
            <w:proofErr w:type="spellEnd"/>
          </w:p>
        </w:tc>
      </w:tr>
      <w:tr w:rsidR="00A32CDF" w:rsidRPr="00A82815" w:rsidTr="0047114D">
        <w:trPr>
          <w:jc w:val="center"/>
        </w:trPr>
        <w:tc>
          <w:tcPr>
            <w:tcW w:w="704" w:type="dxa"/>
            <w:shd w:val="clear" w:color="auto" w:fill="auto"/>
          </w:tcPr>
          <w:p w:rsidR="00A32CDF" w:rsidRPr="00A82815" w:rsidRDefault="00A32CDF" w:rsidP="0047114D">
            <w:pPr>
              <w:rPr>
                <w:rFonts w:eastAsia="Malgun Gothic" w:cs="Calibri"/>
              </w:rPr>
            </w:pPr>
            <w:r w:rsidRPr="00A82815">
              <w:rPr>
                <w:rFonts w:eastAsia="Malgun Gothic" w:cs="Calibri"/>
              </w:rPr>
              <w:t>2</w:t>
            </w:r>
          </w:p>
        </w:tc>
        <w:tc>
          <w:tcPr>
            <w:tcW w:w="1985" w:type="dxa"/>
            <w:vMerge/>
            <w:shd w:val="clear" w:color="auto" w:fill="auto"/>
          </w:tcPr>
          <w:p w:rsidR="00A32CDF" w:rsidRPr="00A82815" w:rsidRDefault="00A32CDF" w:rsidP="0047114D">
            <w:pPr>
              <w:rPr>
                <w:rFonts w:eastAsia="Malgun Gothic" w:cs="Calibri"/>
                <w:b/>
              </w:rPr>
            </w:pPr>
          </w:p>
        </w:tc>
        <w:tc>
          <w:tcPr>
            <w:tcW w:w="1984" w:type="dxa"/>
            <w:shd w:val="clear" w:color="auto" w:fill="auto"/>
          </w:tcPr>
          <w:p w:rsidR="00A32CDF" w:rsidRPr="00A82815" w:rsidRDefault="00A32CDF" w:rsidP="0047114D">
            <w:pPr>
              <w:rPr>
                <w:rFonts w:eastAsia="Malgun Gothic" w:cs="Calibri"/>
              </w:rPr>
            </w:pPr>
            <w:proofErr w:type="spellStart"/>
            <w:r w:rsidRPr="00A82815">
              <w:rPr>
                <w:rFonts w:eastAsia="Malgun Gothic" w:cs="Calibri"/>
              </w:rPr>
              <w:t>Bafoulabé</w:t>
            </w:r>
            <w:proofErr w:type="spellEnd"/>
          </w:p>
        </w:tc>
        <w:tc>
          <w:tcPr>
            <w:tcW w:w="4389" w:type="dxa"/>
            <w:shd w:val="clear" w:color="auto" w:fill="auto"/>
          </w:tcPr>
          <w:p w:rsidR="00A32CDF" w:rsidRPr="00A82815" w:rsidRDefault="00A32CDF" w:rsidP="0047114D">
            <w:pPr>
              <w:rPr>
                <w:rFonts w:eastAsia="Malgun Gothic" w:cs="Calibri"/>
              </w:rPr>
            </w:pPr>
            <w:proofErr w:type="spellStart"/>
            <w:r w:rsidRPr="00A82815">
              <w:rPr>
                <w:rFonts w:eastAsia="Malgun Gothic" w:cs="Calibri"/>
              </w:rPr>
              <w:t>Diakon</w:t>
            </w:r>
            <w:proofErr w:type="spellEnd"/>
          </w:p>
        </w:tc>
      </w:tr>
      <w:tr w:rsidR="00A32CDF" w:rsidRPr="00A82815" w:rsidTr="0047114D">
        <w:trPr>
          <w:jc w:val="center"/>
        </w:trPr>
        <w:tc>
          <w:tcPr>
            <w:tcW w:w="704" w:type="dxa"/>
            <w:shd w:val="clear" w:color="auto" w:fill="auto"/>
          </w:tcPr>
          <w:p w:rsidR="00A32CDF" w:rsidRPr="00A82815" w:rsidRDefault="00A32CDF" w:rsidP="0047114D">
            <w:pPr>
              <w:rPr>
                <w:rFonts w:eastAsia="Malgun Gothic" w:cs="Calibri"/>
              </w:rPr>
            </w:pPr>
            <w:r w:rsidRPr="00A82815">
              <w:rPr>
                <w:rFonts w:eastAsia="Malgun Gothic" w:cs="Calibri"/>
              </w:rPr>
              <w:t>3</w:t>
            </w:r>
          </w:p>
        </w:tc>
        <w:tc>
          <w:tcPr>
            <w:tcW w:w="1985" w:type="dxa"/>
            <w:vMerge/>
            <w:shd w:val="clear" w:color="auto" w:fill="auto"/>
          </w:tcPr>
          <w:p w:rsidR="00A32CDF" w:rsidRPr="00A82815" w:rsidRDefault="00A32CDF" w:rsidP="0047114D">
            <w:pPr>
              <w:rPr>
                <w:rFonts w:eastAsia="Malgun Gothic" w:cs="Calibri"/>
                <w:b/>
              </w:rPr>
            </w:pPr>
          </w:p>
        </w:tc>
        <w:tc>
          <w:tcPr>
            <w:tcW w:w="1984" w:type="dxa"/>
            <w:shd w:val="clear" w:color="auto" w:fill="auto"/>
          </w:tcPr>
          <w:p w:rsidR="00A32CDF" w:rsidRPr="00A82815" w:rsidRDefault="00A32CDF" w:rsidP="0047114D">
            <w:pPr>
              <w:rPr>
                <w:rFonts w:eastAsia="Malgun Gothic" w:cs="Calibri"/>
              </w:rPr>
            </w:pPr>
            <w:r w:rsidRPr="00A82815">
              <w:rPr>
                <w:rFonts w:eastAsia="Malgun Gothic" w:cs="Calibri"/>
              </w:rPr>
              <w:t>Kita</w:t>
            </w:r>
          </w:p>
        </w:tc>
        <w:tc>
          <w:tcPr>
            <w:tcW w:w="4389" w:type="dxa"/>
            <w:shd w:val="clear" w:color="auto" w:fill="auto"/>
          </w:tcPr>
          <w:p w:rsidR="00A32CDF" w:rsidRPr="00A82815" w:rsidRDefault="00A32CDF" w:rsidP="0047114D">
            <w:pPr>
              <w:rPr>
                <w:rFonts w:eastAsia="Malgun Gothic" w:cs="Calibri"/>
              </w:rPr>
            </w:pPr>
            <w:proofErr w:type="spellStart"/>
            <w:r w:rsidRPr="00A82815">
              <w:rPr>
                <w:rFonts w:eastAsia="Malgun Gothic" w:cs="Calibri"/>
              </w:rPr>
              <w:t>Kourouninkoto</w:t>
            </w:r>
            <w:proofErr w:type="spellEnd"/>
          </w:p>
        </w:tc>
      </w:tr>
      <w:tr w:rsidR="00A32CDF" w:rsidRPr="00A82815" w:rsidTr="0047114D">
        <w:trPr>
          <w:jc w:val="center"/>
        </w:trPr>
        <w:tc>
          <w:tcPr>
            <w:tcW w:w="704" w:type="dxa"/>
            <w:shd w:val="clear" w:color="auto" w:fill="auto"/>
          </w:tcPr>
          <w:p w:rsidR="00A32CDF" w:rsidRPr="00A82815" w:rsidRDefault="00A32CDF" w:rsidP="0047114D">
            <w:pPr>
              <w:rPr>
                <w:rFonts w:eastAsia="Malgun Gothic" w:cs="Calibri"/>
              </w:rPr>
            </w:pPr>
            <w:r w:rsidRPr="00A82815">
              <w:rPr>
                <w:rFonts w:eastAsia="Malgun Gothic" w:cs="Calibri"/>
              </w:rPr>
              <w:t>4</w:t>
            </w:r>
          </w:p>
        </w:tc>
        <w:tc>
          <w:tcPr>
            <w:tcW w:w="1985" w:type="dxa"/>
            <w:vMerge/>
            <w:shd w:val="clear" w:color="auto" w:fill="auto"/>
          </w:tcPr>
          <w:p w:rsidR="00A32CDF" w:rsidRPr="00A82815" w:rsidRDefault="00A32CDF" w:rsidP="0047114D">
            <w:pPr>
              <w:rPr>
                <w:rFonts w:eastAsia="Malgun Gothic" w:cs="Calibri"/>
                <w:b/>
              </w:rPr>
            </w:pPr>
          </w:p>
        </w:tc>
        <w:tc>
          <w:tcPr>
            <w:tcW w:w="1984" w:type="dxa"/>
            <w:shd w:val="clear" w:color="auto" w:fill="auto"/>
          </w:tcPr>
          <w:p w:rsidR="00A32CDF" w:rsidRPr="00A82815" w:rsidRDefault="00A32CDF" w:rsidP="0047114D">
            <w:pPr>
              <w:rPr>
                <w:rFonts w:eastAsia="Malgun Gothic" w:cs="Calibri"/>
              </w:rPr>
            </w:pPr>
            <w:r w:rsidRPr="00A82815">
              <w:rPr>
                <w:rFonts w:eastAsia="Malgun Gothic" w:cs="Calibri"/>
              </w:rPr>
              <w:t>Diéma</w:t>
            </w:r>
          </w:p>
        </w:tc>
        <w:tc>
          <w:tcPr>
            <w:tcW w:w="4389" w:type="dxa"/>
            <w:shd w:val="clear" w:color="auto" w:fill="auto"/>
          </w:tcPr>
          <w:p w:rsidR="00A32CDF" w:rsidRPr="00A82815" w:rsidRDefault="00A32CDF" w:rsidP="0047114D">
            <w:pPr>
              <w:rPr>
                <w:rFonts w:eastAsia="Malgun Gothic" w:cs="Calibri"/>
              </w:rPr>
            </w:pPr>
            <w:proofErr w:type="spellStart"/>
            <w:r w:rsidRPr="00A82815">
              <w:rPr>
                <w:rFonts w:eastAsia="Malgun Gothic" w:cs="Calibri"/>
              </w:rPr>
              <w:t>Lakamané</w:t>
            </w:r>
            <w:proofErr w:type="spellEnd"/>
          </w:p>
        </w:tc>
      </w:tr>
      <w:tr w:rsidR="00A32CDF" w:rsidRPr="00A82815" w:rsidTr="0047114D">
        <w:trPr>
          <w:jc w:val="center"/>
        </w:trPr>
        <w:tc>
          <w:tcPr>
            <w:tcW w:w="704" w:type="dxa"/>
            <w:shd w:val="clear" w:color="auto" w:fill="auto"/>
          </w:tcPr>
          <w:p w:rsidR="00A32CDF" w:rsidRPr="00A82815" w:rsidRDefault="00A32CDF" w:rsidP="0047114D">
            <w:pPr>
              <w:rPr>
                <w:rFonts w:eastAsia="Malgun Gothic" w:cs="Calibri"/>
              </w:rPr>
            </w:pPr>
            <w:r w:rsidRPr="00A82815">
              <w:rPr>
                <w:rFonts w:eastAsia="Malgun Gothic" w:cs="Calibri"/>
              </w:rPr>
              <w:t>5</w:t>
            </w:r>
          </w:p>
        </w:tc>
        <w:tc>
          <w:tcPr>
            <w:tcW w:w="1985" w:type="dxa"/>
            <w:vMerge/>
            <w:shd w:val="clear" w:color="auto" w:fill="auto"/>
          </w:tcPr>
          <w:p w:rsidR="00A32CDF" w:rsidRPr="00A82815" w:rsidRDefault="00A32CDF" w:rsidP="0047114D">
            <w:pPr>
              <w:rPr>
                <w:rFonts w:eastAsia="Malgun Gothic" w:cs="Calibri"/>
                <w:b/>
              </w:rPr>
            </w:pPr>
          </w:p>
        </w:tc>
        <w:tc>
          <w:tcPr>
            <w:tcW w:w="1984" w:type="dxa"/>
            <w:shd w:val="clear" w:color="auto" w:fill="auto"/>
          </w:tcPr>
          <w:p w:rsidR="00A32CDF" w:rsidRPr="00A82815" w:rsidRDefault="00A32CDF" w:rsidP="0047114D">
            <w:pPr>
              <w:rPr>
                <w:rFonts w:eastAsia="Malgun Gothic" w:cs="Calibri"/>
              </w:rPr>
            </w:pPr>
            <w:r w:rsidRPr="00A82815">
              <w:rPr>
                <w:rFonts w:eastAsia="Malgun Gothic" w:cs="Calibri"/>
              </w:rPr>
              <w:t>Nioro</w:t>
            </w:r>
          </w:p>
        </w:tc>
        <w:tc>
          <w:tcPr>
            <w:tcW w:w="4389" w:type="dxa"/>
            <w:shd w:val="clear" w:color="auto" w:fill="auto"/>
          </w:tcPr>
          <w:p w:rsidR="00A32CDF" w:rsidRPr="00A82815" w:rsidRDefault="00A32CDF" w:rsidP="0047114D">
            <w:pPr>
              <w:rPr>
                <w:rFonts w:eastAsia="Malgun Gothic" w:cs="Calibri"/>
              </w:rPr>
            </w:pPr>
            <w:r w:rsidRPr="00A82815">
              <w:rPr>
                <w:rFonts w:eastAsia="Malgun Gothic" w:cs="Calibri"/>
              </w:rPr>
              <w:t xml:space="preserve">Nioro </w:t>
            </w:r>
            <w:proofErr w:type="spellStart"/>
            <w:r w:rsidRPr="00A82815">
              <w:rPr>
                <w:rFonts w:eastAsia="Malgun Gothic" w:cs="Calibri"/>
              </w:rPr>
              <w:t>Tougouné</w:t>
            </w:r>
            <w:proofErr w:type="spellEnd"/>
            <w:r w:rsidRPr="00A82815">
              <w:rPr>
                <w:rFonts w:eastAsia="Malgun Gothic" w:cs="Calibri"/>
              </w:rPr>
              <w:t xml:space="preserve"> </w:t>
            </w:r>
            <w:proofErr w:type="spellStart"/>
            <w:r w:rsidRPr="00A82815">
              <w:rPr>
                <w:rFonts w:eastAsia="Malgun Gothic" w:cs="Calibri"/>
              </w:rPr>
              <w:t>Rangabé</w:t>
            </w:r>
            <w:proofErr w:type="spellEnd"/>
          </w:p>
        </w:tc>
      </w:tr>
      <w:tr w:rsidR="00A32CDF" w:rsidRPr="00A82815" w:rsidTr="0047114D">
        <w:trPr>
          <w:jc w:val="center"/>
        </w:trPr>
        <w:tc>
          <w:tcPr>
            <w:tcW w:w="704" w:type="dxa"/>
            <w:shd w:val="clear" w:color="auto" w:fill="auto"/>
          </w:tcPr>
          <w:p w:rsidR="00A32CDF" w:rsidRPr="00A82815" w:rsidRDefault="00A32CDF" w:rsidP="0047114D">
            <w:pPr>
              <w:rPr>
                <w:rFonts w:eastAsia="Malgun Gothic" w:cs="Calibri"/>
              </w:rPr>
            </w:pPr>
            <w:r w:rsidRPr="00A82815">
              <w:rPr>
                <w:rFonts w:eastAsia="Malgun Gothic" w:cs="Calibri"/>
              </w:rPr>
              <w:t>6</w:t>
            </w:r>
          </w:p>
        </w:tc>
        <w:tc>
          <w:tcPr>
            <w:tcW w:w="1985" w:type="dxa"/>
            <w:vMerge w:val="restart"/>
            <w:shd w:val="clear" w:color="auto" w:fill="auto"/>
          </w:tcPr>
          <w:p w:rsidR="00A32CDF" w:rsidRPr="00A82815" w:rsidRDefault="00A32CDF" w:rsidP="0047114D">
            <w:pPr>
              <w:rPr>
                <w:rFonts w:eastAsia="Malgun Gothic" w:cs="Calibri"/>
                <w:b/>
              </w:rPr>
            </w:pPr>
          </w:p>
          <w:p w:rsidR="00A32CDF" w:rsidRPr="00A82815" w:rsidRDefault="00A32CDF" w:rsidP="0047114D">
            <w:pPr>
              <w:rPr>
                <w:rFonts w:eastAsia="Malgun Gothic" w:cs="Calibri"/>
                <w:b/>
              </w:rPr>
            </w:pPr>
          </w:p>
          <w:p w:rsidR="00A32CDF" w:rsidRPr="00A82815" w:rsidRDefault="00A32CDF" w:rsidP="0047114D">
            <w:pPr>
              <w:rPr>
                <w:rFonts w:eastAsia="Malgun Gothic" w:cs="Calibri"/>
                <w:b/>
              </w:rPr>
            </w:pPr>
            <w:r w:rsidRPr="00A82815">
              <w:rPr>
                <w:rFonts w:eastAsia="Malgun Gothic" w:cs="Calibri"/>
                <w:b/>
              </w:rPr>
              <w:t>Sikasso</w:t>
            </w:r>
          </w:p>
        </w:tc>
        <w:tc>
          <w:tcPr>
            <w:tcW w:w="1984" w:type="dxa"/>
            <w:shd w:val="clear" w:color="auto" w:fill="auto"/>
          </w:tcPr>
          <w:p w:rsidR="00A32CDF" w:rsidRPr="00A82815" w:rsidRDefault="00A32CDF" w:rsidP="0047114D">
            <w:pPr>
              <w:rPr>
                <w:rFonts w:eastAsia="Malgun Gothic" w:cs="Calibri"/>
              </w:rPr>
            </w:pPr>
            <w:r w:rsidRPr="00A82815">
              <w:rPr>
                <w:rFonts w:eastAsia="Malgun Gothic" w:cs="Calibri"/>
              </w:rPr>
              <w:t>Sikasso</w:t>
            </w:r>
          </w:p>
        </w:tc>
        <w:tc>
          <w:tcPr>
            <w:tcW w:w="4389" w:type="dxa"/>
            <w:shd w:val="clear" w:color="auto" w:fill="auto"/>
          </w:tcPr>
          <w:p w:rsidR="00A32CDF" w:rsidRPr="00A82815" w:rsidRDefault="00A32CDF" w:rsidP="0047114D">
            <w:pPr>
              <w:rPr>
                <w:rFonts w:eastAsia="Malgun Gothic" w:cs="Calibri"/>
              </w:rPr>
            </w:pPr>
            <w:proofErr w:type="spellStart"/>
            <w:r w:rsidRPr="00A82815">
              <w:rPr>
                <w:rFonts w:eastAsia="Malgun Gothic" w:cs="Calibri"/>
              </w:rPr>
              <w:t>Dembela</w:t>
            </w:r>
            <w:proofErr w:type="spellEnd"/>
          </w:p>
        </w:tc>
      </w:tr>
      <w:tr w:rsidR="00A32CDF" w:rsidRPr="00A82815" w:rsidTr="0047114D">
        <w:trPr>
          <w:jc w:val="center"/>
        </w:trPr>
        <w:tc>
          <w:tcPr>
            <w:tcW w:w="704" w:type="dxa"/>
            <w:shd w:val="clear" w:color="auto" w:fill="auto"/>
          </w:tcPr>
          <w:p w:rsidR="00A32CDF" w:rsidRPr="00A82815" w:rsidRDefault="00A32CDF" w:rsidP="0047114D">
            <w:pPr>
              <w:rPr>
                <w:rFonts w:eastAsia="Malgun Gothic" w:cs="Calibri"/>
              </w:rPr>
            </w:pPr>
            <w:r w:rsidRPr="00A82815">
              <w:rPr>
                <w:rFonts w:eastAsia="Malgun Gothic" w:cs="Calibri"/>
              </w:rPr>
              <w:t>7</w:t>
            </w:r>
          </w:p>
        </w:tc>
        <w:tc>
          <w:tcPr>
            <w:tcW w:w="1985" w:type="dxa"/>
            <w:vMerge/>
            <w:shd w:val="clear" w:color="auto" w:fill="auto"/>
          </w:tcPr>
          <w:p w:rsidR="00A32CDF" w:rsidRPr="00A82815" w:rsidRDefault="00A32CDF" w:rsidP="0047114D">
            <w:pPr>
              <w:rPr>
                <w:rFonts w:eastAsia="Malgun Gothic" w:cs="Calibri"/>
                <w:b/>
              </w:rPr>
            </w:pPr>
          </w:p>
        </w:tc>
        <w:tc>
          <w:tcPr>
            <w:tcW w:w="1984" w:type="dxa"/>
            <w:shd w:val="clear" w:color="auto" w:fill="auto"/>
          </w:tcPr>
          <w:p w:rsidR="00A32CDF" w:rsidRPr="00A82815" w:rsidRDefault="00A32CDF" w:rsidP="0047114D">
            <w:pPr>
              <w:rPr>
                <w:rFonts w:eastAsia="Malgun Gothic" w:cs="Calibri"/>
              </w:rPr>
            </w:pPr>
            <w:r w:rsidRPr="00A82815">
              <w:rPr>
                <w:rFonts w:eastAsia="Malgun Gothic" w:cs="Calibri"/>
              </w:rPr>
              <w:t>Koutiala</w:t>
            </w:r>
          </w:p>
        </w:tc>
        <w:tc>
          <w:tcPr>
            <w:tcW w:w="4389" w:type="dxa"/>
            <w:shd w:val="clear" w:color="auto" w:fill="auto"/>
          </w:tcPr>
          <w:p w:rsidR="00A32CDF" w:rsidRPr="00A82815" w:rsidRDefault="00A32CDF" w:rsidP="0047114D">
            <w:pPr>
              <w:rPr>
                <w:rFonts w:eastAsia="Malgun Gothic" w:cs="Calibri"/>
              </w:rPr>
            </w:pPr>
            <w:proofErr w:type="spellStart"/>
            <w:r w:rsidRPr="00A82815">
              <w:rPr>
                <w:rFonts w:eastAsia="Malgun Gothic" w:cs="Calibri"/>
              </w:rPr>
              <w:t>Konina</w:t>
            </w:r>
            <w:proofErr w:type="spellEnd"/>
          </w:p>
        </w:tc>
      </w:tr>
      <w:tr w:rsidR="00A32CDF" w:rsidRPr="00A82815" w:rsidTr="0047114D">
        <w:trPr>
          <w:jc w:val="center"/>
        </w:trPr>
        <w:tc>
          <w:tcPr>
            <w:tcW w:w="704" w:type="dxa"/>
            <w:shd w:val="clear" w:color="auto" w:fill="auto"/>
          </w:tcPr>
          <w:p w:rsidR="00A32CDF" w:rsidRPr="00A82815" w:rsidRDefault="00A32CDF" w:rsidP="0047114D">
            <w:pPr>
              <w:rPr>
                <w:rFonts w:eastAsia="Malgun Gothic" w:cs="Calibri"/>
              </w:rPr>
            </w:pPr>
            <w:r w:rsidRPr="00A82815">
              <w:rPr>
                <w:rFonts w:eastAsia="Malgun Gothic" w:cs="Calibri"/>
              </w:rPr>
              <w:t>8</w:t>
            </w:r>
          </w:p>
        </w:tc>
        <w:tc>
          <w:tcPr>
            <w:tcW w:w="1985" w:type="dxa"/>
            <w:vMerge/>
            <w:shd w:val="clear" w:color="auto" w:fill="auto"/>
          </w:tcPr>
          <w:p w:rsidR="00A32CDF" w:rsidRPr="00A82815" w:rsidRDefault="00A32CDF" w:rsidP="0047114D">
            <w:pPr>
              <w:rPr>
                <w:rFonts w:eastAsia="Malgun Gothic" w:cs="Calibri"/>
                <w:b/>
              </w:rPr>
            </w:pPr>
          </w:p>
        </w:tc>
        <w:tc>
          <w:tcPr>
            <w:tcW w:w="1984" w:type="dxa"/>
            <w:shd w:val="clear" w:color="auto" w:fill="auto"/>
          </w:tcPr>
          <w:p w:rsidR="00A32CDF" w:rsidRPr="00A82815" w:rsidRDefault="00A32CDF" w:rsidP="0047114D">
            <w:pPr>
              <w:rPr>
                <w:rFonts w:eastAsia="Malgun Gothic" w:cs="Calibri"/>
              </w:rPr>
            </w:pPr>
            <w:proofErr w:type="spellStart"/>
            <w:r w:rsidRPr="00A82815">
              <w:rPr>
                <w:rFonts w:eastAsia="Malgun Gothic" w:cs="Calibri"/>
              </w:rPr>
              <w:t>Yorosso</w:t>
            </w:r>
            <w:proofErr w:type="spellEnd"/>
          </w:p>
        </w:tc>
        <w:tc>
          <w:tcPr>
            <w:tcW w:w="4389" w:type="dxa"/>
            <w:shd w:val="clear" w:color="auto" w:fill="auto"/>
          </w:tcPr>
          <w:p w:rsidR="00A32CDF" w:rsidRPr="00A82815" w:rsidRDefault="00A32CDF" w:rsidP="0047114D">
            <w:pPr>
              <w:rPr>
                <w:rFonts w:eastAsia="Malgun Gothic" w:cs="Calibri"/>
              </w:rPr>
            </w:pPr>
            <w:r w:rsidRPr="00A82815">
              <w:rPr>
                <w:rFonts w:eastAsia="Malgun Gothic" w:cs="Calibri"/>
              </w:rPr>
              <w:t>Kiffosso1</w:t>
            </w:r>
          </w:p>
        </w:tc>
      </w:tr>
      <w:tr w:rsidR="00A32CDF" w:rsidRPr="00A82815" w:rsidTr="0047114D">
        <w:trPr>
          <w:jc w:val="center"/>
        </w:trPr>
        <w:tc>
          <w:tcPr>
            <w:tcW w:w="704" w:type="dxa"/>
            <w:shd w:val="clear" w:color="auto" w:fill="auto"/>
          </w:tcPr>
          <w:p w:rsidR="00A32CDF" w:rsidRPr="00A82815" w:rsidRDefault="00A32CDF" w:rsidP="0047114D">
            <w:pPr>
              <w:rPr>
                <w:rFonts w:eastAsia="Malgun Gothic" w:cs="Calibri"/>
              </w:rPr>
            </w:pPr>
            <w:r w:rsidRPr="00A82815">
              <w:rPr>
                <w:rFonts w:eastAsia="Malgun Gothic" w:cs="Calibri"/>
              </w:rPr>
              <w:t>9</w:t>
            </w:r>
          </w:p>
        </w:tc>
        <w:tc>
          <w:tcPr>
            <w:tcW w:w="1985" w:type="dxa"/>
            <w:vMerge/>
            <w:shd w:val="clear" w:color="auto" w:fill="auto"/>
          </w:tcPr>
          <w:p w:rsidR="00A32CDF" w:rsidRPr="00A82815" w:rsidRDefault="00A32CDF" w:rsidP="0047114D">
            <w:pPr>
              <w:rPr>
                <w:rFonts w:eastAsia="Malgun Gothic" w:cs="Calibri"/>
                <w:b/>
              </w:rPr>
            </w:pPr>
          </w:p>
        </w:tc>
        <w:tc>
          <w:tcPr>
            <w:tcW w:w="1984" w:type="dxa"/>
            <w:shd w:val="clear" w:color="auto" w:fill="auto"/>
          </w:tcPr>
          <w:p w:rsidR="00A32CDF" w:rsidRPr="00A82815" w:rsidRDefault="00A32CDF" w:rsidP="0047114D">
            <w:pPr>
              <w:rPr>
                <w:rFonts w:eastAsia="Malgun Gothic" w:cs="Calibri"/>
              </w:rPr>
            </w:pPr>
            <w:proofErr w:type="spellStart"/>
            <w:r w:rsidRPr="00A82815">
              <w:rPr>
                <w:rFonts w:eastAsia="Malgun Gothic" w:cs="Calibri"/>
              </w:rPr>
              <w:t>Kolondiéba</w:t>
            </w:r>
            <w:proofErr w:type="spellEnd"/>
          </w:p>
        </w:tc>
        <w:tc>
          <w:tcPr>
            <w:tcW w:w="4389" w:type="dxa"/>
            <w:shd w:val="clear" w:color="auto" w:fill="auto"/>
          </w:tcPr>
          <w:p w:rsidR="00A32CDF" w:rsidRPr="00A82815" w:rsidRDefault="00A32CDF" w:rsidP="0047114D">
            <w:pPr>
              <w:rPr>
                <w:rFonts w:eastAsia="Malgun Gothic" w:cs="Calibri"/>
              </w:rPr>
            </w:pPr>
            <w:proofErr w:type="spellStart"/>
            <w:r w:rsidRPr="00A82815">
              <w:rPr>
                <w:rFonts w:eastAsia="Malgun Gothic" w:cs="Calibri"/>
              </w:rPr>
              <w:t>Kolosso</w:t>
            </w:r>
            <w:proofErr w:type="spellEnd"/>
          </w:p>
        </w:tc>
      </w:tr>
      <w:tr w:rsidR="00A32CDF" w:rsidRPr="00A82815" w:rsidTr="0047114D">
        <w:trPr>
          <w:jc w:val="center"/>
        </w:trPr>
        <w:tc>
          <w:tcPr>
            <w:tcW w:w="704" w:type="dxa"/>
            <w:shd w:val="clear" w:color="auto" w:fill="auto"/>
          </w:tcPr>
          <w:p w:rsidR="00A32CDF" w:rsidRPr="00A82815" w:rsidRDefault="00A32CDF" w:rsidP="0047114D">
            <w:pPr>
              <w:rPr>
                <w:rFonts w:eastAsia="Malgun Gothic" w:cs="Calibri"/>
              </w:rPr>
            </w:pPr>
            <w:r w:rsidRPr="00A82815">
              <w:rPr>
                <w:rFonts w:eastAsia="Malgun Gothic" w:cs="Calibri"/>
              </w:rPr>
              <w:t>10</w:t>
            </w:r>
          </w:p>
        </w:tc>
        <w:tc>
          <w:tcPr>
            <w:tcW w:w="1985" w:type="dxa"/>
            <w:vMerge/>
            <w:shd w:val="clear" w:color="auto" w:fill="auto"/>
          </w:tcPr>
          <w:p w:rsidR="00A32CDF" w:rsidRPr="00A82815" w:rsidRDefault="00A32CDF" w:rsidP="0047114D">
            <w:pPr>
              <w:rPr>
                <w:rFonts w:eastAsia="Malgun Gothic" w:cs="Calibri"/>
                <w:b/>
              </w:rPr>
            </w:pPr>
          </w:p>
        </w:tc>
        <w:tc>
          <w:tcPr>
            <w:tcW w:w="1984" w:type="dxa"/>
            <w:shd w:val="clear" w:color="auto" w:fill="auto"/>
          </w:tcPr>
          <w:p w:rsidR="00A32CDF" w:rsidRPr="00A82815" w:rsidRDefault="00A32CDF" w:rsidP="0047114D">
            <w:pPr>
              <w:rPr>
                <w:rFonts w:eastAsia="Malgun Gothic" w:cs="Calibri"/>
              </w:rPr>
            </w:pPr>
            <w:r w:rsidRPr="00A82815">
              <w:rPr>
                <w:rFonts w:eastAsia="Malgun Gothic" w:cs="Calibri"/>
              </w:rPr>
              <w:t>Bougouni</w:t>
            </w:r>
          </w:p>
        </w:tc>
        <w:tc>
          <w:tcPr>
            <w:tcW w:w="4389" w:type="dxa"/>
            <w:shd w:val="clear" w:color="auto" w:fill="auto"/>
          </w:tcPr>
          <w:p w:rsidR="00A32CDF" w:rsidRPr="00A82815" w:rsidRDefault="00A32CDF" w:rsidP="0047114D">
            <w:pPr>
              <w:rPr>
                <w:rFonts w:eastAsia="Malgun Gothic" w:cs="Calibri"/>
              </w:rPr>
            </w:pPr>
            <w:proofErr w:type="spellStart"/>
            <w:r w:rsidRPr="00A82815">
              <w:rPr>
                <w:rFonts w:eastAsia="Malgun Gothic" w:cs="Calibri"/>
              </w:rPr>
              <w:t>Domba</w:t>
            </w:r>
            <w:proofErr w:type="spellEnd"/>
          </w:p>
        </w:tc>
      </w:tr>
    </w:tbl>
    <w:p w:rsidR="00A32CDF" w:rsidRDefault="00A32CDF" w:rsidP="00A32CDF">
      <w:pPr>
        <w:rPr>
          <w:rFonts w:eastAsia="Malgun Gothic" w:cs="Calibri"/>
          <w:b/>
        </w:rPr>
      </w:pPr>
      <w:bookmarkStart w:id="2" w:name="_Toc463439820"/>
    </w:p>
    <w:p w:rsidR="00A32CDF" w:rsidRPr="002C5356" w:rsidRDefault="00A32CDF" w:rsidP="00A32CDF">
      <w:pPr>
        <w:rPr>
          <w:rFonts w:eastAsia="Malgun Gothic" w:cs="Calibri"/>
          <w:b/>
        </w:rPr>
      </w:pPr>
      <w:r>
        <w:rPr>
          <w:rFonts w:eastAsia="Malgun Gothic" w:cs="Calibri"/>
          <w:b/>
        </w:rPr>
        <w:t>2.4. O</w:t>
      </w:r>
      <w:r w:rsidRPr="002C5356">
        <w:rPr>
          <w:rFonts w:eastAsia="Malgun Gothic" w:cs="Calibri"/>
          <w:b/>
        </w:rPr>
        <w:t>rganes de mise en œuvre du projet</w:t>
      </w:r>
      <w:bookmarkEnd w:id="2"/>
    </w:p>
    <w:p w:rsidR="00A32CDF" w:rsidRPr="002C5356" w:rsidRDefault="00A32CDF" w:rsidP="00A32CDF">
      <w:pPr>
        <w:rPr>
          <w:rFonts w:eastAsia="Malgun Gothic" w:cs="Calibri"/>
        </w:rPr>
      </w:pPr>
      <w:r w:rsidRPr="002C5356">
        <w:rPr>
          <w:rFonts w:eastAsia="Malgun Gothic" w:cs="Calibri"/>
          <w:b/>
        </w:rPr>
        <w:t>Agence d’exécution au compte du BMUB</w:t>
      </w:r>
      <w:r w:rsidRPr="002C5356">
        <w:rPr>
          <w:rFonts w:eastAsia="Malgun Gothic" w:cs="Calibri"/>
        </w:rPr>
        <w:t> : Le PNUD est l’Agence chargée de la mise en œuvre pour le compte du Ministère Fédéral Allemand de l’Environnement, de la Protection de la Nature, de la Construction et de la Sûreté Nucléaire (BMU).</w:t>
      </w:r>
    </w:p>
    <w:p w:rsidR="00A32CDF" w:rsidRPr="002C5356" w:rsidRDefault="00A32CDF" w:rsidP="00A32CDF">
      <w:pPr>
        <w:spacing w:after="0"/>
        <w:rPr>
          <w:rFonts w:eastAsia="Malgun Gothic" w:cs="Calibri"/>
        </w:rPr>
      </w:pPr>
      <w:r w:rsidRPr="002C5356">
        <w:rPr>
          <w:rFonts w:eastAsia="Malgun Gothic" w:cs="Calibri"/>
          <w:b/>
        </w:rPr>
        <w:t>Présidence du Comité de Pilotage</w:t>
      </w:r>
      <w:r w:rsidRPr="002C5356">
        <w:rPr>
          <w:rFonts w:eastAsia="Malgun Gothic" w:cs="Calibri"/>
        </w:rPr>
        <w:t xml:space="preserve"> : </w:t>
      </w:r>
      <w:proofErr w:type="spellStart"/>
      <w:r w:rsidRPr="002C5356">
        <w:rPr>
          <w:rFonts w:eastAsia="Malgun Gothic" w:cs="Calibri"/>
        </w:rPr>
        <w:t>LeMinistère</w:t>
      </w:r>
      <w:proofErr w:type="spellEnd"/>
      <w:r w:rsidRPr="002C5356">
        <w:rPr>
          <w:rFonts w:eastAsia="Malgun Gothic" w:cs="Calibri"/>
        </w:rPr>
        <w:t xml:space="preserve"> de l’Environnement de l’Assainissement et du Développement    Durable, (MEADD) du </w:t>
      </w:r>
      <w:proofErr w:type="spellStart"/>
      <w:r w:rsidRPr="002C5356">
        <w:rPr>
          <w:rFonts w:eastAsia="Malgun Gothic" w:cs="Calibri"/>
        </w:rPr>
        <w:t>Mali.Le</w:t>
      </w:r>
      <w:proofErr w:type="spellEnd"/>
      <w:r w:rsidRPr="002C5356">
        <w:rPr>
          <w:rFonts w:eastAsia="Malgun Gothic" w:cs="Calibri"/>
        </w:rPr>
        <w:t xml:space="preserve"> MEADD dirige le comité de pilotage pour la mise en place globale du “ Programme d’Appui à la Stratégie Nationale d’Adaptation aux Changements Climatiques au Mali ” et est chargé du pilotage stratégique des projets à la fois de la GIZ et du PNUD.</w:t>
      </w:r>
    </w:p>
    <w:p w:rsidR="00A32CDF" w:rsidRPr="002C5356" w:rsidRDefault="00A32CDF" w:rsidP="00A32CDF">
      <w:pPr>
        <w:spacing w:after="0"/>
        <w:rPr>
          <w:rFonts w:eastAsia="Malgun Gothic" w:cs="Calibri"/>
        </w:rPr>
      </w:pPr>
      <w:r w:rsidRPr="002C5356">
        <w:rPr>
          <w:rFonts w:eastAsia="Malgun Gothic" w:cs="Calibri"/>
          <w:b/>
        </w:rPr>
        <w:t>Structure technique de mise en œuvre au nom du MEADD </w:t>
      </w:r>
      <w:r w:rsidRPr="002C5356">
        <w:rPr>
          <w:rFonts w:eastAsia="Malgun Gothic" w:cs="Calibri"/>
        </w:rPr>
        <w:t>: AEDD</w:t>
      </w:r>
    </w:p>
    <w:p w:rsidR="00A32CDF" w:rsidRPr="002C5356" w:rsidRDefault="00A32CDF" w:rsidP="00A32CDF">
      <w:pPr>
        <w:spacing w:after="0"/>
        <w:rPr>
          <w:rFonts w:eastAsia="Malgun Gothic" w:cs="Calibri"/>
        </w:rPr>
      </w:pPr>
      <w:r w:rsidRPr="002C5356">
        <w:rPr>
          <w:rFonts w:eastAsia="Malgun Gothic" w:cs="Calibri"/>
        </w:rPr>
        <w:t xml:space="preserve">L’AEDD est la structure technique de mise en œuvre du projet du PNUD au nom du MEADD à travers une unité de coordination. Elle assure la coordination opérationnelle du projet du PNUD.    </w:t>
      </w:r>
    </w:p>
    <w:p w:rsidR="00A32CDF" w:rsidRPr="002C5356" w:rsidRDefault="00A32CDF" w:rsidP="00A32CDF">
      <w:pPr>
        <w:spacing w:after="0"/>
        <w:rPr>
          <w:rFonts w:eastAsia="Malgun Gothic" w:cs="Calibri"/>
          <w:b/>
        </w:rPr>
      </w:pPr>
      <w:r w:rsidRPr="002C5356">
        <w:rPr>
          <w:rFonts w:eastAsia="Malgun Gothic" w:cs="Calibri"/>
          <w:b/>
        </w:rPr>
        <w:t>Unité de coordination</w:t>
      </w:r>
    </w:p>
    <w:p w:rsidR="00A32CDF" w:rsidRPr="002C5356" w:rsidRDefault="00A32CDF" w:rsidP="00A32CDF">
      <w:pPr>
        <w:spacing w:after="0"/>
        <w:rPr>
          <w:rFonts w:eastAsia="Malgun Gothic" w:cs="Calibri"/>
        </w:rPr>
      </w:pPr>
      <w:r w:rsidRPr="002C5356">
        <w:rPr>
          <w:rFonts w:eastAsia="Malgun Gothic" w:cs="Calibri"/>
        </w:rPr>
        <w:t>Elle est composée de :</w:t>
      </w:r>
    </w:p>
    <w:p w:rsidR="00A32CDF" w:rsidRPr="002C5356" w:rsidRDefault="00A32CDF" w:rsidP="00A32CDF">
      <w:pPr>
        <w:pStyle w:val="Paragraphedeliste"/>
        <w:numPr>
          <w:ilvl w:val="0"/>
          <w:numId w:val="6"/>
        </w:numPr>
        <w:spacing w:before="0" w:after="0"/>
        <w:rPr>
          <w:rFonts w:eastAsia="Malgun Gothic" w:cs="Calibri"/>
        </w:rPr>
      </w:pPr>
      <w:r w:rsidRPr="002C5356">
        <w:rPr>
          <w:rFonts w:eastAsia="Malgun Gothic" w:cs="Calibri"/>
        </w:rPr>
        <w:t>Un coordonnateur national</w:t>
      </w:r>
    </w:p>
    <w:p w:rsidR="00A32CDF" w:rsidRPr="002C5356" w:rsidRDefault="00A32CDF" w:rsidP="00A32CDF">
      <w:pPr>
        <w:pStyle w:val="Paragraphedeliste"/>
        <w:numPr>
          <w:ilvl w:val="0"/>
          <w:numId w:val="6"/>
        </w:numPr>
        <w:spacing w:before="0" w:after="0"/>
        <w:rPr>
          <w:rFonts w:eastAsia="Malgun Gothic" w:cs="Calibri"/>
        </w:rPr>
      </w:pPr>
      <w:r w:rsidRPr="002C5356">
        <w:rPr>
          <w:rFonts w:eastAsia="Malgun Gothic" w:cs="Calibri"/>
        </w:rPr>
        <w:t>Un expert en Suivi-Evaluation</w:t>
      </w:r>
    </w:p>
    <w:p w:rsidR="00A32CDF" w:rsidRPr="002C5356" w:rsidRDefault="00A32CDF" w:rsidP="00A32CDF">
      <w:pPr>
        <w:pStyle w:val="Paragraphedeliste"/>
        <w:numPr>
          <w:ilvl w:val="0"/>
          <w:numId w:val="6"/>
        </w:numPr>
        <w:spacing w:before="0" w:after="0"/>
        <w:rPr>
          <w:rFonts w:eastAsia="Malgun Gothic" w:cs="Calibri"/>
        </w:rPr>
      </w:pPr>
      <w:r w:rsidRPr="002C5356">
        <w:rPr>
          <w:rFonts w:eastAsia="Malgun Gothic" w:cs="Calibri"/>
        </w:rPr>
        <w:t>Une Assistante Administrative et Financière</w:t>
      </w:r>
    </w:p>
    <w:p w:rsidR="00A32CDF" w:rsidRPr="002C5356" w:rsidRDefault="00A32CDF" w:rsidP="00A32CDF">
      <w:pPr>
        <w:pStyle w:val="Paragraphedeliste"/>
        <w:numPr>
          <w:ilvl w:val="0"/>
          <w:numId w:val="6"/>
        </w:numPr>
        <w:spacing w:before="0" w:after="0"/>
        <w:rPr>
          <w:rFonts w:eastAsia="Malgun Gothic" w:cs="Calibri"/>
        </w:rPr>
      </w:pPr>
      <w:r w:rsidRPr="002C5356">
        <w:rPr>
          <w:rFonts w:eastAsia="Malgun Gothic" w:cs="Calibri"/>
        </w:rPr>
        <w:t>Deux points focaux pour les régions de Kayes et Sikasso</w:t>
      </w:r>
    </w:p>
    <w:p w:rsidR="00A32CDF" w:rsidRPr="002C5356" w:rsidRDefault="00A32CDF" w:rsidP="00A32CDF">
      <w:pPr>
        <w:spacing w:after="160" w:line="259" w:lineRule="auto"/>
        <w:rPr>
          <w:rFonts w:eastAsia="Malgun Gothic" w:cs="Calibri"/>
        </w:rPr>
      </w:pPr>
      <w:r w:rsidRPr="002C5356">
        <w:rPr>
          <w:rFonts w:eastAsia="Malgun Gothic" w:cs="Calibri"/>
          <w:b/>
        </w:rPr>
        <w:t>Les partenaires </w:t>
      </w:r>
      <w:r w:rsidRPr="002C5356">
        <w:rPr>
          <w:rFonts w:eastAsia="Malgun Gothic" w:cs="Calibri"/>
        </w:rPr>
        <w:t xml:space="preserve">: Le projet est mis en œuvre par des structures gouvernementales et non-gouvernementales, positionnées en tant que prestataires de services techniques à l'AEDD. Les principaux acteurs sont les suivants : </w:t>
      </w:r>
    </w:p>
    <w:p w:rsidR="00A32CDF" w:rsidRPr="002C5356" w:rsidRDefault="00A32CDF" w:rsidP="00A32CDF">
      <w:pPr>
        <w:pStyle w:val="Paragraphedeliste"/>
        <w:numPr>
          <w:ilvl w:val="0"/>
          <w:numId w:val="1"/>
        </w:numPr>
        <w:spacing w:before="0" w:after="0"/>
        <w:ind w:left="708"/>
        <w:rPr>
          <w:rFonts w:eastAsia="Malgun Gothic" w:cs="Calibri"/>
        </w:rPr>
      </w:pPr>
      <w:r w:rsidRPr="002C5356">
        <w:rPr>
          <w:rFonts w:eastAsia="Malgun Gothic" w:cs="Calibri"/>
        </w:rPr>
        <w:t>L'Agence météorologique nationale (Mali Météo), les services de planification au niveau des ministères concernés (agriculture, eau, pêche, forêt, environnement, génie rural, etc.), les universités et les centres de recherche (IER, IPR/IFRA, CNRST, ENI-ABT, etc.), les services d'assistance technique au niveau local, les organisations à base communautaire, les organisations non gouvernementales, les organisations de la société civile et le secteur privé.</w:t>
      </w:r>
    </w:p>
    <w:p w:rsidR="00A32CDF" w:rsidRPr="002C5356" w:rsidRDefault="00A32CDF" w:rsidP="00A32CDF">
      <w:pPr>
        <w:pStyle w:val="Paragraphedeliste"/>
        <w:ind w:left="708"/>
        <w:rPr>
          <w:rFonts w:eastAsia="Malgun Gothic" w:cs="Calibri"/>
        </w:rPr>
      </w:pPr>
    </w:p>
    <w:p w:rsidR="00A32CDF" w:rsidRDefault="00A32CDF" w:rsidP="00A32CDF">
      <w:pPr>
        <w:pStyle w:val="Paragraphedeliste"/>
        <w:numPr>
          <w:ilvl w:val="1"/>
          <w:numId w:val="5"/>
        </w:numPr>
        <w:spacing w:before="0" w:after="0"/>
        <w:jc w:val="left"/>
        <w:outlineLvl w:val="1"/>
        <w:rPr>
          <w:rFonts w:eastAsia="Malgun Gothic" w:cs="Calibri"/>
          <w:b/>
        </w:rPr>
      </w:pPr>
      <w:bookmarkStart w:id="3" w:name="_Toc463439821"/>
      <w:r w:rsidRPr="002C5356">
        <w:rPr>
          <w:rFonts w:eastAsia="Malgun Gothic" w:cs="Calibri"/>
          <w:b/>
        </w:rPr>
        <w:t>Financement</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470"/>
        <w:gridCol w:w="2445"/>
      </w:tblGrid>
      <w:tr w:rsidR="00A32CDF" w:rsidRPr="00A82815" w:rsidTr="0047114D">
        <w:trPr>
          <w:trHeight w:val="360"/>
          <w:jc w:val="center"/>
        </w:trPr>
        <w:tc>
          <w:tcPr>
            <w:tcW w:w="3614" w:type="dxa"/>
            <w:vMerge w:val="restart"/>
          </w:tcPr>
          <w:p w:rsidR="00A32CDF" w:rsidRPr="00A82815" w:rsidRDefault="00A32CDF" w:rsidP="0047114D">
            <w:pPr>
              <w:rPr>
                <w:rFonts w:eastAsia="Malgun Gothic" w:cs="Calibri"/>
                <w:b/>
              </w:rPr>
            </w:pPr>
            <w:r w:rsidRPr="00A82815">
              <w:rPr>
                <w:rFonts w:eastAsia="Malgun Gothic" w:cs="Calibri"/>
                <w:b/>
              </w:rPr>
              <w:t xml:space="preserve">Bailleurs </w:t>
            </w:r>
          </w:p>
        </w:tc>
        <w:tc>
          <w:tcPr>
            <w:tcW w:w="4382" w:type="dxa"/>
            <w:gridSpan w:val="2"/>
          </w:tcPr>
          <w:p w:rsidR="00A32CDF" w:rsidRPr="00A82815" w:rsidRDefault="00A32CDF" w:rsidP="0047114D">
            <w:pPr>
              <w:jc w:val="center"/>
              <w:rPr>
                <w:rFonts w:eastAsia="Malgun Gothic" w:cs="Calibri"/>
                <w:b/>
              </w:rPr>
            </w:pPr>
            <w:r w:rsidRPr="00A82815">
              <w:rPr>
                <w:rFonts w:eastAsia="Malgun Gothic" w:cs="Calibri"/>
                <w:b/>
              </w:rPr>
              <w:t>Montants</w:t>
            </w:r>
          </w:p>
        </w:tc>
      </w:tr>
      <w:tr w:rsidR="00A32CDF" w:rsidRPr="00A82815" w:rsidTr="0047114D">
        <w:trPr>
          <w:trHeight w:val="70"/>
          <w:jc w:val="center"/>
        </w:trPr>
        <w:tc>
          <w:tcPr>
            <w:tcW w:w="3614" w:type="dxa"/>
            <w:vMerge/>
          </w:tcPr>
          <w:p w:rsidR="00A32CDF" w:rsidRPr="00A82815" w:rsidRDefault="00A32CDF" w:rsidP="0047114D">
            <w:pPr>
              <w:rPr>
                <w:rFonts w:eastAsia="Malgun Gothic" w:cs="Calibri"/>
                <w:b/>
              </w:rPr>
            </w:pPr>
          </w:p>
        </w:tc>
        <w:tc>
          <w:tcPr>
            <w:tcW w:w="0" w:type="auto"/>
          </w:tcPr>
          <w:p w:rsidR="00A32CDF" w:rsidRPr="00A82815" w:rsidRDefault="00A32CDF" w:rsidP="0047114D">
            <w:pPr>
              <w:jc w:val="center"/>
              <w:rPr>
                <w:rFonts w:eastAsia="Malgun Gothic" w:cs="Calibri"/>
                <w:b/>
              </w:rPr>
            </w:pPr>
            <w:r w:rsidRPr="00A82815">
              <w:rPr>
                <w:rFonts w:eastAsia="Malgun Gothic" w:cs="Calibri"/>
                <w:b/>
              </w:rPr>
              <w:t>USD</w:t>
            </w:r>
          </w:p>
        </w:tc>
        <w:tc>
          <w:tcPr>
            <w:tcW w:w="2445" w:type="dxa"/>
          </w:tcPr>
          <w:p w:rsidR="00A32CDF" w:rsidRPr="00A82815" w:rsidRDefault="00A32CDF" w:rsidP="0047114D">
            <w:pPr>
              <w:jc w:val="center"/>
              <w:rPr>
                <w:rFonts w:eastAsia="Malgun Gothic" w:cs="Calibri"/>
                <w:b/>
              </w:rPr>
            </w:pPr>
            <w:r w:rsidRPr="00A82815">
              <w:rPr>
                <w:rFonts w:eastAsia="Malgun Gothic" w:cs="Calibri"/>
                <w:b/>
              </w:rPr>
              <w:t>FCFA</w:t>
            </w:r>
          </w:p>
        </w:tc>
      </w:tr>
      <w:tr w:rsidR="00A32CDF" w:rsidRPr="00A82815" w:rsidTr="0047114D">
        <w:trPr>
          <w:trHeight w:val="243"/>
          <w:jc w:val="center"/>
        </w:trPr>
        <w:tc>
          <w:tcPr>
            <w:tcW w:w="3614" w:type="dxa"/>
          </w:tcPr>
          <w:p w:rsidR="00A32CDF" w:rsidRPr="00A82815" w:rsidRDefault="00A32CDF" w:rsidP="0047114D">
            <w:pPr>
              <w:rPr>
                <w:rFonts w:eastAsia="Malgun Gothic" w:cs="Calibri"/>
              </w:rPr>
            </w:pPr>
            <w:r w:rsidRPr="00A82815">
              <w:rPr>
                <w:rFonts w:eastAsia="Malgun Gothic" w:cs="Calibri"/>
              </w:rPr>
              <w:t>Etat du Mali (en nature)</w:t>
            </w:r>
          </w:p>
        </w:tc>
        <w:tc>
          <w:tcPr>
            <w:tcW w:w="0" w:type="auto"/>
          </w:tcPr>
          <w:p w:rsidR="00A32CDF" w:rsidRPr="00A82815" w:rsidRDefault="00A32CDF" w:rsidP="0047114D">
            <w:pPr>
              <w:jc w:val="right"/>
              <w:rPr>
                <w:rFonts w:eastAsia="Malgun Gothic" w:cs="Calibri"/>
              </w:rPr>
            </w:pPr>
            <w:r w:rsidRPr="00A82815">
              <w:rPr>
                <w:rFonts w:eastAsia="Malgun Gothic" w:cs="Calibri"/>
              </w:rPr>
              <w:t>300 000</w:t>
            </w:r>
          </w:p>
        </w:tc>
        <w:tc>
          <w:tcPr>
            <w:tcW w:w="2445" w:type="dxa"/>
            <w:vAlign w:val="bottom"/>
          </w:tcPr>
          <w:p w:rsidR="00A32CDF" w:rsidRPr="00A82815" w:rsidRDefault="00A32CDF" w:rsidP="0047114D">
            <w:pPr>
              <w:jc w:val="right"/>
              <w:rPr>
                <w:rFonts w:eastAsia="Malgun Gothic" w:cs="Calibri"/>
                <w:lang w:eastAsia="fr-FR"/>
              </w:rPr>
            </w:pPr>
            <w:r w:rsidRPr="00A82815">
              <w:rPr>
                <w:rFonts w:eastAsia="Malgun Gothic" w:cs="Calibri"/>
              </w:rPr>
              <w:t>175 497 000</w:t>
            </w:r>
          </w:p>
        </w:tc>
      </w:tr>
      <w:tr w:rsidR="00A32CDF" w:rsidRPr="00A82815" w:rsidTr="0047114D">
        <w:trPr>
          <w:trHeight w:val="403"/>
          <w:jc w:val="center"/>
        </w:trPr>
        <w:tc>
          <w:tcPr>
            <w:tcW w:w="3614" w:type="dxa"/>
          </w:tcPr>
          <w:p w:rsidR="00A32CDF" w:rsidRPr="00A82815" w:rsidRDefault="00A32CDF" w:rsidP="0047114D">
            <w:pPr>
              <w:rPr>
                <w:rFonts w:eastAsia="Malgun Gothic" w:cs="Calibri"/>
              </w:rPr>
            </w:pPr>
            <w:r w:rsidRPr="00A82815">
              <w:rPr>
                <w:rFonts w:eastAsia="Malgun Gothic" w:cs="Calibri"/>
              </w:rPr>
              <w:t>Etat du Mali (en espèce)</w:t>
            </w:r>
          </w:p>
        </w:tc>
        <w:tc>
          <w:tcPr>
            <w:tcW w:w="0" w:type="auto"/>
          </w:tcPr>
          <w:p w:rsidR="00A32CDF" w:rsidRPr="00A82815" w:rsidRDefault="00A32CDF" w:rsidP="0047114D">
            <w:pPr>
              <w:jc w:val="right"/>
              <w:rPr>
                <w:rFonts w:eastAsia="Malgun Gothic" w:cs="Calibri"/>
              </w:rPr>
            </w:pPr>
            <w:r w:rsidRPr="00A82815">
              <w:rPr>
                <w:rFonts w:eastAsia="Malgun Gothic" w:cs="Calibri"/>
              </w:rPr>
              <w:t>200 000</w:t>
            </w:r>
          </w:p>
        </w:tc>
        <w:tc>
          <w:tcPr>
            <w:tcW w:w="2445" w:type="dxa"/>
            <w:vAlign w:val="bottom"/>
          </w:tcPr>
          <w:p w:rsidR="00A32CDF" w:rsidRPr="00A82815" w:rsidRDefault="00A32CDF" w:rsidP="0047114D">
            <w:pPr>
              <w:jc w:val="right"/>
              <w:rPr>
                <w:rFonts w:eastAsia="Malgun Gothic" w:cs="Calibri"/>
              </w:rPr>
            </w:pPr>
            <w:r w:rsidRPr="00A82815">
              <w:rPr>
                <w:rFonts w:eastAsia="Malgun Gothic" w:cs="Calibri"/>
              </w:rPr>
              <w:t>116 998 000</w:t>
            </w:r>
          </w:p>
        </w:tc>
      </w:tr>
      <w:tr w:rsidR="00A32CDF" w:rsidRPr="00A82815" w:rsidTr="0047114D">
        <w:trPr>
          <w:trHeight w:val="309"/>
          <w:jc w:val="center"/>
        </w:trPr>
        <w:tc>
          <w:tcPr>
            <w:tcW w:w="3614" w:type="dxa"/>
          </w:tcPr>
          <w:p w:rsidR="00A32CDF" w:rsidRPr="00A82815" w:rsidRDefault="00A32CDF" w:rsidP="0047114D">
            <w:pPr>
              <w:rPr>
                <w:rFonts w:eastAsia="Malgun Gothic" w:cs="Calibri"/>
              </w:rPr>
            </w:pPr>
            <w:r w:rsidRPr="00A82815">
              <w:rPr>
                <w:rFonts w:eastAsia="Malgun Gothic" w:cs="Calibri"/>
              </w:rPr>
              <w:t>BMUB</w:t>
            </w:r>
          </w:p>
        </w:tc>
        <w:tc>
          <w:tcPr>
            <w:tcW w:w="0" w:type="auto"/>
          </w:tcPr>
          <w:p w:rsidR="00A32CDF" w:rsidRPr="00A82815" w:rsidRDefault="00A32CDF" w:rsidP="0047114D">
            <w:pPr>
              <w:jc w:val="right"/>
              <w:rPr>
                <w:rFonts w:eastAsia="Malgun Gothic" w:cs="Calibri"/>
              </w:rPr>
            </w:pPr>
            <w:r w:rsidRPr="00A82815">
              <w:rPr>
                <w:rFonts w:eastAsia="Malgun Gothic" w:cs="Calibri"/>
              </w:rPr>
              <w:t>5 492 553.97</w:t>
            </w:r>
          </w:p>
        </w:tc>
        <w:tc>
          <w:tcPr>
            <w:tcW w:w="2445" w:type="dxa"/>
          </w:tcPr>
          <w:p w:rsidR="00A32CDF" w:rsidRPr="00A82815" w:rsidRDefault="00A32CDF" w:rsidP="0047114D">
            <w:pPr>
              <w:jc w:val="right"/>
              <w:rPr>
                <w:rFonts w:eastAsia="Malgun Gothic" w:cs="Calibri"/>
              </w:rPr>
            </w:pPr>
            <w:r w:rsidRPr="00A82815">
              <w:rPr>
                <w:rFonts w:eastAsia="Malgun Gothic" w:cs="Calibri"/>
              </w:rPr>
              <w:t>3 213 089 147</w:t>
            </w:r>
          </w:p>
        </w:tc>
      </w:tr>
      <w:tr w:rsidR="00A32CDF" w:rsidRPr="00A82815" w:rsidTr="0047114D">
        <w:trPr>
          <w:jc w:val="center"/>
        </w:trPr>
        <w:tc>
          <w:tcPr>
            <w:tcW w:w="3614" w:type="dxa"/>
          </w:tcPr>
          <w:p w:rsidR="00A32CDF" w:rsidRPr="00A82815" w:rsidRDefault="00A32CDF" w:rsidP="0047114D">
            <w:pPr>
              <w:rPr>
                <w:rFonts w:eastAsia="Malgun Gothic" w:cs="Calibri"/>
              </w:rPr>
            </w:pPr>
            <w:r w:rsidRPr="00A82815">
              <w:rPr>
                <w:rFonts w:eastAsia="Malgun Gothic" w:cs="Calibri"/>
              </w:rPr>
              <w:t>PNUD</w:t>
            </w:r>
          </w:p>
        </w:tc>
        <w:tc>
          <w:tcPr>
            <w:tcW w:w="0" w:type="auto"/>
          </w:tcPr>
          <w:p w:rsidR="00A32CDF" w:rsidRPr="00A82815" w:rsidRDefault="00A32CDF" w:rsidP="0047114D">
            <w:pPr>
              <w:jc w:val="right"/>
              <w:rPr>
                <w:rFonts w:eastAsia="Malgun Gothic" w:cs="Calibri"/>
              </w:rPr>
            </w:pPr>
            <w:r w:rsidRPr="00A82815">
              <w:rPr>
                <w:rFonts w:eastAsia="Malgun Gothic" w:cs="Calibri"/>
              </w:rPr>
              <w:t>500 000</w:t>
            </w:r>
          </w:p>
        </w:tc>
        <w:tc>
          <w:tcPr>
            <w:tcW w:w="2445" w:type="dxa"/>
          </w:tcPr>
          <w:p w:rsidR="00A32CDF" w:rsidRPr="00A82815" w:rsidRDefault="00A32CDF" w:rsidP="0047114D">
            <w:pPr>
              <w:jc w:val="right"/>
              <w:rPr>
                <w:rFonts w:eastAsia="Malgun Gothic" w:cs="Calibri"/>
              </w:rPr>
            </w:pPr>
            <w:r w:rsidRPr="00A82815">
              <w:rPr>
                <w:rFonts w:eastAsia="Malgun Gothic" w:cs="Calibri"/>
              </w:rPr>
              <w:t>292 495 000</w:t>
            </w:r>
          </w:p>
        </w:tc>
      </w:tr>
      <w:tr w:rsidR="00A32CDF" w:rsidRPr="00A82815" w:rsidTr="0047114D">
        <w:trPr>
          <w:trHeight w:val="176"/>
          <w:jc w:val="center"/>
        </w:trPr>
        <w:tc>
          <w:tcPr>
            <w:tcW w:w="3614" w:type="dxa"/>
          </w:tcPr>
          <w:p w:rsidR="00A32CDF" w:rsidRPr="00A82815" w:rsidRDefault="00A32CDF" w:rsidP="0047114D">
            <w:pPr>
              <w:rPr>
                <w:rFonts w:eastAsia="Malgun Gothic" w:cs="Calibri"/>
                <w:b/>
              </w:rPr>
            </w:pPr>
            <w:r w:rsidRPr="00A82815">
              <w:rPr>
                <w:rFonts w:eastAsia="Malgun Gothic" w:cs="Calibri"/>
                <w:b/>
              </w:rPr>
              <w:t>Total</w:t>
            </w:r>
          </w:p>
        </w:tc>
        <w:tc>
          <w:tcPr>
            <w:tcW w:w="0" w:type="auto"/>
          </w:tcPr>
          <w:p w:rsidR="00A32CDF" w:rsidRPr="00A82815" w:rsidRDefault="00A32CDF" w:rsidP="00A32CDF">
            <w:pPr>
              <w:pStyle w:val="Paragraphedeliste"/>
              <w:numPr>
                <w:ilvl w:val="0"/>
                <w:numId w:val="7"/>
              </w:numPr>
              <w:spacing w:before="0" w:after="200" w:line="276" w:lineRule="auto"/>
              <w:jc w:val="left"/>
              <w:rPr>
                <w:rFonts w:eastAsia="Malgun Gothic" w:cs="Calibri"/>
                <w:b/>
              </w:rPr>
            </w:pPr>
            <w:r w:rsidRPr="00A82815">
              <w:rPr>
                <w:rFonts w:eastAsia="Malgun Gothic" w:cs="Calibri"/>
                <w:b/>
              </w:rPr>
              <w:t>492 553.97</w:t>
            </w:r>
          </w:p>
        </w:tc>
        <w:tc>
          <w:tcPr>
            <w:tcW w:w="2445" w:type="dxa"/>
          </w:tcPr>
          <w:p w:rsidR="00A32CDF" w:rsidRPr="00A82815" w:rsidRDefault="00A32CDF" w:rsidP="0047114D">
            <w:pPr>
              <w:pStyle w:val="Paragraphedeliste"/>
              <w:ind w:left="360"/>
              <w:rPr>
                <w:rFonts w:eastAsia="Malgun Gothic" w:cs="Calibri"/>
                <w:b/>
              </w:rPr>
            </w:pPr>
            <w:r w:rsidRPr="00A82815">
              <w:rPr>
                <w:rFonts w:eastAsia="Malgun Gothic" w:cs="Calibri"/>
                <w:b/>
              </w:rPr>
              <w:t xml:space="preserve">            3 798 079 147</w:t>
            </w:r>
          </w:p>
        </w:tc>
      </w:tr>
    </w:tbl>
    <w:p w:rsidR="00A32CDF" w:rsidRPr="00127190" w:rsidRDefault="00A32CDF" w:rsidP="00A32CDF">
      <w:pPr>
        <w:pStyle w:val="Paragraphedeliste"/>
        <w:numPr>
          <w:ilvl w:val="1"/>
          <w:numId w:val="2"/>
        </w:numPr>
        <w:spacing w:before="0" w:after="200"/>
        <w:jc w:val="left"/>
        <w:outlineLvl w:val="0"/>
        <w:rPr>
          <w:rFonts w:eastAsia="Malgun Gothic" w:cs="Calibri"/>
          <w:b/>
        </w:rPr>
      </w:pPr>
      <w:r w:rsidRPr="00127190">
        <w:rPr>
          <w:rFonts w:eastAsia="Malgun Gothic" w:cs="Calibri"/>
          <w:b/>
        </w:rPr>
        <w:t>Réalisations</w:t>
      </w:r>
    </w:p>
    <w:p w:rsidR="00A32CDF" w:rsidRPr="002C5356" w:rsidRDefault="00A32CDF" w:rsidP="00A32CDF">
      <w:pPr>
        <w:rPr>
          <w:rFonts w:eastAsia="Malgun Gothic" w:cs="Calibri"/>
          <w:b/>
        </w:rPr>
      </w:pPr>
      <w:r w:rsidRPr="002C5356">
        <w:rPr>
          <w:rFonts w:eastAsia="Malgun Gothic" w:cs="Calibri"/>
          <w:b/>
        </w:rPr>
        <w:t>Résultat 1</w:t>
      </w:r>
    </w:p>
    <w:p w:rsidR="00A32CDF" w:rsidRPr="002C5356" w:rsidRDefault="00A32CDF" w:rsidP="00A32CDF">
      <w:pPr>
        <w:pStyle w:val="Paragraphedeliste"/>
        <w:numPr>
          <w:ilvl w:val="0"/>
          <w:numId w:val="8"/>
        </w:numPr>
        <w:spacing w:before="0" w:after="0"/>
        <w:rPr>
          <w:rFonts w:eastAsia="Malgun Gothic" w:cs="Calibri"/>
        </w:rPr>
      </w:pPr>
      <w:r w:rsidRPr="002C5356">
        <w:rPr>
          <w:rFonts w:eastAsia="Malgun Gothic" w:cs="Calibri"/>
        </w:rPr>
        <w:t>Evaluation de l’état du réseau météorologique des régions de Kayes, Koulikoro, Sikasso, Ségou et du District de Bamako</w:t>
      </w:r>
    </w:p>
    <w:p w:rsidR="00A32CDF" w:rsidRPr="002C5356" w:rsidRDefault="00A32CDF" w:rsidP="00A32CDF">
      <w:pPr>
        <w:pStyle w:val="Paragraphedeliste"/>
        <w:numPr>
          <w:ilvl w:val="0"/>
          <w:numId w:val="8"/>
        </w:numPr>
        <w:spacing w:after="0"/>
        <w:contextualSpacing w:val="0"/>
        <w:rPr>
          <w:rFonts w:eastAsia="Malgun Gothic" w:cs="Calibri"/>
        </w:rPr>
      </w:pPr>
      <w:r w:rsidRPr="002C5356">
        <w:rPr>
          <w:rFonts w:eastAsia="Malgun Gothic" w:cs="Calibri"/>
        </w:rPr>
        <w:t>Création du " Comité Technique et Scientifique " par décision N°0133 en date du 20/10/2017 du Ministre de l'Environnement, de l'Assainissement et du Développement Durable. Les structures qui composent ce Comité sont : AEDD, Mali Météo, CNRST, ENI-ABT, ISFRA, IPR/IFRA, IER et FAST ;</w:t>
      </w:r>
    </w:p>
    <w:p w:rsidR="00A32CDF" w:rsidRPr="002C5356" w:rsidRDefault="00A32CDF" w:rsidP="00A32CDF">
      <w:pPr>
        <w:pStyle w:val="Paragraphedeliste"/>
        <w:numPr>
          <w:ilvl w:val="0"/>
          <w:numId w:val="8"/>
        </w:numPr>
        <w:spacing w:after="0"/>
        <w:contextualSpacing w:val="0"/>
        <w:rPr>
          <w:rFonts w:eastAsia="Malgun Gothic" w:cs="Calibri"/>
        </w:rPr>
      </w:pPr>
      <w:r w:rsidRPr="002C5356">
        <w:rPr>
          <w:rFonts w:eastAsia="Malgun Gothic" w:cs="Calibri"/>
        </w:rPr>
        <w:t>Tenue de la première réunion du Comité Technique et Scientifique le mercredi 17 octobre 2018 ;</w:t>
      </w:r>
    </w:p>
    <w:p w:rsidR="00A32CDF" w:rsidRPr="002C5356" w:rsidRDefault="00A32CDF" w:rsidP="00A32CDF">
      <w:pPr>
        <w:pStyle w:val="Paragraphedeliste"/>
        <w:numPr>
          <w:ilvl w:val="0"/>
          <w:numId w:val="8"/>
        </w:numPr>
        <w:spacing w:before="0" w:after="0"/>
        <w:rPr>
          <w:rFonts w:eastAsia="Malgun Gothic" w:cs="Calibri"/>
        </w:rPr>
      </w:pPr>
      <w:r w:rsidRPr="002C5356">
        <w:rPr>
          <w:rFonts w:eastAsia="Malgun Gothic" w:cs="Calibri"/>
        </w:rPr>
        <w:t>Acquisition en cours de cinq (05) stations météorologiques automatiques au compte de Mali Météo</w:t>
      </w:r>
    </w:p>
    <w:p w:rsidR="00A32CDF" w:rsidRPr="002C5356" w:rsidRDefault="00A32CDF" w:rsidP="00A32CDF">
      <w:pPr>
        <w:rPr>
          <w:rFonts w:eastAsia="Malgun Gothic" w:cs="Calibri"/>
          <w:b/>
        </w:rPr>
      </w:pPr>
      <w:r w:rsidRPr="002C5356">
        <w:rPr>
          <w:rFonts w:eastAsia="Malgun Gothic" w:cs="Calibri"/>
          <w:b/>
        </w:rPr>
        <w:t>Résultat 2</w:t>
      </w:r>
    </w:p>
    <w:p w:rsidR="00A32CDF" w:rsidRPr="002C5356" w:rsidRDefault="00A32CDF" w:rsidP="00A32CDF">
      <w:pPr>
        <w:pStyle w:val="Paragraphedeliste"/>
        <w:numPr>
          <w:ilvl w:val="0"/>
          <w:numId w:val="8"/>
        </w:numPr>
        <w:spacing w:after="0"/>
        <w:contextualSpacing w:val="0"/>
        <w:rPr>
          <w:rFonts w:eastAsia="Malgun Gothic" w:cs="Calibri"/>
        </w:rPr>
      </w:pPr>
      <w:r w:rsidRPr="002C5356">
        <w:rPr>
          <w:rFonts w:eastAsia="Malgun Gothic" w:cs="Calibri"/>
        </w:rPr>
        <w:t>Recrutement en cours d'un consultant international pour l'élaboration du plan de communication du Fonds Climat Mali</w:t>
      </w:r>
    </w:p>
    <w:p w:rsidR="00A32CDF" w:rsidRPr="002C5356" w:rsidRDefault="00A32CDF" w:rsidP="00A32CDF">
      <w:pPr>
        <w:rPr>
          <w:rFonts w:eastAsia="Malgun Gothic" w:cs="Calibri"/>
          <w:b/>
        </w:rPr>
      </w:pPr>
      <w:r w:rsidRPr="002C5356">
        <w:rPr>
          <w:rFonts w:eastAsia="Malgun Gothic" w:cs="Calibri"/>
          <w:b/>
        </w:rPr>
        <w:t xml:space="preserve"> Résultat 3</w:t>
      </w:r>
    </w:p>
    <w:p w:rsidR="00A32CDF" w:rsidRPr="002C5356" w:rsidRDefault="00A32CDF" w:rsidP="00A32CDF">
      <w:pPr>
        <w:pStyle w:val="Paragraphedeliste"/>
        <w:numPr>
          <w:ilvl w:val="0"/>
          <w:numId w:val="8"/>
        </w:numPr>
        <w:spacing w:before="0" w:after="0"/>
        <w:ind w:left="714" w:hanging="357"/>
        <w:rPr>
          <w:rFonts w:eastAsia="Malgun Gothic" w:cs="Calibri"/>
        </w:rPr>
      </w:pPr>
      <w:r w:rsidRPr="002C5356">
        <w:rPr>
          <w:rFonts w:eastAsia="Malgun Gothic" w:cs="Calibri"/>
        </w:rPr>
        <w:t>Choix des dix communes d’intervention dans les régions de Kayes et Sikasso pour la mise en œuvre des mesures d’adaptation ;</w:t>
      </w:r>
    </w:p>
    <w:p w:rsidR="00A32CDF" w:rsidRPr="002C5356" w:rsidRDefault="00A32CDF" w:rsidP="00A32CDF">
      <w:pPr>
        <w:pStyle w:val="Paragraphedeliste"/>
        <w:numPr>
          <w:ilvl w:val="0"/>
          <w:numId w:val="8"/>
        </w:numPr>
        <w:spacing w:before="0" w:after="0"/>
        <w:ind w:left="714" w:hanging="357"/>
        <w:rPr>
          <w:rFonts w:eastAsia="Malgun Gothic" w:cs="Calibri"/>
        </w:rPr>
      </w:pPr>
      <w:r w:rsidRPr="002C5356">
        <w:rPr>
          <w:rFonts w:eastAsia="Malgun Gothic" w:cs="Calibri"/>
        </w:rPr>
        <w:t xml:space="preserve">Sensibilisation, information des communes bénéficiaires, et, identification et priorisation des activités d’adaptation in situ. </w:t>
      </w:r>
    </w:p>
    <w:p w:rsidR="00A32CDF" w:rsidRPr="002C5356" w:rsidRDefault="00A32CDF" w:rsidP="00A32CDF">
      <w:pPr>
        <w:pStyle w:val="Paragraphedeliste"/>
        <w:numPr>
          <w:ilvl w:val="0"/>
          <w:numId w:val="8"/>
        </w:numPr>
        <w:spacing w:before="0" w:after="0"/>
        <w:ind w:left="714" w:hanging="357"/>
        <w:jc w:val="left"/>
        <w:rPr>
          <w:rFonts w:eastAsia="Malgun Gothic" w:cs="Calibri"/>
        </w:rPr>
      </w:pPr>
      <w:r w:rsidRPr="002C5356">
        <w:rPr>
          <w:rFonts w:eastAsia="Malgun Gothic" w:cs="Calibri"/>
        </w:rPr>
        <w:t>Réalisation des études de références sur les mesures d’adaptation ;</w:t>
      </w:r>
    </w:p>
    <w:p w:rsidR="00A32CDF" w:rsidRPr="002C5356" w:rsidRDefault="00A32CDF" w:rsidP="00A32CDF">
      <w:pPr>
        <w:pStyle w:val="Paragraphedeliste"/>
        <w:numPr>
          <w:ilvl w:val="0"/>
          <w:numId w:val="8"/>
        </w:numPr>
        <w:spacing w:before="0" w:after="0"/>
        <w:ind w:left="714" w:hanging="357"/>
        <w:rPr>
          <w:rFonts w:eastAsia="Malgun Gothic" w:cs="Calibri"/>
        </w:rPr>
      </w:pPr>
      <w:r w:rsidRPr="002C5356">
        <w:rPr>
          <w:rFonts w:eastAsia="Malgun Gothic" w:cs="Calibri"/>
        </w:rPr>
        <w:t>Formation des agents (40 agents) d’encadrement sur les champs écoles et le compostage dans les dix communes des régions de Sikasso et Kayes ;</w:t>
      </w:r>
    </w:p>
    <w:p w:rsidR="00A32CDF" w:rsidRPr="002C5356" w:rsidRDefault="00A32CDF" w:rsidP="00A32CDF">
      <w:pPr>
        <w:pStyle w:val="Paragraphedeliste"/>
        <w:numPr>
          <w:ilvl w:val="0"/>
          <w:numId w:val="8"/>
        </w:numPr>
        <w:spacing w:before="0" w:after="0"/>
        <w:ind w:left="714" w:hanging="357"/>
        <w:rPr>
          <w:rFonts w:eastAsia="Malgun Gothic" w:cs="Calibri"/>
        </w:rPr>
      </w:pPr>
      <w:r w:rsidRPr="002C5356">
        <w:rPr>
          <w:rFonts w:eastAsia="Malgun Gothic" w:cs="Calibri"/>
        </w:rPr>
        <w:t xml:space="preserve">Equipements des 10 communes pour le compostage (20 charrettes, 20 ânes au total) ; </w:t>
      </w:r>
    </w:p>
    <w:p w:rsidR="00A32CDF" w:rsidRPr="002C5356" w:rsidRDefault="00A32CDF" w:rsidP="00A32CDF">
      <w:pPr>
        <w:pStyle w:val="Paragraphedeliste"/>
        <w:numPr>
          <w:ilvl w:val="0"/>
          <w:numId w:val="8"/>
        </w:numPr>
        <w:spacing w:after="0"/>
        <w:contextualSpacing w:val="0"/>
        <w:rPr>
          <w:rFonts w:eastAsia="Malgun Gothic" w:cs="Calibri"/>
        </w:rPr>
      </w:pPr>
      <w:r w:rsidRPr="002C5356">
        <w:rPr>
          <w:rFonts w:eastAsia="Malgun Gothic" w:cs="Calibri"/>
        </w:rPr>
        <w:t>Formation et remise d’intrants à 803 producteurs dont   148 femmes sur les techniques culturales, les variétés améliorées dans le cadre des Champs Ecoles Producteurs (CEP) dans 29 villages des 10 communes des régions de Kayes et Sikasso ;</w:t>
      </w:r>
    </w:p>
    <w:p w:rsidR="00A32CDF" w:rsidRPr="002C5356" w:rsidRDefault="00A32CDF" w:rsidP="00A32CDF">
      <w:pPr>
        <w:pStyle w:val="Paragraphedeliste"/>
        <w:numPr>
          <w:ilvl w:val="0"/>
          <w:numId w:val="8"/>
        </w:numPr>
        <w:spacing w:after="0"/>
        <w:contextualSpacing w:val="0"/>
        <w:rPr>
          <w:rFonts w:eastAsia="Malgun Gothic" w:cs="Calibri"/>
        </w:rPr>
      </w:pPr>
      <w:r w:rsidRPr="002C5356">
        <w:rPr>
          <w:rFonts w:eastAsia="Malgun Gothic" w:cs="Calibri"/>
        </w:rPr>
        <w:t>Formation de 50 agents (agents communaux et chefs secteurs d’agriculture) et producteurs sur les pratiques agricoles résilientes au changement climatique à travers les champs écoles producteurs sur les cultures sèches dans les communes d’intervention de Kayes ;</w:t>
      </w:r>
    </w:p>
    <w:p w:rsidR="00A32CDF" w:rsidRPr="002C5356" w:rsidRDefault="00A32CDF" w:rsidP="00A32CDF">
      <w:pPr>
        <w:pStyle w:val="Paragraphedeliste"/>
        <w:numPr>
          <w:ilvl w:val="0"/>
          <w:numId w:val="8"/>
        </w:numPr>
        <w:spacing w:after="0"/>
        <w:ind w:left="714" w:hanging="357"/>
        <w:contextualSpacing w:val="0"/>
        <w:rPr>
          <w:rFonts w:eastAsia="Malgun Gothic" w:cs="Calibri"/>
        </w:rPr>
      </w:pPr>
      <w:r w:rsidRPr="002C5356">
        <w:rPr>
          <w:rFonts w:eastAsia="Malgun Gothic" w:cs="Calibri"/>
        </w:rPr>
        <w:t>Réalisation de dix (10) forages avec pompage solaire pour : (i) trois (03) périmètres maraîchers au bénéfice de 300 femmes, et, (ii) sept (07) Adductions d'Eau Sommaires (au bénéfice d'une population d'environ 8000 habitants) équipés de   bornes fontaines et d'abreuvoirs pour les bétails ;</w:t>
      </w:r>
    </w:p>
    <w:p w:rsidR="00A32CDF" w:rsidRPr="002C5356" w:rsidRDefault="00A32CDF" w:rsidP="00A32CDF">
      <w:pPr>
        <w:pStyle w:val="Paragraphedeliste"/>
        <w:numPr>
          <w:ilvl w:val="0"/>
          <w:numId w:val="8"/>
        </w:numPr>
        <w:spacing w:after="0"/>
        <w:ind w:left="714" w:hanging="357"/>
        <w:contextualSpacing w:val="0"/>
        <w:rPr>
          <w:rFonts w:eastAsia="Malgun Gothic" w:cs="Calibri"/>
        </w:rPr>
      </w:pPr>
      <w:r w:rsidRPr="002C5356">
        <w:rPr>
          <w:rFonts w:eastAsia="Malgun Gothic" w:cs="Calibri"/>
        </w:rPr>
        <w:t>Mise en place de cinq (5) comités de gestion des points d’eau réalisés dans la région de Kayes, et, équipement et formation en maintenance de ces comités ;</w:t>
      </w:r>
    </w:p>
    <w:p w:rsidR="00A32CDF" w:rsidRPr="002C5356" w:rsidRDefault="00A32CDF" w:rsidP="00A32CDF">
      <w:pPr>
        <w:pStyle w:val="Paragraphedeliste"/>
        <w:numPr>
          <w:ilvl w:val="0"/>
          <w:numId w:val="8"/>
        </w:numPr>
        <w:spacing w:after="0"/>
        <w:rPr>
          <w:rFonts w:eastAsia="Malgun Gothic" w:cs="Calibri"/>
        </w:rPr>
      </w:pPr>
      <w:r w:rsidRPr="002C5356">
        <w:rPr>
          <w:rFonts w:eastAsia="Malgun Gothic" w:cs="Calibri"/>
        </w:rPr>
        <w:t xml:space="preserve">Réalisation de six (06) retenues d'eau sur six (06) sites et l'aménagement d'une (01) mare pour un potentiel total de : </w:t>
      </w:r>
    </w:p>
    <w:p w:rsidR="00A32CDF" w:rsidRPr="002C5356" w:rsidRDefault="00A32CDF" w:rsidP="00A32CDF">
      <w:pPr>
        <w:pStyle w:val="Paragraphedeliste"/>
        <w:numPr>
          <w:ilvl w:val="0"/>
          <w:numId w:val="9"/>
        </w:numPr>
        <w:spacing w:after="0"/>
        <w:rPr>
          <w:rFonts w:eastAsia="Malgun Gothic" w:cs="Calibri"/>
        </w:rPr>
      </w:pPr>
      <w:r w:rsidRPr="002C5356">
        <w:rPr>
          <w:rFonts w:eastAsia="Malgun Gothic" w:cs="Calibri"/>
        </w:rPr>
        <w:t xml:space="preserve">133 hectares pour la riziculture, </w:t>
      </w:r>
    </w:p>
    <w:p w:rsidR="00A32CDF" w:rsidRPr="002C5356" w:rsidRDefault="00A32CDF" w:rsidP="00A32CDF">
      <w:pPr>
        <w:pStyle w:val="Paragraphedeliste"/>
        <w:numPr>
          <w:ilvl w:val="0"/>
          <w:numId w:val="9"/>
        </w:numPr>
        <w:spacing w:after="0"/>
        <w:rPr>
          <w:rFonts w:eastAsia="Malgun Gothic" w:cs="Calibri"/>
        </w:rPr>
      </w:pPr>
      <w:r w:rsidRPr="002C5356">
        <w:rPr>
          <w:rFonts w:eastAsia="Malgun Gothic" w:cs="Calibri"/>
        </w:rPr>
        <w:t xml:space="preserve">75,5 hectares pour le maraîchage, et, </w:t>
      </w:r>
    </w:p>
    <w:p w:rsidR="00A32CDF" w:rsidRPr="002C5356" w:rsidRDefault="00A32CDF" w:rsidP="00A32CDF">
      <w:pPr>
        <w:pStyle w:val="Paragraphedeliste"/>
        <w:numPr>
          <w:ilvl w:val="0"/>
          <w:numId w:val="9"/>
        </w:numPr>
        <w:spacing w:after="0"/>
        <w:rPr>
          <w:rFonts w:eastAsia="Malgun Gothic" w:cs="Calibri"/>
        </w:rPr>
      </w:pPr>
      <w:r w:rsidRPr="002C5356">
        <w:rPr>
          <w:rFonts w:eastAsia="Malgun Gothic" w:cs="Calibri"/>
        </w:rPr>
        <w:t>25,5 hectares pour la pisciculture.</w:t>
      </w:r>
    </w:p>
    <w:p w:rsidR="00A32CDF" w:rsidRPr="002C5356" w:rsidRDefault="00A32CDF" w:rsidP="00A32CDF">
      <w:pPr>
        <w:pStyle w:val="Paragraphedeliste"/>
        <w:numPr>
          <w:ilvl w:val="0"/>
          <w:numId w:val="8"/>
        </w:numPr>
        <w:spacing w:before="0" w:after="0"/>
        <w:ind w:left="714" w:hanging="357"/>
        <w:rPr>
          <w:rFonts w:eastAsia="Malgun Gothic" w:cs="Calibri"/>
        </w:rPr>
      </w:pPr>
      <w:r w:rsidRPr="002C5356">
        <w:rPr>
          <w:rFonts w:eastAsia="Malgun Gothic" w:cs="Calibri"/>
        </w:rPr>
        <w:t xml:space="preserve">Aménagement en cours de la mare de </w:t>
      </w:r>
      <w:proofErr w:type="spellStart"/>
      <w:r w:rsidRPr="002C5356">
        <w:rPr>
          <w:rFonts w:eastAsia="Malgun Gothic" w:cs="Calibri"/>
        </w:rPr>
        <w:t>Koumbou</w:t>
      </w:r>
      <w:proofErr w:type="spellEnd"/>
      <w:r w:rsidRPr="002C5356">
        <w:rPr>
          <w:rFonts w:eastAsia="Malgun Gothic" w:cs="Calibri"/>
        </w:rPr>
        <w:t> ;</w:t>
      </w:r>
    </w:p>
    <w:p w:rsidR="00A32CDF" w:rsidRPr="002C5356" w:rsidRDefault="00A32CDF" w:rsidP="00A32CDF">
      <w:pPr>
        <w:pStyle w:val="Paragraphedeliste"/>
        <w:numPr>
          <w:ilvl w:val="0"/>
          <w:numId w:val="8"/>
        </w:numPr>
        <w:spacing w:before="0" w:after="0"/>
        <w:ind w:left="714" w:hanging="357"/>
        <w:jc w:val="left"/>
        <w:rPr>
          <w:rFonts w:eastAsia="Malgun Gothic" w:cs="Calibri"/>
        </w:rPr>
      </w:pPr>
      <w:r w:rsidRPr="002C5356">
        <w:rPr>
          <w:rFonts w:eastAsia="Malgun Gothic" w:cs="Calibri"/>
        </w:rPr>
        <w:t xml:space="preserve">Réalisation en cours : </w:t>
      </w:r>
      <w:r w:rsidRPr="002C5356">
        <w:rPr>
          <w:rFonts w:eastAsia="Malgun Gothic" w:cs="Calibri"/>
        </w:rPr>
        <w:br/>
        <w:t xml:space="preserve">(1) d’un (1) périmètre pastoral de 25 ha avec forage équipe de panneaux solaires dans la localité de Nioro </w:t>
      </w:r>
      <w:proofErr w:type="spellStart"/>
      <w:proofErr w:type="gramStart"/>
      <w:r w:rsidRPr="002C5356">
        <w:rPr>
          <w:rFonts w:eastAsia="Malgun Gothic" w:cs="Calibri"/>
        </w:rPr>
        <w:t>Tougouné</w:t>
      </w:r>
      <w:proofErr w:type="spellEnd"/>
      <w:r w:rsidRPr="002C5356">
        <w:rPr>
          <w:rFonts w:eastAsia="Malgun Gothic" w:cs="Calibri"/>
        </w:rPr>
        <w:t>;</w:t>
      </w:r>
      <w:proofErr w:type="gramEnd"/>
      <w:r w:rsidRPr="002C5356">
        <w:rPr>
          <w:rFonts w:eastAsia="Malgun Gothic" w:cs="Calibri"/>
        </w:rPr>
        <w:br/>
        <w:t xml:space="preserve">(2) d’une (1) Adductions d'Eau Sommaire pour le village de </w:t>
      </w:r>
      <w:proofErr w:type="spellStart"/>
      <w:r w:rsidRPr="002C5356">
        <w:rPr>
          <w:rFonts w:eastAsia="Malgun Gothic" w:cs="Calibri"/>
        </w:rPr>
        <w:t>Kamané</w:t>
      </w:r>
      <w:proofErr w:type="spellEnd"/>
      <w:r w:rsidRPr="002C5356">
        <w:rPr>
          <w:rFonts w:eastAsia="Malgun Gothic" w:cs="Calibri"/>
        </w:rPr>
        <w:t> ;</w:t>
      </w:r>
      <w:r w:rsidRPr="002C5356">
        <w:rPr>
          <w:rFonts w:eastAsia="Malgun Gothic" w:cs="Calibri"/>
        </w:rPr>
        <w:br/>
        <w:t>(3) de dis (10) ha d’agro foresterie de reboisement compensatoire à la suite des travaux de retenue d’eau dans la région de Sikasso.</w:t>
      </w:r>
    </w:p>
    <w:p w:rsidR="00A32CDF" w:rsidRDefault="00A32CDF" w:rsidP="00A32CDF">
      <w:pPr>
        <w:pStyle w:val="Paragraphedeliste"/>
        <w:spacing w:after="0"/>
        <w:rPr>
          <w:rFonts w:cs="Calibri"/>
          <w:b/>
          <w:u w:val="single"/>
        </w:rPr>
      </w:pPr>
    </w:p>
    <w:p w:rsidR="00A32CDF" w:rsidRDefault="00A32CDF" w:rsidP="00A32CDF">
      <w:pPr>
        <w:pStyle w:val="Paragraphedeliste"/>
        <w:numPr>
          <w:ilvl w:val="0"/>
          <w:numId w:val="2"/>
        </w:numPr>
        <w:spacing w:before="0" w:after="0"/>
        <w:rPr>
          <w:rFonts w:cs="Calibri"/>
          <w:b/>
          <w:u w:val="single"/>
        </w:rPr>
      </w:pPr>
      <w:r w:rsidRPr="0052396D">
        <w:rPr>
          <w:rFonts w:cs="Calibri"/>
          <w:b/>
          <w:u w:val="single"/>
        </w:rPr>
        <w:t xml:space="preserve">Description de la mission </w:t>
      </w:r>
    </w:p>
    <w:p w:rsidR="00A32CDF" w:rsidRDefault="00A32CDF" w:rsidP="00A32CDF">
      <w:pPr>
        <w:tabs>
          <w:tab w:val="left" w:pos="0"/>
        </w:tabs>
        <w:spacing w:after="0"/>
        <w:rPr>
          <w:rFonts w:eastAsia="Malgun Gothic" w:cs="Calibri"/>
        </w:rPr>
      </w:pPr>
      <w:r w:rsidRPr="002C5356">
        <w:rPr>
          <w:rFonts w:eastAsia="Malgun Gothic" w:cs="Calibri"/>
        </w:rPr>
        <w:t>L’examen à mi-parcours évaluera les progrès accomplis vers la réalisation des objectifs et des résultats du projet, tels qu’énoncés dans le Document de projet, et mesurera les premiers signes de réussite ou d’échec du projet, de manière à définir les changements qu’il faut opérer pour remettre le projet sur la voie de la réalisation des résultats escomptés. L’examen à mi-parcours examinera aussi la stratégie du projet et les risques concernant sa durabilité.</w:t>
      </w:r>
    </w:p>
    <w:p w:rsidR="00A32CDF" w:rsidRPr="002C5356" w:rsidRDefault="00A32CDF" w:rsidP="00A32CDF">
      <w:pPr>
        <w:tabs>
          <w:tab w:val="left" w:pos="0"/>
        </w:tabs>
        <w:spacing w:after="0"/>
        <w:rPr>
          <w:rFonts w:eastAsia="Malgun Gothic" w:cs="Calibri"/>
        </w:rPr>
      </w:pPr>
    </w:p>
    <w:p w:rsidR="00A32CDF" w:rsidRPr="002C5356" w:rsidRDefault="00A32CDF" w:rsidP="00A32CDF">
      <w:pPr>
        <w:spacing w:after="0"/>
        <w:rPr>
          <w:rFonts w:eastAsia="Malgun Gothic" w:cs="Calibri"/>
        </w:rPr>
      </w:pPr>
      <w:r w:rsidRPr="002C5356">
        <w:rPr>
          <w:rFonts w:eastAsia="Malgun Gothic" w:cs="Calibri"/>
        </w:rPr>
        <w:t xml:space="preserve">L’examen à mi-parcours doit fournir des informations fondées sur des données factuelles crédibles, fiables et utiles. L’équipe chargée de l’examen examinera toutes les sources d’informations pertinentes, y compris les documents élaborés pendant la phase de préparation du </w:t>
      </w:r>
      <w:proofErr w:type="gramStart"/>
      <w:r w:rsidRPr="002C5356">
        <w:rPr>
          <w:rFonts w:eastAsia="Malgun Gothic" w:cs="Calibri"/>
        </w:rPr>
        <w:t>projet(</w:t>
      </w:r>
      <w:proofErr w:type="gramEnd"/>
      <w:r w:rsidRPr="002C5356">
        <w:rPr>
          <w:rFonts w:eastAsia="Malgun Gothic" w:cs="Calibri"/>
        </w:rPr>
        <w:t xml:space="preserve">par exemple, le Document de projet, les rapports de projets dont </w:t>
      </w:r>
      <w:r w:rsidRPr="00454249">
        <w:rPr>
          <w:rFonts w:eastAsia="Malgun Gothic" w:cs="Calibri"/>
        </w:rPr>
        <w:t>les rapports</w:t>
      </w:r>
      <w:r w:rsidRPr="002C5356">
        <w:rPr>
          <w:rFonts w:eastAsia="Malgun Gothic" w:cs="Calibri"/>
        </w:rPr>
        <w:t xml:space="preserve"> annuel </w:t>
      </w:r>
      <w:r w:rsidRPr="00454249">
        <w:rPr>
          <w:rFonts w:eastAsia="Malgun Gothic" w:cs="Calibri"/>
        </w:rPr>
        <w:t xml:space="preserve">et semi-annuels </w:t>
      </w:r>
      <w:r w:rsidRPr="002C5356">
        <w:rPr>
          <w:rFonts w:eastAsia="Malgun Gothic" w:cs="Calibri"/>
        </w:rPr>
        <w:t xml:space="preserve">de projet, la révision des budgets du projet, les rapports d’enseignements tirés, les documents stratégiques et juridiques nationaux, et tout autre matériel que l’équipe juge utile pour étayer l’examen). L’équipe travaillera également en collaboration avec l’équipe de la GIZ au Mali.  </w:t>
      </w:r>
    </w:p>
    <w:p w:rsidR="00A32CDF" w:rsidRDefault="00A32CDF" w:rsidP="00A32CDF">
      <w:pPr>
        <w:rPr>
          <w:rFonts w:eastAsia="Malgun Gothic" w:cs="Calibri"/>
        </w:rPr>
      </w:pPr>
    </w:p>
    <w:p w:rsidR="00A32CDF" w:rsidRPr="002C5356" w:rsidRDefault="00A32CDF" w:rsidP="00A32CDF">
      <w:pPr>
        <w:rPr>
          <w:rFonts w:eastAsia="Malgun Gothic" w:cs="Calibri"/>
        </w:rPr>
      </w:pPr>
      <w:r w:rsidRPr="002C5356">
        <w:rPr>
          <w:rFonts w:eastAsia="Malgun Gothic" w:cs="Calibri"/>
        </w:rPr>
        <w:t>L’équipe chargée de l’examen à mi-parcours doit suivre une approche collaborative et participative afin d’assurer une participation active de l’équipe du projet, des homologues gouvernementaux, des bureaux de pays du PNUD, des conseillers techniques régionaux PNUD-</w:t>
      </w:r>
      <w:r w:rsidRPr="00454249">
        <w:rPr>
          <w:rFonts w:eastAsia="Malgun Gothic" w:cs="Calibri"/>
        </w:rPr>
        <w:t>FEM</w:t>
      </w:r>
      <w:r w:rsidRPr="002C5356">
        <w:rPr>
          <w:rFonts w:eastAsia="Malgun Gothic" w:cs="Calibri"/>
        </w:rPr>
        <w:t xml:space="preserve">, et autres parties prenantes principales. </w:t>
      </w:r>
    </w:p>
    <w:p w:rsidR="00A32CDF" w:rsidRPr="002C5356" w:rsidRDefault="00A32CDF" w:rsidP="00A32CDF">
      <w:pPr>
        <w:rPr>
          <w:rFonts w:eastAsia="Malgun Gothic" w:cs="Calibri"/>
        </w:rPr>
      </w:pPr>
      <w:r w:rsidRPr="002C5356">
        <w:rPr>
          <w:rFonts w:eastAsia="Malgun Gothic" w:cs="Calibri"/>
        </w:rPr>
        <w:t>La participation des parties prenantes est fondamentale à la conduite de l’examen à mi-parcours avec succès.  Cette participation doit consister en des entretiens avec les parties prenantes qui assument des responsabilités liées au projet, à savoir entre autres : organismes d’exécution, hauts fonctionnaires et responsables des équipes de travail/d’activités, principaux experts et consultants dans les domaines liés au projet, Comité de pilotage du projet, parties prenantes au projet, monde universitaire, gouvernements locaux et les OSC, etc. En outre, l’équipe chargée de l’examen à mi-parcours doit conduire des missions sur le terrain à Kayes et à Sikasso</w:t>
      </w:r>
      <w:r w:rsidRPr="0082093C">
        <w:rPr>
          <w:rFonts w:eastAsia="Malgun Gothic" w:cs="Calibri"/>
          <w:i/>
          <w:highlight w:val="lightGray"/>
          <w:shd w:val="clear" w:color="auto" w:fill="FFFFFF"/>
        </w:rPr>
        <w:t>,</w:t>
      </w:r>
      <w:r w:rsidRPr="002C5356">
        <w:rPr>
          <w:rFonts w:eastAsia="Malgun Gothic" w:cs="Calibri"/>
        </w:rPr>
        <w:t xml:space="preserve"> notamment sur les sites du projet suivants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321"/>
        <w:gridCol w:w="1689"/>
        <w:gridCol w:w="2341"/>
        <w:gridCol w:w="3544"/>
      </w:tblGrid>
      <w:tr w:rsidR="00A32CDF" w:rsidRPr="00A82815" w:rsidTr="0047114D">
        <w:trPr>
          <w:trHeight w:val="467"/>
          <w:jc w:val="center"/>
        </w:trPr>
        <w:tc>
          <w:tcPr>
            <w:tcW w:w="598" w:type="dxa"/>
            <w:shd w:val="clear" w:color="auto" w:fill="auto"/>
          </w:tcPr>
          <w:p w:rsidR="00A32CDF" w:rsidRPr="00A82815" w:rsidRDefault="00A32CDF" w:rsidP="0047114D">
            <w:pPr>
              <w:rPr>
                <w:rFonts w:eastAsia="Malgun Gothic" w:cs="Calibri"/>
                <w:b/>
              </w:rPr>
            </w:pPr>
            <w:r w:rsidRPr="00A82815">
              <w:rPr>
                <w:rFonts w:eastAsia="Malgun Gothic" w:cs="Calibri"/>
                <w:b/>
              </w:rPr>
              <w:t>N°</w:t>
            </w:r>
          </w:p>
        </w:tc>
        <w:tc>
          <w:tcPr>
            <w:tcW w:w="1321" w:type="dxa"/>
            <w:shd w:val="clear" w:color="auto" w:fill="auto"/>
          </w:tcPr>
          <w:p w:rsidR="00A32CDF" w:rsidRPr="00A82815" w:rsidRDefault="00A32CDF" w:rsidP="0047114D">
            <w:pPr>
              <w:rPr>
                <w:rFonts w:eastAsia="Malgun Gothic" w:cs="Calibri"/>
                <w:b/>
              </w:rPr>
            </w:pPr>
            <w:r w:rsidRPr="00A82815">
              <w:rPr>
                <w:rFonts w:eastAsia="Malgun Gothic" w:cs="Calibri"/>
                <w:b/>
              </w:rPr>
              <w:t>Régions</w:t>
            </w:r>
          </w:p>
        </w:tc>
        <w:tc>
          <w:tcPr>
            <w:tcW w:w="1689" w:type="dxa"/>
            <w:shd w:val="clear" w:color="auto" w:fill="auto"/>
          </w:tcPr>
          <w:p w:rsidR="00A32CDF" w:rsidRPr="00A82815" w:rsidRDefault="00A32CDF" w:rsidP="0047114D">
            <w:pPr>
              <w:rPr>
                <w:rFonts w:eastAsia="Malgun Gothic" w:cs="Calibri"/>
                <w:b/>
              </w:rPr>
            </w:pPr>
            <w:r w:rsidRPr="00A82815">
              <w:rPr>
                <w:rFonts w:eastAsia="Malgun Gothic" w:cs="Calibri"/>
                <w:b/>
              </w:rPr>
              <w:t>Cercles</w:t>
            </w:r>
          </w:p>
        </w:tc>
        <w:tc>
          <w:tcPr>
            <w:tcW w:w="2341" w:type="dxa"/>
            <w:shd w:val="clear" w:color="auto" w:fill="auto"/>
          </w:tcPr>
          <w:p w:rsidR="00A32CDF" w:rsidRPr="00A82815" w:rsidRDefault="00A32CDF" w:rsidP="0047114D">
            <w:pPr>
              <w:rPr>
                <w:rFonts w:eastAsia="Malgun Gothic" w:cs="Calibri"/>
                <w:b/>
              </w:rPr>
            </w:pPr>
            <w:r w:rsidRPr="00A82815">
              <w:rPr>
                <w:rFonts w:eastAsia="Malgun Gothic" w:cs="Calibri"/>
                <w:b/>
              </w:rPr>
              <w:t>Communes</w:t>
            </w:r>
          </w:p>
        </w:tc>
        <w:tc>
          <w:tcPr>
            <w:tcW w:w="3544" w:type="dxa"/>
          </w:tcPr>
          <w:p w:rsidR="00A32CDF" w:rsidRPr="00A82815" w:rsidRDefault="00A32CDF" w:rsidP="0047114D">
            <w:pPr>
              <w:rPr>
                <w:rFonts w:eastAsia="Malgun Gothic" w:cs="Calibri"/>
                <w:b/>
              </w:rPr>
            </w:pPr>
            <w:r w:rsidRPr="00A82815">
              <w:rPr>
                <w:rFonts w:eastAsia="Malgun Gothic" w:cs="Calibri"/>
                <w:b/>
              </w:rPr>
              <w:t>Villages</w:t>
            </w:r>
          </w:p>
        </w:tc>
      </w:tr>
      <w:tr w:rsidR="00A32CDF" w:rsidRPr="00A82815" w:rsidTr="0047114D">
        <w:trPr>
          <w:jc w:val="center"/>
        </w:trPr>
        <w:tc>
          <w:tcPr>
            <w:tcW w:w="598" w:type="dxa"/>
            <w:shd w:val="clear" w:color="auto" w:fill="auto"/>
          </w:tcPr>
          <w:p w:rsidR="00A32CDF" w:rsidRPr="00A82815" w:rsidRDefault="00A32CDF" w:rsidP="0047114D">
            <w:pPr>
              <w:rPr>
                <w:rFonts w:eastAsia="Malgun Gothic" w:cs="Calibri"/>
              </w:rPr>
            </w:pPr>
            <w:r w:rsidRPr="00A82815">
              <w:rPr>
                <w:rFonts w:eastAsia="Malgun Gothic" w:cs="Calibri"/>
              </w:rPr>
              <w:t>1</w:t>
            </w:r>
          </w:p>
        </w:tc>
        <w:tc>
          <w:tcPr>
            <w:tcW w:w="1321" w:type="dxa"/>
            <w:vMerge w:val="restart"/>
            <w:shd w:val="clear" w:color="auto" w:fill="auto"/>
          </w:tcPr>
          <w:p w:rsidR="00A32CDF" w:rsidRPr="00A82815" w:rsidRDefault="00A32CDF" w:rsidP="0047114D">
            <w:pPr>
              <w:rPr>
                <w:rFonts w:eastAsia="Malgun Gothic" w:cs="Calibri"/>
                <w:b/>
              </w:rPr>
            </w:pPr>
          </w:p>
          <w:p w:rsidR="00A32CDF" w:rsidRPr="00A82815" w:rsidRDefault="00A32CDF" w:rsidP="0047114D">
            <w:pPr>
              <w:rPr>
                <w:rFonts w:eastAsia="Malgun Gothic" w:cs="Calibri"/>
                <w:b/>
              </w:rPr>
            </w:pPr>
          </w:p>
          <w:p w:rsidR="00A32CDF" w:rsidRPr="00A82815" w:rsidRDefault="00A32CDF" w:rsidP="0047114D">
            <w:pPr>
              <w:rPr>
                <w:rFonts w:eastAsia="Malgun Gothic" w:cs="Calibri"/>
                <w:b/>
              </w:rPr>
            </w:pPr>
            <w:r w:rsidRPr="00A82815">
              <w:rPr>
                <w:rFonts w:eastAsia="Malgun Gothic" w:cs="Calibri"/>
                <w:b/>
              </w:rPr>
              <w:t>Kayes</w:t>
            </w:r>
          </w:p>
        </w:tc>
        <w:tc>
          <w:tcPr>
            <w:tcW w:w="1689" w:type="dxa"/>
            <w:shd w:val="clear" w:color="auto" w:fill="auto"/>
          </w:tcPr>
          <w:p w:rsidR="00A32CDF" w:rsidRPr="00A82815" w:rsidRDefault="00A32CDF" w:rsidP="0047114D">
            <w:pPr>
              <w:rPr>
                <w:rFonts w:eastAsia="Malgun Gothic" w:cs="Calibri"/>
              </w:rPr>
            </w:pPr>
            <w:r w:rsidRPr="00A82815">
              <w:rPr>
                <w:rFonts w:eastAsia="Malgun Gothic" w:cs="Calibri"/>
              </w:rPr>
              <w:t>Kayes</w:t>
            </w:r>
          </w:p>
        </w:tc>
        <w:tc>
          <w:tcPr>
            <w:tcW w:w="2341" w:type="dxa"/>
            <w:shd w:val="clear" w:color="auto" w:fill="auto"/>
          </w:tcPr>
          <w:p w:rsidR="00A32CDF" w:rsidRPr="00A82815" w:rsidRDefault="00A32CDF" w:rsidP="0047114D">
            <w:pPr>
              <w:rPr>
                <w:rFonts w:eastAsia="Malgun Gothic" w:cs="Calibri"/>
              </w:rPr>
            </w:pPr>
            <w:proofErr w:type="spellStart"/>
            <w:r w:rsidRPr="00A82815">
              <w:rPr>
                <w:rFonts w:eastAsia="Malgun Gothic" w:cs="Calibri"/>
              </w:rPr>
              <w:t>Koussané</w:t>
            </w:r>
            <w:proofErr w:type="spellEnd"/>
          </w:p>
        </w:tc>
        <w:tc>
          <w:tcPr>
            <w:tcW w:w="3544" w:type="dxa"/>
          </w:tcPr>
          <w:p w:rsidR="00A32CDF" w:rsidRPr="00A82815" w:rsidRDefault="00A32CDF" w:rsidP="0047114D">
            <w:pPr>
              <w:rPr>
                <w:rFonts w:eastAsia="Malgun Gothic" w:cs="Calibri"/>
              </w:rPr>
            </w:pPr>
            <w:proofErr w:type="spellStart"/>
            <w:r w:rsidRPr="00A82815">
              <w:rPr>
                <w:rFonts w:eastAsia="Malgun Gothic" w:cs="Calibri"/>
              </w:rPr>
              <w:t>Koussané</w:t>
            </w:r>
            <w:proofErr w:type="spellEnd"/>
            <w:r w:rsidRPr="00A82815">
              <w:rPr>
                <w:rFonts w:eastAsia="Malgun Gothic" w:cs="Calibri"/>
              </w:rPr>
              <w:t xml:space="preserve">, </w:t>
            </w:r>
            <w:proofErr w:type="spellStart"/>
            <w:r w:rsidRPr="00A82815">
              <w:rPr>
                <w:rFonts w:eastAsia="Malgun Gothic" w:cs="Calibri"/>
              </w:rPr>
              <w:t>Sobia</w:t>
            </w:r>
            <w:proofErr w:type="spellEnd"/>
            <w:r w:rsidRPr="00A82815">
              <w:rPr>
                <w:rFonts w:eastAsia="Malgun Gothic" w:cs="Calibri"/>
              </w:rPr>
              <w:t xml:space="preserve">, </w:t>
            </w:r>
            <w:proofErr w:type="spellStart"/>
            <w:r w:rsidRPr="00A82815">
              <w:rPr>
                <w:rFonts w:eastAsia="Malgun Gothic" w:cs="Calibri"/>
              </w:rPr>
              <w:t>Moussala</w:t>
            </w:r>
            <w:proofErr w:type="spellEnd"/>
          </w:p>
        </w:tc>
      </w:tr>
      <w:tr w:rsidR="00A32CDF" w:rsidRPr="00A82815" w:rsidTr="0047114D">
        <w:trPr>
          <w:jc w:val="center"/>
        </w:trPr>
        <w:tc>
          <w:tcPr>
            <w:tcW w:w="598" w:type="dxa"/>
            <w:shd w:val="clear" w:color="auto" w:fill="auto"/>
          </w:tcPr>
          <w:p w:rsidR="00A32CDF" w:rsidRPr="00A82815" w:rsidRDefault="00A32CDF" w:rsidP="0047114D">
            <w:pPr>
              <w:rPr>
                <w:rFonts w:eastAsia="Malgun Gothic" w:cs="Calibri"/>
              </w:rPr>
            </w:pPr>
            <w:r w:rsidRPr="00A82815">
              <w:rPr>
                <w:rFonts w:eastAsia="Malgun Gothic" w:cs="Calibri"/>
              </w:rPr>
              <w:t>2</w:t>
            </w:r>
          </w:p>
        </w:tc>
        <w:tc>
          <w:tcPr>
            <w:tcW w:w="1321" w:type="dxa"/>
            <w:vMerge/>
            <w:shd w:val="clear" w:color="auto" w:fill="auto"/>
          </w:tcPr>
          <w:p w:rsidR="00A32CDF" w:rsidRPr="00A82815" w:rsidRDefault="00A32CDF" w:rsidP="0047114D">
            <w:pPr>
              <w:rPr>
                <w:rFonts w:eastAsia="Malgun Gothic" w:cs="Calibri"/>
                <w:b/>
              </w:rPr>
            </w:pPr>
          </w:p>
        </w:tc>
        <w:tc>
          <w:tcPr>
            <w:tcW w:w="1689" w:type="dxa"/>
            <w:shd w:val="clear" w:color="auto" w:fill="auto"/>
          </w:tcPr>
          <w:p w:rsidR="00A32CDF" w:rsidRPr="00A82815" w:rsidRDefault="00A32CDF" w:rsidP="0047114D">
            <w:pPr>
              <w:rPr>
                <w:rFonts w:eastAsia="Malgun Gothic" w:cs="Calibri"/>
              </w:rPr>
            </w:pPr>
            <w:proofErr w:type="spellStart"/>
            <w:r w:rsidRPr="00A82815">
              <w:rPr>
                <w:rFonts w:eastAsia="Malgun Gothic" w:cs="Calibri"/>
              </w:rPr>
              <w:t>Bafoulabé</w:t>
            </w:r>
            <w:proofErr w:type="spellEnd"/>
          </w:p>
        </w:tc>
        <w:tc>
          <w:tcPr>
            <w:tcW w:w="2341" w:type="dxa"/>
            <w:shd w:val="clear" w:color="auto" w:fill="auto"/>
          </w:tcPr>
          <w:p w:rsidR="00A32CDF" w:rsidRPr="00A82815" w:rsidRDefault="00A32CDF" w:rsidP="0047114D">
            <w:pPr>
              <w:rPr>
                <w:rFonts w:eastAsia="Malgun Gothic" w:cs="Calibri"/>
              </w:rPr>
            </w:pPr>
            <w:proofErr w:type="spellStart"/>
            <w:r w:rsidRPr="00A82815">
              <w:rPr>
                <w:rFonts w:eastAsia="Malgun Gothic" w:cs="Calibri"/>
              </w:rPr>
              <w:t>Diakon</w:t>
            </w:r>
            <w:proofErr w:type="spellEnd"/>
          </w:p>
        </w:tc>
        <w:tc>
          <w:tcPr>
            <w:tcW w:w="3544" w:type="dxa"/>
          </w:tcPr>
          <w:p w:rsidR="00A32CDF" w:rsidRPr="00A82815" w:rsidRDefault="00A32CDF" w:rsidP="0047114D">
            <w:pPr>
              <w:rPr>
                <w:rFonts w:eastAsia="Malgun Gothic" w:cs="Calibri"/>
              </w:rPr>
            </w:pPr>
            <w:proofErr w:type="spellStart"/>
            <w:r w:rsidRPr="00A82815">
              <w:rPr>
                <w:rFonts w:eastAsia="Malgun Gothic" w:cs="Calibri"/>
              </w:rPr>
              <w:t>Dakon</w:t>
            </w:r>
            <w:proofErr w:type="spellEnd"/>
          </w:p>
        </w:tc>
      </w:tr>
      <w:tr w:rsidR="00A32CDF" w:rsidRPr="00A82815" w:rsidTr="0047114D">
        <w:trPr>
          <w:jc w:val="center"/>
        </w:trPr>
        <w:tc>
          <w:tcPr>
            <w:tcW w:w="598" w:type="dxa"/>
            <w:shd w:val="clear" w:color="auto" w:fill="auto"/>
          </w:tcPr>
          <w:p w:rsidR="00A32CDF" w:rsidRPr="00A82815" w:rsidRDefault="00A32CDF" w:rsidP="0047114D">
            <w:pPr>
              <w:rPr>
                <w:rFonts w:eastAsia="Malgun Gothic" w:cs="Calibri"/>
              </w:rPr>
            </w:pPr>
            <w:r w:rsidRPr="00A82815">
              <w:rPr>
                <w:rFonts w:eastAsia="Malgun Gothic" w:cs="Calibri"/>
              </w:rPr>
              <w:t>3</w:t>
            </w:r>
          </w:p>
        </w:tc>
        <w:tc>
          <w:tcPr>
            <w:tcW w:w="1321" w:type="dxa"/>
            <w:vMerge/>
            <w:shd w:val="clear" w:color="auto" w:fill="auto"/>
          </w:tcPr>
          <w:p w:rsidR="00A32CDF" w:rsidRPr="00A82815" w:rsidRDefault="00A32CDF" w:rsidP="0047114D">
            <w:pPr>
              <w:rPr>
                <w:rFonts w:eastAsia="Malgun Gothic" w:cs="Calibri"/>
                <w:b/>
              </w:rPr>
            </w:pPr>
          </w:p>
        </w:tc>
        <w:tc>
          <w:tcPr>
            <w:tcW w:w="1689" w:type="dxa"/>
            <w:shd w:val="clear" w:color="auto" w:fill="auto"/>
          </w:tcPr>
          <w:p w:rsidR="00A32CDF" w:rsidRPr="00A82815" w:rsidRDefault="00A32CDF" w:rsidP="0047114D">
            <w:pPr>
              <w:rPr>
                <w:rFonts w:eastAsia="Malgun Gothic" w:cs="Calibri"/>
              </w:rPr>
            </w:pPr>
            <w:r w:rsidRPr="00A82815">
              <w:rPr>
                <w:rFonts w:eastAsia="Malgun Gothic" w:cs="Calibri"/>
              </w:rPr>
              <w:t>Kita</w:t>
            </w:r>
          </w:p>
        </w:tc>
        <w:tc>
          <w:tcPr>
            <w:tcW w:w="2341" w:type="dxa"/>
            <w:shd w:val="clear" w:color="auto" w:fill="auto"/>
          </w:tcPr>
          <w:p w:rsidR="00A32CDF" w:rsidRPr="00A82815" w:rsidRDefault="00A32CDF" w:rsidP="0047114D">
            <w:pPr>
              <w:rPr>
                <w:rFonts w:eastAsia="Malgun Gothic" w:cs="Calibri"/>
              </w:rPr>
            </w:pPr>
            <w:proofErr w:type="spellStart"/>
            <w:r w:rsidRPr="00A82815">
              <w:rPr>
                <w:rFonts w:eastAsia="Malgun Gothic" w:cs="Calibri"/>
              </w:rPr>
              <w:t>Kourouninkoto</w:t>
            </w:r>
            <w:proofErr w:type="spellEnd"/>
          </w:p>
        </w:tc>
        <w:tc>
          <w:tcPr>
            <w:tcW w:w="3544" w:type="dxa"/>
          </w:tcPr>
          <w:p w:rsidR="00A32CDF" w:rsidRPr="00A82815" w:rsidRDefault="00A32CDF" w:rsidP="0047114D">
            <w:pPr>
              <w:rPr>
                <w:rFonts w:eastAsia="Malgun Gothic" w:cs="Calibri"/>
              </w:rPr>
            </w:pPr>
            <w:proofErr w:type="spellStart"/>
            <w:r w:rsidRPr="00A82815">
              <w:rPr>
                <w:rFonts w:eastAsia="Malgun Gothic" w:cs="Calibri"/>
              </w:rPr>
              <w:t>Kourouninkoto</w:t>
            </w:r>
            <w:proofErr w:type="spellEnd"/>
          </w:p>
        </w:tc>
      </w:tr>
      <w:tr w:rsidR="00A32CDF" w:rsidRPr="00A82815" w:rsidTr="0047114D">
        <w:trPr>
          <w:jc w:val="center"/>
        </w:trPr>
        <w:tc>
          <w:tcPr>
            <w:tcW w:w="598" w:type="dxa"/>
            <w:shd w:val="clear" w:color="auto" w:fill="auto"/>
          </w:tcPr>
          <w:p w:rsidR="00A32CDF" w:rsidRPr="00A82815" w:rsidRDefault="00A32CDF" w:rsidP="0047114D">
            <w:pPr>
              <w:rPr>
                <w:rFonts w:eastAsia="Malgun Gothic" w:cs="Calibri"/>
              </w:rPr>
            </w:pPr>
            <w:r w:rsidRPr="00A82815">
              <w:rPr>
                <w:rFonts w:eastAsia="Malgun Gothic" w:cs="Calibri"/>
              </w:rPr>
              <w:t>4</w:t>
            </w:r>
          </w:p>
        </w:tc>
        <w:tc>
          <w:tcPr>
            <w:tcW w:w="1321" w:type="dxa"/>
            <w:vMerge/>
            <w:shd w:val="clear" w:color="auto" w:fill="auto"/>
          </w:tcPr>
          <w:p w:rsidR="00A32CDF" w:rsidRPr="00A82815" w:rsidRDefault="00A32CDF" w:rsidP="0047114D">
            <w:pPr>
              <w:rPr>
                <w:rFonts w:eastAsia="Malgun Gothic" w:cs="Calibri"/>
                <w:b/>
              </w:rPr>
            </w:pPr>
          </w:p>
        </w:tc>
        <w:tc>
          <w:tcPr>
            <w:tcW w:w="1689" w:type="dxa"/>
            <w:shd w:val="clear" w:color="auto" w:fill="auto"/>
          </w:tcPr>
          <w:p w:rsidR="00A32CDF" w:rsidRPr="00A82815" w:rsidRDefault="00A32CDF" w:rsidP="0047114D">
            <w:pPr>
              <w:rPr>
                <w:rFonts w:eastAsia="Malgun Gothic" w:cs="Calibri"/>
              </w:rPr>
            </w:pPr>
            <w:r w:rsidRPr="00A82815">
              <w:rPr>
                <w:rFonts w:eastAsia="Malgun Gothic" w:cs="Calibri"/>
              </w:rPr>
              <w:t>Diéma</w:t>
            </w:r>
          </w:p>
        </w:tc>
        <w:tc>
          <w:tcPr>
            <w:tcW w:w="2341" w:type="dxa"/>
            <w:shd w:val="clear" w:color="auto" w:fill="auto"/>
          </w:tcPr>
          <w:p w:rsidR="00A32CDF" w:rsidRPr="00A82815" w:rsidRDefault="00A32CDF" w:rsidP="0047114D">
            <w:pPr>
              <w:rPr>
                <w:rFonts w:eastAsia="Malgun Gothic" w:cs="Calibri"/>
              </w:rPr>
            </w:pPr>
            <w:proofErr w:type="spellStart"/>
            <w:r w:rsidRPr="00A82815">
              <w:rPr>
                <w:rFonts w:eastAsia="Malgun Gothic" w:cs="Calibri"/>
              </w:rPr>
              <w:t>Lakamané</w:t>
            </w:r>
            <w:proofErr w:type="spellEnd"/>
          </w:p>
        </w:tc>
        <w:tc>
          <w:tcPr>
            <w:tcW w:w="3544" w:type="dxa"/>
          </w:tcPr>
          <w:p w:rsidR="00A32CDF" w:rsidRPr="00A82815" w:rsidRDefault="00A32CDF" w:rsidP="0047114D">
            <w:pPr>
              <w:rPr>
                <w:rFonts w:eastAsia="Malgun Gothic" w:cs="Calibri"/>
              </w:rPr>
            </w:pPr>
            <w:proofErr w:type="spellStart"/>
            <w:r w:rsidRPr="00A82815">
              <w:rPr>
                <w:rFonts w:eastAsia="Malgun Gothic" w:cs="Calibri"/>
              </w:rPr>
              <w:t>Lakamané</w:t>
            </w:r>
            <w:proofErr w:type="spellEnd"/>
            <w:r w:rsidRPr="00A82815">
              <w:rPr>
                <w:rFonts w:eastAsia="Malgun Gothic" w:cs="Calibri"/>
              </w:rPr>
              <w:t xml:space="preserve">, </w:t>
            </w:r>
            <w:proofErr w:type="spellStart"/>
            <w:r w:rsidRPr="00A82815">
              <w:rPr>
                <w:rFonts w:eastAsia="Malgun Gothic" w:cs="Calibri"/>
              </w:rPr>
              <w:t>Boulili</w:t>
            </w:r>
            <w:proofErr w:type="spellEnd"/>
            <w:r w:rsidRPr="00A82815">
              <w:rPr>
                <w:rFonts w:eastAsia="Malgun Gothic" w:cs="Calibri"/>
              </w:rPr>
              <w:t xml:space="preserve"> Diawara, </w:t>
            </w:r>
            <w:proofErr w:type="spellStart"/>
            <w:r w:rsidRPr="00A82815">
              <w:rPr>
                <w:rFonts w:eastAsia="Malgun Gothic" w:cs="Calibri"/>
              </w:rPr>
              <w:t>Kamané</w:t>
            </w:r>
            <w:proofErr w:type="spellEnd"/>
          </w:p>
        </w:tc>
      </w:tr>
      <w:tr w:rsidR="00A32CDF" w:rsidRPr="00A82815" w:rsidTr="0047114D">
        <w:trPr>
          <w:jc w:val="center"/>
        </w:trPr>
        <w:tc>
          <w:tcPr>
            <w:tcW w:w="598" w:type="dxa"/>
            <w:shd w:val="clear" w:color="auto" w:fill="auto"/>
          </w:tcPr>
          <w:p w:rsidR="00A32CDF" w:rsidRPr="00A82815" w:rsidRDefault="00A32CDF" w:rsidP="0047114D">
            <w:pPr>
              <w:rPr>
                <w:rFonts w:eastAsia="Malgun Gothic" w:cs="Calibri"/>
              </w:rPr>
            </w:pPr>
            <w:r w:rsidRPr="00A82815">
              <w:rPr>
                <w:rFonts w:eastAsia="Malgun Gothic" w:cs="Calibri"/>
              </w:rPr>
              <w:t>5</w:t>
            </w:r>
          </w:p>
        </w:tc>
        <w:tc>
          <w:tcPr>
            <w:tcW w:w="1321" w:type="dxa"/>
            <w:vMerge/>
            <w:shd w:val="clear" w:color="auto" w:fill="auto"/>
          </w:tcPr>
          <w:p w:rsidR="00A32CDF" w:rsidRPr="00A82815" w:rsidRDefault="00A32CDF" w:rsidP="0047114D">
            <w:pPr>
              <w:rPr>
                <w:rFonts w:eastAsia="Malgun Gothic" w:cs="Calibri"/>
                <w:b/>
              </w:rPr>
            </w:pPr>
          </w:p>
        </w:tc>
        <w:tc>
          <w:tcPr>
            <w:tcW w:w="1689" w:type="dxa"/>
            <w:shd w:val="clear" w:color="auto" w:fill="auto"/>
          </w:tcPr>
          <w:p w:rsidR="00A32CDF" w:rsidRPr="00A82815" w:rsidRDefault="00A32CDF" w:rsidP="0047114D">
            <w:pPr>
              <w:rPr>
                <w:rFonts w:eastAsia="Malgun Gothic" w:cs="Calibri"/>
              </w:rPr>
            </w:pPr>
            <w:r w:rsidRPr="00A82815">
              <w:rPr>
                <w:rFonts w:eastAsia="Malgun Gothic" w:cs="Calibri"/>
              </w:rPr>
              <w:t>Nioro</w:t>
            </w:r>
          </w:p>
        </w:tc>
        <w:tc>
          <w:tcPr>
            <w:tcW w:w="2341" w:type="dxa"/>
            <w:shd w:val="clear" w:color="auto" w:fill="auto"/>
          </w:tcPr>
          <w:p w:rsidR="00A32CDF" w:rsidRPr="00A82815" w:rsidRDefault="00A32CDF" w:rsidP="0047114D">
            <w:pPr>
              <w:rPr>
                <w:rFonts w:eastAsia="Malgun Gothic" w:cs="Calibri"/>
              </w:rPr>
            </w:pPr>
            <w:r w:rsidRPr="00A82815">
              <w:rPr>
                <w:rFonts w:eastAsia="Malgun Gothic" w:cs="Calibri"/>
              </w:rPr>
              <w:t xml:space="preserve">Nioro </w:t>
            </w:r>
            <w:proofErr w:type="spellStart"/>
            <w:r w:rsidRPr="00A82815">
              <w:rPr>
                <w:rFonts w:eastAsia="Malgun Gothic" w:cs="Calibri"/>
              </w:rPr>
              <w:t>Tougouné</w:t>
            </w:r>
            <w:proofErr w:type="spellEnd"/>
            <w:r w:rsidRPr="00A82815">
              <w:rPr>
                <w:rFonts w:eastAsia="Malgun Gothic" w:cs="Calibri"/>
              </w:rPr>
              <w:t xml:space="preserve"> </w:t>
            </w:r>
            <w:proofErr w:type="spellStart"/>
            <w:r w:rsidRPr="00A82815">
              <w:rPr>
                <w:rFonts w:eastAsia="Malgun Gothic" w:cs="Calibri"/>
              </w:rPr>
              <w:t>Rangabé</w:t>
            </w:r>
            <w:proofErr w:type="spellEnd"/>
          </w:p>
        </w:tc>
        <w:tc>
          <w:tcPr>
            <w:tcW w:w="3544" w:type="dxa"/>
          </w:tcPr>
          <w:p w:rsidR="00A32CDF" w:rsidRPr="00A82815" w:rsidRDefault="00A32CDF" w:rsidP="0047114D">
            <w:pPr>
              <w:rPr>
                <w:rFonts w:eastAsia="Malgun Gothic" w:cs="Calibri"/>
              </w:rPr>
            </w:pPr>
            <w:proofErr w:type="spellStart"/>
            <w:r w:rsidRPr="00A82815">
              <w:rPr>
                <w:rFonts w:eastAsia="Malgun Gothic" w:cs="Calibri"/>
              </w:rPr>
              <w:t>Tougouné</w:t>
            </w:r>
            <w:proofErr w:type="spellEnd"/>
            <w:r w:rsidRPr="00A82815">
              <w:rPr>
                <w:rFonts w:eastAsia="Malgun Gothic" w:cs="Calibri"/>
              </w:rPr>
              <w:t xml:space="preserve">, </w:t>
            </w:r>
            <w:proofErr w:type="spellStart"/>
            <w:r w:rsidRPr="00A82815">
              <w:rPr>
                <w:rFonts w:eastAsia="Malgun Gothic" w:cs="Calibri"/>
              </w:rPr>
              <w:t>Séoundé</w:t>
            </w:r>
            <w:proofErr w:type="spellEnd"/>
          </w:p>
        </w:tc>
      </w:tr>
      <w:tr w:rsidR="00A32CDF" w:rsidRPr="00A82815" w:rsidTr="0047114D">
        <w:trPr>
          <w:jc w:val="center"/>
        </w:trPr>
        <w:tc>
          <w:tcPr>
            <w:tcW w:w="598" w:type="dxa"/>
            <w:shd w:val="clear" w:color="auto" w:fill="auto"/>
          </w:tcPr>
          <w:p w:rsidR="00A32CDF" w:rsidRPr="00A82815" w:rsidRDefault="00A32CDF" w:rsidP="0047114D">
            <w:pPr>
              <w:rPr>
                <w:rFonts w:eastAsia="Malgun Gothic" w:cs="Calibri"/>
              </w:rPr>
            </w:pPr>
            <w:r w:rsidRPr="00A82815">
              <w:rPr>
                <w:rFonts w:eastAsia="Malgun Gothic" w:cs="Calibri"/>
              </w:rPr>
              <w:t>6</w:t>
            </w:r>
          </w:p>
        </w:tc>
        <w:tc>
          <w:tcPr>
            <w:tcW w:w="1321" w:type="dxa"/>
            <w:vMerge w:val="restart"/>
            <w:shd w:val="clear" w:color="auto" w:fill="auto"/>
          </w:tcPr>
          <w:p w:rsidR="00A32CDF" w:rsidRPr="00A82815" w:rsidRDefault="00A32CDF" w:rsidP="0047114D">
            <w:pPr>
              <w:rPr>
                <w:rFonts w:eastAsia="Malgun Gothic" w:cs="Calibri"/>
                <w:b/>
              </w:rPr>
            </w:pPr>
          </w:p>
          <w:p w:rsidR="00A32CDF" w:rsidRPr="00A82815" w:rsidRDefault="00A32CDF" w:rsidP="0047114D">
            <w:pPr>
              <w:rPr>
                <w:rFonts w:eastAsia="Malgun Gothic" w:cs="Calibri"/>
                <w:b/>
              </w:rPr>
            </w:pPr>
          </w:p>
          <w:p w:rsidR="00A32CDF" w:rsidRPr="00A82815" w:rsidRDefault="00A32CDF" w:rsidP="0047114D">
            <w:pPr>
              <w:rPr>
                <w:rFonts w:eastAsia="Malgun Gothic" w:cs="Calibri"/>
                <w:b/>
              </w:rPr>
            </w:pPr>
            <w:r w:rsidRPr="00A82815">
              <w:rPr>
                <w:rFonts w:eastAsia="Malgun Gothic" w:cs="Calibri"/>
                <w:b/>
              </w:rPr>
              <w:t>Sikasso</w:t>
            </w:r>
          </w:p>
        </w:tc>
        <w:tc>
          <w:tcPr>
            <w:tcW w:w="1689" w:type="dxa"/>
            <w:shd w:val="clear" w:color="auto" w:fill="auto"/>
          </w:tcPr>
          <w:p w:rsidR="00A32CDF" w:rsidRPr="00A82815" w:rsidRDefault="00A32CDF" w:rsidP="0047114D">
            <w:pPr>
              <w:rPr>
                <w:rFonts w:eastAsia="Malgun Gothic" w:cs="Calibri"/>
              </w:rPr>
            </w:pPr>
            <w:r w:rsidRPr="00A82815">
              <w:rPr>
                <w:rFonts w:eastAsia="Malgun Gothic" w:cs="Calibri"/>
              </w:rPr>
              <w:t>Sikasso</w:t>
            </w:r>
          </w:p>
        </w:tc>
        <w:tc>
          <w:tcPr>
            <w:tcW w:w="2341" w:type="dxa"/>
            <w:shd w:val="clear" w:color="auto" w:fill="auto"/>
          </w:tcPr>
          <w:p w:rsidR="00A32CDF" w:rsidRPr="00A82815" w:rsidRDefault="00A32CDF" w:rsidP="0047114D">
            <w:pPr>
              <w:rPr>
                <w:rFonts w:eastAsia="Malgun Gothic" w:cs="Calibri"/>
              </w:rPr>
            </w:pPr>
            <w:proofErr w:type="spellStart"/>
            <w:r w:rsidRPr="00A82815">
              <w:rPr>
                <w:rFonts w:eastAsia="Malgun Gothic" w:cs="Calibri"/>
              </w:rPr>
              <w:t>Dembela</w:t>
            </w:r>
            <w:proofErr w:type="spellEnd"/>
          </w:p>
        </w:tc>
        <w:tc>
          <w:tcPr>
            <w:tcW w:w="3544" w:type="dxa"/>
          </w:tcPr>
          <w:p w:rsidR="00A32CDF" w:rsidRPr="00A82815" w:rsidRDefault="00A32CDF" w:rsidP="0047114D">
            <w:pPr>
              <w:rPr>
                <w:rFonts w:eastAsia="Malgun Gothic" w:cs="Calibri"/>
              </w:rPr>
            </w:pPr>
            <w:proofErr w:type="spellStart"/>
            <w:r w:rsidRPr="00A82815">
              <w:rPr>
                <w:rFonts w:eastAsia="Malgun Gothic" w:cs="Calibri"/>
              </w:rPr>
              <w:t>Dembela</w:t>
            </w:r>
            <w:proofErr w:type="spellEnd"/>
            <w:r w:rsidRPr="00A82815">
              <w:rPr>
                <w:rFonts w:eastAsia="Malgun Gothic" w:cs="Calibri"/>
              </w:rPr>
              <w:t xml:space="preserve">, </w:t>
            </w:r>
            <w:proofErr w:type="spellStart"/>
            <w:r w:rsidRPr="00A82815">
              <w:rPr>
                <w:rFonts w:eastAsia="Malgun Gothic" w:cs="Calibri"/>
              </w:rPr>
              <w:t>Kessena</w:t>
            </w:r>
            <w:proofErr w:type="spellEnd"/>
          </w:p>
        </w:tc>
      </w:tr>
      <w:tr w:rsidR="00A32CDF" w:rsidRPr="00A82815" w:rsidTr="0047114D">
        <w:trPr>
          <w:jc w:val="center"/>
        </w:trPr>
        <w:tc>
          <w:tcPr>
            <w:tcW w:w="598" w:type="dxa"/>
            <w:shd w:val="clear" w:color="auto" w:fill="auto"/>
          </w:tcPr>
          <w:p w:rsidR="00A32CDF" w:rsidRPr="00A82815" w:rsidRDefault="00A32CDF" w:rsidP="0047114D">
            <w:pPr>
              <w:rPr>
                <w:rFonts w:eastAsia="Malgun Gothic" w:cs="Calibri"/>
              </w:rPr>
            </w:pPr>
            <w:r w:rsidRPr="00A82815">
              <w:rPr>
                <w:rFonts w:eastAsia="Malgun Gothic" w:cs="Calibri"/>
              </w:rPr>
              <w:t>7</w:t>
            </w:r>
          </w:p>
        </w:tc>
        <w:tc>
          <w:tcPr>
            <w:tcW w:w="1321" w:type="dxa"/>
            <w:vMerge/>
            <w:shd w:val="clear" w:color="auto" w:fill="auto"/>
          </w:tcPr>
          <w:p w:rsidR="00A32CDF" w:rsidRPr="00A82815" w:rsidRDefault="00A32CDF" w:rsidP="0047114D">
            <w:pPr>
              <w:rPr>
                <w:rFonts w:eastAsia="Malgun Gothic" w:cs="Calibri"/>
                <w:b/>
              </w:rPr>
            </w:pPr>
          </w:p>
        </w:tc>
        <w:tc>
          <w:tcPr>
            <w:tcW w:w="1689" w:type="dxa"/>
            <w:shd w:val="clear" w:color="auto" w:fill="auto"/>
          </w:tcPr>
          <w:p w:rsidR="00A32CDF" w:rsidRPr="00A82815" w:rsidRDefault="00A32CDF" w:rsidP="0047114D">
            <w:pPr>
              <w:rPr>
                <w:rFonts w:eastAsia="Malgun Gothic" w:cs="Calibri"/>
              </w:rPr>
            </w:pPr>
            <w:r w:rsidRPr="00A82815">
              <w:rPr>
                <w:rFonts w:eastAsia="Malgun Gothic" w:cs="Calibri"/>
              </w:rPr>
              <w:t>Koutiala</w:t>
            </w:r>
          </w:p>
        </w:tc>
        <w:tc>
          <w:tcPr>
            <w:tcW w:w="2341" w:type="dxa"/>
            <w:shd w:val="clear" w:color="auto" w:fill="auto"/>
          </w:tcPr>
          <w:p w:rsidR="00A32CDF" w:rsidRPr="00A82815" w:rsidRDefault="00A32CDF" w:rsidP="0047114D">
            <w:pPr>
              <w:rPr>
                <w:rFonts w:eastAsia="Malgun Gothic" w:cs="Calibri"/>
              </w:rPr>
            </w:pPr>
            <w:proofErr w:type="spellStart"/>
            <w:r w:rsidRPr="00A82815">
              <w:rPr>
                <w:rFonts w:eastAsia="Malgun Gothic" w:cs="Calibri"/>
              </w:rPr>
              <w:t>Konina</w:t>
            </w:r>
            <w:proofErr w:type="spellEnd"/>
          </w:p>
        </w:tc>
        <w:tc>
          <w:tcPr>
            <w:tcW w:w="3544" w:type="dxa"/>
          </w:tcPr>
          <w:p w:rsidR="00A32CDF" w:rsidRPr="00A82815" w:rsidRDefault="00A32CDF" w:rsidP="0047114D">
            <w:pPr>
              <w:rPr>
                <w:rFonts w:eastAsia="Malgun Gothic" w:cs="Calibri"/>
              </w:rPr>
            </w:pPr>
            <w:proofErr w:type="spellStart"/>
            <w:r w:rsidRPr="00A82815">
              <w:rPr>
                <w:rFonts w:eastAsia="Malgun Gothic" w:cs="Calibri"/>
              </w:rPr>
              <w:t>Konina</w:t>
            </w:r>
            <w:proofErr w:type="spellEnd"/>
            <w:r w:rsidRPr="00A82815">
              <w:rPr>
                <w:rFonts w:eastAsia="Malgun Gothic" w:cs="Calibri"/>
              </w:rPr>
              <w:t>, N’</w:t>
            </w:r>
            <w:proofErr w:type="spellStart"/>
            <w:r w:rsidRPr="00A82815">
              <w:rPr>
                <w:rFonts w:eastAsia="Malgun Gothic" w:cs="Calibri"/>
              </w:rPr>
              <w:t>Pètiéla</w:t>
            </w:r>
            <w:proofErr w:type="spellEnd"/>
          </w:p>
        </w:tc>
      </w:tr>
      <w:tr w:rsidR="00A32CDF" w:rsidRPr="00A82815" w:rsidTr="0047114D">
        <w:trPr>
          <w:jc w:val="center"/>
        </w:trPr>
        <w:tc>
          <w:tcPr>
            <w:tcW w:w="598" w:type="dxa"/>
            <w:shd w:val="clear" w:color="auto" w:fill="auto"/>
          </w:tcPr>
          <w:p w:rsidR="00A32CDF" w:rsidRPr="00A82815" w:rsidRDefault="00A32CDF" w:rsidP="0047114D">
            <w:pPr>
              <w:rPr>
                <w:rFonts w:eastAsia="Malgun Gothic" w:cs="Calibri"/>
              </w:rPr>
            </w:pPr>
            <w:r w:rsidRPr="00A82815">
              <w:rPr>
                <w:rFonts w:eastAsia="Malgun Gothic" w:cs="Calibri"/>
              </w:rPr>
              <w:t>8</w:t>
            </w:r>
          </w:p>
        </w:tc>
        <w:tc>
          <w:tcPr>
            <w:tcW w:w="1321" w:type="dxa"/>
            <w:vMerge/>
            <w:shd w:val="clear" w:color="auto" w:fill="auto"/>
          </w:tcPr>
          <w:p w:rsidR="00A32CDF" w:rsidRPr="00A82815" w:rsidRDefault="00A32CDF" w:rsidP="0047114D">
            <w:pPr>
              <w:rPr>
                <w:rFonts w:eastAsia="Malgun Gothic" w:cs="Calibri"/>
                <w:b/>
              </w:rPr>
            </w:pPr>
          </w:p>
        </w:tc>
        <w:tc>
          <w:tcPr>
            <w:tcW w:w="1689" w:type="dxa"/>
            <w:shd w:val="clear" w:color="auto" w:fill="auto"/>
          </w:tcPr>
          <w:p w:rsidR="00A32CDF" w:rsidRPr="00A82815" w:rsidRDefault="00A32CDF" w:rsidP="0047114D">
            <w:pPr>
              <w:rPr>
                <w:rFonts w:eastAsia="Malgun Gothic" w:cs="Calibri"/>
              </w:rPr>
            </w:pPr>
            <w:proofErr w:type="spellStart"/>
            <w:r w:rsidRPr="00A82815">
              <w:rPr>
                <w:rFonts w:eastAsia="Malgun Gothic" w:cs="Calibri"/>
              </w:rPr>
              <w:t>Yorosso</w:t>
            </w:r>
            <w:proofErr w:type="spellEnd"/>
          </w:p>
        </w:tc>
        <w:tc>
          <w:tcPr>
            <w:tcW w:w="2341" w:type="dxa"/>
            <w:shd w:val="clear" w:color="auto" w:fill="auto"/>
          </w:tcPr>
          <w:p w:rsidR="00A32CDF" w:rsidRPr="00A82815" w:rsidRDefault="00A32CDF" w:rsidP="0047114D">
            <w:pPr>
              <w:rPr>
                <w:rFonts w:eastAsia="Malgun Gothic" w:cs="Calibri"/>
              </w:rPr>
            </w:pPr>
            <w:r w:rsidRPr="00A82815">
              <w:rPr>
                <w:rFonts w:eastAsia="Malgun Gothic" w:cs="Calibri"/>
              </w:rPr>
              <w:t>Kiffosso1</w:t>
            </w:r>
          </w:p>
        </w:tc>
        <w:tc>
          <w:tcPr>
            <w:tcW w:w="3544" w:type="dxa"/>
          </w:tcPr>
          <w:p w:rsidR="00A32CDF" w:rsidRPr="00A82815" w:rsidRDefault="00A32CDF" w:rsidP="0047114D">
            <w:pPr>
              <w:rPr>
                <w:rFonts w:eastAsia="Malgun Gothic" w:cs="Calibri"/>
              </w:rPr>
            </w:pPr>
            <w:r w:rsidRPr="00A82815">
              <w:rPr>
                <w:rFonts w:eastAsia="Malgun Gothic" w:cs="Calibri"/>
              </w:rPr>
              <w:t xml:space="preserve">Kiffosso1, Galédougou1, </w:t>
            </w:r>
            <w:proofErr w:type="spellStart"/>
            <w:r w:rsidRPr="00A82815">
              <w:rPr>
                <w:rFonts w:eastAsia="Malgun Gothic" w:cs="Calibri"/>
              </w:rPr>
              <w:t>Fakoni</w:t>
            </w:r>
            <w:proofErr w:type="spellEnd"/>
          </w:p>
        </w:tc>
      </w:tr>
      <w:tr w:rsidR="00A32CDF" w:rsidRPr="00A82815" w:rsidTr="0047114D">
        <w:trPr>
          <w:jc w:val="center"/>
        </w:trPr>
        <w:tc>
          <w:tcPr>
            <w:tcW w:w="598" w:type="dxa"/>
            <w:shd w:val="clear" w:color="auto" w:fill="auto"/>
          </w:tcPr>
          <w:p w:rsidR="00A32CDF" w:rsidRPr="00A82815" w:rsidRDefault="00A32CDF" w:rsidP="0047114D">
            <w:pPr>
              <w:rPr>
                <w:rFonts w:eastAsia="Malgun Gothic" w:cs="Calibri"/>
              </w:rPr>
            </w:pPr>
            <w:r w:rsidRPr="00A82815">
              <w:rPr>
                <w:rFonts w:eastAsia="Malgun Gothic" w:cs="Calibri"/>
              </w:rPr>
              <w:t>9</w:t>
            </w:r>
          </w:p>
        </w:tc>
        <w:tc>
          <w:tcPr>
            <w:tcW w:w="1321" w:type="dxa"/>
            <w:vMerge/>
            <w:shd w:val="clear" w:color="auto" w:fill="auto"/>
          </w:tcPr>
          <w:p w:rsidR="00A32CDF" w:rsidRPr="00A82815" w:rsidRDefault="00A32CDF" w:rsidP="0047114D">
            <w:pPr>
              <w:rPr>
                <w:rFonts w:eastAsia="Malgun Gothic" w:cs="Calibri"/>
                <w:b/>
              </w:rPr>
            </w:pPr>
          </w:p>
        </w:tc>
        <w:tc>
          <w:tcPr>
            <w:tcW w:w="1689" w:type="dxa"/>
            <w:shd w:val="clear" w:color="auto" w:fill="auto"/>
          </w:tcPr>
          <w:p w:rsidR="00A32CDF" w:rsidRPr="00A82815" w:rsidRDefault="00A32CDF" w:rsidP="0047114D">
            <w:pPr>
              <w:rPr>
                <w:rFonts w:eastAsia="Malgun Gothic" w:cs="Calibri"/>
              </w:rPr>
            </w:pPr>
            <w:proofErr w:type="spellStart"/>
            <w:r w:rsidRPr="00A82815">
              <w:rPr>
                <w:rFonts w:eastAsia="Malgun Gothic" w:cs="Calibri"/>
              </w:rPr>
              <w:t>Kolondiéba</w:t>
            </w:r>
            <w:proofErr w:type="spellEnd"/>
          </w:p>
        </w:tc>
        <w:tc>
          <w:tcPr>
            <w:tcW w:w="2341" w:type="dxa"/>
            <w:shd w:val="clear" w:color="auto" w:fill="auto"/>
          </w:tcPr>
          <w:p w:rsidR="00A32CDF" w:rsidRPr="00A82815" w:rsidRDefault="00A32CDF" w:rsidP="0047114D">
            <w:pPr>
              <w:rPr>
                <w:rFonts w:eastAsia="Malgun Gothic" w:cs="Calibri"/>
              </w:rPr>
            </w:pPr>
            <w:proofErr w:type="spellStart"/>
            <w:r w:rsidRPr="00A82815">
              <w:rPr>
                <w:rFonts w:eastAsia="Malgun Gothic" w:cs="Calibri"/>
              </w:rPr>
              <w:t>Kolosso</w:t>
            </w:r>
            <w:proofErr w:type="spellEnd"/>
          </w:p>
        </w:tc>
        <w:tc>
          <w:tcPr>
            <w:tcW w:w="3544" w:type="dxa"/>
          </w:tcPr>
          <w:p w:rsidR="00A32CDF" w:rsidRPr="00A82815" w:rsidRDefault="00A32CDF" w:rsidP="0047114D">
            <w:pPr>
              <w:rPr>
                <w:rFonts w:eastAsia="Malgun Gothic" w:cs="Calibri"/>
              </w:rPr>
            </w:pPr>
            <w:proofErr w:type="spellStart"/>
            <w:r w:rsidRPr="00A82815">
              <w:rPr>
                <w:rFonts w:eastAsia="Malgun Gothic" w:cs="Calibri"/>
              </w:rPr>
              <w:t>Kolosso</w:t>
            </w:r>
            <w:proofErr w:type="spellEnd"/>
            <w:r w:rsidRPr="00A82815">
              <w:rPr>
                <w:rFonts w:eastAsia="Malgun Gothic" w:cs="Calibri"/>
              </w:rPr>
              <w:t xml:space="preserve">, </w:t>
            </w:r>
            <w:proofErr w:type="spellStart"/>
            <w:r w:rsidRPr="00A82815">
              <w:rPr>
                <w:rFonts w:eastAsia="Malgun Gothic" w:cs="Calibri"/>
              </w:rPr>
              <w:t>Kolona</w:t>
            </w:r>
            <w:proofErr w:type="spellEnd"/>
          </w:p>
        </w:tc>
      </w:tr>
      <w:tr w:rsidR="00A32CDF" w:rsidRPr="00A82815" w:rsidTr="0047114D">
        <w:trPr>
          <w:jc w:val="center"/>
        </w:trPr>
        <w:tc>
          <w:tcPr>
            <w:tcW w:w="598" w:type="dxa"/>
            <w:shd w:val="clear" w:color="auto" w:fill="auto"/>
          </w:tcPr>
          <w:p w:rsidR="00A32CDF" w:rsidRPr="00A82815" w:rsidRDefault="00A32CDF" w:rsidP="0047114D">
            <w:pPr>
              <w:rPr>
                <w:rFonts w:eastAsia="Malgun Gothic" w:cs="Calibri"/>
              </w:rPr>
            </w:pPr>
            <w:r w:rsidRPr="00A82815">
              <w:rPr>
                <w:rFonts w:eastAsia="Malgun Gothic" w:cs="Calibri"/>
              </w:rPr>
              <w:t>10</w:t>
            </w:r>
          </w:p>
        </w:tc>
        <w:tc>
          <w:tcPr>
            <w:tcW w:w="1321" w:type="dxa"/>
            <w:vMerge/>
            <w:shd w:val="clear" w:color="auto" w:fill="auto"/>
          </w:tcPr>
          <w:p w:rsidR="00A32CDF" w:rsidRPr="00A82815" w:rsidRDefault="00A32CDF" w:rsidP="0047114D">
            <w:pPr>
              <w:rPr>
                <w:rFonts w:eastAsia="Malgun Gothic" w:cs="Calibri"/>
                <w:b/>
              </w:rPr>
            </w:pPr>
          </w:p>
        </w:tc>
        <w:tc>
          <w:tcPr>
            <w:tcW w:w="1689" w:type="dxa"/>
            <w:shd w:val="clear" w:color="auto" w:fill="auto"/>
          </w:tcPr>
          <w:p w:rsidR="00A32CDF" w:rsidRPr="00A82815" w:rsidRDefault="00A32CDF" w:rsidP="0047114D">
            <w:pPr>
              <w:rPr>
                <w:rFonts w:eastAsia="Malgun Gothic" w:cs="Calibri"/>
              </w:rPr>
            </w:pPr>
            <w:r w:rsidRPr="00A82815">
              <w:rPr>
                <w:rFonts w:eastAsia="Malgun Gothic" w:cs="Calibri"/>
              </w:rPr>
              <w:t>Bougouni</w:t>
            </w:r>
          </w:p>
        </w:tc>
        <w:tc>
          <w:tcPr>
            <w:tcW w:w="2341" w:type="dxa"/>
            <w:shd w:val="clear" w:color="auto" w:fill="auto"/>
          </w:tcPr>
          <w:p w:rsidR="00A32CDF" w:rsidRPr="00A82815" w:rsidRDefault="00A32CDF" w:rsidP="0047114D">
            <w:pPr>
              <w:rPr>
                <w:rFonts w:eastAsia="Malgun Gothic" w:cs="Calibri"/>
              </w:rPr>
            </w:pPr>
            <w:proofErr w:type="spellStart"/>
            <w:r w:rsidRPr="00A82815">
              <w:rPr>
                <w:rFonts w:eastAsia="Malgun Gothic" w:cs="Calibri"/>
              </w:rPr>
              <w:t>Domba</w:t>
            </w:r>
            <w:proofErr w:type="spellEnd"/>
          </w:p>
        </w:tc>
        <w:tc>
          <w:tcPr>
            <w:tcW w:w="3544" w:type="dxa"/>
          </w:tcPr>
          <w:p w:rsidR="00A32CDF" w:rsidRPr="00A82815" w:rsidRDefault="00A32CDF" w:rsidP="0047114D">
            <w:pPr>
              <w:rPr>
                <w:rFonts w:eastAsia="Malgun Gothic" w:cs="Calibri"/>
              </w:rPr>
            </w:pPr>
            <w:proofErr w:type="spellStart"/>
            <w:r w:rsidRPr="00A82815">
              <w:rPr>
                <w:rFonts w:eastAsia="Malgun Gothic" w:cs="Calibri"/>
              </w:rPr>
              <w:t>Domba</w:t>
            </w:r>
            <w:proofErr w:type="spellEnd"/>
            <w:r w:rsidRPr="00A82815">
              <w:rPr>
                <w:rFonts w:eastAsia="Malgun Gothic" w:cs="Calibri"/>
              </w:rPr>
              <w:t>, N’</w:t>
            </w:r>
            <w:proofErr w:type="spellStart"/>
            <w:r w:rsidRPr="00A82815">
              <w:rPr>
                <w:rFonts w:eastAsia="Malgun Gothic" w:cs="Calibri"/>
              </w:rPr>
              <w:t>Gola</w:t>
            </w:r>
            <w:proofErr w:type="spellEnd"/>
          </w:p>
        </w:tc>
      </w:tr>
    </w:tbl>
    <w:p w:rsidR="00A32CDF" w:rsidRPr="002C5356" w:rsidRDefault="00A32CDF" w:rsidP="00A32CDF">
      <w:pPr>
        <w:pStyle w:val="Corpsdetexte"/>
        <w:jc w:val="both"/>
        <w:rPr>
          <w:rFonts w:eastAsia="Malgun Gothic" w:cs="Calibri"/>
        </w:rPr>
      </w:pPr>
      <w:r w:rsidRPr="002C5356">
        <w:rPr>
          <w:rFonts w:eastAsia="Malgun Gothic" w:cs="Calibri"/>
        </w:rPr>
        <w:t xml:space="preserve">Le </w:t>
      </w:r>
      <w:proofErr w:type="spellStart"/>
      <w:r w:rsidRPr="002C5356">
        <w:rPr>
          <w:rFonts w:eastAsia="Malgun Gothic" w:cs="Calibri"/>
        </w:rPr>
        <w:t>rapport</w:t>
      </w:r>
      <w:proofErr w:type="spellEnd"/>
      <w:r w:rsidRPr="002C5356">
        <w:rPr>
          <w:rFonts w:eastAsia="Malgun Gothic" w:cs="Calibri"/>
        </w:rPr>
        <w:t xml:space="preserve"> final </w:t>
      </w:r>
      <w:proofErr w:type="spellStart"/>
      <w:r w:rsidRPr="002C5356">
        <w:rPr>
          <w:rFonts w:eastAsia="Malgun Gothic" w:cs="Calibri"/>
        </w:rPr>
        <w:t>d’examen</w:t>
      </w:r>
      <w:proofErr w:type="spellEnd"/>
      <w:r w:rsidRPr="002C5356">
        <w:rPr>
          <w:rFonts w:eastAsia="Malgun Gothic" w:cs="Calibri"/>
        </w:rPr>
        <w:t xml:space="preserve"> à mi-parcours </w:t>
      </w:r>
      <w:proofErr w:type="spellStart"/>
      <w:r w:rsidRPr="002C5356">
        <w:rPr>
          <w:rFonts w:eastAsia="Malgun Gothic" w:cs="Calibri"/>
        </w:rPr>
        <w:t>doit</w:t>
      </w:r>
      <w:proofErr w:type="spellEnd"/>
      <w:r w:rsidRPr="002C5356">
        <w:rPr>
          <w:rFonts w:eastAsia="Malgun Gothic" w:cs="Calibri"/>
        </w:rPr>
        <w:t xml:space="preserve"> </w:t>
      </w:r>
      <w:proofErr w:type="spellStart"/>
      <w:r w:rsidRPr="002C5356">
        <w:rPr>
          <w:rFonts w:eastAsia="Malgun Gothic" w:cs="Calibri"/>
        </w:rPr>
        <w:t>exposer</w:t>
      </w:r>
      <w:proofErr w:type="spellEnd"/>
      <w:r w:rsidRPr="002C5356">
        <w:rPr>
          <w:rFonts w:eastAsia="Malgun Gothic" w:cs="Calibri"/>
        </w:rPr>
        <w:t xml:space="preserve"> en </w:t>
      </w:r>
      <w:proofErr w:type="spellStart"/>
      <w:r w:rsidRPr="002C5356">
        <w:rPr>
          <w:rFonts w:eastAsia="Malgun Gothic" w:cs="Calibri"/>
        </w:rPr>
        <w:t>détails</w:t>
      </w:r>
      <w:proofErr w:type="spellEnd"/>
      <w:r w:rsidRPr="002C5356">
        <w:rPr>
          <w:rFonts w:eastAsia="Malgun Gothic" w:cs="Calibri"/>
        </w:rPr>
        <w:t xml:space="preserve"> </w:t>
      </w:r>
      <w:proofErr w:type="spellStart"/>
      <w:r w:rsidRPr="002C5356">
        <w:rPr>
          <w:rFonts w:eastAsia="Malgun Gothic" w:cs="Calibri"/>
        </w:rPr>
        <w:t>l’approche</w:t>
      </w:r>
      <w:proofErr w:type="spellEnd"/>
      <w:r w:rsidRPr="002C5356">
        <w:rPr>
          <w:rFonts w:eastAsia="Malgun Gothic" w:cs="Calibri"/>
        </w:rPr>
        <w:t xml:space="preserve"> </w:t>
      </w:r>
      <w:proofErr w:type="spellStart"/>
      <w:r w:rsidRPr="002C5356">
        <w:rPr>
          <w:rFonts w:eastAsia="Malgun Gothic" w:cs="Calibri"/>
        </w:rPr>
        <w:t>appliquée</w:t>
      </w:r>
      <w:proofErr w:type="spellEnd"/>
      <w:r w:rsidRPr="002C5356">
        <w:rPr>
          <w:rFonts w:eastAsia="Malgun Gothic" w:cs="Calibri"/>
        </w:rPr>
        <w:t xml:space="preserve"> </w:t>
      </w:r>
      <w:proofErr w:type="spellStart"/>
      <w:r w:rsidRPr="002C5356">
        <w:rPr>
          <w:rFonts w:eastAsia="Malgun Gothic" w:cs="Calibri"/>
        </w:rPr>
        <w:t>pour</w:t>
      </w:r>
      <w:proofErr w:type="spellEnd"/>
      <w:r w:rsidRPr="002C5356">
        <w:rPr>
          <w:rFonts w:eastAsia="Malgun Gothic" w:cs="Calibri"/>
        </w:rPr>
        <w:t xml:space="preserve"> </w:t>
      </w:r>
      <w:proofErr w:type="spellStart"/>
      <w:r w:rsidRPr="002C5356">
        <w:rPr>
          <w:rFonts w:eastAsia="Malgun Gothic" w:cs="Calibri"/>
        </w:rPr>
        <w:t>l’examen</w:t>
      </w:r>
      <w:proofErr w:type="spellEnd"/>
      <w:r w:rsidRPr="002C5356">
        <w:rPr>
          <w:rFonts w:eastAsia="Malgun Gothic" w:cs="Calibri"/>
        </w:rPr>
        <w:t xml:space="preserve">, en </w:t>
      </w:r>
      <w:proofErr w:type="spellStart"/>
      <w:r w:rsidRPr="002C5356">
        <w:rPr>
          <w:rFonts w:eastAsia="Malgun Gothic" w:cs="Calibri"/>
        </w:rPr>
        <w:t>indiquant</w:t>
      </w:r>
      <w:proofErr w:type="spellEnd"/>
      <w:r w:rsidRPr="002C5356">
        <w:rPr>
          <w:rFonts w:eastAsia="Malgun Gothic" w:cs="Calibri"/>
        </w:rPr>
        <w:t xml:space="preserve"> </w:t>
      </w:r>
      <w:proofErr w:type="spellStart"/>
      <w:r w:rsidRPr="002C5356">
        <w:rPr>
          <w:rFonts w:eastAsia="Malgun Gothic" w:cs="Calibri"/>
        </w:rPr>
        <w:t>explicitement</w:t>
      </w:r>
      <w:proofErr w:type="spellEnd"/>
      <w:r w:rsidRPr="002C5356">
        <w:rPr>
          <w:rFonts w:eastAsia="Malgun Gothic" w:cs="Calibri"/>
        </w:rPr>
        <w:t xml:space="preserve"> </w:t>
      </w:r>
      <w:proofErr w:type="spellStart"/>
      <w:r w:rsidRPr="002C5356">
        <w:rPr>
          <w:rFonts w:eastAsia="Malgun Gothic" w:cs="Calibri"/>
        </w:rPr>
        <w:t>les</w:t>
      </w:r>
      <w:proofErr w:type="spellEnd"/>
      <w:r w:rsidRPr="002C5356">
        <w:rPr>
          <w:rFonts w:eastAsia="Malgun Gothic" w:cs="Calibri"/>
        </w:rPr>
        <w:t xml:space="preserve"> </w:t>
      </w:r>
      <w:proofErr w:type="spellStart"/>
      <w:r w:rsidRPr="002C5356">
        <w:rPr>
          <w:rFonts w:eastAsia="Malgun Gothic" w:cs="Calibri"/>
        </w:rPr>
        <w:t>raisons</w:t>
      </w:r>
      <w:proofErr w:type="spellEnd"/>
      <w:r w:rsidRPr="002C5356">
        <w:rPr>
          <w:rFonts w:eastAsia="Malgun Gothic" w:cs="Calibri"/>
        </w:rPr>
        <w:t xml:space="preserve"> </w:t>
      </w:r>
      <w:proofErr w:type="spellStart"/>
      <w:r w:rsidRPr="002C5356">
        <w:rPr>
          <w:rFonts w:eastAsia="Malgun Gothic" w:cs="Calibri"/>
        </w:rPr>
        <w:t>ayant</w:t>
      </w:r>
      <w:proofErr w:type="spellEnd"/>
      <w:r w:rsidRPr="002C5356">
        <w:rPr>
          <w:rFonts w:eastAsia="Malgun Gothic" w:cs="Calibri"/>
        </w:rPr>
        <w:t xml:space="preserve"> </w:t>
      </w:r>
      <w:proofErr w:type="spellStart"/>
      <w:r w:rsidRPr="002C5356">
        <w:rPr>
          <w:rFonts w:eastAsia="Malgun Gothic" w:cs="Calibri"/>
        </w:rPr>
        <w:t>motivé</w:t>
      </w:r>
      <w:proofErr w:type="spellEnd"/>
      <w:r w:rsidRPr="002C5356">
        <w:rPr>
          <w:rFonts w:eastAsia="Malgun Gothic" w:cs="Calibri"/>
        </w:rPr>
        <w:t xml:space="preserve"> </w:t>
      </w:r>
      <w:proofErr w:type="spellStart"/>
      <w:r w:rsidRPr="002C5356">
        <w:rPr>
          <w:rFonts w:eastAsia="Malgun Gothic" w:cs="Calibri"/>
        </w:rPr>
        <w:t>cette</w:t>
      </w:r>
      <w:proofErr w:type="spellEnd"/>
      <w:r w:rsidRPr="002C5356">
        <w:rPr>
          <w:rFonts w:eastAsia="Malgun Gothic" w:cs="Calibri"/>
        </w:rPr>
        <w:t xml:space="preserve"> </w:t>
      </w:r>
      <w:proofErr w:type="spellStart"/>
      <w:r w:rsidRPr="002C5356">
        <w:rPr>
          <w:rFonts w:eastAsia="Malgun Gothic" w:cs="Calibri"/>
        </w:rPr>
        <w:t>approche</w:t>
      </w:r>
      <w:proofErr w:type="spellEnd"/>
      <w:r w:rsidRPr="002C5356">
        <w:rPr>
          <w:rFonts w:eastAsia="Malgun Gothic" w:cs="Calibri"/>
        </w:rPr>
        <w:t xml:space="preserve">, </w:t>
      </w:r>
      <w:proofErr w:type="spellStart"/>
      <w:r w:rsidRPr="002C5356">
        <w:rPr>
          <w:rFonts w:eastAsia="Malgun Gothic" w:cs="Calibri"/>
        </w:rPr>
        <w:t>les</w:t>
      </w:r>
      <w:proofErr w:type="spellEnd"/>
      <w:r w:rsidRPr="002C5356">
        <w:rPr>
          <w:rFonts w:eastAsia="Malgun Gothic" w:cs="Calibri"/>
        </w:rPr>
        <w:t xml:space="preserve"> </w:t>
      </w:r>
      <w:proofErr w:type="spellStart"/>
      <w:r w:rsidRPr="002C5356">
        <w:rPr>
          <w:rFonts w:eastAsia="Malgun Gothic" w:cs="Calibri"/>
        </w:rPr>
        <w:t>hypothèses</w:t>
      </w:r>
      <w:proofErr w:type="spellEnd"/>
      <w:r w:rsidRPr="002C5356">
        <w:rPr>
          <w:rFonts w:eastAsia="Malgun Gothic" w:cs="Calibri"/>
        </w:rPr>
        <w:t xml:space="preserve"> de </w:t>
      </w:r>
      <w:proofErr w:type="spellStart"/>
      <w:r w:rsidRPr="002C5356">
        <w:rPr>
          <w:rFonts w:eastAsia="Malgun Gothic" w:cs="Calibri"/>
        </w:rPr>
        <w:t>départ</w:t>
      </w:r>
      <w:proofErr w:type="spellEnd"/>
      <w:r w:rsidRPr="002C5356">
        <w:rPr>
          <w:rFonts w:eastAsia="Malgun Gothic" w:cs="Calibri"/>
        </w:rPr>
        <w:t xml:space="preserve">, </w:t>
      </w:r>
      <w:proofErr w:type="spellStart"/>
      <w:r w:rsidRPr="002C5356">
        <w:rPr>
          <w:rFonts w:eastAsia="Malgun Gothic" w:cs="Calibri"/>
        </w:rPr>
        <w:t>les</w:t>
      </w:r>
      <w:proofErr w:type="spellEnd"/>
      <w:r w:rsidRPr="002C5356">
        <w:rPr>
          <w:rFonts w:eastAsia="Malgun Gothic" w:cs="Calibri"/>
        </w:rPr>
        <w:t xml:space="preserve"> </w:t>
      </w:r>
      <w:proofErr w:type="spellStart"/>
      <w:r w:rsidRPr="002C5356">
        <w:rPr>
          <w:rFonts w:eastAsia="Malgun Gothic" w:cs="Calibri"/>
        </w:rPr>
        <w:t>défis</w:t>
      </w:r>
      <w:proofErr w:type="spellEnd"/>
      <w:r w:rsidRPr="002C5356">
        <w:rPr>
          <w:rFonts w:eastAsia="Malgun Gothic" w:cs="Calibri"/>
        </w:rPr>
        <w:t xml:space="preserve"> à </w:t>
      </w:r>
      <w:proofErr w:type="spellStart"/>
      <w:r w:rsidRPr="002C5356">
        <w:rPr>
          <w:rFonts w:eastAsia="Malgun Gothic" w:cs="Calibri"/>
        </w:rPr>
        <w:t>relever</w:t>
      </w:r>
      <w:proofErr w:type="spellEnd"/>
      <w:r w:rsidRPr="002C5356">
        <w:rPr>
          <w:rFonts w:eastAsia="Malgun Gothic" w:cs="Calibri"/>
        </w:rPr>
        <w:t xml:space="preserve">, </w:t>
      </w:r>
      <w:proofErr w:type="spellStart"/>
      <w:r w:rsidRPr="002C5356">
        <w:rPr>
          <w:rFonts w:eastAsia="Malgun Gothic" w:cs="Calibri"/>
        </w:rPr>
        <w:t>les</w:t>
      </w:r>
      <w:proofErr w:type="spellEnd"/>
      <w:r w:rsidRPr="002C5356">
        <w:rPr>
          <w:rFonts w:eastAsia="Malgun Gothic" w:cs="Calibri"/>
        </w:rPr>
        <w:t xml:space="preserve"> </w:t>
      </w:r>
      <w:proofErr w:type="spellStart"/>
      <w:r w:rsidRPr="002C5356">
        <w:rPr>
          <w:rFonts w:eastAsia="Malgun Gothic" w:cs="Calibri"/>
        </w:rPr>
        <w:t>points</w:t>
      </w:r>
      <w:proofErr w:type="spellEnd"/>
      <w:r w:rsidRPr="002C5356">
        <w:rPr>
          <w:rFonts w:eastAsia="Malgun Gothic" w:cs="Calibri"/>
        </w:rPr>
        <w:t xml:space="preserve"> </w:t>
      </w:r>
      <w:proofErr w:type="spellStart"/>
      <w:r w:rsidRPr="002C5356">
        <w:rPr>
          <w:rFonts w:eastAsia="Malgun Gothic" w:cs="Calibri"/>
        </w:rPr>
        <w:t>forts</w:t>
      </w:r>
      <w:proofErr w:type="spellEnd"/>
      <w:r w:rsidRPr="002C5356">
        <w:rPr>
          <w:rFonts w:eastAsia="Malgun Gothic" w:cs="Calibri"/>
        </w:rPr>
        <w:t xml:space="preserve"> et </w:t>
      </w:r>
      <w:proofErr w:type="spellStart"/>
      <w:r w:rsidRPr="002C5356">
        <w:rPr>
          <w:rFonts w:eastAsia="Malgun Gothic" w:cs="Calibri"/>
        </w:rPr>
        <w:t>les</w:t>
      </w:r>
      <w:proofErr w:type="spellEnd"/>
      <w:r w:rsidRPr="002C5356">
        <w:rPr>
          <w:rFonts w:eastAsia="Malgun Gothic" w:cs="Calibri"/>
        </w:rPr>
        <w:t xml:space="preserve"> </w:t>
      </w:r>
      <w:proofErr w:type="spellStart"/>
      <w:r w:rsidRPr="002C5356">
        <w:rPr>
          <w:rFonts w:eastAsia="Malgun Gothic" w:cs="Calibri"/>
        </w:rPr>
        <w:t>points</w:t>
      </w:r>
      <w:proofErr w:type="spellEnd"/>
      <w:r w:rsidRPr="002C5356">
        <w:rPr>
          <w:rFonts w:eastAsia="Malgun Gothic" w:cs="Calibri"/>
        </w:rPr>
        <w:t xml:space="preserve"> </w:t>
      </w:r>
      <w:proofErr w:type="spellStart"/>
      <w:r w:rsidRPr="002C5356">
        <w:rPr>
          <w:rFonts w:eastAsia="Malgun Gothic" w:cs="Calibri"/>
        </w:rPr>
        <w:t>faibles</w:t>
      </w:r>
      <w:proofErr w:type="spellEnd"/>
      <w:r w:rsidRPr="002C5356">
        <w:rPr>
          <w:rFonts w:eastAsia="Malgun Gothic" w:cs="Calibri"/>
        </w:rPr>
        <w:t xml:space="preserve"> des </w:t>
      </w:r>
      <w:proofErr w:type="spellStart"/>
      <w:r w:rsidRPr="002C5356">
        <w:rPr>
          <w:rFonts w:eastAsia="Malgun Gothic" w:cs="Calibri"/>
        </w:rPr>
        <w:t>méthodes</w:t>
      </w:r>
      <w:proofErr w:type="spellEnd"/>
      <w:r w:rsidRPr="002C5356">
        <w:rPr>
          <w:rFonts w:eastAsia="Malgun Gothic" w:cs="Calibri"/>
        </w:rPr>
        <w:t xml:space="preserve"> et de </w:t>
      </w:r>
      <w:proofErr w:type="spellStart"/>
      <w:r w:rsidRPr="002C5356">
        <w:rPr>
          <w:rFonts w:eastAsia="Malgun Gothic" w:cs="Calibri"/>
        </w:rPr>
        <w:t>l’approche</w:t>
      </w:r>
      <w:proofErr w:type="spellEnd"/>
      <w:r w:rsidRPr="002C5356">
        <w:rPr>
          <w:rFonts w:eastAsia="Malgun Gothic" w:cs="Calibri"/>
        </w:rPr>
        <w:t xml:space="preserve"> </w:t>
      </w:r>
      <w:proofErr w:type="spellStart"/>
      <w:r w:rsidRPr="002C5356">
        <w:rPr>
          <w:rFonts w:eastAsia="Malgun Gothic" w:cs="Calibri"/>
        </w:rPr>
        <w:t>appliquées</w:t>
      </w:r>
      <w:proofErr w:type="spellEnd"/>
      <w:r w:rsidRPr="002C5356">
        <w:rPr>
          <w:rFonts w:eastAsia="Malgun Gothic" w:cs="Calibri"/>
        </w:rPr>
        <w:t xml:space="preserve"> </w:t>
      </w:r>
      <w:proofErr w:type="spellStart"/>
      <w:r w:rsidRPr="002C5356">
        <w:rPr>
          <w:rFonts w:eastAsia="Malgun Gothic" w:cs="Calibri"/>
        </w:rPr>
        <w:t>pour</w:t>
      </w:r>
      <w:proofErr w:type="spellEnd"/>
      <w:r w:rsidRPr="002C5356">
        <w:rPr>
          <w:rFonts w:eastAsia="Malgun Gothic" w:cs="Calibri"/>
        </w:rPr>
        <w:t xml:space="preserve"> </w:t>
      </w:r>
      <w:proofErr w:type="spellStart"/>
      <w:r w:rsidRPr="002C5356">
        <w:rPr>
          <w:rFonts w:eastAsia="Malgun Gothic" w:cs="Calibri"/>
        </w:rPr>
        <w:t>l’examen</w:t>
      </w:r>
      <w:proofErr w:type="spellEnd"/>
      <w:r w:rsidRPr="002C5356">
        <w:rPr>
          <w:rFonts w:eastAsia="Malgun Gothic" w:cs="Calibri"/>
        </w:rPr>
        <w:t>.</w:t>
      </w:r>
    </w:p>
    <w:p w:rsidR="00A32CDF" w:rsidRPr="002C5356" w:rsidRDefault="00A32CDF" w:rsidP="00A32CDF">
      <w:pPr>
        <w:pStyle w:val="Corpsdetexte"/>
        <w:rPr>
          <w:rFonts w:eastAsia="Malgun Gothic" w:cs="Calibri"/>
        </w:rPr>
      </w:pPr>
    </w:p>
    <w:p w:rsidR="00A32CDF" w:rsidRPr="002C5356" w:rsidRDefault="00A32CDF" w:rsidP="00A32CDF">
      <w:pPr>
        <w:spacing w:after="0"/>
        <w:rPr>
          <w:rFonts w:eastAsia="Malgun Gothic" w:cs="Calibri"/>
          <w:b/>
        </w:rPr>
      </w:pPr>
      <w:r w:rsidRPr="002C5356">
        <w:rPr>
          <w:rFonts w:eastAsia="Malgun Gothic" w:cs="Calibri"/>
          <w:b/>
        </w:rPr>
        <w:t>5.  PORTÉE DÉTAILLÉE DE L’EXAMEN À MI-PARCOURS</w:t>
      </w:r>
    </w:p>
    <w:p w:rsidR="00A32CDF" w:rsidRPr="002C5356" w:rsidRDefault="00A32CDF" w:rsidP="00A32CDF">
      <w:pPr>
        <w:spacing w:after="0"/>
        <w:rPr>
          <w:rFonts w:eastAsia="Malgun Gothic" w:cs="Calibri"/>
        </w:rPr>
      </w:pPr>
      <w:r w:rsidRPr="002C5356">
        <w:rPr>
          <w:rFonts w:eastAsia="Malgun Gothic" w:cs="Calibri"/>
        </w:rPr>
        <w:t>L’équipe chargée de l’examen à mi-parcours évaluera l’évolution du projet dans les quatre catégories mentionnées ci-après.</w:t>
      </w:r>
    </w:p>
    <w:p w:rsidR="00A32CDF" w:rsidRPr="002C5356" w:rsidRDefault="00A32CDF" w:rsidP="00A32CDF">
      <w:pPr>
        <w:spacing w:after="0"/>
        <w:rPr>
          <w:rFonts w:eastAsia="Malgun Gothic" w:cs="Calibri"/>
        </w:rPr>
      </w:pPr>
    </w:p>
    <w:p w:rsidR="00A32CDF" w:rsidRPr="002C5356" w:rsidRDefault="00A32CDF" w:rsidP="00A32CDF">
      <w:pPr>
        <w:spacing w:after="0"/>
        <w:rPr>
          <w:rFonts w:eastAsia="Malgun Gothic" w:cs="Calibri"/>
          <w:b/>
          <w:color w:val="000000"/>
        </w:rPr>
      </w:pPr>
      <w:r w:rsidRPr="002C5356">
        <w:rPr>
          <w:rFonts w:eastAsia="Malgun Gothic" w:cs="Calibri"/>
          <w:b/>
          <w:color w:val="000000"/>
        </w:rPr>
        <w:t xml:space="preserve">i.    Stratégie de projet </w:t>
      </w:r>
    </w:p>
    <w:p w:rsidR="00A32CDF" w:rsidRPr="002C5356" w:rsidRDefault="00A32CDF" w:rsidP="00A32CDF">
      <w:pPr>
        <w:spacing w:after="0"/>
        <w:rPr>
          <w:rFonts w:eastAsia="Malgun Gothic" w:cs="Calibri"/>
        </w:rPr>
      </w:pPr>
      <w:r w:rsidRPr="002C5356">
        <w:rPr>
          <w:rFonts w:eastAsia="Malgun Gothic" w:cs="Calibri"/>
          <w:u w:val="single"/>
        </w:rPr>
        <w:t xml:space="preserve">Conception de projet </w:t>
      </w:r>
      <w:r w:rsidRPr="002C5356">
        <w:rPr>
          <w:rFonts w:eastAsia="Malgun Gothic" w:cs="Calibri"/>
        </w:rPr>
        <w:t xml:space="preserve">: </w:t>
      </w:r>
    </w:p>
    <w:p w:rsidR="00A32CDF" w:rsidRPr="002C5356" w:rsidRDefault="00A32CDF" w:rsidP="00A32CDF">
      <w:pPr>
        <w:pStyle w:val="Paragraphedeliste"/>
        <w:numPr>
          <w:ilvl w:val="0"/>
          <w:numId w:val="10"/>
        </w:numPr>
        <w:spacing w:before="0" w:after="0"/>
        <w:contextualSpacing w:val="0"/>
        <w:rPr>
          <w:rFonts w:eastAsia="Malgun Gothic" w:cs="Calibri"/>
          <w:color w:val="000000"/>
        </w:rPr>
      </w:pPr>
      <w:r w:rsidRPr="002C5356">
        <w:rPr>
          <w:rFonts w:eastAsia="Malgun Gothic" w:cs="Calibri"/>
        </w:rPr>
        <w:t>Analyser le problème auquel s’attaque le projet et les hypothèses de base</w:t>
      </w:r>
      <w:r w:rsidRPr="002C5356">
        <w:rPr>
          <w:rFonts w:eastAsia="Malgun Gothic" w:cs="Calibri"/>
          <w:color w:val="000000"/>
        </w:rPr>
        <w:t>. Passer en revue les conséquences de toute hypothèse erronée ou de tout changement contextuel sur la réalisation des résultats du projet tel qu’énoncés dans le Document de projet.</w:t>
      </w:r>
    </w:p>
    <w:p w:rsidR="00A32CDF" w:rsidRPr="002C5356" w:rsidRDefault="00A32CDF" w:rsidP="00A32CDF">
      <w:pPr>
        <w:pStyle w:val="Paragraphedeliste"/>
        <w:numPr>
          <w:ilvl w:val="0"/>
          <w:numId w:val="10"/>
        </w:numPr>
        <w:spacing w:before="0" w:after="0"/>
        <w:contextualSpacing w:val="0"/>
        <w:rPr>
          <w:rFonts w:eastAsia="Malgun Gothic" w:cs="Calibri"/>
        </w:rPr>
      </w:pPr>
      <w:r w:rsidRPr="002C5356">
        <w:rPr>
          <w:rFonts w:eastAsia="Malgun Gothic" w:cs="Calibri"/>
        </w:rPr>
        <w:t>Examiner la pertinence de la stratégie du projet et évaluer si c’est le moyen le plus efficace d’atteindre les résultats escomptés. Les enseignements tirés d’autres projets pertinents ont-ils été convenablement pris en considération dans la conception du projet ?</w:t>
      </w:r>
    </w:p>
    <w:p w:rsidR="00A32CDF" w:rsidRPr="002C5356" w:rsidRDefault="00A32CDF" w:rsidP="00A32CDF">
      <w:pPr>
        <w:pStyle w:val="Paragraphedeliste"/>
        <w:numPr>
          <w:ilvl w:val="0"/>
          <w:numId w:val="10"/>
        </w:numPr>
        <w:spacing w:before="0" w:after="0"/>
        <w:contextualSpacing w:val="0"/>
        <w:rPr>
          <w:rFonts w:eastAsia="Malgun Gothic" w:cs="Calibri"/>
        </w:rPr>
      </w:pPr>
      <w:r w:rsidRPr="002C5356">
        <w:rPr>
          <w:rFonts w:eastAsia="Malgun Gothic" w:cs="Calibri"/>
        </w:rPr>
        <w:t>Étudier la façon dont le projet répond aux priorités du pays. Faire le point sur l’appropriation nationale. Le concept du projet est-il conforme aux priorités et plans nationaux pour le développement sectoriel du pays (ou des pays participants s’il s’agit de projets multi-pays) ?</w:t>
      </w:r>
    </w:p>
    <w:p w:rsidR="00A32CDF" w:rsidRPr="002C5356" w:rsidRDefault="00A32CDF" w:rsidP="00A32CDF">
      <w:pPr>
        <w:pStyle w:val="Paragraphedeliste"/>
        <w:numPr>
          <w:ilvl w:val="0"/>
          <w:numId w:val="10"/>
        </w:numPr>
        <w:spacing w:before="0" w:after="0"/>
        <w:contextualSpacing w:val="0"/>
        <w:rPr>
          <w:rFonts w:eastAsia="Malgun Gothic" w:cs="Calibri"/>
          <w:b/>
        </w:rPr>
      </w:pPr>
      <w:r w:rsidRPr="002C5356">
        <w:rPr>
          <w:rFonts w:eastAsia="Malgun Gothic" w:cs="Calibri"/>
        </w:rPr>
        <w:t xml:space="preserve">Examiner les processus décisionnels : les points de vue des personnes qui seront concernées par les décisions du projet, de celles qui pourraient influer sur les résultats et de celles qui pourraient contribuer à l’information ou à d’autres ressources visant le processus, ont-ils été pris en considération pendant la conception de projet ? </w:t>
      </w:r>
    </w:p>
    <w:p w:rsidR="00A32CDF" w:rsidRPr="002C5356" w:rsidRDefault="00A32CDF" w:rsidP="00A32CDF">
      <w:pPr>
        <w:pStyle w:val="Paragraphedeliste"/>
        <w:numPr>
          <w:ilvl w:val="0"/>
          <w:numId w:val="10"/>
        </w:numPr>
        <w:spacing w:before="0" w:after="0"/>
        <w:contextualSpacing w:val="0"/>
        <w:rPr>
          <w:rFonts w:eastAsia="Malgun Gothic" w:cs="Calibri"/>
          <w:noProof/>
        </w:rPr>
      </w:pPr>
      <w:r w:rsidRPr="002C5356">
        <w:rPr>
          <w:rFonts w:eastAsia="Malgun Gothic" w:cs="Calibri"/>
        </w:rPr>
        <w:t>Examiner la mesure dans laquelle les questions pertinentes en matière de genre ont été soulevées pendant la conception du projet.</w:t>
      </w:r>
    </w:p>
    <w:p w:rsidR="00A32CDF" w:rsidRPr="002C5356" w:rsidRDefault="00A32CDF" w:rsidP="00A32CDF">
      <w:pPr>
        <w:pStyle w:val="Paragraphedeliste"/>
        <w:numPr>
          <w:ilvl w:val="0"/>
          <w:numId w:val="10"/>
        </w:numPr>
        <w:spacing w:before="0" w:after="0"/>
        <w:contextualSpacing w:val="0"/>
        <w:rPr>
          <w:rFonts w:eastAsia="Malgun Gothic" w:cs="Calibri"/>
        </w:rPr>
      </w:pPr>
      <w:r w:rsidRPr="002C5356">
        <w:rPr>
          <w:rFonts w:eastAsia="Malgun Gothic" w:cs="Calibri"/>
        </w:rPr>
        <w:t xml:space="preserve">Indiquer s’il y a des domaines de préoccupation majeure qui nécessitent des améliorations. </w:t>
      </w:r>
    </w:p>
    <w:p w:rsidR="00A32CDF" w:rsidRPr="002C5356" w:rsidRDefault="00A32CDF" w:rsidP="00A32CDF">
      <w:pPr>
        <w:spacing w:after="0"/>
        <w:rPr>
          <w:rFonts w:eastAsia="Malgun Gothic" w:cs="Calibri"/>
          <w:u w:val="single"/>
        </w:rPr>
      </w:pPr>
    </w:p>
    <w:p w:rsidR="00A32CDF" w:rsidRPr="002C5356" w:rsidRDefault="00A32CDF" w:rsidP="00A32CDF">
      <w:pPr>
        <w:spacing w:after="0"/>
        <w:rPr>
          <w:rFonts w:eastAsia="Malgun Gothic" w:cs="Calibri"/>
        </w:rPr>
      </w:pPr>
      <w:r w:rsidRPr="002C5356">
        <w:rPr>
          <w:rFonts w:eastAsia="Malgun Gothic" w:cs="Calibri"/>
          <w:u w:val="single"/>
        </w:rPr>
        <w:t xml:space="preserve">Cadre de résultats/cadre logique </w:t>
      </w:r>
      <w:r w:rsidRPr="002C5356">
        <w:rPr>
          <w:rFonts w:eastAsia="Malgun Gothic" w:cs="Calibri"/>
        </w:rPr>
        <w:t>:</w:t>
      </w:r>
    </w:p>
    <w:p w:rsidR="00A32CDF" w:rsidRPr="002C5356" w:rsidRDefault="00A32CDF" w:rsidP="00A32CDF">
      <w:pPr>
        <w:pStyle w:val="Paragraphedeliste"/>
        <w:numPr>
          <w:ilvl w:val="0"/>
          <w:numId w:val="10"/>
        </w:numPr>
        <w:spacing w:before="0" w:after="0"/>
        <w:contextualSpacing w:val="0"/>
        <w:rPr>
          <w:rFonts w:eastAsia="Malgun Gothic" w:cs="Calibri"/>
        </w:rPr>
      </w:pPr>
      <w:r w:rsidRPr="002C5356">
        <w:rPr>
          <w:rFonts w:eastAsia="Malgun Gothic" w:cs="Calibri"/>
          <w:color w:val="000000"/>
        </w:rPr>
        <w:t>Procéder à une analyse critique des indicateurs et cibles du cadre logique du projet, évaluer la mesure dans laquelle les cibles à mi-parcours sont « SMART » (spécifiques, mesurables, réalisables, pertinentes et limitées dans le temps), et proposer des modifications/révisions spécifiques aux cibles et indicateurs lorsque nécessaire.</w:t>
      </w:r>
    </w:p>
    <w:p w:rsidR="00A32CDF" w:rsidRPr="002C5356" w:rsidRDefault="00A32CDF" w:rsidP="00A32CDF">
      <w:pPr>
        <w:pStyle w:val="Paragraphedeliste"/>
        <w:numPr>
          <w:ilvl w:val="0"/>
          <w:numId w:val="10"/>
        </w:numPr>
        <w:spacing w:before="0" w:after="0"/>
        <w:contextualSpacing w:val="0"/>
        <w:rPr>
          <w:rFonts w:eastAsia="Malgun Gothic" w:cs="Calibri"/>
        </w:rPr>
      </w:pPr>
      <w:r w:rsidRPr="002C5356">
        <w:rPr>
          <w:rFonts w:eastAsia="Malgun Gothic" w:cs="Calibri"/>
        </w:rPr>
        <w:t>Les objectifs, résultats ou éléments du projet sont-ils clairs, applicables dans la pratique et réalisables dans les délais fixés ?</w:t>
      </w:r>
    </w:p>
    <w:p w:rsidR="00A32CDF" w:rsidRPr="002C5356" w:rsidRDefault="00A32CDF" w:rsidP="00A32CDF">
      <w:pPr>
        <w:pStyle w:val="Paragraphedeliste"/>
        <w:numPr>
          <w:ilvl w:val="0"/>
          <w:numId w:val="10"/>
        </w:numPr>
        <w:spacing w:before="0" w:after="0"/>
        <w:contextualSpacing w:val="0"/>
        <w:rPr>
          <w:rFonts w:eastAsia="Malgun Gothic" w:cs="Calibri"/>
        </w:rPr>
      </w:pPr>
      <w:r w:rsidRPr="002C5356">
        <w:rPr>
          <w:rFonts w:eastAsia="Malgun Gothic" w:cs="Calibri"/>
        </w:rPr>
        <w:t xml:space="preserve">Examiner si les progrès réalisés à ce jour ont produit, ou pourraient produire à l’avenir, des effets bénéfiques pour le développement (par exemple, génération de revenus, égalité des sexes et autonomisation des femmes, meilleure gouvernance, </w:t>
      </w:r>
      <w:proofErr w:type="gramStart"/>
      <w:r w:rsidRPr="002C5356">
        <w:rPr>
          <w:rFonts w:eastAsia="Malgun Gothic" w:cs="Calibri"/>
        </w:rPr>
        <w:t>etc...</w:t>
      </w:r>
      <w:proofErr w:type="gramEnd"/>
      <w:r w:rsidRPr="002C5356">
        <w:rPr>
          <w:rFonts w:eastAsia="Malgun Gothic" w:cs="Calibri"/>
        </w:rPr>
        <w:t xml:space="preserve">) qu’il faudrait intégrer au cadre de résultats du projet et suivre annuellement. </w:t>
      </w:r>
    </w:p>
    <w:p w:rsidR="00A32CDF" w:rsidRPr="002C5356" w:rsidRDefault="00A32CDF" w:rsidP="00A32CDF">
      <w:pPr>
        <w:numPr>
          <w:ilvl w:val="0"/>
          <w:numId w:val="10"/>
        </w:numPr>
        <w:spacing w:before="0" w:after="0"/>
        <w:rPr>
          <w:rFonts w:eastAsia="Malgun Gothic" w:cs="Calibri"/>
          <w:color w:val="000000"/>
        </w:rPr>
      </w:pPr>
      <w:r w:rsidRPr="002C5356">
        <w:rPr>
          <w:rFonts w:eastAsia="Malgun Gothic" w:cs="Calibri"/>
          <w:color w:val="000000"/>
        </w:rPr>
        <w:t xml:space="preserve">S’assurer que l’on suit efficacement les aspects généraux en matière de développement et de genre du projet. Mettre au point et recommander des indicateurs de développement « SMART », notamment des indicateurs ventilés par sexe et des indicateurs faisant apparaître les effets bénéfiques pour le développement. </w:t>
      </w:r>
    </w:p>
    <w:p w:rsidR="00A32CDF" w:rsidRPr="002C5356" w:rsidRDefault="00A32CDF" w:rsidP="00A32CDF">
      <w:pPr>
        <w:spacing w:after="0"/>
        <w:ind w:left="360"/>
        <w:rPr>
          <w:rFonts w:eastAsia="Malgun Gothic" w:cs="Calibri"/>
          <w:color w:val="000000"/>
        </w:rPr>
      </w:pPr>
    </w:p>
    <w:p w:rsidR="00A32CDF" w:rsidRPr="002C5356" w:rsidRDefault="00A32CDF" w:rsidP="00A32CDF">
      <w:pPr>
        <w:spacing w:after="0"/>
        <w:rPr>
          <w:rFonts w:eastAsia="Malgun Gothic" w:cs="Calibri"/>
          <w:b/>
        </w:rPr>
      </w:pPr>
      <w:r w:rsidRPr="002C5356">
        <w:rPr>
          <w:rFonts w:eastAsia="Malgun Gothic" w:cs="Calibri"/>
          <w:b/>
        </w:rPr>
        <w:t xml:space="preserve">ii.    Progrès vers la réalisation des résultats </w:t>
      </w:r>
    </w:p>
    <w:p w:rsidR="00A32CDF" w:rsidRPr="002C5356" w:rsidRDefault="00A32CDF" w:rsidP="00A32CDF">
      <w:pPr>
        <w:spacing w:after="0"/>
        <w:rPr>
          <w:rFonts w:eastAsia="Malgun Gothic" w:cs="Calibri"/>
        </w:rPr>
      </w:pPr>
      <w:r w:rsidRPr="002C5356">
        <w:rPr>
          <w:rFonts w:eastAsia="Malgun Gothic" w:cs="Calibri"/>
          <w:u w:val="single"/>
        </w:rPr>
        <w:t xml:space="preserve">Analyse de progrès vers les réalisations </w:t>
      </w:r>
      <w:r w:rsidRPr="002C5356">
        <w:rPr>
          <w:rFonts w:eastAsia="Malgun Gothic" w:cs="Calibri"/>
        </w:rPr>
        <w:t>:</w:t>
      </w:r>
    </w:p>
    <w:p w:rsidR="00A32CDF" w:rsidRPr="002C5356" w:rsidRDefault="00A32CDF" w:rsidP="00A32CDF">
      <w:pPr>
        <w:pStyle w:val="Paragraphedeliste"/>
        <w:numPr>
          <w:ilvl w:val="0"/>
          <w:numId w:val="10"/>
        </w:numPr>
        <w:spacing w:before="0" w:after="0"/>
        <w:contextualSpacing w:val="0"/>
        <w:rPr>
          <w:rFonts w:eastAsia="Malgun Gothic" w:cs="Calibri"/>
          <w:color w:val="000000"/>
        </w:rPr>
      </w:pPr>
      <w:r w:rsidRPr="002C5356">
        <w:rPr>
          <w:rFonts w:eastAsia="Malgun Gothic" w:cs="Calibri"/>
          <w:color w:val="000000"/>
        </w:rPr>
        <w:t>Passer en revue les indicateurs du cadre logique à la lumière des progrès accomplis vers la réalisation des cibles de fin de projet, à l’aide de la Matrice des progrès vers la réalisation des résultats ; les progrès sont indiqués par couleur selon le principe des « feux tricolores » en fonction du niveau de progrès obtenus pour chaque réalisation ; formuler des recommandations pour les secteurs entrant dans la catégorie « </w:t>
      </w:r>
      <w:r w:rsidRPr="002C5356">
        <w:rPr>
          <w:rFonts w:eastAsia="Malgun Gothic" w:cs="Calibri"/>
        </w:rPr>
        <w:t xml:space="preserve">Ne sont pas en voie de réalisation » (en rouge). </w:t>
      </w:r>
    </w:p>
    <w:p w:rsidR="00A32CDF" w:rsidRPr="005809F1" w:rsidRDefault="00A32CDF" w:rsidP="00A32CDF">
      <w:pPr>
        <w:rPr>
          <w:rFonts w:eastAsia="Malgun Gothic" w:cs="Calibri"/>
        </w:rPr>
      </w:pPr>
      <w:r w:rsidRPr="005809F1">
        <w:rPr>
          <w:rFonts w:eastAsia="Malgun Gothic" w:cs="Calibri"/>
        </w:rPr>
        <w:t>Les progrès obtenus vers la réalisation des résultats (Réalisations obtenues à la lumière des cibles de fin de projet) sont présentés comme suit :</w:t>
      </w:r>
    </w:p>
    <w:tbl>
      <w:tblPr>
        <w:tblW w:w="1125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992"/>
        <w:gridCol w:w="993"/>
        <w:gridCol w:w="850"/>
        <w:gridCol w:w="1024"/>
        <w:gridCol w:w="1260"/>
        <w:gridCol w:w="1170"/>
      </w:tblGrid>
      <w:tr w:rsidR="00A32CDF" w:rsidRPr="00A82815" w:rsidTr="00A32CDF">
        <w:trPr>
          <w:cantSplit/>
          <w:trHeight w:val="629"/>
        </w:trPr>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32CDF" w:rsidRPr="00A82815" w:rsidRDefault="00A32CDF" w:rsidP="0047114D">
            <w:pPr>
              <w:spacing w:after="0"/>
              <w:rPr>
                <w:rFonts w:cs="Calibri"/>
                <w:b/>
              </w:rPr>
            </w:pPr>
            <w:r w:rsidRPr="00A82815">
              <w:rPr>
                <w:rFonts w:cs="Calibri"/>
              </w:rPr>
              <w:br w:type="page"/>
            </w:r>
            <w:r w:rsidRPr="00A82815">
              <w:rPr>
                <w:rFonts w:cs="Calibri"/>
                <w:b/>
              </w:rPr>
              <w:t xml:space="preserve">Stratégie de projet </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A32CDF" w:rsidRPr="00A82815" w:rsidRDefault="00A32CDF" w:rsidP="0047114D">
            <w:pPr>
              <w:spacing w:after="0"/>
              <w:rPr>
                <w:rFonts w:cs="Calibri"/>
                <w:b/>
              </w:rPr>
            </w:pPr>
            <w:r w:rsidRPr="00A82815">
              <w:rPr>
                <w:rFonts w:cs="Calibri"/>
                <w:b/>
              </w:rPr>
              <w:t>Indicateur</w:t>
            </w:r>
            <w:r w:rsidRPr="00A82815">
              <w:rPr>
                <w:rStyle w:val="Appelnotedebasdep"/>
                <w:rFonts w:cs="Calibri"/>
                <w:b/>
              </w:rPr>
              <w:footnoteReference w:id="1"/>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rsidR="00A32CDF" w:rsidRPr="00A82815" w:rsidRDefault="00A32CDF" w:rsidP="0047114D">
            <w:pPr>
              <w:spacing w:after="0"/>
              <w:rPr>
                <w:rFonts w:cs="Calibri"/>
                <w:b/>
              </w:rPr>
            </w:pPr>
            <w:r w:rsidRPr="00A82815">
              <w:rPr>
                <w:rFonts w:cs="Calibri"/>
                <w:b/>
              </w:rPr>
              <w:t>Niveau de référence</w:t>
            </w:r>
            <w:r w:rsidRPr="00A82815">
              <w:rPr>
                <w:rStyle w:val="Appelnotedebasdep"/>
                <w:rFonts w:cs="Calibri"/>
                <w:b/>
              </w:rPr>
              <w:footnoteReference w:id="2"/>
            </w:r>
          </w:p>
        </w:tc>
        <w:tc>
          <w:tcPr>
            <w:tcW w:w="993" w:type="dxa"/>
            <w:tcBorders>
              <w:top w:val="single" w:sz="4" w:space="0" w:color="auto"/>
              <w:left w:val="single" w:sz="4" w:space="0" w:color="auto"/>
              <w:bottom w:val="single" w:sz="4" w:space="0" w:color="auto"/>
              <w:right w:val="single" w:sz="4" w:space="0" w:color="auto"/>
            </w:tcBorders>
            <w:shd w:val="clear" w:color="auto" w:fill="D9D9D9"/>
            <w:hideMark/>
          </w:tcPr>
          <w:p w:rsidR="00A32CDF" w:rsidRPr="00A82815" w:rsidRDefault="00A32CDF" w:rsidP="0047114D">
            <w:pPr>
              <w:spacing w:after="0"/>
              <w:rPr>
                <w:rFonts w:cs="Calibri"/>
                <w:b/>
              </w:rPr>
            </w:pPr>
            <w:r w:rsidRPr="00A82815">
              <w:rPr>
                <w:rFonts w:cs="Calibri"/>
                <w:b/>
              </w:rPr>
              <w:t>Cible à mi-parcours</w:t>
            </w:r>
            <w:r w:rsidRPr="00A82815">
              <w:rPr>
                <w:rStyle w:val="Appelnotedebasdep"/>
                <w:rFonts w:cs="Calibri"/>
                <w:b/>
              </w:rPr>
              <w:footnoteReference w:id="3"/>
            </w:r>
          </w:p>
        </w:tc>
        <w:tc>
          <w:tcPr>
            <w:tcW w:w="850" w:type="dxa"/>
            <w:tcBorders>
              <w:top w:val="single" w:sz="4" w:space="0" w:color="auto"/>
              <w:left w:val="single" w:sz="4" w:space="0" w:color="auto"/>
              <w:bottom w:val="single" w:sz="4" w:space="0" w:color="auto"/>
              <w:right w:val="single" w:sz="4" w:space="0" w:color="auto"/>
            </w:tcBorders>
            <w:shd w:val="clear" w:color="auto" w:fill="D9D9D9"/>
            <w:hideMark/>
          </w:tcPr>
          <w:p w:rsidR="00A32CDF" w:rsidRPr="00A82815" w:rsidRDefault="00A32CDF" w:rsidP="0047114D">
            <w:pPr>
              <w:spacing w:after="0"/>
              <w:rPr>
                <w:rFonts w:cs="Calibri"/>
                <w:b/>
              </w:rPr>
            </w:pPr>
            <w:r w:rsidRPr="00A82815">
              <w:rPr>
                <w:rFonts w:cs="Calibri"/>
                <w:b/>
              </w:rPr>
              <w:t xml:space="preserve">Cible à la fin du projet </w:t>
            </w:r>
          </w:p>
        </w:tc>
        <w:tc>
          <w:tcPr>
            <w:tcW w:w="1024" w:type="dxa"/>
            <w:tcBorders>
              <w:top w:val="single" w:sz="4" w:space="0" w:color="auto"/>
              <w:left w:val="single" w:sz="4" w:space="0" w:color="auto"/>
              <w:bottom w:val="single" w:sz="4" w:space="0" w:color="auto"/>
              <w:right w:val="single" w:sz="4" w:space="0" w:color="auto"/>
            </w:tcBorders>
            <w:shd w:val="clear" w:color="auto" w:fill="D9D9D9"/>
            <w:hideMark/>
          </w:tcPr>
          <w:p w:rsidR="00A32CDF" w:rsidRPr="00A82815" w:rsidRDefault="00A32CDF" w:rsidP="0047114D">
            <w:pPr>
              <w:spacing w:after="0"/>
              <w:rPr>
                <w:rFonts w:cs="Calibri"/>
                <w:b/>
              </w:rPr>
            </w:pPr>
            <w:r w:rsidRPr="00A82815">
              <w:rPr>
                <w:rFonts w:cs="Calibri"/>
                <w:b/>
              </w:rPr>
              <w:t>Niveau et évaluation à mi-parcours</w:t>
            </w:r>
            <w:r w:rsidRPr="00A82815">
              <w:rPr>
                <w:rStyle w:val="Appelnotedebasdep"/>
                <w:rFonts w:cs="Calibri"/>
                <w:b/>
              </w:rPr>
              <w:footnoteReference w:id="4"/>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rsidR="00A32CDF" w:rsidRPr="00A82815" w:rsidRDefault="00A32CDF" w:rsidP="0047114D">
            <w:pPr>
              <w:rPr>
                <w:rFonts w:cs="Calibri"/>
                <w:b/>
              </w:rPr>
            </w:pPr>
            <w:r w:rsidRPr="00A82815">
              <w:rPr>
                <w:rFonts w:cs="Calibri"/>
                <w:b/>
              </w:rPr>
              <w:t>Évaluation obtenue</w:t>
            </w:r>
            <w:r w:rsidRPr="00A82815">
              <w:rPr>
                <w:rStyle w:val="Appelnotedebasdep"/>
                <w:rFonts w:cs="Calibri"/>
                <w:b/>
              </w:rPr>
              <w:footnoteReference w:id="5"/>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rsidR="00A32CDF" w:rsidRPr="00A82815" w:rsidRDefault="00A32CDF" w:rsidP="0047114D">
            <w:pPr>
              <w:rPr>
                <w:rFonts w:cs="Calibri"/>
                <w:b/>
              </w:rPr>
            </w:pPr>
            <w:r w:rsidRPr="00A82815">
              <w:rPr>
                <w:rFonts w:cs="Calibri"/>
                <w:b/>
              </w:rPr>
              <w:t xml:space="preserve">Justification de l’évaluation </w:t>
            </w:r>
          </w:p>
        </w:tc>
      </w:tr>
      <w:tr w:rsidR="00A32CDF" w:rsidRPr="00A82815" w:rsidTr="00A32CDF">
        <w:trPr>
          <w:cantSplit/>
          <w:trHeight w:val="470"/>
        </w:trPr>
        <w:tc>
          <w:tcPr>
            <w:tcW w:w="2269" w:type="dxa"/>
            <w:vMerge w:val="restart"/>
            <w:tcBorders>
              <w:top w:val="single" w:sz="4" w:space="0" w:color="auto"/>
              <w:left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r w:rsidRPr="00A82815">
              <w:rPr>
                <w:rFonts w:cs="Calibri"/>
                <w:b/>
              </w:rPr>
              <w:t xml:space="preserve">Objectif : La résilience des systèmes écologiques, de production et les systèmes sociaux dans les zones vulnérables du Mali due aux impacts du changement climatique est accrue par les capacités d'adaptation renforcées, </w:t>
            </w:r>
            <w:proofErr w:type="gramStart"/>
            <w:r w:rsidRPr="00A82815">
              <w:rPr>
                <w:rFonts w:cs="Calibri"/>
                <w:b/>
              </w:rPr>
              <w:t>et  des</w:t>
            </w:r>
            <w:proofErr w:type="gramEnd"/>
            <w:r w:rsidRPr="00A82815">
              <w:rPr>
                <w:rFonts w:cs="Calibri"/>
                <w:b/>
              </w:rPr>
              <w:t xml:space="preserve"> approches d'adaptation intégrées et novatrices</w:t>
            </w:r>
          </w:p>
          <w:p w:rsidR="00A32CDF" w:rsidRPr="00A82815" w:rsidRDefault="00A32CDF" w:rsidP="0047114D">
            <w:pPr>
              <w:autoSpaceDE w:val="0"/>
              <w:autoSpaceDN w:val="0"/>
              <w:adjustRightInd w:val="0"/>
              <w:spacing w:after="0"/>
              <w:rPr>
                <w:rFonts w:cs="Calibri"/>
              </w:rPr>
            </w:pPr>
          </w:p>
        </w:tc>
        <w:tc>
          <w:tcPr>
            <w:tcW w:w="2693" w:type="dxa"/>
            <w:tcBorders>
              <w:top w:val="single" w:sz="4" w:space="0" w:color="auto"/>
              <w:left w:val="single" w:sz="4" w:space="0" w:color="auto"/>
              <w:bottom w:val="single" w:sz="4" w:space="0" w:color="auto"/>
              <w:right w:val="single" w:sz="4" w:space="0" w:color="auto"/>
            </w:tcBorders>
            <w:hideMark/>
          </w:tcPr>
          <w:p w:rsidR="00A32CDF" w:rsidRPr="00A82815" w:rsidRDefault="00A32CDF" w:rsidP="0047114D">
            <w:pPr>
              <w:spacing w:after="0"/>
              <w:rPr>
                <w:rFonts w:cs="Calibri"/>
              </w:rPr>
            </w:pPr>
            <w:r w:rsidRPr="00A82815">
              <w:rPr>
                <w:rFonts w:cs="Calibri"/>
              </w:rPr>
              <w:t>Indicateur 1 : Nombre d'instruments novateurs et intégrés pour l'intégration systématique des adaptations au changement climatique dans la planification du développement durable et l'accès des communautés vulnérables au financement sur le climat adopté par les institutions et les parties prenantes</w:t>
            </w:r>
          </w:p>
        </w:tc>
        <w:tc>
          <w:tcPr>
            <w:tcW w:w="992"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r w:rsidRPr="00A82815">
              <w:rPr>
                <w:rFonts w:cs="Calibri"/>
              </w:rPr>
              <w:t>6</w:t>
            </w:r>
          </w:p>
        </w:tc>
        <w:tc>
          <w:tcPr>
            <w:tcW w:w="993"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rPr>
                <w:rFonts w:cs="Calibri"/>
                <w:highlight w:val="yellow"/>
              </w:rPr>
            </w:pPr>
            <w:r w:rsidRPr="00A82815">
              <w:rPr>
                <w:rFonts w:cs="Calibri"/>
                <w:highlight w:val="yellow"/>
              </w:rPr>
              <w:t>11</w:t>
            </w:r>
          </w:p>
        </w:tc>
        <w:tc>
          <w:tcPr>
            <w:tcW w:w="850"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r w:rsidRPr="00A82815">
              <w:rPr>
                <w:rFonts w:cs="Calibri"/>
              </w:rPr>
              <w:t>16</w:t>
            </w:r>
          </w:p>
        </w:tc>
        <w:tc>
          <w:tcPr>
            <w:tcW w:w="1024"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p>
        </w:tc>
        <w:tc>
          <w:tcPr>
            <w:tcW w:w="1260"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p>
        </w:tc>
        <w:tc>
          <w:tcPr>
            <w:tcW w:w="1170"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p>
        </w:tc>
      </w:tr>
      <w:tr w:rsidR="00A32CDF" w:rsidRPr="00A82815" w:rsidTr="00A32CDF">
        <w:trPr>
          <w:cantSplit/>
          <w:trHeight w:val="470"/>
        </w:trPr>
        <w:tc>
          <w:tcPr>
            <w:tcW w:w="2269" w:type="dxa"/>
            <w:vMerge/>
            <w:tcBorders>
              <w:left w:val="single" w:sz="4" w:space="0" w:color="auto"/>
              <w:right w:val="single" w:sz="4" w:space="0" w:color="auto"/>
            </w:tcBorders>
          </w:tcPr>
          <w:p w:rsidR="00A32CDF" w:rsidRPr="00A82815" w:rsidRDefault="00A32CDF" w:rsidP="0047114D">
            <w:pPr>
              <w:autoSpaceDE w:val="0"/>
              <w:autoSpaceDN w:val="0"/>
              <w:adjustRightInd w:val="0"/>
              <w:spacing w:after="0"/>
              <w:rPr>
                <w:rFonts w:cs="Calibri"/>
                <w:b/>
              </w:rPr>
            </w:pPr>
          </w:p>
        </w:tc>
        <w:tc>
          <w:tcPr>
            <w:tcW w:w="2693"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spacing w:after="0"/>
              <w:rPr>
                <w:rFonts w:cs="Calibri"/>
              </w:rPr>
            </w:pPr>
            <w:r w:rsidRPr="00A82815">
              <w:rPr>
                <w:rFonts w:cs="Calibri"/>
              </w:rPr>
              <w:t>Indicateur 2 : Les investissements d'adaptation pertinents dans les secteurs classés comme vulnérables au changement climatique ont augmenté à XX% des investissements globaux respectifs</w:t>
            </w:r>
          </w:p>
        </w:tc>
        <w:tc>
          <w:tcPr>
            <w:tcW w:w="992"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r w:rsidRPr="00A82815">
              <w:rPr>
                <w:rFonts w:cs="Calibri"/>
              </w:rPr>
              <w:t>0%</w:t>
            </w:r>
          </w:p>
        </w:tc>
        <w:tc>
          <w:tcPr>
            <w:tcW w:w="993"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rPr>
                <w:rFonts w:cs="Calibri"/>
                <w:highlight w:val="yellow"/>
              </w:rPr>
            </w:pPr>
          </w:p>
        </w:tc>
        <w:tc>
          <w:tcPr>
            <w:tcW w:w="850"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r w:rsidRPr="00A82815">
              <w:rPr>
                <w:rFonts w:cs="Calibri"/>
              </w:rPr>
              <w:t>3%</w:t>
            </w:r>
          </w:p>
        </w:tc>
        <w:tc>
          <w:tcPr>
            <w:tcW w:w="1024"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p>
        </w:tc>
        <w:tc>
          <w:tcPr>
            <w:tcW w:w="1260"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p>
        </w:tc>
        <w:tc>
          <w:tcPr>
            <w:tcW w:w="1170"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p>
        </w:tc>
      </w:tr>
      <w:tr w:rsidR="00A32CDF" w:rsidRPr="00A82815" w:rsidTr="00A32CDF">
        <w:trPr>
          <w:cantSplit/>
          <w:trHeight w:val="470"/>
        </w:trPr>
        <w:tc>
          <w:tcPr>
            <w:tcW w:w="2269" w:type="dxa"/>
            <w:vMerge/>
            <w:tcBorders>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b/>
              </w:rPr>
            </w:pPr>
          </w:p>
        </w:tc>
        <w:tc>
          <w:tcPr>
            <w:tcW w:w="2693"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spacing w:after="0"/>
              <w:rPr>
                <w:rFonts w:cs="Calibri"/>
              </w:rPr>
            </w:pPr>
            <w:r w:rsidRPr="00A82815">
              <w:rPr>
                <w:rFonts w:cs="Calibri"/>
              </w:rPr>
              <w:t xml:space="preserve">Indicator 3 : Le niveau de risque climatique des communes dans les zones d’intervention </w:t>
            </w:r>
            <w:bookmarkStart w:id="4" w:name="_GoBack"/>
            <w:r w:rsidRPr="00A82815">
              <w:rPr>
                <w:rFonts w:cs="Calibri"/>
              </w:rPr>
              <w:t>d</w:t>
            </w:r>
            <w:bookmarkEnd w:id="4"/>
            <w:r w:rsidRPr="00A82815">
              <w:rPr>
                <w:rFonts w:cs="Calibri"/>
              </w:rPr>
              <w:t>u projet est réduit de XX% ».</w:t>
            </w:r>
          </w:p>
        </w:tc>
        <w:tc>
          <w:tcPr>
            <w:tcW w:w="992"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r w:rsidRPr="00A82815">
              <w:rPr>
                <w:rFonts w:cs="Calibri"/>
              </w:rPr>
              <w:t>0%</w:t>
            </w:r>
          </w:p>
        </w:tc>
        <w:tc>
          <w:tcPr>
            <w:tcW w:w="993"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rPr>
                <w:rFonts w:cs="Calibri"/>
                <w:highlight w:val="yellow"/>
              </w:rPr>
            </w:pPr>
          </w:p>
        </w:tc>
        <w:tc>
          <w:tcPr>
            <w:tcW w:w="850"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r w:rsidRPr="00A82815">
              <w:rPr>
                <w:rFonts w:cs="Calibri"/>
              </w:rPr>
              <w:t>5%</w:t>
            </w:r>
          </w:p>
        </w:tc>
        <w:tc>
          <w:tcPr>
            <w:tcW w:w="1024"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p>
        </w:tc>
        <w:tc>
          <w:tcPr>
            <w:tcW w:w="1260"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p>
        </w:tc>
        <w:tc>
          <w:tcPr>
            <w:tcW w:w="1170"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p>
        </w:tc>
      </w:tr>
      <w:tr w:rsidR="00A32CDF" w:rsidRPr="00A82815" w:rsidTr="00A32CDF">
        <w:trPr>
          <w:cantSplit/>
          <w:trHeight w:val="219"/>
        </w:trPr>
        <w:tc>
          <w:tcPr>
            <w:tcW w:w="2269" w:type="dxa"/>
            <w:vMerge w:val="restart"/>
            <w:tcBorders>
              <w:top w:val="single" w:sz="4" w:space="0" w:color="auto"/>
              <w:left w:val="single" w:sz="4" w:space="0" w:color="auto"/>
              <w:right w:val="single" w:sz="4" w:space="0" w:color="auto"/>
            </w:tcBorders>
            <w:hideMark/>
          </w:tcPr>
          <w:p w:rsidR="00A32CDF" w:rsidRPr="00A82815" w:rsidRDefault="00A32CDF" w:rsidP="0047114D">
            <w:pPr>
              <w:autoSpaceDE w:val="0"/>
              <w:autoSpaceDN w:val="0"/>
              <w:adjustRightInd w:val="0"/>
              <w:spacing w:after="0"/>
              <w:rPr>
                <w:rFonts w:cs="Calibri"/>
                <w:b/>
              </w:rPr>
            </w:pPr>
            <w:r w:rsidRPr="00A82815">
              <w:rPr>
                <w:rFonts w:cs="Calibri"/>
                <w:b/>
              </w:rPr>
              <w:t>Réalisation 1 : Des données climatiques et d'informations fiables sont disponibles pour améliorer l'analyse des impacts du changement climatique sur le développement socio-économique et environnemental et l'intégration et le développement de solutions d'adaptation appropriées.</w:t>
            </w:r>
          </w:p>
        </w:tc>
        <w:tc>
          <w:tcPr>
            <w:tcW w:w="2693" w:type="dxa"/>
            <w:tcBorders>
              <w:top w:val="single" w:sz="4" w:space="0" w:color="auto"/>
              <w:left w:val="single" w:sz="4" w:space="0" w:color="auto"/>
              <w:bottom w:val="single" w:sz="4" w:space="0" w:color="auto"/>
              <w:right w:val="single" w:sz="4" w:space="0" w:color="auto"/>
            </w:tcBorders>
            <w:hideMark/>
          </w:tcPr>
          <w:p w:rsidR="00A32CDF" w:rsidRPr="00A82815" w:rsidRDefault="00A32CDF" w:rsidP="0047114D">
            <w:pPr>
              <w:spacing w:after="0"/>
              <w:rPr>
                <w:rFonts w:cs="Calibri"/>
              </w:rPr>
            </w:pPr>
            <w:r w:rsidRPr="00A82815">
              <w:rPr>
                <w:rFonts w:cs="Calibri"/>
              </w:rPr>
              <w:t>Indicateur 4 : Nombre de stations dans les rapports des districts cibles sur une base quotidienne au niveau des archives de base de données centrale à Mali Météo</w:t>
            </w:r>
          </w:p>
        </w:tc>
        <w:tc>
          <w:tcPr>
            <w:tcW w:w="992"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r w:rsidRPr="00A82815">
              <w:rPr>
                <w:rFonts w:cs="Calibri"/>
              </w:rPr>
              <w:t>38</w:t>
            </w:r>
          </w:p>
        </w:tc>
        <w:tc>
          <w:tcPr>
            <w:tcW w:w="993"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r w:rsidRPr="00A82815">
              <w:rPr>
                <w:rFonts w:cs="Calibri"/>
              </w:rPr>
              <w:t>48</w:t>
            </w:r>
          </w:p>
        </w:tc>
        <w:tc>
          <w:tcPr>
            <w:tcW w:w="850"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r w:rsidRPr="00A82815">
              <w:rPr>
                <w:rFonts w:cs="Calibri"/>
              </w:rPr>
              <w:t>48</w:t>
            </w:r>
          </w:p>
        </w:tc>
        <w:tc>
          <w:tcPr>
            <w:tcW w:w="1024"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p>
        </w:tc>
        <w:tc>
          <w:tcPr>
            <w:tcW w:w="1260" w:type="dxa"/>
            <w:vMerge w:val="restart"/>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p>
        </w:tc>
        <w:tc>
          <w:tcPr>
            <w:tcW w:w="1170" w:type="dxa"/>
            <w:vMerge w:val="restart"/>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p>
        </w:tc>
      </w:tr>
      <w:tr w:rsidR="00A32CDF" w:rsidRPr="00A82815" w:rsidTr="00A32CDF">
        <w:trPr>
          <w:cantSplit/>
          <w:trHeight w:val="150"/>
        </w:trPr>
        <w:tc>
          <w:tcPr>
            <w:tcW w:w="2269" w:type="dxa"/>
            <w:vMerge/>
            <w:tcBorders>
              <w:left w:val="single" w:sz="4" w:space="0" w:color="auto"/>
              <w:right w:val="single" w:sz="4" w:space="0" w:color="auto"/>
            </w:tcBorders>
            <w:vAlign w:val="center"/>
            <w:hideMark/>
          </w:tcPr>
          <w:p w:rsidR="00A32CDF" w:rsidRPr="00A82815" w:rsidRDefault="00A32CDF" w:rsidP="0047114D">
            <w:pPr>
              <w:spacing w:after="0"/>
              <w:rPr>
                <w:rFonts w:cs="Calibri"/>
                <w:b/>
              </w:rPr>
            </w:pPr>
          </w:p>
        </w:tc>
        <w:tc>
          <w:tcPr>
            <w:tcW w:w="2693" w:type="dxa"/>
            <w:tcBorders>
              <w:top w:val="single" w:sz="4" w:space="0" w:color="auto"/>
              <w:left w:val="single" w:sz="4" w:space="0" w:color="auto"/>
              <w:bottom w:val="single" w:sz="4" w:space="0" w:color="auto"/>
              <w:right w:val="single" w:sz="4" w:space="0" w:color="auto"/>
            </w:tcBorders>
            <w:hideMark/>
          </w:tcPr>
          <w:p w:rsidR="00A32CDF" w:rsidRPr="00A82815" w:rsidRDefault="00A32CDF" w:rsidP="0047114D">
            <w:pPr>
              <w:spacing w:after="0"/>
              <w:rPr>
                <w:rFonts w:cs="Calibri"/>
              </w:rPr>
            </w:pPr>
            <w:r w:rsidRPr="00A82815">
              <w:rPr>
                <w:rFonts w:cs="Calibri"/>
              </w:rPr>
              <w:t>Indicateur 5 : Nombre de GCM et des ensembles de données réduites (statistiques et dynamiques) dans la base de données SIG combinées avec d'autres données environnementales, socio-économiques et géotechniques pour mettre en évidence les principales vulnérabilités (par exemple les routes, les infrastructures, l'accès aux marchés, les hôpitaux, écoles, etc.)</w:t>
            </w:r>
          </w:p>
        </w:tc>
        <w:tc>
          <w:tcPr>
            <w:tcW w:w="992"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r w:rsidRPr="00A82815">
              <w:rPr>
                <w:rFonts w:cs="Calibri"/>
              </w:rPr>
              <w:t>0</w:t>
            </w:r>
          </w:p>
        </w:tc>
        <w:tc>
          <w:tcPr>
            <w:tcW w:w="993"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r w:rsidRPr="00A82815">
              <w:rPr>
                <w:rFonts w:cs="Calibri"/>
              </w:rPr>
              <w:t>3</w:t>
            </w:r>
          </w:p>
        </w:tc>
        <w:tc>
          <w:tcPr>
            <w:tcW w:w="850"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r w:rsidRPr="00A82815">
              <w:rPr>
                <w:rFonts w:cs="Calibri"/>
              </w:rPr>
              <w:t>5</w:t>
            </w:r>
          </w:p>
        </w:tc>
        <w:tc>
          <w:tcPr>
            <w:tcW w:w="1024"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32CDF" w:rsidRPr="00A82815" w:rsidRDefault="00A32CDF" w:rsidP="0047114D">
            <w:pPr>
              <w:spacing w:after="0"/>
              <w:rPr>
                <w:rFonts w:cs="Calibri"/>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A32CDF" w:rsidRPr="00A82815" w:rsidRDefault="00A32CDF" w:rsidP="0047114D">
            <w:pPr>
              <w:spacing w:after="0"/>
              <w:rPr>
                <w:rFonts w:cs="Calibri"/>
              </w:rPr>
            </w:pPr>
          </w:p>
        </w:tc>
      </w:tr>
      <w:tr w:rsidR="00A32CDF" w:rsidRPr="00A82815" w:rsidTr="00A32CDF">
        <w:trPr>
          <w:cantSplit/>
          <w:trHeight w:val="150"/>
        </w:trPr>
        <w:tc>
          <w:tcPr>
            <w:tcW w:w="2269" w:type="dxa"/>
            <w:vMerge/>
            <w:tcBorders>
              <w:left w:val="single" w:sz="4" w:space="0" w:color="auto"/>
              <w:right w:val="single" w:sz="4" w:space="0" w:color="auto"/>
            </w:tcBorders>
            <w:vAlign w:val="center"/>
          </w:tcPr>
          <w:p w:rsidR="00A32CDF" w:rsidRPr="00A82815" w:rsidRDefault="00A32CDF" w:rsidP="0047114D">
            <w:pPr>
              <w:spacing w:after="0"/>
              <w:rPr>
                <w:rFonts w:cs="Calibri"/>
                <w:b/>
              </w:rPr>
            </w:pPr>
          </w:p>
        </w:tc>
        <w:tc>
          <w:tcPr>
            <w:tcW w:w="2693"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spacing w:after="0"/>
              <w:rPr>
                <w:rFonts w:cs="Calibri"/>
              </w:rPr>
            </w:pPr>
            <w:r w:rsidRPr="00A82815">
              <w:rPr>
                <w:rFonts w:cs="Calibri"/>
              </w:rPr>
              <w:t>Indicateur 6 : Nombre d’alertes spécifiques au secteur, des avis à titre consultatif et / ou des notes d'orientation produites sur une base régulière, qui utilisent à la fois les informations sur le climat (observations, prévisions météo, prévisions saisonnières et / ou scénarios de changement climatique) et des données d’exposition/de vulnérabilité spécifiques liées au secteur</w:t>
            </w:r>
          </w:p>
        </w:tc>
        <w:tc>
          <w:tcPr>
            <w:tcW w:w="992"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r w:rsidRPr="00A82815">
              <w:rPr>
                <w:rFonts w:cs="Calibri"/>
              </w:rPr>
              <w:t>0</w:t>
            </w:r>
          </w:p>
        </w:tc>
        <w:tc>
          <w:tcPr>
            <w:tcW w:w="993"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p>
        </w:tc>
        <w:tc>
          <w:tcPr>
            <w:tcW w:w="850"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r w:rsidRPr="00A82815">
              <w:rPr>
                <w:rFonts w:cs="Calibri"/>
              </w:rPr>
              <w:t>3</w:t>
            </w:r>
          </w:p>
        </w:tc>
        <w:tc>
          <w:tcPr>
            <w:tcW w:w="1024"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p>
        </w:tc>
        <w:tc>
          <w:tcPr>
            <w:tcW w:w="1260" w:type="dxa"/>
            <w:tcBorders>
              <w:top w:val="single" w:sz="4" w:space="0" w:color="auto"/>
              <w:left w:val="single" w:sz="4" w:space="0" w:color="auto"/>
              <w:bottom w:val="single" w:sz="4" w:space="0" w:color="auto"/>
              <w:right w:val="single" w:sz="4" w:space="0" w:color="auto"/>
            </w:tcBorders>
            <w:vAlign w:val="center"/>
          </w:tcPr>
          <w:p w:rsidR="00A32CDF" w:rsidRPr="00A82815" w:rsidRDefault="00A32CDF" w:rsidP="0047114D">
            <w:pPr>
              <w:spacing w:after="0"/>
              <w:rPr>
                <w:rFonts w:cs="Calibri"/>
              </w:rPr>
            </w:pPr>
          </w:p>
        </w:tc>
        <w:tc>
          <w:tcPr>
            <w:tcW w:w="1170" w:type="dxa"/>
            <w:tcBorders>
              <w:top w:val="single" w:sz="4" w:space="0" w:color="auto"/>
              <w:left w:val="single" w:sz="4" w:space="0" w:color="auto"/>
              <w:bottom w:val="single" w:sz="4" w:space="0" w:color="auto"/>
              <w:right w:val="single" w:sz="4" w:space="0" w:color="auto"/>
            </w:tcBorders>
            <w:vAlign w:val="center"/>
          </w:tcPr>
          <w:p w:rsidR="00A32CDF" w:rsidRPr="00A82815" w:rsidRDefault="00A32CDF" w:rsidP="0047114D">
            <w:pPr>
              <w:spacing w:after="0"/>
              <w:rPr>
                <w:rFonts w:cs="Calibri"/>
              </w:rPr>
            </w:pPr>
          </w:p>
        </w:tc>
      </w:tr>
      <w:tr w:rsidR="00A32CDF" w:rsidRPr="00A82815" w:rsidTr="00A32CDF">
        <w:trPr>
          <w:cantSplit/>
          <w:trHeight w:val="150"/>
        </w:trPr>
        <w:tc>
          <w:tcPr>
            <w:tcW w:w="2269" w:type="dxa"/>
            <w:vMerge/>
            <w:tcBorders>
              <w:left w:val="single" w:sz="4" w:space="0" w:color="auto"/>
              <w:bottom w:val="single" w:sz="4" w:space="0" w:color="auto"/>
              <w:right w:val="single" w:sz="4" w:space="0" w:color="auto"/>
            </w:tcBorders>
            <w:vAlign w:val="center"/>
          </w:tcPr>
          <w:p w:rsidR="00A32CDF" w:rsidRPr="00A82815" w:rsidRDefault="00A32CDF" w:rsidP="0047114D">
            <w:pPr>
              <w:spacing w:after="0"/>
              <w:rPr>
                <w:rFonts w:cs="Calibri"/>
                <w:b/>
              </w:rPr>
            </w:pPr>
          </w:p>
        </w:tc>
        <w:tc>
          <w:tcPr>
            <w:tcW w:w="2693"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spacing w:after="0"/>
              <w:rPr>
                <w:rFonts w:cs="Calibri"/>
              </w:rPr>
            </w:pPr>
            <w:r w:rsidRPr="00A82815">
              <w:rPr>
                <w:rFonts w:cs="Calibri"/>
              </w:rPr>
              <w:t>Indicateur 7 : Nombre d'institutions intégrant les informations sur les risques du changement climatique et la vulnérabilité dans les plans de renforcement de la résilience et la réduction de la vulnérabilité dans les 4 régions cibles</w:t>
            </w:r>
          </w:p>
        </w:tc>
        <w:tc>
          <w:tcPr>
            <w:tcW w:w="992"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r w:rsidRPr="00A82815">
              <w:rPr>
                <w:rFonts w:cs="Calibri"/>
              </w:rPr>
              <w:t>0</w:t>
            </w:r>
          </w:p>
        </w:tc>
        <w:tc>
          <w:tcPr>
            <w:tcW w:w="993"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p>
        </w:tc>
        <w:tc>
          <w:tcPr>
            <w:tcW w:w="850"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r w:rsidRPr="00A82815">
              <w:rPr>
                <w:rFonts w:cs="Calibri"/>
              </w:rPr>
              <w:t>3</w:t>
            </w:r>
          </w:p>
        </w:tc>
        <w:tc>
          <w:tcPr>
            <w:tcW w:w="1024"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p>
        </w:tc>
        <w:tc>
          <w:tcPr>
            <w:tcW w:w="1260" w:type="dxa"/>
            <w:tcBorders>
              <w:top w:val="single" w:sz="4" w:space="0" w:color="auto"/>
              <w:left w:val="single" w:sz="4" w:space="0" w:color="auto"/>
              <w:bottom w:val="single" w:sz="4" w:space="0" w:color="auto"/>
              <w:right w:val="single" w:sz="4" w:space="0" w:color="auto"/>
            </w:tcBorders>
            <w:vAlign w:val="center"/>
          </w:tcPr>
          <w:p w:rsidR="00A32CDF" w:rsidRPr="00A82815" w:rsidRDefault="00A32CDF" w:rsidP="0047114D">
            <w:pPr>
              <w:spacing w:after="0"/>
              <w:rPr>
                <w:rFonts w:cs="Calibri"/>
              </w:rPr>
            </w:pPr>
          </w:p>
        </w:tc>
        <w:tc>
          <w:tcPr>
            <w:tcW w:w="1170" w:type="dxa"/>
            <w:tcBorders>
              <w:top w:val="single" w:sz="4" w:space="0" w:color="auto"/>
              <w:left w:val="single" w:sz="4" w:space="0" w:color="auto"/>
              <w:bottom w:val="single" w:sz="4" w:space="0" w:color="auto"/>
              <w:right w:val="single" w:sz="4" w:space="0" w:color="auto"/>
            </w:tcBorders>
            <w:vAlign w:val="center"/>
          </w:tcPr>
          <w:p w:rsidR="00A32CDF" w:rsidRPr="00A82815" w:rsidRDefault="00A32CDF" w:rsidP="0047114D">
            <w:pPr>
              <w:spacing w:after="0"/>
              <w:rPr>
                <w:rFonts w:cs="Calibri"/>
              </w:rPr>
            </w:pPr>
          </w:p>
        </w:tc>
      </w:tr>
      <w:tr w:rsidR="00A32CDF" w:rsidRPr="00A82815" w:rsidTr="00A32CDF">
        <w:trPr>
          <w:cantSplit/>
          <w:trHeight w:val="235"/>
        </w:trPr>
        <w:tc>
          <w:tcPr>
            <w:tcW w:w="2269" w:type="dxa"/>
            <w:tcBorders>
              <w:top w:val="single" w:sz="4" w:space="0" w:color="auto"/>
              <w:left w:val="single" w:sz="4" w:space="0" w:color="auto"/>
              <w:bottom w:val="single" w:sz="4" w:space="0" w:color="auto"/>
              <w:right w:val="single" w:sz="4" w:space="0" w:color="auto"/>
            </w:tcBorders>
            <w:hideMark/>
          </w:tcPr>
          <w:p w:rsidR="00A32CDF" w:rsidRPr="00A82815" w:rsidRDefault="00A32CDF" w:rsidP="0047114D">
            <w:pPr>
              <w:rPr>
                <w:rFonts w:cs="Calibri"/>
                <w:b/>
              </w:rPr>
            </w:pPr>
            <w:r w:rsidRPr="00A82815">
              <w:rPr>
                <w:rFonts w:cs="Calibri"/>
                <w:b/>
              </w:rPr>
              <w:t>Réalisation 2 : Des outils opérationnels pertinents pour le Fonds Climat Mali sont élaborés par l‘AEDD et le Ministère des Finances et promus vers différents acteurs gouvernementaux, multilatéraux, bilatéraux, secteurs privés et société civile</w:t>
            </w:r>
          </w:p>
        </w:tc>
        <w:tc>
          <w:tcPr>
            <w:tcW w:w="2693" w:type="dxa"/>
            <w:tcBorders>
              <w:top w:val="single" w:sz="4" w:space="0" w:color="auto"/>
              <w:left w:val="single" w:sz="4" w:space="0" w:color="auto"/>
              <w:bottom w:val="single" w:sz="4" w:space="0" w:color="auto"/>
              <w:right w:val="single" w:sz="4" w:space="0" w:color="auto"/>
            </w:tcBorders>
            <w:hideMark/>
          </w:tcPr>
          <w:p w:rsidR="00A32CDF" w:rsidRPr="00A82815" w:rsidRDefault="00A32CDF" w:rsidP="0047114D">
            <w:pPr>
              <w:spacing w:after="0"/>
              <w:rPr>
                <w:rFonts w:cs="Calibri"/>
              </w:rPr>
            </w:pPr>
            <w:r w:rsidRPr="00A82815">
              <w:rPr>
                <w:rFonts w:cs="Calibri"/>
              </w:rPr>
              <w:t>Indicateur 8 : Nombre de règles, procédures et instruments opérationnels développés et mis-en œuvre par le Fonds Climat Mali</w:t>
            </w:r>
          </w:p>
        </w:tc>
        <w:tc>
          <w:tcPr>
            <w:tcW w:w="992"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r w:rsidRPr="00A82815">
              <w:rPr>
                <w:rFonts w:cs="Calibri"/>
              </w:rPr>
              <w:t>2</w:t>
            </w:r>
          </w:p>
        </w:tc>
        <w:tc>
          <w:tcPr>
            <w:tcW w:w="993"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r w:rsidRPr="00A82815">
              <w:rPr>
                <w:rFonts w:cs="Calibri"/>
              </w:rPr>
              <w:t>2</w:t>
            </w:r>
          </w:p>
        </w:tc>
        <w:tc>
          <w:tcPr>
            <w:tcW w:w="850"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r w:rsidRPr="00A82815">
              <w:rPr>
                <w:rFonts w:cs="Calibri"/>
              </w:rPr>
              <w:t>4</w:t>
            </w:r>
          </w:p>
        </w:tc>
        <w:tc>
          <w:tcPr>
            <w:tcW w:w="1024"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p>
        </w:tc>
        <w:tc>
          <w:tcPr>
            <w:tcW w:w="1260"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p>
        </w:tc>
        <w:tc>
          <w:tcPr>
            <w:tcW w:w="1170"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autoSpaceDE w:val="0"/>
              <w:autoSpaceDN w:val="0"/>
              <w:adjustRightInd w:val="0"/>
              <w:spacing w:after="0"/>
              <w:rPr>
                <w:rFonts w:cs="Calibri"/>
              </w:rPr>
            </w:pPr>
          </w:p>
        </w:tc>
      </w:tr>
      <w:tr w:rsidR="00A32CDF" w:rsidRPr="00A82815" w:rsidTr="00A32CDF">
        <w:trPr>
          <w:cantSplit/>
          <w:trHeight w:val="150"/>
        </w:trPr>
        <w:tc>
          <w:tcPr>
            <w:tcW w:w="2269" w:type="dxa"/>
            <w:vMerge w:val="restart"/>
            <w:tcBorders>
              <w:top w:val="single" w:sz="4" w:space="0" w:color="auto"/>
              <w:left w:val="single" w:sz="4" w:space="0" w:color="auto"/>
              <w:right w:val="single" w:sz="4" w:space="0" w:color="auto"/>
            </w:tcBorders>
            <w:hideMark/>
          </w:tcPr>
          <w:p w:rsidR="00A32CDF" w:rsidRPr="00A82815" w:rsidRDefault="00A32CDF" w:rsidP="0047114D">
            <w:pPr>
              <w:spacing w:after="0"/>
              <w:rPr>
                <w:rFonts w:cs="Calibri"/>
                <w:b/>
              </w:rPr>
            </w:pPr>
            <w:r w:rsidRPr="00A82815">
              <w:rPr>
                <w:rFonts w:cs="Calibri"/>
                <w:b/>
              </w:rPr>
              <w:t>Réalisation 3 : Les parties prenantes concernées mettent en œuvre les mesures d'adaptation innovantes sensibles au genre pour la résilience accrue des systèmes écologiques, économiques et sociaux dans les zones les plus vulnérables du Mali ciblées par le projet</w:t>
            </w:r>
          </w:p>
        </w:tc>
        <w:tc>
          <w:tcPr>
            <w:tcW w:w="2693"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spacing w:after="0"/>
              <w:rPr>
                <w:rFonts w:cs="Calibri"/>
              </w:rPr>
            </w:pPr>
            <w:r w:rsidRPr="00A82815">
              <w:rPr>
                <w:rFonts w:cs="Calibri"/>
              </w:rPr>
              <w:t>Indicateur 9 : La proportion de ménages ciblés (au moins 10,000) dans les zones d’intervention du PNUD qui ont adopté des pratiques de subsistance résilientes au changement climatique</w:t>
            </w:r>
          </w:p>
        </w:tc>
        <w:tc>
          <w:tcPr>
            <w:tcW w:w="992"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spacing w:after="0"/>
              <w:rPr>
                <w:rFonts w:cs="Calibri"/>
                <w:color w:val="000000"/>
              </w:rPr>
            </w:pPr>
            <w:r w:rsidRPr="00A82815">
              <w:rPr>
                <w:rFonts w:cs="Calibri"/>
                <w:color w:val="000000"/>
              </w:rPr>
              <w:t>3,536</w:t>
            </w:r>
          </w:p>
        </w:tc>
        <w:tc>
          <w:tcPr>
            <w:tcW w:w="993"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spacing w:after="0"/>
              <w:rPr>
                <w:rFonts w:cs="Calibri"/>
                <w:b/>
              </w:rPr>
            </w:pPr>
            <w:r w:rsidRPr="00A82815">
              <w:rPr>
                <w:rFonts w:cs="Calibri"/>
                <w:b/>
              </w:rPr>
              <w:t>4,952</w:t>
            </w:r>
          </w:p>
        </w:tc>
        <w:tc>
          <w:tcPr>
            <w:tcW w:w="850"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spacing w:after="0"/>
              <w:rPr>
                <w:rFonts w:cs="Calibri"/>
                <w:b/>
              </w:rPr>
            </w:pPr>
            <w:r w:rsidRPr="00A82815">
              <w:rPr>
                <w:rFonts w:cs="Calibri"/>
                <w:b/>
              </w:rPr>
              <w:t>13,536</w:t>
            </w:r>
          </w:p>
        </w:tc>
        <w:tc>
          <w:tcPr>
            <w:tcW w:w="1024"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spacing w:after="0"/>
              <w:rPr>
                <w:rFonts w:cs="Calibri"/>
                <w:b/>
              </w:rPr>
            </w:pPr>
          </w:p>
        </w:tc>
        <w:tc>
          <w:tcPr>
            <w:tcW w:w="1260"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spacing w:after="0"/>
              <w:rPr>
                <w:rFonts w:cs="Calibri"/>
                <w:highlight w:val="yellow"/>
              </w:rPr>
            </w:pPr>
          </w:p>
        </w:tc>
        <w:tc>
          <w:tcPr>
            <w:tcW w:w="1170"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spacing w:after="0"/>
              <w:rPr>
                <w:rFonts w:cs="Calibri"/>
                <w:highlight w:val="yellow"/>
              </w:rPr>
            </w:pPr>
          </w:p>
        </w:tc>
      </w:tr>
      <w:tr w:rsidR="00A32CDF" w:rsidRPr="00A82815" w:rsidTr="00A32CDF">
        <w:trPr>
          <w:cantSplit/>
          <w:trHeight w:val="150"/>
        </w:trPr>
        <w:tc>
          <w:tcPr>
            <w:tcW w:w="2269" w:type="dxa"/>
            <w:vMerge/>
            <w:tcBorders>
              <w:left w:val="single" w:sz="4" w:space="0" w:color="auto"/>
              <w:right w:val="single" w:sz="4" w:space="0" w:color="auto"/>
            </w:tcBorders>
          </w:tcPr>
          <w:p w:rsidR="00A32CDF" w:rsidRPr="00A82815" w:rsidRDefault="00A32CDF" w:rsidP="0047114D">
            <w:pPr>
              <w:spacing w:after="0"/>
              <w:rPr>
                <w:rFonts w:cs="Calibri"/>
                <w:b/>
              </w:rPr>
            </w:pPr>
          </w:p>
        </w:tc>
        <w:tc>
          <w:tcPr>
            <w:tcW w:w="2693"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spacing w:after="0"/>
              <w:rPr>
                <w:rFonts w:cs="Calibri"/>
              </w:rPr>
            </w:pPr>
            <w:r w:rsidRPr="00A82815">
              <w:rPr>
                <w:rFonts w:cs="Calibri"/>
              </w:rPr>
              <w:t>Indicateur 10 : La proportion du personnel technique appuyant les communautés sur les technologies d’adaptation formée sur la gestion des risques climatiques, les technologies d’adaptation innovantes </w:t>
            </w:r>
          </w:p>
        </w:tc>
        <w:tc>
          <w:tcPr>
            <w:tcW w:w="992"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spacing w:after="0"/>
              <w:rPr>
                <w:rFonts w:cs="Calibri"/>
                <w:color w:val="000000"/>
              </w:rPr>
            </w:pPr>
            <w:r w:rsidRPr="00A82815">
              <w:rPr>
                <w:rFonts w:cs="Calibri"/>
                <w:color w:val="000000"/>
              </w:rPr>
              <w:t>5%</w:t>
            </w:r>
          </w:p>
        </w:tc>
        <w:tc>
          <w:tcPr>
            <w:tcW w:w="993"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spacing w:after="0"/>
              <w:rPr>
                <w:rFonts w:cs="Calibri"/>
                <w:b/>
              </w:rPr>
            </w:pPr>
          </w:p>
        </w:tc>
        <w:tc>
          <w:tcPr>
            <w:tcW w:w="850"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spacing w:after="0"/>
              <w:rPr>
                <w:rFonts w:cs="Calibri"/>
                <w:b/>
              </w:rPr>
            </w:pPr>
            <w:r w:rsidRPr="00A82815">
              <w:rPr>
                <w:rFonts w:cs="Calibri"/>
                <w:b/>
              </w:rPr>
              <w:t>100%</w:t>
            </w:r>
          </w:p>
        </w:tc>
        <w:tc>
          <w:tcPr>
            <w:tcW w:w="1024"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spacing w:after="0"/>
              <w:rPr>
                <w:rFonts w:cs="Calibri"/>
                <w:b/>
              </w:rPr>
            </w:pPr>
          </w:p>
        </w:tc>
        <w:tc>
          <w:tcPr>
            <w:tcW w:w="1260"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spacing w:after="0"/>
              <w:rPr>
                <w:rFonts w:cs="Calibri"/>
                <w:highlight w:val="yellow"/>
              </w:rPr>
            </w:pPr>
          </w:p>
        </w:tc>
        <w:tc>
          <w:tcPr>
            <w:tcW w:w="1170"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spacing w:after="0"/>
              <w:rPr>
                <w:rFonts w:cs="Calibri"/>
                <w:highlight w:val="yellow"/>
              </w:rPr>
            </w:pPr>
          </w:p>
        </w:tc>
      </w:tr>
      <w:tr w:rsidR="00A32CDF" w:rsidRPr="00A82815" w:rsidTr="00A32CDF">
        <w:trPr>
          <w:cantSplit/>
          <w:trHeight w:val="150"/>
        </w:trPr>
        <w:tc>
          <w:tcPr>
            <w:tcW w:w="2269" w:type="dxa"/>
            <w:vMerge/>
            <w:tcBorders>
              <w:left w:val="single" w:sz="4" w:space="0" w:color="auto"/>
              <w:bottom w:val="single" w:sz="4" w:space="0" w:color="auto"/>
              <w:right w:val="single" w:sz="4" w:space="0" w:color="auto"/>
            </w:tcBorders>
          </w:tcPr>
          <w:p w:rsidR="00A32CDF" w:rsidRPr="00A82815" w:rsidRDefault="00A32CDF" w:rsidP="0047114D">
            <w:pPr>
              <w:spacing w:after="0"/>
              <w:rPr>
                <w:rFonts w:cs="Calibri"/>
                <w:b/>
              </w:rPr>
            </w:pPr>
          </w:p>
        </w:tc>
        <w:tc>
          <w:tcPr>
            <w:tcW w:w="2693"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spacing w:after="0"/>
              <w:rPr>
                <w:rFonts w:cs="Calibri"/>
              </w:rPr>
            </w:pPr>
            <w:r w:rsidRPr="00A82815">
              <w:rPr>
                <w:rFonts w:cs="Calibri"/>
              </w:rPr>
              <w:t>Indicateur 11 : Nombre de bonnes pratiques et de leçons apprises du projet disséminées à travers les matériaux de sensibilisation et plates-formes de communication pertinentes aux niveaux national et international</w:t>
            </w:r>
          </w:p>
        </w:tc>
        <w:tc>
          <w:tcPr>
            <w:tcW w:w="992"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spacing w:after="0"/>
              <w:rPr>
                <w:rFonts w:cs="Calibri"/>
                <w:color w:val="000000"/>
              </w:rPr>
            </w:pPr>
            <w:r w:rsidRPr="00A82815">
              <w:rPr>
                <w:rFonts w:cs="Calibri"/>
                <w:color w:val="000000"/>
              </w:rPr>
              <w:t>1</w:t>
            </w:r>
          </w:p>
        </w:tc>
        <w:tc>
          <w:tcPr>
            <w:tcW w:w="993"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spacing w:after="0"/>
              <w:rPr>
                <w:rFonts w:cs="Calibri"/>
                <w:b/>
              </w:rPr>
            </w:pPr>
            <w:r w:rsidRPr="00A82815">
              <w:rPr>
                <w:rFonts w:cs="Calibri"/>
                <w:b/>
              </w:rPr>
              <w:t>3</w:t>
            </w:r>
          </w:p>
        </w:tc>
        <w:tc>
          <w:tcPr>
            <w:tcW w:w="850"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spacing w:after="0"/>
              <w:rPr>
                <w:rFonts w:cs="Calibri"/>
                <w:b/>
              </w:rPr>
            </w:pPr>
            <w:r w:rsidRPr="00A82815">
              <w:rPr>
                <w:rFonts w:cs="Calibri"/>
                <w:b/>
              </w:rPr>
              <w:t>10</w:t>
            </w:r>
          </w:p>
        </w:tc>
        <w:tc>
          <w:tcPr>
            <w:tcW w:w="1024"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spacing w:after="0"/>
              <w:rPr>
                <w:rFonts w:cs="Calibri"/>
                <w:b/>
              </w:rPr>
            </w:pPr>
          </w:p>
        </w:tc>
        <w:tc>
          <w:tcPr>
            <w:tcW w:w="1260"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spacing w:after="0"/>
              <w:rPr>
                <w:rFonts w:cs="Calibri"/>
                <w:highlight w:val="yellow"/>
              </w:rPr>
            </w:pPr>
          </w:p>
        </w:tc>
        <w:tc>
          <w:tcPr>
            <w:tcW w:w="1170" w:type="dxa"/>
            <w:tcBorders>
              <w:top w:val="single" w:sz="4" w:space="0" w:color="auto"/>
              <w:left w:val="single" w:sz="4" w:space="0" w:color="auto"/>
              <w:bottom w:val="single" w:sz="4" w:space="0" w:color="auto"/>
              <w:right w:val="single" w:sz="4" w:space="0" w:color="auto"/>
            </w:tcBorders>
          </w:tcPr>
          <w:p w:rsidR="00A32CDF" w:rsidRPr="00A82815" w:rsidRDefault="00A32CDF" w:rsidP="0047114D">
            <w:pPr>
              <w:spacing w:after="0"/>
              <w:rPr>
                <w:rFonts w:cs="Calibri"/>
                <w:highlight w:val="yellow"/>
              </w:rPr>
            </w:pPr>
          </w:p>
        </w:tc>
      </w:tr>
    </w:tbl>
    <w:p w:rsidR="00A32CDF" w:rsidRDefault="00A32CDF" w:rsidP="00A32CDF">
      <w:pPr>
        <w:rPr>
          <w:rFonts w:eastAsia="Malgun Gothic" w:cs="Calibri"/>
        </w:rPr>
      </w:pPr>
    </w:p>
    <w:p w:rsidR="0087224C" w:rsidRDefault="0087224C"/>
    <w:sectPr w:rsidR="008722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995" w:rsidRDefault="006E7995" w:rsidP="00A32CDF">
      <w:pPr>
        <w:spacing w:before="0" w:after="0"/>
      </w:pPr>
      <w:r>
        <w:separator/>
      </w:r>
    </w:p>
  </w:endnote>
  <w:endnote w:type="continuationSeparator" w:id="0">
    <w:p w:rsidR="006E7995" w:rsidRDefault="006E7995" w:rsidP="00A32C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995" w:rsidRDefault="006E7995" w:rsidP="00A32CDF">
      <w:pPr>
        <w:spacing w:before="0" w:after="0"/>
      </w:pPr>
      <w:r>
        <w:separator/>
      </w:r>
    </w:p>
  </w:footnote>
  <w:footnote w:type="continuationSeparator" w:id="0">
    <w:p w:rsidR="006E7995" w:rsidRDefault="006E7995" w:rsidP="00A32CDF">
      <w:pPr>
        <w:spacing w:before="0" w:after="0"/>
      </w:pPr>
      <w:r>
        <w:continuationSeparator/>
      </w:r>
    </w:p>
  </w:footnote>
  <w:footnote w:id="1">
    <w:p w:rsidR="00A32CDF" w:rsidRDefault="00A32CDF" w:rsidP="00A32CDF">
      <w:pPr>
        <w:pStyle w:val="Notedebasdepage"/>
        <w:rPr>
          <w:rFonts w:ascii="Garamond" w:hAnsi="Garamond"/>
        </w:rPr>
      </w:pPr>
      <w:r>
        <w:rPr>
          <w:rStyle w:val="Appelnotedebasdep"/>
          <w:rFonts w:ascii="Garamond" w:hAnsi="Garamond"/>
        </w:rPr>
        <w:footnoteRef/>
      </w:r>
      <w:r>
        <w:rPr>
          <w:rFonts w:ascii="Garamond" w:hAnsi="Garamond"/>
        </w:rPr>
        <w:t xml:space="preserve"> Remplir à l’aide des données du cadre logique et des fiches de résultats </w:t>
      </w:r>
    </w:p>
  </w:footnote>
  <w:footnote w:id="2">
    <w:p w:rsidR="00A32CDF" w:rsidRDefault="00A32CDF" w:rsidP="00A32CDF">
      <w:pPr>
        <w:pStyle w:val="Notedebasdepage"/>
        <w:rPr>
          <w:rFonts w:ascii="Garamond" w:hAnsi="Garamond"/>
        </w:rPr>
      </w:pPr>
      <w:r>
        <w:rPr>
          <w:rStyle w:val="Appelnotedebasdep"/>
          <w:rFonts w:ascii="Garamond" w:hAnsi="Garamond"/>
        </w:rPr>
        <w:footnoteRef/>
      </w:r>
      <w:r>
        <w:rPr>
          <w:rFonts w:ascii="Garamond" w:hAnsi="Garamond"/>
        </w:rPr>
        <w:t xml:space="preserve"> Remplir à l’aide des données du Document de projet</w:t>
      </w:r>
    </w:p>
  </w:footnote>
  <w:footnote w:id="3">
    <w:p w:rsidR="00A32CDF" w:rsidRDefault="00A32CDF" w:rsidP="00A32CDF">
      <w:pPr>
        <w:pStyle w:val="Notedebasdepage"/>
      </w:pPr>
      <w:r>
        <w:rPr>
          <w:rStyle w:val="Appelnotedebasdep"/>
          <w:rFonts w:ascii="Garamond" w:hAnsi="Garamond"/>
        </w:rPr>
        <w:footnoteRef/>
      </w:r>
      <w:r>
        <w:rPr>
          <w:rFonts w:ascii="Garamond" w:hAnsi="Garamond"/>
        </w:rPr>
        <w:t xml:space="preserve"> Le cas échéant</w:t>
      </w:r>
    </w:p>
  </w:footnote>
  <w:footnote w:id="4">
    <w:p w:rsidR="00A32CDF" w:rsidRDefault="00A32CDF" w:rsidP="00A32CDF">
      <w:pPr>
        <w:pStyle w:val="Notedebasdepage"/>
        <w:rPr>
          <w:rFonts w:ascii="Garamond" w:hAnsi="Garamond"/>
        </w:rPr>
      </w:pPr>
      <w:r>
        <w:rPr>
          <w:rStyle w:val="Appelnotedebasdep"/>
          <w:rFonts w:ascii="Garamond" w:hAnsi="Garamond"/>
        </w:rPr>
        <w:footnoteRef/>
      </w:r>
      <w:r>
        <w:rPr>
          <w:rFonts w:ascii="Garamond" w:hAnsi="Garamond"/>
        </w:rPr>
        <w:t xml:space="preserve"> Indiquer par code de couleur uniquement </w:t>
      </w:r>
    </w:p>
  </w:footnote>
  <w:footnote w:id="5">
    <w:p w:rsidR="00A32CDF" w:rsidRDefault="00A32CDF" w:rsidP="00A32CDF">
      <w:pPr>
        <w:pStyle w:val="Notedebasdepage"/>
      </w:pPr>
      <w:r>
        <w:rPr>
          <w:rStyle w:val="Appelnotedebasdep"/>
          <w:rFonts w:ascii="Garamond" w:hAnsi="Garamond"/>
        </w:rPr>
        <w:footnoteRef/>
      </w:r>
      <w:r>
        <w:rPr>
          <w:rFonts w:ascii="Garamond" w:hAnsi="Garamond"/>
        </w:rPr>
        <w:t xml:space="preserve"> Utiliser l’échelle d’évaluation des progrès à 6 niveaux : HS, S, MS, MU, U, HU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064C1"/>
    <w:multiLevelType w:val="hybridMultilevel"/>
    <w:tmpl w:val="F7A87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746C2E"/>
    <w:multiLevelType w:val="hybridMultilevel"/>
    <w:tmpl w:val="75C0E326"/>
    <w:lvl w:ilvl="0" w:tplc="7252250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0B267C"/>
    <w:multiLevelType w:val="multilevel"/>
    <w:tmpl w:val="4EA8080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37B42BF"/>
    <w:multiLevelType w:val="hybridMultilevel"/>
    <w:tmpl w:val="4C6073E2"/>
    <w:lvl w:ilvl="0" w:tplc="9B18799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EE7FDC"/>
    <w:multiLevelType w:val="hybridMultilevel"/>
    <w:tmpl w:val="E66A2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022393"/>
    <w:multiLevelType w:val="multilevel"/>
    <w:tmpl w:val="680AE5D8"/>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F847103"/>
    <w:multiLevelType w:val="hybridMultilevel"/>
    <w:tmpl w:val="C1649E1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49E50C3E"/>
    <w:multiLevelType w:val="hybridMultilevel"/>
    <w:tmpl w:val="09A41E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1544D61"/>
    <w:multiLevelType w:val="hybridMultilevel"/>
    <w:tmpl w:val="DBF032BC"/>
    <w:lvl w:ilvl="0" w:tplc="B39007B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BB0DB8"/>
    <w:multiLevelType w:val="hybridMultilevel"/>
    <w:tmpl w:val="C68EC060"/>
    <w:lvl w:ilvl="0" w:tplc="4C942452">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4"/>
  </w:num>
  <w:num w:numId="5">
    <w:abstractNumId w:val="2"/>
  </w:num>
  <w:num w:numId="6">
    <w:abstractNumId w:val="3"/>
  </w:num>
  <w:num w:numId="7">
    <w:abstractNumId w:val="9"/>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DF"/>
    <w:rsid w:val="004B553E"/>
    <w:rsid w:val="006E7995"/>
    <w:rsid w:val="0087224C"/>
    <w:rsid w:val="00A32CDF"/>
    <w:rsid w:val="00F15B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964C5-8ADC-4223-819C-21B1FB90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2CDF"/>
    <w:pPr>
      <w:spacing w:before="120" w:after="120" w:line="240" w:lineRule="auto"/>
      <w:jc w:val="both"/>
    </w:pPr>
    <w:rPr>
      <w:rFonts w:ascii="Verdana" w:eastAsia="Times New Roman" w:hAnsi="Verdana" w:cs="Times New Roman"/>
      <w:sz w:val="24"/>
      <w:szCs w:val="24"/>
    </w:rPr>
  </w:style>
  <w:style w:type="paragraph" w:styleId="Titre2">
    <w:name w:val="heading 2"/>
    <w:basedOn w:val="Normal"/>
    <w:next w:val="Normal"/>
    <w:link w:val="Titre2Car"/>
    <w:uiPriority w:val="4"/>
    <w:qFormat/>
    <w:rsid w:val="00A32CDF"/>
    <w:pPr>
      <w:keepNext/>
      <w:tabs>
        <w:tab w:val="left" w:pos="851"/>
      </w:tabs>
      <w:suppressAutoHyphens/>
      <w:spacing w:before="240"/>
      <w:outlineLvl w:val="1"/>
    </w:pPr>
    <w:rPr>
      <w:rFonts w:cs="Segoe UI"/>
      <w:b/>
      <w:bCs/>
      <w:iCs/>
      <w:spacing w:val="-6"/>
      <w:sz w:val="28"/>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4"/>
    <w:rsid w:val="00A32CDF"/>
    <w:rPr>
      <w:rFonts w:ascii="Verdana" w:eastAsia="Times New Roman" w:hAnsi="Verdana" w:cs="Segoe UI"/>
      <w:b/>
      <w:bCs/>
      <w:iCs/>
      <w:spacing w:val="-6"/>
      <w:sz w:val="28"/>
      <w:szCs w:val="24"/>
      <w:lang w:val="en-GB" w:eastAsia="ar-SA"/>
    </w:rPr>
  </w:style>
  <w:style w:type="character" w:customStyle="1" w:styleId="NotedebasdepageCar">
    <w:name w:val="Note de bas de page Car"/>
    <w:aliases w:val="Geneva 9 Car,Font: Geneva 9 Car,Boston 10 Car,f Car,single space Car,otnote Text Car,ft Car,Footnote Text Char Char Char Car,Footnote Text Char Char Char Char Car,Footnote Text Char Char Car,Times Roman 9 Car,fn Car"/>
    <w:link w:val="Notedebasdepage"/>
    <w:uiPriority w:val="99"/>
    <w:rsid w:val="00A32CDF"/>
    <w:rPr>
      <w:rFonts w:ascii="Calibri" w:hAnsi="Calibri"/>
      <w:sz w:val="18"/>
      <w:szCs w:val="18"/>
    </w:rPr>
  </w:style>
  <w:style w:type="paragraph" w:styleId="Notedebasdepage">
    <w:name w:val="footnote text"/>
    <w:aliases w:val="Geneva 9,Font: Geneva 9,Boston 10,f,single space,otnote Text,ft,Footnote Text Char Char Char,Footnote Text Char Char Char Char,Footnote Text Char Char,Footnote Text Char Char Char Char Char Char Char Char Char Char,Times Roman 9,fn"/>
    <w:basedOn w:val="Normal"/>
    <w:link w:val="NotedebasdepageCar"/>
    <w:autoRedefine/>
    <w:uiPriority w:val="99"/>
    <w:unhideWhenUsed/>
    <w:qFormat/>
    <w:rsid w:val="00A32CDF"/>
    <w:rPr>
      <w:rFonts w:ascii="Calibri" w:eastAsiaTheme="minorHAnsi" w:hAnsi="Calibri" w:cstheme="minorBidi"/>
      <w:sz w:val="18"/>
      <w:szCs w:val="18"/>
    </w:rPr>
  </w:style>
  <w:style w:type="character" w:customStyle="1" w:styleId="NotedebasdepageCar1">
    <w:name w:val="Note de bas de page Car1"/>
    <w:basedOn w:val="Policepardfaut"/>
    <w:uiPriority w:val="99"/>
    <w:semiHidden/>
    <w:rsid w:val="00A32CDF"/>
    <w:rPr>
      <w:rFonts w:ascii="Verdana" w:eastAsia="Times New Roman" w:hAnsi="Verdana" w:cs="Times New Roman"/>
      <w:sz w:val="20"/>
      <w:szCs w:val="20"/>
    </w:rPr>
  </w:style>
  <w:style w:type="character" w:styleId="Appelnotedebasdep">
    <w:name w:val="footnote reference"/>
    <w:aliases w:val="16 Point,Superscript 6 Point,Appel note de bas de page,Superscript 6 Point + 11 pt,de nota al pie,Ref,ftref,BVI fnr,BVI fnr Car Car,BVI fnr Car,BVI fnr Car Car Car Car,Footnote text,referencia nota al pie,titulo 2,fr,Style 24,o"/>
    <w:uiPriority w:val="99"/>
    <w:unhideWhenUsed/>
    <w:rsid w:val="00A32CDF"/>
    <w:rPr>
      <w:vertAlign w:val="superscript"/>
    </w:rPr>
  </w:style>
  <w:style w:type="character" w:styleId="Lienhypertexte">
    <w:name w:val="Hyperlink"/>
    <w:uiPriority w:val="99"/>
    <w:rsid w:val="00A32CDF"/>
    <w:rPr>
      <w:color w:val="0000FF"/>
      <w:u w:val="single"/>
    </w:rPr>
  </w:style>
  <w:style w:type="paragraph" w:styleId="Paragraphedeliste">
    <w:name w:val="List Paragraph"/>
    <w:aliases w:val="Bullets,List Paragraph1,Numbered paragraph,FIDA liste,List Paragraph (numbered (a)),Lapis Bulleted List,References,Paragraphe de liste1,Table/Figure Heading,Style 3,Liste couleur - Accent 11,Liste couleur - Accent 111"/>
    <w:basedOn w:val="Normal"/>
    <w:link w:val="ParagraphedelisteCar"/>
    <w:uiPriority w:val="34"/>
    <w:qFormat/>
    <w:rsid w:val="00A32CDF"/>
    <w:pPr>
      <w:ind w:left="720"/>
      <w:contextualSpacing/>
    </w:pPr>
  </w:style>
  <w:style w:type="character" w:customStyle="1" w:styleId="ParagraphedelisteCar">
    <w:name w:val="Paragraphe de liste Car"/>
    <w:aliases w:val="Bullets Car,List Paragraph1 Car,Numbered paragraph Car,FIDA liste Car,List Paragraph (numbered (a)) Car,Lapis Bulleted List Car,References Car,Paragraphe de liste1 Car,Table/Figure Heading Car,Style 3 Car"/>
    <w:link w:val="Paragraphedeliste"/>
    <w:uiPriority w:val="34"/>
    <w:qFormat/>
    <w:rsid w:val="00A32CDF"/>
    <w:rPr>
      <w:rFonts w:ascii="Verdana" w:eastAsia="Times New Roman" w:hAnsi="Verdana" w:cs="Times New Roman"/>
      <w:sz w:val="24"/>
      <w:szCs w:val="24"/>
    </w:rPr>
  </w:style>
  <w:style w:type="paragraph" w:styleId="Corpsdetexte">
    <w:name w:val="Body Text"/>
    <w:basedOn w:val="Normal"/>
    <w:link w:val="CorpsdetexteCar"/>
    <w:uiPriority w:val="99"/>
    <w:rsid w:val="00A32CDF"/>
    <w:pPr>
      <w:spacing w:before="0" w:after="0"/>
      <w:jc w:val="left"/>
    </w:pPr>
    <w:rPr>
      <w:rFonts w:ascii="Arial" w:hAnsi="Arial"/>
      <w:i/>
      <w:lang w:val="de-DE" w:eastAsia="de-DE"/>
    </w:rPr>
  </w:style>
  <w:style w:type="character" w:customStyle="1" w:styleId="CorpsdetexteCar">
    <w:name w:val="Corps de texte Car"/>
    <w:basedOn w:val="Policepardfaut"/>
    <w:link w:val="Corpsdetexte"/>
    <w:uiPriority w:val="99"/>
    <w:rsid w:val="00A32CDF"/>
    <w:rPr>
      <w:rFonts w:ascii="Arial" w:eastAsia="Times New Roman" w:hAnsi="Arial" w:cs="Times New Roman"/>
      <w: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i.procurement@undp.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3189</Words>
  <Characters>17540</Characters>
  <Application>Microsoft Office Word</Application>
  <DocSecurity>0</DocSecurity>
  <Lines>146</Lines>
  <Paragraphs>41</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Annexe 3: Termes de référence</vt:lpstr>
      <vt:lpstr>    Financement</vt:lpstr>
      <vt:lpstr>Réalisations</vt:lpstr>
    </vt:vector>
  </TitlesOfParts>
  <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Toure</dc:creator>
  <cp:keywords/>
  <dc:description/>
  <cp:lastModifiedBy>Mariam Toure</cp:lastModifiedBy>
  <cp:revision>1</cp:revision>
  <dcterms:created xsi:type="dcterms:W3CDTF">2020-05-06T13:07:00Z</dcterms:created>
  <dcterms:modified xsi:type="dcterms:W3CDTF">2020-05-06T13:12:00Z</dcterms:modified>
</cp:coreProperties>
</file>