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8C" w:rsidRDefault="00734DE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Pr>
          <w:rFonts w:ascii="Calibri" w:eastAsia="Times New Roman" w:hAnsi="Calibri" w:cs="Times New Roman"/>
          <w:caps/>
          <w:spacing w:val="15"/>
        </w:rPr>
        <w:t xml:space="preserve">Enhancing </w:t>
      </w:r>
      <w:r w:rsidR="00D6638C" w:rsidRPr="00D6638C">
        <w:rPr>
          <w:rFonts w:ascii="Calibri" w:eastAsia="Times New Roman" w:hAnsi="Calibri" w:cs="Times New Roman"/>
          <w:caps/>
          <w:spacing w:val="15"/>
        </w:rPr>
        <w:t>Terminal Evaluation Terms of Reference</w:t>
      </w:r>
      <w:bookmarkEnd w:id="0"/>
      <w:bookmarkEnd w:id="1"/>
    </w:p>
    <w:p w:rsidR="006C1964" w:rsidRDefault="00B913F1" w:rsidP="00F05366">
      <w:pPr>
        <w:pStyle w:val="Heading51"/>
      </w:pPr>
      <w:bookmarkStart w:id="2" w:name="_Toc299126613"/>
      <w:r>
        <w:t>INTRODUCTION</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bookmarkStart w:id="3" w:name="_Hlk29545813"/>
      <w:r w:rsidR="00734DEC" w:rsidRPr="00734DEC">
        <w:rPr>
          <w:rFonts w:ascii="Calibri" w:eastAsia="Times New Roman" w:hAnsi="Calibri" w:cs="Times New Roman"/>
          <w:b/>
          <w:i/>
          <w:sz w:val="20"/>
          <w:szCs w:val="20"/>
        </w:rPr>
        <w:t>Enhancing Wildlife Conservation in the Productive Southern Rangelands through a Landscape Approach</w:t>
      </w:r>
      <w:r w:rsidR="00734DEC">
        <w:rPr>
          <w:rFonts w:ascii="Calibri" w:eastAsia="Times New Roman" w:hAnsi="Calibri" w:cs="Times New Roman"/>
          <w:i/>
          <w:sz w:val="20"/>
          <w:szCs w:val="20"/>
        </w:rPr>
        <w:t xml:space="preserve"> </w:t>
      </w:r>
      <w:r w:rsidR="00734DEC" w:rsidRPr="00D6638C">
        <w:rPr>
          <w:rFonts w:ascii="Calibri" w:eastAsia="Times New Roman" w:hAnsi="Calibri" w:cs="Times New Roman"/>
          <w:sz w:val="20"/>
          <w:szCs w:val="20"/>
        </w:rPr>
        <w:t>(</w:t>
      </w:r>
      <w:r w:rsidRPr="00D6638C">
        <w:rPr>
          <w:rFonts w:ascii="Calibri" w:eastAsia="Times New Roman" w:hAnsi="Calibri" w:cs="Times New Roman"/>
          <w:sz w:val="20"/>
          <w:szCs w:val="20"/>
        </w:rPr>
        <w:t>PIMS</w:t>
      </w:r>
      <w:r w:rsidR="00734DEC">
        <w:rPr>
          <w:rFonts w:ascii="Calibri" w:eastAsia="Times New Roman" w:hAnsi="Calibri" w:cs="Times New Roman"/>
          <w:sz w:val="20"/>
          <w:szCs w:val="20"/>
        </w:rPr>
        <w:t>4490).</w:t>
      </w:r>
    </w:p>
    <w:bookmarkEnd w:id="3"/>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rsidR="00D6638C" w:rsidRPr="00D6638C" w:rsidRDefault="00D6638C" w:rsidP="00F05366">
      <w:pPr>
        <w:pStyle w:val="Heading51"/>
      </w:pPr>
      <w:bookmarkStart w:id="4" w:name="_Toc321341548"/>
      <w:r w:rsidRPr="00D6638C">
        <w:t>Project Summary Table</w:t>
      </w:r>
      <w:bookmarkEnd w:id="4"/>
    </w:p>
    <w:tbl>
      <w:tblPr>
        <w:tblW w:w="52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952"/>
        <w:gridCol w:w="639"/>
        <w:gridCol w:w="3513"/>
        <w:gridCol w:w="1417"/>
        <w:gridCol w:w="282"/>
        <w:gridCol w:w="1560"/>
        <w:gridCol w:w="1560"/>
      </w:tblGrid>
      <w:tr w:rsidR="00D6638C" w:rsidRPr="00D6638C" w:rsidTr="00E86546">
        <w:trPr>
          <w:trHeight w:val="809"/>
        </w:trPr>
        <w:tc>
          <w:tcPr>
            <w:tcW w:w="480"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20" w:type="pct"/>
            <w:gridSpan w:val="6"/>
            <w:shd w:val="clear" w:color="auto" w:fill="FFFFFF"/>
            <w:vAlign w:val="center"/>
          </w:tcPr>
          <w:p w:rsidR="00D6638C" w:rsidRPr="00D6638C" w:rsidRDefault="00AA614A" w:rsidP="00D6638C">
            <w:pPr>
              <w:spacing w:after="0"/>
              <w:contextualSpacing/>
              <w:rPr>
                <w:rFonts w:ascii="Calibri" w:eastAsia="Times New Roman" w:hAnsi="Calibri" w:cs="Calibri"/>
                <w:bCs/>
                <w:sz w:val="20"/>
                <w:szCs w:val="20"/>
              </w:rPr>
            </w:pPr>
            <w:r>
              <w:rPr>
                <w:rFonts w:ascii="Calibri" w:eastAsia="Times New Roman" w:hAnsi="Calibri" w:cs="Calibri"/>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74pt;height:18.15pt;mso-width-percent:0;mso-height-percent:0;mso-width-percent:0;mso-height-percent:0">
                  <v:imagedata r:id="rId8" o:title=""/>
                </v:shape>
              </w:pict>
            </w:r>
          </w:p>
        </w:tc>
      </w:tr>
      <w:tr w:rsidR="00D6638C" w:rsidRPr="00D6638C" w:rsidTr="00E86546">
        <w:tblPrEx>
          <w:shd w:val="clear" w:color="auto" w:fill="auto"/>
        </w:tblPrEx>
        <w:trPr>
          <w:trHeight w:val="553"/>
        </w:trPr>
        <w:tc>
          <w:tcPr>
            <w:tcW w:w="802"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770" w:type="pct"/>
            <w:vAlign w:val="center"/>
          </w:tcPr>
          <w:p w:rsidR="00D6638C" w:rsidRPr="00D6638C" w:rsidRDefault="00734DEC"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PIMS </w:t>
            </w:r>
            <w:r w:rsidR="00FD3230">
              <w:rPr>
                <w:rFonts w:ascii="Calibri" w:eastAsia="Times New Roman" w:hAnsi="Calibri" w:cs="Times New Roman"/>
                <w:sz w:val="20"/>
                <w:szCs w:val="20"/>
              </w:rPr>
              <w:t>4490</w:t>
            </w:r>
          </w:p>
        </w:tc>
        <w:tc>
          <w:tcPr>
            <w:tcW w:w="856" w:type="pct"/>
            <w:gridSpan w:val="2"/>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786"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787"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E86546">
        <w:tblPrEx>
          <w:shd w:val="clear" w:color="auto" w:fill="auto"/>
        </w:tblPrEx>
        <w:trPr>
          <w:trHeight w:val="278"/>
        </w:trPr>
        <w:tc>
          <w:tcPr>
            <w:tcW w:w="802"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770" w:type="pct"/>
            <w:vAlign w:val="center"/>
          </w:tcPr>
          <w:p w:rsidR="00D6638C" w:rsidRPr="00D6638C" w:rsidRDefault="00FD3230"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00091871</w:t>
            </w:r>
          </w:p>
        </w:tc>
        <w:tc>
          <w:tcPr>
            <w:tcW w:w="856"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786" w:type="pct"/>
            <w:vAlign w:val="center"/>
          </w:tcPr>
          <w:p w:rsidR="00D6638C" w:rsidRPr="00D6638C" w:rsidRDefault="00A46086" w:rsidP="00D6638C">
            <w:pPr>
              <w:spacing w:after="0"/>
              <w:rPr>
                <w:rFonts w:ascii="Calibri" w:eastAsia="Arial Unicode MS" w:hAnsi="Calibri" w:cs="Times New Roman"/>
                <w:sz w:val="20"/>
                <w:szCs w:val="20"/>
              </w:rPr>
            </w:pPr>
            <w:r>
              <w:rPr>
                <w:rFonts w:ascii="Calibri" w:eastAsia="Times New Roman" w:hAnsi="Calibri" w:cs="Times New Roman"/>
                <w:sz w:val="20"/>
                <w:szCs w:val="20"/>
              </w:rPr>
              <w:t>3,990,909</w:t>
            </w:r>
          </w:p>
        </w:tc>
        <w:tc>
          <w:tcPr>
            <w:tcW w:w="787"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E86546">
        <w:tblPrEx>
          <w:shd w:val="clear" w:color="auto" w:fill="auto"/>
        </w:tblPrEx>
        <w:trPr>
          <w:trHeight w:val="269"/>
        </w:trPr>
        <w:tc>
          <w:tcPr>
            <w:tcW w:w="802"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770" w:type="pct"/>
            <w:vAlign w:val="center"/>
          </w:tcPr>
          <w:p w:rsidR="00D6638C" w:rsidRPr="00D6638C" w:rsidRDefault="00FD3230"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Kenya</w:t>
            </w:r>
          </w:p>
        </w:tc>
        <w:tc>
          <w:tcPr>
            <w:tcW w:w="856"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786" w:type="pct"/>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787"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E86546">
        <w:tblPrEx>
          <w:shd w:val="clear" w:color="auto" w:fill="auto"/>
        </w:tblPrEx>
        <w:trPr>
          <w:trHeight w:val="296"/>
        </w:trPr>
        <w:tc>
          <w:tcPr>
            <w:tcW w:w="802"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770" w:type="pct"/>
            <w:vAlign w:val="center"/>
          </w:tcPr>
          <w:p w:rsidR="00D6638C" w:rsidRPr="00D6638C" w:rsidRDefault="00FD3230"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RBA</w:t>
            </w:r>
          </w:p>
        </w:tc>
        <w:tc>
          <w:tcPr>
            <w:tcW w:w="856"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786" w:type="pct"/>
            <w:vAlign w:val="center"/>
          </w:tcPr>
          <w:p w:rsidR="00D6638C" w:rsidRPr="00D6638C" w:rsidRDefault="00A46086" w:rsidP="00D6638C">
            <w:pPr>
              <w:spacing w:after="0"/>
              <w:rPr>
                <w:rFonts w:ascii="Calibri" w:eastAsia="Arial Unicode MS" w:hAnsi="Calibri" w:cs="Times New Roman"/>
                <w:sz w:val="20"/>
                <w:szCs w:val="20"/>
              </w:rPr>
            </w:pPr>
            <w:r>
              <w:rPr>
                <w:rFonts w:ascii="Calibri" w:eastAsia="Times New Roman" w:hAnsi="Calibri" w:cs="Times New Roman"/>
                <w:sz w:val="20"/>
                <w:szCs w:val="20"/>
              </w:rPr>
              <w:t>6,250,000</w:t>
            </w:r>
          </w:p>
        </w:tc>
        <w:tc>
          <w:tcPr>
            <w:tcW w:w="787"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E86546">
        <w:tblPrEx>
          <w:shd w:val="clear" w:color="auto" w:fill="auto"/>
        </w:tblPrEx>
        <w:trPr>
          <w:trHeight w:val="314"/>
        </w:trPr>
        <w:tc>
          <w:tcPr>
            <w:tcW w:w="802"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770" w:type="pct"/>
            <w:vAlign w:val="center"/>
          </w:tcPr>
          <w:p w:rsidR="00D6638C" w:rsidRPr="00D6638C" w:rsidRDefault="00FD3230"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Biodiver</w:t>
            </w:r>
            <w:r w:rsidR="00A46086">
              <w:rPr>
                <w:rFonts w:ascii="Calibri" w:eastAsia="Times New Roman" w:hAnsi="Calibri" w:cs="Times New Roman"/>
                <w:sz w:val="20"/>
                <w:szCs w:val="20"/>
              </w:rPr>
              <w:t>sity</w:t>
            </w:r>
          </w:p>
        </w:tc>
        <w:tc>
          <w:tcPr>
            <w:tcW w:w="856"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786" w:type="pct"/>
            <w:vAlign w:val="center"/>
          </w:tcPr>
          <w:p w:rsidR="00D6638C" w:rsidRPr="00D6638C" w:rsidRDefault="00A46086" w:rsidP="00D6638C">
            <w:pPr>
              <w:spacing w:after="0"/>
              <w:rPr>
                <w:rFonts w:ascii="Calibri" w:eastAsia="Times New Roman" w:hAnsi="Calibri" w:cs="Times New Roman"/>
                <w:sz w:val="20"/>
                <w:szCs w:val="20"/>
              </w:rPr>
            </w:pPr>
            <w:r>
              <w:rPr>
                <w:rFonts w:ascii="Calibri" w:eastAsia="Times New Roman" w:hAnsi="Calibri" w:cs="Times New Roman"/>
                <w:sz w:val="20"/>
                <w:szCs w:val="20"/>
              </w:rPr>
              <w:t>18,820,000</w:t>
            </w:r>
          </w:p>
        </w:tc>
        <w:tc>
          <w:tcPr>
            <w:tcW w:w="787"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E86546">
        <w:tblPrEx>
          <w:shd w:val="clear" w:color="auto" w:fill="auto"/>
        </w:tblPrEx>
        <w:trPr>
          <w:trHeight w:val="553"/>
        </w:trPr>
        <w:tc>
          <w:tcPr>
            <w:tcW w:w="802"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1770"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856"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786" w:type="pct"/>
            <w:vAlign w:val="center"/>
          </w:tcPr>
          <w:p w:rsidR="00D6638C" w:rsidRPr="00D6638C" w:rsidRDefault="00A46086" w:rsidP="00D6638C">
            <w:pPr>
              <w:spacing w:after="0"/>
              <w:rPr>
                <w:rFonts w:ascii="Calibri" w:eastAsia="Arial Unicode MS" w:hAnsi="Calibri" w:cs="Times New Roman"/>
                <w:sz w:val="20"/>
                <w:szCs w:val="20"/>
              </w:rPr>
            </w:pPr>
            <w:r>
              <w:rPr>
                <w:rFonts w:ascii="Calibri" w:eastAsia="Times New Roman" w:hAnsi="Calibri" w:cs="Times New Roman"/>
                <w:sz w:val="20"/>
                <w:szCs w:val="20"/>
              </w:rPr>
              <w:t>24,820,000</w:t>
            </w:r>
          </w:p>
        </w:tc>
        <w:tc>
          <w:tcPr>
            <w:tcW w:w="787"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E86546">
        <w:tblPrEx>
          <w:shd w:val="clear" w:color="auto" w:fill="auto"/>
        </w:tblPrEx>
        <w:trPr>
          <w:trHeight w:val="341"/>
        </w:trPr>
        <w:tc>
          <w:tcPr>
            <w:tcW w:w="802"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770" w:type="pct"/>
            <w:vAlign w:val="center"/>
          </w:tcPr>
          <w:p w:rsidR="00D6638C" w:rsidRPr="00D6638C" w:rsidRDefault="00A46086"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Kenya Wildlife Service </w:t>
            </w:r>
          </w:p>
        </w:tc>
        <w:tc>
          <w:tcPr>
            <w:tcW w:w="856"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786" w:type="pct"/>
            <w:vAlign w:val="center"/>
          </w:tcPr>
          <w:p w:rsidR="00D6638C" w:rsidRPr="00D6638C" w:rsidRDefault="00A46086" w:rsidP="00D6638C">
            <w:pPr>
              <w:spacing w:after="0"/>
              <w:rPr>
                <w:rFonts w:ascii="Calibri" w:eastAsia="Arial Unicode MS" w:hAnsi="Calibri" w:cs="Times New Roman"/>
                <w:sz w:val="20"/>
                <w:szCs w:val="20"/>
              </w:rPr>
            </w:pPr>
            <w:r>
              <w:rPr>
                <w:rFonts w:ascii="Calibri" w:eastAsia="Times New Roman" w:hAnsi="Calibri" w:cs="Times New Roman"/>
                <w:sz w:val="20"/>
                <w:szCs w:val="20"/>
              </w:rPr>
              <w:t>28,810,909</w:t>
            </w:r>
          </w:p>
        </w:tc>
        <w:tc>
          <w:tcPr>
            <w:tcW w:w="787"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E86546">
        <w:tblPrEx>
          <w:shd w:val="clear" w:color="auto" w:fill="auto"/>
        </w:tblPrEx>
        <w:trPr>
          <w:trHeight w:val="368"/>
        </w:trPr>
        <w:tc>
          <w:tcPr>
            <w:tcW w:w="802"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1770" w:type="pct"/>
            <w:vMerge w:val="restart"/>
            <w:vAlign w:val="center"/>
          </w:tcPr>
          <w:p w:rsidR="00D6638C" w:rsidRDefault="00A46086"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African Conservation Centre</w:t>
            </w:r>
          </w:p>
          <w:p w:rsidR="00A46086" w:rsidRDefault="00A46086"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Big Life Foundation</w:t>
            </w:r>
          </w:p>
          <w:p w:rsidR="00A46086" w:rsidRPr="00D6638C" w:rsidRDefault="00A46086"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Maasai Wilderness Conservation Trust</w:t>
            </w:r>
          </w:p>
        </w:tc>
        <w:tc>
          <w:tcPr>
            <w:tcW w:w="1642" w:type="pct"/>
            <w:gridSpan w:val="3"/>
          </w:tcPr>
          <w:p w:rsidR="00D6638C" w:rsidRPr="00D6638C" w:rsidRDefault="00D6638C" w:rsidP="00D6638C">
            <w:pPr>
              <w:tabs>
                <w:tab w:val="right" w:pos="0"/>
              </w:tabs>
              <w:spacing w:after="0"/>
              <w:jc w:val="right"/>
              <w:rPr>
                <w:rFonts w:ascii="Calibri" w:eastAsia="Times New Roman" w:hAnsi="Calibri" w:cs="Times New Roman"/>
                <w:sz w:val="20"/>
                <w:szCs w:val="20"/>
              </w:rPr>
            </w:pPr>
            <w:proofErr w:type="spellStart"/>
            <w:r w:rsidRPr="00D6638C">
              <w:rPr>
                <w:rFonts w:ascii="Calibri" w:eastAsia="Times New Roman" w:hAnsi="Calibri" w:cs="Times New Roman"/>
                <w:color w:val="000000"/>
                <w:sz w:val="20"/>
                <w:szCs w:val="20"/>
              </w:rPr>
              <w:t>ProDoc</w:t>
            </w:r>
            <w:proofErr w:type="spellEnd"/>
            <w:r w:rsidRPr="00D6638C">
              <w:rPr>
                <w:rFonts w:ascii="Calibri" w:eastAsia="Times New Roman" w:hAnsi="Calibri" w:cs="Times New Roman"/>
                <w:color w:val="000000"/>
                <w:sz w:val="20"/>
                <w:szCs w:val="20"/>
              </w:rPr>
              <w:t xml:space="preserve"> Signature (date project began): </w:t>
            </w:r>
          </w:p>
        </w:tc>
        <w:tc>
          <w:tcPr>
            <w:tcW w:w="787" w:type="pct"/>
            <w:vAlign w:val="center"/>
          </w:tcPr>
          <w:p w:rsidR="00D6638C" w:rsidRPr="00D6638C" w:rsidRDefault="00A46086"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January 2015</w:t>
            </w:r>
          </w:p>
        </w:tc>
      </w:tr>
      <w:tr w:rsidR="00D6638C" w:rsidRPr="00D6638C" w:rsidTr="00E86546">
        <w:tblPrEx>
          <w:shd w:val="clear" w:color="auto" w:fill="auto"/>
        </w:tblPrEx>
        <w:trPr>
          <w:trHeight w:val="144"/>
        </w:trPr>
        <w:tc>
          <w:tcPr>
            <w:tcW w:w="802"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1770"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714"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928" w:type="pct"/>
            <w:gridSpan w:val="2"/>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D6638C" w:rsidRPr="00D6638C" w:rsidRDefault="00A46086"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31 December 2019</w:t>
            </w:r>
          </w:p>
        </w:tc>
        <w:tc>
          <w:tcPr>
            <w:tcW w:w="787"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B913F1" w:rsidRDefault="00D6638C" w:rsidP="00F05366">
      <w:pPr>
        <w:pStyle w:val="Heading51"/>
      </w:pPr>
      <w:bookmarkStart w:id="5" w:name="_Toc321341549"/>
      <w:r w:rsidRPr="00B913F1">
        <w:t>Objective and Scope</w:t>
      </w:r>
      <w:bookmarkEnd w:id="5"/>
    </w:p>
    <w:p w:rsidR="001A54D7" w:rsidRPr="001A54D7" w:rsidRDefault="00D6638C" w:rsidP="001A54D7">
      <w:pPr>
        <w:spacing w:after="0" w:line="240" w:lineRule="auto"/>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project was designed </w:t>
      </w:r>
      <w:r w:rsidR="001A54D7" w:rsidRPr="001A54D7">
        <w:rPr>
          <w:rFonts w:ascii="Calibri" w:eastAsia="Times New Roman" w:hAnsi="Calibri" w:cs="Times New Roman"/>
          <w:sz w:val="20"/>
          <w:szCs w:val="20"/>
        </w:rPr>
        <w:t xml:space="preserve">to mainstream biodiversity conservation and sustainable use into production lands in the Greater Amboseli landscape and improve the sustainability of Protected Area systems (PAs). It aims to provide a resource governance model that allows communities and conservationists to utilize revitalized skills, and, guided by knowledge-based landscape planning, taking advantage of modified policies and market-based incentives to balance resource use and resource conservation across the greater Amboseli, to secure a broader range of benefits for the onsite and offsite dependents, in a more equitable and sustainable manner. </w:t>
      </w:r>
    </w:p>
    <w:p w:rsidR="001A54D7" w:rsidRPr="001A54D7" w:rsidRDefault="001A54D7" w:rsidP="001A54D7">
      <w:pPr>
        <w:spacing w:after="0" w:line="240" w:lineRule="auto"/>
        <w:jc w:val="both"/>
        <w:rPr>
          <w:rFonts w:ascii="Calibri" w:eastAsia="Times New Roman" w:hAnsi="Calibri" w:cs="Times New Roman"/>
          <w:sz w:val="20"/>
          <w:szCs w:val="20"/>
        </w:rPr>
      </w:pPr>
    </w:p>
    <w:p w:rsidR="001A54D7" w:rsidRPr="001A54D7" w:rsidRDefault="001A54D7" w:rsidP="001A54D7">
      <w:pPr>
        <w:spacing w:after="0" w:line="240" w:lineRule="auto"/>
        <w:jc w:val="both"/>
        <w:rPr>
          <w:rFonts w:ascii="Calibri" w:eastAsia="Times New Roman" w:hAnsi="Calibri" w:cs="Times New Roman"/>
          <w:sz w:val="20"/>
          <w:szCs w:val="20"/>
        </w:rPr>
      </w:pPr>
      <w:r w:rsidRPr="001A54D7">
        <w:rPr>
          <w:rFonts w:ascii="Calibri" w:eastAsia="Times New Roman" w:hAnsi="Calibri" w:cs="Times New Roman"/>
          <w:sz w:val="20"/>
          <w:szCs w:val="20"/>
        </w:rPr>
        <w:t>The project partners (</w:t>
      </w:r>
      <w:bookmarkStart w:id="6" w:name="_Hlk496602711"/>
      <w:r w:rsidRPr="001A54D7">
        <w:rPr>
          <w:rFonts w:ascii="Calibri" w:eastAsia="Times New Roman" w:hAnsi="Calibri" w:cs="Times New Roman"/>
          <w:sz w:val="20"/>
          <w:szCs w:val="20"/>
        </w:rPr>
        <w:t>Kenya Wildlife Service, Maasai Wilderness Conservation Trust, the Big Life and African Conservation Centre</w:t>
      </w:r>
      <w:bookmarkEnd w:id="6"/>
      <w:r w:rsidRPr="001A54D7">
        <w:rPr>
          <w:rFonts w:ascii="Calibri" w:eastAsia="Times New Roman" w:hAnsi="Calibri" w:cs="Times New Roman"/>
          <w:sz w:val="20"/>
          <w:szCs w:val="20"/>
        </w:rPr>
        <w:t xml:space="preserve">), in line with their designated roles and responsibilities; support national efforts to secure conservancy management, set up a series of conservancies across the landscape, map out and secure wildlife dispersal areas, secure connectivity corridors between the core PAs of Amboseli, Tsavo and </w:t>
      </w:r>
      <w:proofErr w:type="spellStart"/>
      <w:r w:rsidRPr="001A54D7">
        <w:rPr>
          <w:rFonts w:ascii="Calibri" w:eastAsia="Times New Roman" w:hAnsi="Calibri" w:cs="Times New Roman"/>
          <w:sz w:val="20"/>
          <w:szCs w:val="20"/>
        </w:rPr>
        <w:t>Chyulu</w:t>
      </w:r>
      <w:proofErr w:type="spellEnd"/>
      <w:r w:rsidRPr="001A54D7">
        <w:rPr>
          <w:rFonts w:ascii="Calibri" w:eastAsia="Times New Roman" w:hAnsi="Calibri" w:cs="Times New Roman"/>
          <w:sz w:val="20"/>
          <w:szCs w:val="20"/>
        </w:rPr>
        <w:t xml:space="preserve"> Hills, to offer greater protection of selected species (GEF BD SO 1). The partners are expected to catalyze a shift from the current sector-focused planning to a more integrated land use planning system; thus, increasing productivity of livestock and </w:t>
      </w:r>
      <w:r w:rsidRPr="001A54D7">
        <w:rPr>
          <w:rFonts w:ascii="Calibri" w:eastAsia="Times New Roman" w:hAnsi="Calibri" w:cs="Times New Roman"/>
          <w:sz w:val="20"/>
          <w:szCs w:val="20"/>
        </w:rPr>
        <w:lastRenderedPageBreak/>
        <w:t xml:space="preserve">agriculture while protecting environmental services, including the watershed services of the </w:t>
      </w:r>
      <w:proofErr w:type="spellStart"/>
      <w:r w:rsidRPr="001A54D7">
        <w:rPr>
          <w:rFonts w:ascii="Calibri" w:eastAsia="Times New Roman" w:hAnsi="Calibri" w:cs="Times New Roman"/>
          <w:sz w:val="20"/>
          <w:szCs w:val="20"/>
        </w:rPr>
        <w:t>Chyulu</w:t>
      </w:r>
      <w:proofErr w:type="spellEnd"/>
      <w:r w:rsidRPr="001A54D7">
        <w:rPr>
          <w:rFonts w:ascii="Calibri" w:eastAsia="Times New Roman" w:hAnsi="Calibri" w:cs="Times New Roman"/>
          <w:sz w:val="20"/>
          <w:szCs w:val="20"/>
        </w:rPr>
        <w:t xml:space="preserve"> Hills (GEF BD SO2). The project comprises three complementary components, which are cost-shared by the GEF and co-financing. Each addresses a different barrier and has discrete outcomes and are defined as follows: -</w:t>
      </w:r>
    </w:p>
    <w:p w:rsidR="001A54D7" w:rsidRPr="001A54D7" w:rsidRDefault="001A54D7" w:rsidP="001A54D7">
      <w:pPr>
        <w:spacing w:after="0" w:line="240" w:lineRule="auto"/>
        <w:jc w:val="both"/>
        <w:rPr>
          <w:rFonts w:ascii="Calibri" w:eastAsia="Times New Roman" w:hAnsi="Calibri" w:cs="Times New Roman"/>
          <w:sz w:val="20"/>
          <w:szCs w:val="20"/>
        </w:rPr>
      </w:pPr>
    </w:p>
    <w:p w:rsidR="001A54D7" w:rsidRPr="001A54D7" w:rsidRDefault="001A54D7" w:rsidP="001A54D7">
      <w:pPr>
        <w:spacing w:after="0" w:line="240" w:lineRule="auto"/>
        <w:rPr>
          <w:rFonts w:ascii="Calibri" w:eastAsia="Times New Roman" w:hAnsi="Calibri" w:cs="Times New Roman"/>
          <w:sz w:val="20"/>
          <w:szCs w:val="20"/>
        </w:rPr>
      </w:pPr>
      <w:r w:rsidRPr="001A54D7">
        <w:rPr>
          <w:rFonts w:ascii="Calibri" w:eastAsia="Times New Roman" w:hAnsi="Calibri" w:cs="Times New Roman"/>
          <w:sz w:val="20"/>
          <w:szCs w:val="20"/>
        </w:rPr>
        <w:t>Component 1: Effective governance framework for multiple use and threat removal outside PAs.</w:t>
      </w:r>
    </w:p>
    <w:p w:rsidR="001A54D7" w:rsidRPr="001A54D7" w:rsidRDefault="001A54D7" w:rsidP="001A54D7">
      <w:pPr>
        <w:spacing w:after="0" w:line="240" w:lineRule="auto"/>
        <w:jc w:val="both"/>
        <w:rPr>
          <w:rFonts w:ascii="Calibri" w:eastAsia="Times New Roman" w:hAnsi="Calibri" w:cs="Times New Roman"/>
          <w:sz w:val="20"/>
          <w:szCs w:val="20"/>
        </w:rPr>
      </w:pPr>
      <w:r w:rsidRPr="001A54D7">
        <w:rPr>
          <w:rFonts w:ascii="Calibri" w:eastAsia="Times New Roman" w:hAnsi="Calibri" w:cs="Times New Roman"/>
          <w:sz w:val="20"/>
          <w:szCs w:val="20"/>
        </w:rPr>
        <w:t>Component 2: Landscape based multiple use/management delivers multiple benefits to the widest range of users, reducing threats to wildlife from outside the ecosystem.</w:t>
      </w:r>
    </w:p>
    <w:p w:rsidR="001A54D7" w:rsidRPr="001A54D7" w:rsidRDefault="001A54D7" w:rsidP="001A54D7">
      <w:pPr>
        <w:tabs>
          <w:tab w:val="left" w:pos="4680"/>
        </w:tabs>
        <w:spacing w:after="0" w:line="240" w:lineRule="auto"/>
        <w:rPr>
          <w:rFonts w:ascii="Calibri" w:eastAsia="Times New Roman" w:hAnsi="Calibri" w:cs="Times New Roman"/>
          <w:sz w:val="20"/>
          <w:szCs w:val="20"/>
        </w:rPr>
      </w:pPr>
      <w:r w:rsidRPr="001A54D7">
        <w:rPr>
          <w:rFonts w:ascii="Calibri" w:eastAsia="Times New Roman" w:hAnsi="Calibri" w:cs="Times New Roman"/>
          <w:sz w:val="20"/>
          <w:szCs w:val="20"/>
        </w:rPr>
        <w:t>Component 3: Increased benefits from tourism shared more equitably.</w:t>
      </w:r>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D6638C" w:rsidRPr="00D6638C" w:rsidRDefault="00D6638C" w:rsidP="00F05366">
      <w:pPr>
        <w:pStyle w:val="Heading51"/>
      </w:pPr>
      <w:bookmarkStart w:id="7" w:name="_Toc299133043"/>
      <w:bookmarkStart w:id="8" w:name="_Toc321341550"/>
      <w:r w:rsidRPr="00D6638C">
        <w:t>Evaluation approach and method</w:t>
      </w:r>
      <w:bookmarkEnd w:id="7"/>
      <w:bookmarkEnd w:id="8"/>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 xml:space="preserve">UNDP Guidance for Conducting Terminal Evaluations </w:t>
      </w:r>
      <w:r w:rsidR="00F76D15" w:rsidRPr="00D6638C">
        <w:rPr>
          <w:rFonts w:ascii="Calibri" w:eastAsia="Times New Roman" w:hAnsi="Calibri" w:cs="Times New Roman"/>
          <w:sz w:val="20"/>
          <w:szCs w:val="20"/>
          <w:u w:val="single"/>
        </w:rPr>
        <w:t>of UNDP</w:t>
      </w:r>
      <w:r w:rsidRPr="00D6638C">
        <w:rPr>
          <w:rFonts w:ascii="Calibri" w:eastAsia="Times New Roman" w:hAnsi="Calibri" w:cs="Times New Roman"/>
          <w:sz w:val="20"/>
          <w:szCs w:val="20"/>
          <w:u w:val="single"/>
        </w:rPr>
        <w:t>-supported,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8F6C60"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w:t>
      </w:r>
      <w:r w:rsidR="001A54D7">
        <w:rPr>
          <w:rFonts w:ascii="Calibri" w:eastAsia="Times New Roman" w:hAnsi="Calibri" w:cs="Times New Roman"/>
          <w:sz w:val="20"/>
          <w:szCs w:val="20"/>
        </w:rPr>
        <w:t xml:space="preserve"> Kenya, </w:t>
      </w:r>
      <w:r w:rsidRPr="00D6638C">
        <w:rPr>
          <w:rFonts w:ascii="Calibri" w:eastAsia="Times New Roman" w:hAnsi="Calibri" w:cs="Times New Roman"/>
          <w:sz w:val="20"/>
          <w:szCs w:val="20"/>
        </w:rPr>
        <w:t xml:space="preserve">including the </w:t>
      </w:r>
      <w:r w:rsidR="001A54D7">
        <w:rPr>
          <w:rFonts w:ascii="Calibri" w:eastAsia="Times New Roman" w:hAnsi="Calibri" w:cs="Times New Roman"/>
          <w:sz w:val="20"/>
          <w:szCs w:val="20"/>
        </w:rPr>
        <w:t xml:space="preserve">Amboseli </w:t>
      </w:r>
      <w:r w:rsidR="008F6C60">
        <w:rPr>
          <w:rFonts w:ascii="Calibri" w:eastAsia="Times New Roman" w:hAnsi="Calibri" w:cs="Times New Roman"/>
          <w:sz w:val="20"/>
          <w:szCs w:val="20"/>
        </w:rPr>
        <w:t>Landscape</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organizations and individuals at a minimum: </w:t>
      </w:r>
    </w:p>
    <w:p w:rsidR="008F6C60" w:rsidRPr="008F6C60" w:rsidRDefault="008F6C60" w:rsidP="008F6C60">
      <w:pPr>
        <w:pStyle w:val="ListParagraph"/>
        <w:numPr>
          <w:ilvl w:val="0"/>
          <w:numId w:val="32"/>
        </w:numPr>
        <w:spacing w:after="120"/>
        <w:rPr>
          <w:rFonts w:ascii="Calibri" w:hAnsi="Calibri" w:cs="Times New Roman"/>
        </w:rPr>
      </w:pPr>
      <w:r w:rsidRPr="008F6C60">
        <w:rPr>
          <w:rFonts w:ascii="Calibri" w:hAnsi="Calibri" w:cs="Times New Roman"/>
        </w:rPr>
        <w:t>Kenya Wildlife Service</w:t>
      </w:r>
    </w:p>
    <w:p w:rsidR="008F6C60" w:rsidRPr="008F6C60" w:rsidRDefault="008F6C60" w:rsidP="008F6C60">
      <w:pPr>
        <w:pStyle w:val="ListParagraph"/>
        <w:numPr>
          <w:ilvl w:val="0"/>
          <w:numId w:val="32"/>
        </w:numPr>
        <w:spacing w:after="120"/>
        <w:rPr>
          <w:rFonts w:ascii="Calibri" w:hAnsi="Calibri" w:cs="Times New Roman"/>
        </w:rPr>
      </w:pPr>
      <w:r w:rsidRPr="008F6C60">
        <w:rPr>
          <w:rFonts w:ascii="Calibri" w:hAnsi="Calibri" w:cs="Times New Roman"/>
        </w:rPr>
        <w:t>African Conservation Centre</w:t>
      </w:r>
    </w:p>
    <w:p w:rsidR="008F6C60" w:rsidRPr="008F6C60" w:rsidRDefault="008F6C60" w:rsidP="008F6C60">
      <w:pPr>
        <w:pStyle w:val="ListParagraph"/>
        <w:numPr>
          <w:ilvl w:val="0"/>
          <w:numId w:val="32"/>
        </w:numPr>
        <w:spacing w:after="120"/>
        <w:rPr>
          <w:rFonts w:ascii="Calibri" w:hAnsi="Calibri" w:cs="Times New Roman"/>
        </w:rPr>
      </w:pPr>
      <w:r w:rsidRPr="008F6C60">
        <w:rPr>
          <w:rFonts w:ascii="Calibri" w:hAnsi="Calibri" w:cs="Times New Roman"/>
        </w:rPr>
        <w:t>Big Life Foundation</w:t>
      </w:r>
    </w:p>
    <w:p w:rsidR="008F6C60" w:rsidRPr="008F6C60" w:rsidRDefault="008F6C60" w:rsidP="008F6C60">
      <w:pPr>
        <w:pStyle w:val="ListParagraph"/>
        <w:numPr>
          <w:ilvl w:val="0"/>
          <w:numId w:val="32"/>
        </w:numPr>
        <w:spacing w:after="120"/>
        <w:rPr>
          <w:rFonts w:ascii="Calibri" w:hAnsi="Calibri" w:cs="Times New Roman"/>
        </w:rPr>
      </w:pPr>
      <w:r w:rsidRPr="008F6C60">
        <w:rPr>
          <w:rFonts w:ascii="Calibri" w:hAnsi="Calibri" w:cs="Times New Roman"/>
        </w:rPr>
        <w:t>Maasai Wilderness Conservation Trust</w:t>
      </w:r>
    </w:p>
    <w:p w:rsidR="008F6C60" w:rsidRDefault="008F6C60" w:rsidP="008F6C60">
      <w:pPr>
        <w:pStyle w:val="ListParagraph"/>
        <w:numPr>
          <w:ilvl w:val="0"/>
          <w:numId w:val="32"/>
        </w:numPr>
        <w:spacing w:after="120"/>
        <w:rPr>
          <w:rFonts w:ascii="Calibri" w:hAnsi="Calibri" w:cs="Times New Roman"/>
        </w:rPr>
      </w:pPr>
      <w:r w:rsidRPr="008F6C60">
        <w:rPr>
          <w:rFonts w:ascii="Calibri" w:hAnsi="Calibri" w:cs="Times New Roman"/>
        </w:rPr>
        <w:t>Amboseli Ecosystem Trust</w:t>
      </w:r>
    </w:p>
    <w:p w:rsidR="008F6C60" w:rsidRDefault="008F6C60" w:rsidP="008F6C60">
      <w:pPr>
        <w:pStyle w:val="ListParagraph"/>
        <w:numPr>
          <w:ilvl w:val="0"/>
          <w:numId w:val="32"/>
        </w:numPr>
        <w:spacing w:after="120"/>
        <w:rPr>
          <w:rFonts w:ascii="Calibri" w:hAnsi="Calibri" w:cs="Times New Roman"/>
        </w:rPr>
      </w:pPr>
      <w:r>
        <w:rPr>
          <w:rFonts w:ascii="Calibri" w:hAnsi="Calibri" w:cs="Times New Roman"/>
        </w:rPr>
        <w:t>Local leaders – group ranches</w:t>
      </w:r>
    </w:p>
    <w:p w:rsidR="008F6C60" w:rsidRDefault="008F6C60" w:rsidP="008F6C60">
      <w:pPr>
        <w:pStyle w:val="ListParagraph"/>
        <w:numPr>
          <w:ilvl w:val="0"/>
          <w:numId w:val="32"/>
        </w:numPr>
        <w:spacing w:after="120"/>
        <w:rPr>
          <w:rFonts w:ascii="Calibri" w:hAnsi="Calibri" w:cs="Times New Roman"/>
        </w:rPr>
      </w:pPr>
      <w:r>
        <w:rPr>
          <w:rFonts w:ascii="Calibri" w:hAnsi="Calibri" w:cs="Times New Roman"/>
        </w:rPr>
        <w:t xml:space="preserve">Local community groups </w:t>
      </w:r>
    </w:p>
    <w:p w:rsidR="008F6C60" w:rsidRDefault="008F6C60" w:rsidP="008F6C60">
      <w:pPr>
        <w:pStyle w:val="ListParagraph"/>
        <w:numPr>
          <w:ilvl w:val="0"/>
          <w:numId w:val="32"/>
        </w:numPr>
        <w:spacing w:after="120"/>
        <w:rPr>
          <w:rFonts w:ascii="Calibri" w:hAnsi="Calibri" w:cs="Times New Roman"/>
        </w:rPr>
      </w:pPr>
      <w:r>
        <w:rPr>
          <w:rFonts w:ascii="Calibri" w:hAnsi="Calibri" w:cs="Times New Roman"/>
        </w:rPr>
        <w:t>Kenya Wildlife Conservancies Association</w:t>
      </w:r>
    </w:p>
    <w:p w:rsidR="008F6C60" w:rsidRPr="008F6C60" w:rsidRDefault="008F6C60" w:rsidP="00AA614A">
      <w:pPr>
        <w:pStyle w:val="ListParagraph"/>
        <w:spacing w:after="120"/>
        <w:ind w:left="360"/>
        <w:rPr>
          <w:rFonts w:ascii="Calibri" w:hAnsi="Calibri" w:cs="Times New Roman"/>
        </w:rPr>
      </w:pP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w:t>
      </w:r>
      <w:r w:rsidRPr="00D6638C">
        <w:rPr>
          <w:rFonts w:ascii="Calibri" w:eastAsia="Times New Roman" w:hAnsi="Calibri" w:cs="Times New Roman"/>
          <w:sz w:val="20"/>
          <w:szCs w:val="20"/>
        </w:rPr>
        <w:lastRenderedPageBreak/>
        <w:t xml:space="preserve">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9" w:name="_Toc321341551"/>
      <w:r w:rsidRPr="00D6638C">
        <w:t>Evaluation Criteria &amp; Ratings</w:t>
      </w:r>
      <w:bookmarkEnd w:id="9"/>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w:t>
      </w:r>
      <w:proofErr w:type="gramStart"/>
      <w:r w:rsidRPr="00D6638C">
        <w:rPr>
          <w:rFonts w:ascii="Calibri" w:eastAsia="Times New Roman" w:hAnsi="Calibri" w:cs="Times New Roman"/>
          <w:sz w:val="20"/>
          <w:szCs w:val="20"/>
        </w:rPr>
        <w:t>of:</w:t>
      </w:r>
      <w:proofErr w:type="gramEnd"/>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10"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E86546"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11" w:name="_Toc321341552"/>
      <w:bookmarkStart w:id="12" w:name="_Toc277677977"/>
      <w:bookmarkStart w:id="13" w:name="_Toc299122831"/>
      <w:bookmarkStart w:id="14" w:name="_Toc299122853"/>
      <w:bookmarkStart w:id="15" w:name="_Toc299122832"/>
      <w:bookmarkStart w:id="16" w:name="_Toc299122854"/>
      <w:bookmarkStart w:id="17" w:name="_Toc299126619"/>
      <w:bookmarkEnd w:id="2"/>
      <w:bookmarkEnd w:id="10"/>
      <w:r w:rsidRPr="00D6638C">
        <w:t>Project finance / cofinance</w:t>
      </w:r>
      <w:bookmarkEnd w:id="11"/>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F05366">
      <w:pPr>
        <w:pStyle w:val="Heading51"/>
      </w:pPr>
      <w:bookmarkStart w:id="18" w:name="_Toc321341553"/>
      <w:r w:rsidRPr="00D6638C">
        <w:t>Mainstreaming</w:t>
      </w:r>
      <w:bookmarkEnd w:id="12"/>
      <w:bookmarkEnd w:id="18"/>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9" w:name="_Toc277677980"/>
      <w:bookmarkStart w:id="20" w:name="_Toc321341554"/>
      <w:r w:rsidRPr="00D6638C">
        <w:t>Impact</w:t>
      </w:r>
      <w:bookmarkEnd w:id="19"/>
      <w:bookmarkEnd w:id="20"/>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1" w:name="_Toc278193982"/>
      <w:bookmarkStart w:id="22" w:name="_Toc299133042"/>
      <w:bookmarkStart w:id="23" w:name="_Toc321341555"/>
      <w:bookmarkStart w:id="24" w:name="_Toc299126621"/>
      <w:bookmarkEnd w:id="13"/>
      <w:bookmarkEnd w:id="14"/>
      <w:bookmarkEnd w:id="15"/>
      <w:bookmarkEnd w:id="16"/>
      <w:bookmarkEnd w:id="17"/>
      <w:r w:rsidRPr="00D6638C">
        <w:t>Conclusions</w:t>
      </w:r>
      <w:bookmarkStart w:id="25" w:name="_Toc277677982"/>
      <w:r w:rsidRPr="00D6638C">
        <w:t>, recommendations &amp; lessons</w:t>
      </w:r>
      <w:bookmarkEnd w:id="21"/>
      <w:bookmarkEnd w:id="22"/>
      <w:bookmarkEnd w:id="23"/>
      <w:bookmarkEnd w:id="25"/>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6" w:name="_Toc299126625"/>
      <w:bookmarkStart w:id="27" w:name="_Toc299133044"/>
      <w:bookmarkStart w:id="28" w:name="_Toc321341556"/>
      <w:r w:rsidRPr="00D6638C">
        <w:t>Implementation arrangements</w:t>
      </w:r>
      <w:bookmarkEnd w:id="26"/>
      <w:bookmarkEnd w:id="27"/>
      <w:bookmarkEnd w:id="28"/>
    </w:p>
    <w:p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Pr="00D6638C">
        <w:rPr>
          <w:rFonts w:ascii="Calibri" w:eastAsia="Times New Roman" w:hAnsi="Calibri" w:cs="Times New Roman"/>
          <w:i/>
          <w:sz w:val="20"/>
          <w:szCs w:val="20"/>
          <w:highlight w:val="lightGray"/>
          <w:shd w:val="clear" w:color="auto" w:fill="E0E0E0"/>
        </w:rPr>
        <w:t>(include Country name</w:t>
      </w:r>
      <w:proofErr w:type="gramStart"/>
      <w:r w:rsidRPr="00D6638C">
        <w:rPr>
          <w:rFonts w:ascii="Calibri" w:eastAsia="Times New Roman" w:hAnsi="Calibri" w:cs="Times New Roman"/>
          <w:b/>
          <w:i/>
          <w:sz w:val="20"/>
          <w:szCs w:val="20"/>
          <w:highlight w:val="lightGray"/>
          <w:shd w:val="clear" w:color="auto" w:fill="E0E0E0"/>
        </w:rPr>
        <w:t>)</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The</w:t>
      </w:r>
      <w:proofErr w:type="gramEnd"/>
      <w:r w:rsidRPr="00D6638C">
        <w:rPr>
          <w:rFonts w:ascii="Calibri" w:eastAsia="Times New Roman" w:hAnsi="Calibri" w:cs="Times New Roman"/>
          <w:sz w:val="20"/>
          <w:szCs w:val="20"/>
        </w:rPr>
        <w:t xml:space="preserv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9" w:name="_Toc299133047"/>
      <w:bookmarkStart w:id="30" w:name="_Toc299122838"/>
      <w:bookmarkStart w:id="31" w:name="_Toc299122860"/>
      <w:bookmarkStart w:id="32" w:name="_Toc299126629"/>
      <w:bookmarkEnd w:id="24"/>
    </w:p>
    <w:p w:rsidR="00022F8E" w:rsidRDefault="00022F8E" w:rsidP="00D6638C">
      <w:pPr>
        <w:spacing w:before="200"/>
        <w:rPr>
          <w:rFonts w:ascii="Calibri" w:eastAsia="Times New Roman" w:hAnsi="Calibri" w:cs="Times New Roman"/>
          <w:sz w:val="20"/>
          <w:szCs w:val="20"/>
        </w:rPr>
      </w:pPr>
    </w:p>
    <w:p w:rsidR="00D6638C" w:rsidRPr="00D6638C" w:rsidRDefault="00D6638C" w:rsidP="00022F8E">
      <w:pPr>
        <w:pStyle w:val="Heading51"/>
      </w:pPr>
      <w:r w:rsidRPr="00AA614A">
        <w:rPr>
          <w:highlight w:val="yellow"/>
        </w:rPr>
        <w:t>Evaluation timeframe</w:t>
      </w:r>
      <w:bookmarkStart w:id="33" w:name="_GoBack"/>
      <w:bookmarkEnd w:id="29"/>
      <w:bookmarkEnd w:id="30"/>
      <w:bookmarkEnd w:id="31"/>
      <w:bookmarkEnd w:id="32"/>
      <w:bookmarkEnd w:id="33"/>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Pr="00AA614A">
        <w:rPr>
          <w:rFonts w:ascii="Calibri" w:eastAsia="Times New Roman" w:hAnsi="Calibri" w:cs="Times New Roman"/>
          <w:i/>
          <w:sz w:val="20"/>
          <w:szCs w:val="20"/>
          <w:highlight w:val="yellow"/>
        </w:rPr>
        <w:t>XX</w:t>
      </w:r>
      <w:r w:rsidRPr="00D6638C">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459"/>
        <w:gridCol w:w="3043"/>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rsidR="00D6638C" w:rsidRPr="00D6638C" w:rsidRDefault="00552DCE" w:rsidP="00D6638C">
            <w:pPr>
              <w:spacing w:after="0"/>
              <w:rPr>
                <w:rFonts w:ascii="Calibri" w:eastAsia="Times New Roman" w:hAnsi="Calibri" w:cs="Times New Roman"/>
                <w:b/>
                <w:sz w:val="20"/>
                <w:szCs w:val="20"/>
              </w:rPr>
            </w:pPr>
            <w:r>
              <w:rPr>
                <w:rFonts w:ascii="Calibri" w:eastAsia="Times New Roman" w:hAnsi="Calibri" w:cs="Times New Roman"/>
                <w:sz w:val="20"/>
                <w:szCs w:val="20"/>
              </w:rPr>
              <w:t xml:space="preserve">3 </w:t>
            </w:r>
            <w:r w:rsidR="00D6638C" w:rsidRPr="00D6638C">
              <w:rPr>
                <w:rFonts w:ascii="Calibri" w:eastAsia="Times New Roman" w:hAnsi="Calibri" w:cs="Times New Roman"/>
                <w:sz w:val="20"/>
                <w:szCs w:val="20"/>
              </w:rPr>
              <w:t>days</w:t>
            </w:r>
          </w:p>
        </w:tc>
        <w:tc>
          <w:tcPr>
            <w:tcW w:w="3071" w:type="dxa"/>
          </w:tcPr>
          <w:p w:rsidR="00D6638C" w:rsidRPr="00224F9C" w:rsidRDefault="00552DCE"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21 February 2020</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rsidR="00D6638C" w:rsidRPr="00D6638C" w:rsidRDefault="00552DCE" w:rsidP="00D6638C">
            <w:pPr>
              <w:spacing w:after="0"/>
              <w:rPr>
                <w:rFonts w:ascii="Calibri" w:eastAsia="Times New Roman" w:hAnsi="Calibri" w:cs="Times New Roman"/>
                <w:b/>
                <w:sz w:val="20"/>
                <w:szCs w:val="20"/>
              </w:rPr>
            </w:pPr>
            <w:r>
              <w:rPr>
                <w:rFonts w:ascii="Calibri" w:eastAsia="Times New Roman" w:hAnsi="Calibri" w:cs="Times New Roman"/>
                <w:sz w:val="20"/>
                <w:szCs w:val="20"/>
              </w:rPr>
              <w:t>12</w:t>
            </w:r>
            <w:r w:rsidR="00D6638C" w:rsidRPr="00D6638C">
              <w:rPr>
                <w:rFonts w:ascii="Calibri" w:eastAsia="Times New Roman" w:hAnsi="Calibri" w:cs="Times New Roman"/>
                <w:sz w:val="20"/>
                <w:szCs w:val="20"/>
              </w:rPr>
              <w:t xml:space="preserve"> days</w:t>
            </w:r>
          </w:p>
        </w:tc>
        <w:tc>
          <w:tcPr>
            <w:tcW w:w="3071" w:type="dxa"/>
          </w:tcPr>
          <w:p w:rsidR="00D6638C" w:rsidRPr="00224F9C" w:rsidRDefault="00552DCE"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7 March 2020</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D6638C" w:rsidRPr="00D6638C" w:rsidRDefault="00552DCE" w:rsidP="00D6638C">
            <w:pPr>
              <w:spacing w:after="0"/>
              <w:rPr>
                <w:rFonts w:ascii="Calibri" w:eastAsia="Times New Roman" w:hAnsi="Calibri" w:cs="Times New Roman"/>
                <w:b/>
                <w:sz w:val="20"/>
                <w:szCs w:val="20"/>
              </w:rPr>
            </w:pPr>
            <w:r>
              <w:rPr>
                <w:rFonts w:ascii="Calibri" w:eastAsia="Times New Roman" w:hAnsi="Calibri" w:cs="Times New Roman"/>
                <w:sz w:val="20"/>
                <w:szCs w:val="20"/>
              </w:rPr>
              <w:t xml:space="preserve">10 </w:t>
            </w:r>
            <w:r w:rsidR="00D6638C" w:rsidRPr="00D6638C">
              <w:rPr>
                <w:rFonts w:ascii="Calibri" w:eastAsia="Times New Roman" w:hAnsi="Calibri" w:cs="Times New Roman"/>
                <w:sz w:val="20"/>
                <w:szCs w:val="20"/>
              </w:rPr>
              <w:t>days</w:t>
            </w:r>
          </w:p>
        </w:tc>
        <w:tc>
          <w:tcPr>
            <w:tcW w:w="3071" w:type="dxa"/>
          </w:tcPr>
          <w:p w:rsidR="00D6638C" w:rsidRPr="00224F9C" w:rsidRDefault="00552DCE"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21 March 2020</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D6638C" w:rsidRPr="00D6638C" w:rsidRDefault="00552DCE"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2 </w:t>
            </w:r>
            <w:r w:rsidR="00D6638C" w:rsidRPr="00D6638C">
              <w:rPr>
                <w:rFonts w:ascii="Calibri" w:eastAsia="Times New Roman" w:hAnsi="Calibri" w:cs="Times New Roman"/>
                <w:sz w:val="20"/>
                <w:szCs w:val="20"/>
              </w:rPr>
              <w:t>days</w:t>
            </w:r>
          </w:p>
        </w:tc>
        <w:tc>
          <w:tcPr>
            <w:tcW w:w="3071" w:type="dxa"/>
          </w:tcPr>
          <w:p w:rsidR="00D6638C" w:rsidRPr="00224F9C" w:rsidRDefault="00552DCE"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28 March 2020</w:t>
            </w:r>
          </w:p>
        </w:tc>
      </w:tr>
    </w:tbl>
    <w:p w:rsidR="00D6638C" w:rsidRPr="00F05366" w:rsidRDefault="00D6638C" w:rsidP="00F05366">
      <w:pPr>
        <w:pStyle w:val="Heading31"/>
      </w:pPr>
      <w:bookmarkStart w:id="34" w:name="_Toc299133045"/>
      <w:bookmarkStart w:id="35" w:name="_Toc321341557"/>
      <w:bookmarkStart w:id="36" w:name="_Toc299126622"/>
      <w:bookmarkStart w:id="37" w:name="_Toc299133048"/>
      <w:r w:rsidRPr="00F05366">
        <w:t>Evaluation deliverables</w:t>
      </w:r>
      <w:bookmarkEnd w:id="34"/>
      <w:bookmarkEnd w:id="35"/>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D6638C" w:rsidTr="00552DCE">
        <w:trPr>
          <w:trHeight w:val="221"/>
        </w:trPr>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lastRenderedPageBreak/>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6"/>
      <w:bookmarkEnd w:id="37"/>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8" w:name="_Toc321341558"/>
      <w:r w:rsidRPr="00D6638C">
        <w:t>Team Composition</w:t>
      </w:r>
      <w:bookmarkEnd w:id="38"/>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w:t>
      </w:r>
      <w:r w:rsidR="00552DCE" w:rsidRPr="00D6638C">
        <w:rPr>
          <w:rFonts w:ascii="Calibri" w:eastAsia="Times New Roman" w:hAnsi="Calibri" w:cs="Times New Roman"/>
          <w:sz w:val="20"/>
          <w:szCs w:val="20"/>
        </w:rPr>
        <w:t>of</w:t>
      </w:r>
      <w:r w:rsidR="00552DCE">
        <w:rPr>
          <w:rFonts w:ascii="Calibri" w:eastAsia="Times New Roman" w:hAnsi="Calibri" w:cs="Times New Roman"/>
          <w:sz w:val="20"/>
          <w:szCs w:val="20"/>
        </w:rPr>
        <w:t xml:space="preserve"> </w:t>
      </w:r>
      <w:r w:rsidR="00552DCE" w:rsidRPr="00D6638C">
        <w:rPr>
          <w:rFonts w:ascii="Calibri" w:eastAsia="Times New Roman" w:hAnsi="Calibri" w:cs="Times New Roman"/>
          <w:sz w:val="20"/>
          <w:szCs w:val="20"/>
        </w:rPr>
        <w:t>(</w:t>
      </w:r>
      <w:r w:rsidRPr="00D6638C">
        <w:rPr>
          <w:rFonts w:ascii="Calibri" w:eastAsia="Times New Roman" w:hAnsi="Calibri" w:cs="Times New Roman"/>
          <w:i/>
          <w:sz w:val="20"/>
          <w:szCs w:val="20"/>
          <w:highlight w:val="lightGray"/>
          <w:shd w:val="clear" w:color="auto" w:fill="FFFFFF"/>
        </w:rPr>
        <w:t>1</w:t>
      </w:r>
      <w:r w:rsidR="001D33E6">
        <w:rPr>
          <w:rFonts w:ascii="Calibri" w:eastAsia="Times New Roman" w:hAnsi="Calibri" w:cs="Times New Roman"/>
          <w:i/>
          <w:sz w:val="20"/>
          <w:szCs w:val="20"/>
          <w:highlight w:val="lightGray"/>
          <w:shd w:val="clear" w:color="auto" w:fill="FFFFFF"/>
        </w:rPr>
        <w:t xml:space="preserve"> </w:t>
      </w:r>
      <w:r w:rsidR="00552DCE">
        <w:rPr>
          <w:rFonts w:ascii="Calibri" w:eastAsia="Times New Roman" w:hAnsi="Calibri" w:cs="Times New Roman"/>
          <w:i/>
          <w:sz w:val="20"/>
          <w:szCs w:val="20"/>
          <w:highlight w:val="lightGray"/>
          <w:shd w:val="clear" w:color="auto" w:fill="FFFFFF"/>
        </w:rPr>
        <w:t>inter</w:t>
      </w:r>
      <w:r w:rsidRPr="00D6638C">
        <w:rPr>
          <w:rFonts w:ascii="Calibri" w:eastAsia="Times New Roman" w:hAnsi="Calibri" w:cs="Times New Roman"/>
          <w:i/>
          <w:sz w:val="20"/>
          <w:szCs w:val="20"/>
          <w:highlight w:val="lightGray"/>
          <w:shd w:val="clear" w:color="auto" w:fill="FFFFFF"/>
        </w:rPr>
        <w:t>national evaluator</w:t>
      </w:r>
      <w:r w:rsidRPr="00D6638C">
        <w:rPr>
          <w:rFonts w:ascii="Calibri" w:eastAsia="Times New Roman" w:hAnsi="Calibri" w:cs="Times New Roman"/>
          <w:i/>
          <w:sz w:val="20"/>
          <w:szCs w:val="20"/>
          <w:highlight w:val="lightGray"/>
        </w:rPr>
        <w:t>)</w:t>
      </w:r>
      <w:r w:rsidR="00552DCE">
        <w:rPr>
          <w:rFonts w:ascii="Calibri" w:eastAsia="Times New Roman" w:hAnsi="Calibri" w:cs="Times New Roman"/>
          <w:i/>
          <w:sz w:val="20"/>
          <w:szCs w:val="20"/>
          <w:highlight w:val="lightGray"/>
        </w:rPr>
        <w:t xml:space="preserve"> who will receive support from the Country Office and Implementing Partner</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1D33E6">
        <w:rPr>
          <w:rFonts w:ascii="Calibri" w:eastAsia="Times New Roman" w:hAnsi="Calibri" w:cs="Times New Roman"/>
          <w:sz w:val="20"/>
          <w:szCs w:val="20"/>
        </w:rPr>
        <w:t xml:space="preserve">evaluator </w:t>
      </w:r>
      <w:r w:rsidRPr="00D6638C">
        <w:rPr>
          <w:rFonts w:ascii="Calibri" w:eastAsia="Times New Roman" w:hAnsi="Calibri" w:cs="Times New Roman"/>
          <w:sz w:val="20"/>
          <w:szCs w:val="20"/>
        </w:rPr>
        <w:t>must present the following qualifications:</w:t>
      </w:r>
    </w:p>
    <w:p w:rsidR="001D33E6" w:rsidRPr="00731459" w:rsidRDefault="001D33E6" w:rsidP="001D33E6">
      <w:pPr>
        <w:numPr>
          <w:ilvl w:val="0"/>
          <w:numId w:val="17"/>
        </w:numPr>
        <w:spacing w:after="0" w:line="240" w:lineRule="auto"/>
        <w:contextualSpacing/>
        <w:rPr>
          <w:rFonts w:eastAsia="Times New Roman" w:cstheme="minorHAnsi"/>
          <w:sz w:val="20"/>
          <w:szCs w:val="20"/>
          <w:lang w:val="en-CA"/>
        </w:rPr>
      </w:pPr>
      <w:bookmarkStart w:id="39" w:name="_Toc278193977"/>
      <w:bookmarkStart w:id="40" w:name="_Toc299122835"/>
      <w:bookmarkStart w:id="41" w:name="_Toc299122857"/>
      <w:bookmarkStart w:id="42" w:name="_Toc299126624"/>
      <w:bookmarkStart w:id="43" w:name="_Toc299133050"/>
      <w:bookmarkStart w:id="44" w:name="_Toc321341559"/>
      <w:r w:rsidRPr="00731459">
        <w:rPr>
          <w:rFonts w:eastAsia="Times New Roman" w:cstheme="minorHAnsi"/>
          <w:sz w:val="20"/>
          <w:szCs w:val="20"/>
          <w:lang w:val="en-CA"/>
        </w:rPr>
        <w:t>Master’s degree in Environmental Sciences, Natural Resources Management, Water Resources Management or other closely related field (20</w:t>
      </w:r>
      <w:r w:rsidRPr="00731459">
        <w:rPr>
          <w:rFonts w:ascii="Calibri" w:eastAsia="Times New Roman" w:hAnsi="Calibri" w:cs="Times New Roman"/>
          <w:sz w:val="20"/>
          <w:szCs w:val="20"/>
          <w:lang w:val="en-CA"/>
        </w:rPr>
        <w:t xml:space="preserve"> points</w:t>
      </w:r>
      <w:r w:rsidRPr="00731459">
        <w:rPr>
          <w:rFonts w:eastAsia="Times New Roman" w:cstheme="minorHAnsi"/>
          <w:sz w:val="20"/>
          <w:szCs w:val="20"/>
          <w:lang w:val="en-CA"/>
        </w:rPr>
        <w:t>)</w:t>
      </w:r>
    </w:p>
    <w:p w:rsidR="001D33E6" w:rsidRDefault="001D33E6" w:rsidP="001D33E6">
      <w:pPr>
        <w:numPr>
          <w:ilvl w:val="0"/>
          <w:numId w:val="17"/>
        </w:numPr>
        <w:spacing w:after="0" w:line="240" w:lineRule="auto"/>
        <w:contextualSpacing/>
        <w:rPr>
          <w:rFonts w:ascii="Calibri" w:eastAsia="Times New Roman" w:hAnsi="Calibri" w:cs="Times New Roman"/>
          <w:sz w:val="20"/>
          <w:szCs w:val="20"/>
        </w:rPr>
      </w:pPr>
      <w:r>
        <w:rPr>
          <w:rFonts w:ascii="Calibri" w:eastAsia="Times New Roman" w:hAnsi="Calibri" w:cs="Times New Roman"/>
          <w:sz w:val="20"/>
          <w:szCs w:val="20"/>
          <w:shd w:val="clear" w:color="auto" w:fill="FFFFFF"/>
        </w:rPr>
        <w:t xml:space="preserve">Minimum </w:t>
      </w:r>
      <w:r>
        <w:rPr>
          <w:rFonts w:ascii="Calibri" w:eastAsia="Times New Roman" w:hAnsi="Calibri" w:cs="Times New Roman"/>
          <w:i/>
          <w:sz w:val="20"/>
          <w:szCs w:val="20"/>
          <w:shd w:val="clear" w:color="auto" w:fill="FFFFFF"/>
        </w:rPr>
        <w:t>7</w:t>
      </w:r>
      <w:r>
        <w:rPr>
          <w:rFonts w:ascii="Calibri" w:eastAsia="Times New Roman" w:hAnsi="Calibri" w:cs="Times New Roman"/>
          <w:sz w:val="20"/>
          <w:szCs w:val="20"/>
          <w:shd w:val="clear" w:color="auto" w:fill="FFFFFF"/>
        </w:rPr>
        <w:t xml:space="preserve"> years of</w:t>
      </w:r>
      <w:r>
        <w:rPr>
          <w:rFonts w:ascii="Calibri" w:eastAsia="Times New Roman" w:hAnsi="Calibri" w:cs="Times New Roman"/>
          <w:sz w:val="20"/>
          <w:szCs w:val="20"/>
        </w:rPr>
        <w:t xml:space="preserve"> relevant professional experience</w:t>
      </w:r>
      <w:r>
        <w:rPr>
          <w:rFonts w:eastAsia="Times New Roman" w:cstheme="minorHAnsi"/>
          <w:sz w:val="20"/>
          <w:szCs w:val="20"/>
        </w:rPr>
        <w:t xml:space="preserve"> (20</w:t>
      </w:r>
      <w:r>
        <w:rPr>
          <w:rFonts w:ascii="Calibri" w:eastAsia="Times New Roman" w:hAnsi="Calibri" w:cs="Times New Roman"/>
          <w:sz w:val="20"/>
          <w:szCs w:val="20"/>
        </w:rPr>
        <w:t xml:space="preserve"> points</w:t>
      </w:r>
      <w:r>
        <w:rPr>
          <w:rFonts w:eastAsia="Times New Roman" w:cstheme="minorHAnsi"/>
          <w:sz w:val="20"/>
          <w:szCs w:val="20"/>
        </w:rPr>
        <w:t>)</w:t>
      </w:r>
    </w:p>
    <w:p w:rsidR="001D33E6" w:rsidRPr="00731459" w:rsidRDefault="001D33E6" w:rsidP="001D33E6">
      <w:pPr>
        <w:numPr>
          <w:ilvl w:val="0"/>
          <w:numId w:val="17"/>
        </w:numPr>
        <w:spacing w:after="0" w:line="240" w:lineRule="auto"/>
        <w:contextualSpacing/>
        <w:rPr>
          <w:rFonts w:ascii="Calibri" w:eastAsia="Times New Roman" w:hAnsi="Calibri" w:cs="Times New Roman"/>
          <w:sz w:val="20"/>
          <w:szCs w:val="20"/>
          <w:lang w:val="en-CA"/>
        </w:rPr>
      </w:pPr>
      <w:r w:rsidRPr="00731459">
        <w:rPr>
          <w:rFonts w:ascii="Calibri" w:eastAsia="Times New Roman" w:hAnsi="Calibri" w:cs="Times New Roman"/>
          <w:sz w:val="20"/>
          <w:szCs w:val="20"/>
          <w:lang w:val="en-CA"/>
        </w:rPr>
        <w:t>Knowledge of UNDP and GEF evaluations (15 points)</w:t>
      </w:r>
    </w:p>
    <w:p w:rsidR="001D33E6" w:rsidRPr="00731459" w:rsidRDefault="001D33E6" w:rsidP="001D33E6">
      <w:pPr>
        <w:numPr>
          <w:ilvl w:val="0"/>
          <w:numId w:val="17"/>
        </w:numPr>
        <w:spacing w:after="0" w:line="240" w:lineRule="auto"/>
        <w:contextualSpacing/>
        <w:rPr>
          <w:rFonts w:ascii="Calibri" w:eastAsia="Times New Roman" w:hAnsi="Calibri" w:cs="Times New Roman"/>
          <w:sz w:val="20"/>
          <w:szCs w:val="20"/>
          <w:lang w:val="en-CA"/>
        </w:rPr>
      </w:pPr>
      <w:r w:rsidRPr="00731459">
        <w:rPr>
          <w:rFonts w:ascii="Calibri" w:eastAsia="Times New Roman" w:hAnsi="Calibri" w:cs="Times New Roman"/>
          <w:sz w:val="20"/>
          <w:szCs w:val="20"/>
          <w:lang w:val="en-CA"/>
        </w:rPr>
        <w:t>Previous experience with results‐based monitoring and evaluation methodologies (15 points)</w:t>
      </w:r>
    </w:p>
    <w:p w:rsidR="001D33E6" w:rsidRPr="00731459" w:rsidRDefault="001D33E6" w:rsidP="001D33E6">
      <w:pPr>
        <w:numPr>
          <w:ilvl w:val="0"/>
          <w:numId w:val="17"/>
        </w:numPr>
        <w:spacing w:after="0" w:line="240" w:lineRule="auto"/>
        <w:contextualSpacing/>
        <w:rPr>
          <w:rFonts w:ascii="Calibri" w:eastAsia="Times New Roman" w:hAnsi="Calibri" w:cs="Times New Roman"/>
          <w:sz w:val="20"/>
          <w:szCs w:val="20"/>
          <w:lang w:val="en-CA"/>
        </w:rPr>
      </w:pPr>
      <w:r w:rsidRPr="00731459">
        <w:rPr>
          <w:rFonts w:ascii="Calibri" w:eastAsia="Times New Roman" w:hAnsi="Calibri" w:cs="Times New Roman"/>
          <w:sz w:val="20"/>
          <w:szCs w:val="20"/>
          <w:lang w:val="en-CA"/>
        </w:rPr>
        <w:t>Technical knowledge in the targeted focal area(s) (10 points)</w:t>
      </w:r>
    </w:p>
    <w:p w:rsidR="001D33E6" w:rsidRPr="00731459" w:rsidRDefault="001D33E6" w:rsidP="001D33E6">
      <w:pPr>
        <w:numPr>
          <w:ilvl w:val="0"/>
          <w:numId w:val="17"/>
        </w:numPr>
        <w:spacing w:after="0" w:line="240" w:lineRule="auto"/>
        <w:contextualSpacing/>
        <w:rPr>
          <w:rFonts w:ascii="Calibri" w:eastAsia="Times New Roman" w:hAnsi="Calibri" w:cs="Times New Roman"/>
          <w:sz w:val="20"/>
          <w:szCs w:val="20"/>
          <w:lang w:val="en-CA"/>
        </w:rPr>
      </w:pPr>
      <w:r w:rsidRPr="00731459">
        <w:rPr>
          <w:rFonts w:eastAsia="Times New Roman" w:cstheme="minorHAnsi"/>
          <w:sz w:val="20"/>
          <w:szCs w:val="20"/>
          <w:lang w:val="en-CA"/>
        </w:rPr>
        <w:t>Experience working in Africa (10</w:t>
      </w:r>
      <w:r w:rsidRPr="00731459">
        <w:rPr>
          <w:rFonts w:ascii="Calibri" w:eastAsia="Times New Roman" w:hAnsi="Calibri" w:cs="Times New Roman"/>
          <w:sz w:val="20"/>
          <w:szCs w:val="20"/>
          <w:lang w:val="en-CA"/>
        </w:rPr>
        <w:t xml:space="preserve"> points</w:t>
      </w:r>
      <w:r w:rsidRPr="00731459">
        <w:rPr>
          <w:rFonts w:eastAsia="Times New Roman" w:cstheme="minorHAnsi"/>
          <w:sz w:val="20"/>
          <w:szCs w:val="20"/>
          <w:lang w:val="en-CA"/>
        </w:rPr>
        <w:t>).</w:t>
      </w:r>
    </w:p>
    <w:p w:rsidR="001D33E6" w:rsidRPr="00731459" w:rsidRDefault="001D33E6" w:rsidP="001D33E6">
      <w:pPr>
        <w:numPr>
          <w:ilvl w:val="0"/>
          <w:numId w:val="17"/>
        </w:numPr>
        <w:spacing w:after="0" w:line="240" w:lineRule="auto"/>
        <w:contextualSpacing/>
        <w:rPr>
          <w:rFonts w:eastAsia="Times New Roman" w:cstheme="minorHAnsi"/>
          <w:sz w:val="20"/>
          <w:szCs w:val="20"/>
          <w:lang w:val="en-CA"/>
        </w:rPr>
      </w:pPr>
      <w:r w:rsidRPr="00731459">
        <w:rPr>
          <w:rFonts w:eastAsia="Times New Roman" w:cstheme="minorHAnsi"/>
          <w:sz w:val="20"/>
          <w:szCs w:val="20"/>
          <w:lang w:val="en-CA"/>
        </w:rPr>
        <w:t>Fluency in English and French, both oral and written, is required (10</w:t>
      </w:r>
      <w:r w:rsidRPr="00731459">
        <w:rPr>
          <w:rFonts w:ascii="Calibri" w:eastAsia="Times New Roman" w:hAnsi="Calibri" w:cs="Times New Roman"/>
          <w:sz w:val="20"/>
          <w:szCs w:val="20"/>
          <w:lang w:val="en-CA"/>
        </w:rPr>
        <w:t xml:space="preserve"> points</w:t>
      </w:r>
      <w:r w:rsidRPr="00731459">
        <w:rPr>
          <w:rFonts w:eastAsia="Times New Roman" w:cstheme="minorHAnsi"/>
          <w:sz w:val="20"/>
          <w:szCs w:val="20"/>
          <w:lang w:val="en-CA"/>
        </w:rPr>
        <w:t>).</w:t>
      </w:r>
    </w:p>
    <w:p w:rsidR="00022F8E" w:rsidRDefault="00022F8E" w:rsidP="00F05366">
      <w:pPr>
        <w:pStyle w:val="Heading51"/>
      </w:pPr>
    </w:p>
    <w:p w:rsidR="00D6638C" w:rsidRDefault="00D6638C" w:rsidP="00F05366">
      <w:pPr>
        <w:pStyle w:val="Heading51"/>
      </w:pPr>
      <w:r w:rsidRPr="00D6638C">
        <w:t>Evaluator Ethics</w:t>
      </w:r>
      <w:bookmarkEnd w:id="39"/>
      <w:bookmarkEnd w:id="40"/>
      <w:bookmarkEnd w:id="41"/>
      <w:bookmarkEnd w:id="42"/>
      <w:bookmarkEnd w:id="43"/>
      <w:bookmarkEnd w:id="44"/>
    </w:p>
    <w:p w:rsidR="00022F8E" w:rsidRPr="00022F8E" w:rsidRDefault="00022F8E" w:rsidP="00022F8E"/>
    <w:p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9" w:history="1">
        <w:r w:rsidRPr="006C1964">
          <w:rPr>
            <w:rStyle w:val="Hyperlink"/>
            <w:rFonts w:ascii="Calibri" w:eastAsia="Times New Roman" w:hAnsi="Calibri" w:cs="Times New Roman"/>
            <w:sz w:val="20"/>
            <w:szCs w:val="20"/>
          </w:rPr>
          <w:t>UNEG 'Ethical Guidelines for Evaluations'</w:t>
        </w:r>
      </w:hyperlink>
    </w:p>
    <w:p w:rsidR="00D6638C" w:rsidRDefault="00D6638C" w:rsidP="00F05366">
      <w:pPr>
        <w:pStyle w:val="Heading51"/>
      </w:pPr>
      <w:bookmarkStart w:id="45" w:name="_Toc299126626"/>
      <w:bookmarkStart w:id="46" w:name="_Toc299133051"/>
      <w:bookmarkStart w:id="47" w:name="_Toc321341560"/>
      <w:bookmarkStart w:id="48" w:name="_Toc299122837"/>
      <w:bookmarkStart w:id="49" w:name="_Toc299122859"/>
      <w:bookmarkStart w:id="50" w:name="_Toc299126627"/>
      <w:r w:rsidRPr="00D6638C">
        <w:t>Payment modalities and specifications</w:t>
      </w:r>
      <w:bookmarkEnd w:id="45"/>
      <w:bookmarkEnd w:id="46"/>
      <w:bookmarkEnd w:id="47"/>
      <w:r w:rsidR="00E23201">
        <w:t xml:space="preserve"> </w:t>
      </w:r>
    </w:p>
    <w:p w:rsidR="00E23201" w:rsidRPr="00E23201" w:rsidRDefault="00E23201" w:rsidP="00E23201">
      <w:r w:rsidRPr="00310398">
        <w:rPr>
          <w:highlight w:val="lightGray"/>
        </w:rPr>
        <w:t>(</w:t>
      </w:r>
      <w:r w:rsidRPr="00310398">
        <w:rPr>
          <w:i/>
          <w:highlight w:val="lightGray"/>
        </w:rPr>
        <w:t xml:space="preserve">this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D6638C" w:rsidRPr="00D6638C" w:rsidRDefault="00D6638C" w:rsidP="00F05366">
      <w:pPr>
        <w:pStyle w:val="Heading51"/>
      </w:pPr>
      <w:bookmarkStart w:id="51" w:name="_Toc299133052"/>
      <w:bookmarkStart w:id="52" w:name="_Toc321341561"/>
      <w:r w:rsidRPr="00D6638C">
        <w:lastRenderedPageBreak/>
        <w:t>Application process</w:t>
      </w:r>
      <w:bookmarkEnd w:id="48"/>
      <w:bookmarkEnd w:id="49"/>
      <w:bookmarkEnd w:id="50"/>
      <w:bookmarkEnd w:id="51"/>
      <w:bookmarkEnd w:id="52"/>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Pr="00D6638C">
        <w:rPr>
          <w:rFonts w:ascii="Calibri" w:eastAsia="Times New Roman" w:hAnsi="Calibri" w:cs="Times New Roman"/>
          <w:sz w:val="20"/>
          <w:szCs w:val="20"/>
          <w:shd w:val="clear" w:color="auto" w:fill="BFBFBF"/>
        </w:rPr>
        <w:t>(indicate the site, such as http://jobs.undp.org, etc.)</w:t>
      </w:r>
      <w:r w:rsidRPr="00D6638C">
        <w:rPr>
          <w:rFonts w:ascii="Calibri" w:eastAsia="Times New Roman" w:hAnsi="Calibri" w:cs="Times New Roman"/>
          <w:sz w:val="20"/>
          <w:szCs w:val="20"/>
        </w:rPr>
        <w:t xml:space="preserve"> by </w:t>
      </w:r>
      <w:r w:rsidRPr="00D6638C">
        <w:rPr>
          <w:rFonts w:ascii="Calibri" w:eastAsia="Times New Roman" w:hAnsi="Calibri" w:cs="Times New Roman"/>
          <w:sz w:val="20"/>
          <w:szCs w:val="20"/>
          <w:highlight w:val="lightGray"/>
        </w:rPr>
        <w:t>(date).</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1D33E6" w:rsidRPr="001D33E6" w:rsidRDefault="00D6638C" w:rsidP="001D33E6">
      <w:pPr>
        <w:spacing w:before="200"/>
        <w:rPr>
          <w:rFonts w:ascii="Calibri" w:eastAsia="Times New Roman" w:hAnsi="Calibri" w:cs="Times New Roman"/>
          <w:sz w:val="20"/>
          <w:szCs w:val="20"/>
        </w:rPr>
        <w:sectPr w:rsidR="001D33E6" w:rsidRPr="001D33E6" w:rsidSect="00224F9C">
          <w:footerReference w:type="default" r:id="rId10"/>
          <w:pgSz w:w="12240" w:h="15840"/>
          <w:pgMar w:top="1440" w:right="1325" w:bottom="1440" w:left="1440" w:header="708" w:footer="708" w:gutter="0"/>
          <w:cols w:space="708"/>
          <w:docGrid w:linePitch="360"/>
        </w:sectPr>
      </w:pPr>
      <w:r w:rsidRPr="00D6638C">
        <w:rPr>
          <w:rFonts w:ascii="Calibri" w:eastAsia="Times New Roman" w:hAnsi="Calibri" w:cs="Times New Roman"/>
          <w:sz w:val="20"/>
          <w:szCs w:val="20"/>
        </w:rPr>
        <w:br w:type="page"/>
      </w:r>
      <w:bookmarkStart w:id="53" w:name="_TOR_Annex_A:"/>
      <w:bookmarkStart w:id="54" w:name="_Toc299122844"/>
      <w:bookmarkStart w:id="55" w:name="_Toc299122866"/>
      <w:bookmarkStart w:id="56" w:name="_Toc299126630"/>
      <w:bookmarkStart w:id="57" w:name="_Toc299133053"/>
      <w:bookmarkStart w:id="58" w:name="_Toc321341562"/>
      <w:bookmarkEnd w:id="53"/>
    </w:p>
    <w:p w:rsidR="00D6638C" w:rsidRPr="00D6638C" w:rsidRDefault="00D6638C" w:rsidP="00F05366">
      <w:pPr>
        <w:pStyle w:val="Heading31"/>
      </w:pPr>
      <w:r w:rsidRPr="00D6638C">
        <w:lastRenderedPageBreak/>
        <w:t>Annex A: Project Logical Framework</w:t>
      </w:r>
      <w:bookmarkEnd w:id="54"/>
      <w:bookmarkEnd w:id="55"/>
      <w:bookmarkEnd w:id="56"/>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300"/>
        <w:gridCol w:w="1940"/>
        <w:gridCol w:w="2220"/>
        <w:gridCol w:w="2246"/>
        <w:gridCol w:w="2427"/>
      </w:tblGrid>
      <w:tr w:rsidR="001D33E6" w:rsidRPr="00216B4D" w:rsidTr="001C06F5">
        <w:trPr>
          <w:tblHeader/>
        </w:trPr>
        <w:tc>
          <w:tcPr>
            <w:tcW w:w="707" w:type="pct"/>
            <w:shd w:val="clear" w:color="auto" w:fill="92CDDC" w:themeFill="accent5" w:themeFillTint="99"/>
            <w:tcMar>
              <w:top w:w="29" w:type="dxa"/>
              <w:left w:w="72" w:type="dxa"/>
              <w:bottom w:w="29" w:type="dxa"/>
              <w:right w:w="72" w:type="dxa"/>
            </w:tcMar>
            <w:vAlign w:val="center"/>
          </w:tcPr>
          <w:p w:rsidR="001D33E6" w:rsidRPr="00216B4D" w:rsidRDefault="001D33E6" w:rsidP="00E86546">
            <w:pPr>
              <w:jc w:val="center"/>
              <w:rPr>
                <w:b/>
                <w:sz w:val="20"/>
                <w:szCs w:val="20"/>
              </w:rPr>
            </w:pPr>
            <w:r w:rsidRPr="00216B4D">
              <w:rPr>
                <w:b/>
                <w:sz w:val="20"/>
                <w:szCs w:val="20"/>
              </w:rPr>
              <w:t>Objective/Outcome</w:t>
            </w:r>
          </w:p>
        </w:tc>
        <w:tc>
          <w:tcPr>
            <w:tcW w:w="893" w:type="pct"/>
            <w:shd w:val="clear" w:color="auto" w:fill="92CDDC" w:themeFill="accent5" w:themeFillTint="99"/>
            <w:tcMar>
              <w:top w:w="29" w:type="dxa"/>
              <w:left w:w="72" w:type="dxa"/>
              <w:bottom w:w="29" w:type="dxa"/>
              <w:right w:w="72" w:type="dxa"/>
            </w:tcMar>
            <w:vAlign w:val="center"/>
          </w:tcPr>
          <w:p w:rsidR="001D33E6" w:rsidRPr="00216B4D" w:rsidRDefault="001D33E6" w:rsidP="00E86546">
            <w:pPr>
              <w:jc w:val="center"/>
              <w:rPr>
                <w:b/>
                <w:sz w:val="20"/>
                <w:szCs w:val="20"/>
              </w:rPr>
            </w:pPr>
            <w:r w:rsidRPr="00216B4D">
              <w:rPr>
                <w:b/>
                <w:sz w:val="20"/>
                <w:szCs w:val="20"/>
              </w:rPr>
              <w:t>Indicator</w:t>
            </w:r>
          </w:p>
        </w:tc>
        <w:tc>
          <w:tcPr>
            <w:tcW w:w="754" w:type="pct"/>
            <w:shd w:val="clear" w:color="auto" w:fill="92CDDC" w:themeFill="accent5" w:themeFillTint="99"/>
            <w:tcMar>
              <w:top w:w="29" w:type="dxa"/>
              <w:left w:w="72" w:type="dxa"/>
              <w:bottom w:w="29" w:type="dxa"/>
              <w:right w:w="72" w:type="dxa"/>
            </w:tcMar>
            <w:vAlign w:val="center"/>
          </w:tcPr>
          <w:p w:rsidR="001D33E6" w:rsidRPr="00216B4D" w:rsidRDefault="001D33E6" w:rsidP="00E86546">
            <w:pPr>
              <w:jc w:val="center"/>
              <w:rPr>
                <w:b/>
                <w:bCs/>
                <w:iCs/>
                <w:sz w:val="20"/>
                <w:szCs w:val="20"/>
              </w:rPr>
            </w:pPr>
            <w:r w:rsidRPr="00216B4D">
              <w:rPr>
                <w:b/>
                <w:bCs/>
                <w:iCs/>
                <w:sz w:val="20"/>
                <w:szCs w:val="20"/>
              </w:rPr>
              <w:t>Baseline</w:t>
            </w:r>
          </w:p>
        </w:tc>
        <w:tc>
          <w:tcPr>
            <w:tcW w:w="862" w:type="pct"/>
            <w:shd w:val="clear" w:color="auto" w:fill="92CDDC" w:themeFill="accent5" w:themeFillTint="99"/>
            <w:tcMar>
              <w:top w:w="29" w:type="dxa"/>
              <w:left w:w="72" w:type="dxa"/>
              <w:bottom w:w="29" w:type="dxa"/>
              <w:right w:w="72" w:type="dxa"/>
            </w:tcMar>
            <w:vAlign w:val="center"/>
          </w:tcPr>
          <w:p w:rsidR="001D33E6" w:rsidRPr="00216B4D" w:rsidRDefault="001D33E6" w:rsidP="00E86546">
            <w:pPr>
              <w:jc w:val="center"/>
              <w:rPr>
                <w:b/>
                <w:bCs/>
                <w:iCs/>
                <w:sz w:val="20"/>
                <w:szCs w:val="20"/>
              </w:rPr>
            </w:pPr>
            <w:r w:rsidRPr="00216B4D">
              <w:rPr>
                <w:b/>
                <w:bCs/>
                <w:iCs/>
                <w:sz w:val="20"/>
                <w:szCs w:val="20"/>
              </w:rPr>
              <w:t>End of Project target</w:t>
            </w:r>
          </w:p>
        </w:tc>
        <w:tc>
          <w:tcPr>
            <w:tcW w:w="842" w:type="pct"/>
            <w:shd w:val="clear" w:color="auto" w:fill="92CDDC" w:themeFill="accent5" w:themeFillTint="99"/>
            <w:tcMar>
              <w:top w:w="29" w:type="dxa"/>
              <w:left w:w="72" w:type="dxa"/>
              <w:bottom w:w="29" w:type="dxa"/>
              <w:right w:w="72" w:type="dxa"/>
            </w:tcMar>
            <w:vAlign w:val="center"/>
          </w:tcPr>
          <w:p w:rsidR="001D33E6" w:rsidRPr="00216B4D" w:rsidRDefault="001D33E6" w:rsidP="00E86546">
            <w:pPr>
              <w:jc w:val="center"/>
              <w:rPr>
                <w:b/>
                <w:sz w:val="20"/>
                <w:szCs w:val="20"/>
              </w:rPr>
            </w:pPr>
            <w:r w:rsidRPr="00216B4D">
              <w:rPr>
                <w:b/>
                <w:sz w:val="20"/>
                <w:szCs w:val="20"/>
              </w:rPr>
              <w:t>Source of Information</w:t>
            </w:r>
          </w:p>
        </w:tc>
        <w:tc>
          <w:tcPr>
            <w:tcW w:w="942" w:type="pct"/>
            <w:shd w:val="clear" w:color="auto" w:fill="92CDDC" w:themeFill="accent5" w:themeFillTint="99"/>
            <w:tcMar>
              <w:top w:w="29" w:type="dxa"/>
              <w:left w:w="72" w:type="dxa"/>
              <w:bottom w:w="29" w:type="dxa"/>
              <w:right w:w="72" w:type="dxa"/>
            </w:tcMar>
            <w:vAlign w:val="center"/>
          </w:tcPr>
          <w:p w:rsidR="001D33E6" w:rsidRPr="00216B4D" w:rsidRDefault="001D33E6" w:rsidP="00E86546">
            <w:pPr>
              <w:jc w:val="center"/>
              <w:rPr>
                <w:b/>
                <w:sz w:val="20"/>
                <w:szCs w:val="20"/>
              </w:rPr>
            </w:pPr>
            <w:r w:rsidRPr="00216B4D">
              <w:rPr>
                <w:b/>
                <w:sz w:val="20"/>
                <w:szCs w:val="20"/>
              </w:rPr>
              <w:t>Risks and assumptions</w:t>
            </w:r>
          </w:p>
        </w:tc>
      </w:tr>
      <w:tr w:rsidR="001D33E6" w:rsidRPr="00216B4D" w:rsidTr="001C06F5">
        <w:tc>
          <w:tcPr>
            <w:tcW w:w="707" w:type="pct"/>
            <w:vMerge w:val="restart"/>
            <w:shd w:val="clear" w:color="auto" w:fill="EAF1DD"/>
            <w:tcMar>
              <w:top w:w="29" w:type="dxa"/>
              <w:left w:w="72" w:type="dxa"/>
              <w:bottom w:w="29" w:type="dxa"/>
              <w:right w:w="72" w:type="dxa"/>
            </w:tcMar>
          </w:tcPr>
          <w:p w:rsidR="001D33E6" w:rsidRPr="00216B4D" w:rsidRDefault="001D33E6" w:rsidP="001C06F5">
            <w:pPr>
              <w:spacing w:after="0"/>
              <w:rPr>
                <w:b/>
                <w:sz w:val="20"/>
                <w:szCs w:val="20"/>
              </w:rPr>
            </w:pPr>
            <w:r w:rsidRPr="00216B4D">
              <w:rPr>
                <w:b/>
                <w:bCs/>
                <w:sz w:val="20"/>
                <w:szCs w:val="20"/>
              </w:rPr>
              <w:t xml:space="preserve">Objective – </w:t>
            </w:r>
            <w:r w:rsidRPr="00216B4D">
              <w:rPr>
                <w:sz w:val="20"/>
                <w:szCs w:val="20"/>
              </w:rPr>
              <w:t xml:space="preserve">To mainstream biodiversity conservation and sustainable use into production landscapes in the Greater Amboseli landscape and improve the sustainability of Protected Area systems. </w:t>
            </w:r>
          </w:p>
        </w:tc>
        <w:tc>
          <w:tcPr>
            <w:tcW w:w="893" w:type="pct"/>
            <w:shd w:val="clear" w:color="auto" w:fill="EAF1DD"/>
            <w:tcMar>
              <w:top w:w="29" w:type="dxa"/>
              <w:left w:w="72" w:type="dxa"/>
              <w:bottom w:w="29" w:type="dxa"/>
              <w:right w:w="72" w:type="dxa"/>
            </w:tcMar>
          </w:tcPr>
          <w:p w:rsidR="001D33E6" w:rsidRPr="00216B4D" w:rsidRDefault="001D33E6" w:rsidP="00E86546">
            <w:pPr>
              <w:rPr>
                <w:bCs/>
                <w:sz w:val="20"/>
                <w:szCs w:val="20"/>
              </w:rPr>
            </w:pPr>
            <w:r w:rsidRPr="00216B4D">
              <w:rPr>
                <w:bCs/>
                <w:sz w:val="20"/>
                <w:szCs w:val="20"/>
              </w:rPr>
              <w:t>Increased area of conservancies within the productive landscapes with streamlined management guidelines.</w:t>
            </w:r>
          </w:p>
        </w:tc>
        <w:tc>
          <w:tcPr>
            <w:tcW w:w="754" w:type="pct"/>
            <w:shd w:val="clear" w:color="auto" w:fill="EAF1DD"/>
            <w:tcMar>
              <w:top w:w="29" w:type="dxa"/>
              <w:left w:w="72" w:type="dxa"/>
              <w:bottom w:w="29" w:type="dxa"/>
              <w:right w:w="72" w:type="dxa"/>
            </w:tcMar>
          </w:tcPr>
          <w:p w:rsidR="001D33E6" w:rsidRPr="00216B4D" w:rsidRDefault="001D33E6" w:rsidP="001C06F5">
            <w:pPr>
              <w:pStyle w:val="FootnoteText"/>
              <w:spacing w:after="0"/>
              <w:ind w:right="-57"/>
              <w:rPr>
                <w:sz w:val="20"/>
              </w:rPr>
            </w:pPr>
            <w:r w:rsidRPr="00216B4D">
              <w:rPr>
                <w:sz w:val="20"/>
              </w:rPr>
              <w:t>Some buffer zones under biodiversity set-asides but without any systematic management regime for biodiversity conservation.</w:t>
            </w:r>
          </w:p>
        </w:tc>
        <w:tc>
          <w:tcPr>
            <w:tcW w:w="862" w:type="pct"/>
            <w:shd w:val="clear" w:color="auto" w:fill="EAF1DD"/>
            <w:tcMar>
              <w:top w:w="29" w:type="dxa"/>
              <w:left w:w="72" w:type="dxa"/>
              <w:bottom w:w="29" w:type="dxa"/>
              <w:right w:w="72" w:type="dxa"/>
            </w:tcMar>
          </w:tcPr>
          <w:p w:rsidR="001D33E6" w:rsidRPr="00216B4D" w:rsidRDefault="001D33E6" w:rsidP="00E86546">
            <w:pPr>
              <w:rPr>
                <w:sz w:val="20"/>
                <w:szCs w:val="20"/>
              </w:rPr>
            </w:pPr>
            <w:r w:rsidRPr="00216B4D">
              <w:rPr>
                <w:sz w:val="20"/>
                <w:szCs w:val="20"/>
              </w:rPr>
              <w:t>The 5,500km</w:t>
            </w:r>
            <w:r w:rsidRPr="00216B4D">
              <w:rPr>
                <w:sz w:val="20"/>
                <w:szCs w:val="20"/>
                <w:vertAlign w:val="superscript"/>
              </w:rPr>
              <w:t>2</w:t>
            </w:r>
            <w:r w:rsidRPr="00216B4D">
              <w:rPr>
                <w:sz w:val="20"/>
                <w:szCs w:val="20"/>
              </w:rPr>
              <w:t xml:space="preserve"> of buffer zones of the core parks under a systematic management framework.</w:t>
            </w:r>
          </w:p>
        </w:tc>
        <w:tc>
          <w:tcPr>
            <w:tcW w:w="842" w:type="pct"/>
            <w:shd w:val="clear" w:color="auto" w:fill="EAF1DD"/>
            <w:tcMar>
              <w:top w:w="29" w:type="dxa"/>
              <w:left w:w="72" w:type="dxa"/>
              <w:bottom w:w="29" w:type="dxa"/>
              <w:right w:w="72" w:type="dxa"/>
            </w:tcMar>
          </w:tcPr>
          <w:p w:rsidR="001D33E6" w:rsidRPr="00216B4D" w:rsidRDefault="001D33E6" w:rsidP="00E86546">
            <w:pPr>
              <w:rPr>
                <w:sz w:val="20"/>
                <w:szCs w:val="20"/>
              </w:rPr>
            </w:pPr>
            <w:r w:rsidRPr="00216B4D">
              <w:rPr>
                <w:sz w:val="20"/>
                <w:szCs w:val="20"/>
              </w:rPr>
              <w:t xml:space="preserve">Independent mid-term and final evaluations; </w:t>
            </w:r>
          </w:p>
          <w:p w:rsidR="001D33E6" w:rsidRPr="00216B4D" w:rsidRDefault="001D33E6" w:rsidP="00E86546">
            <w:pPr>
              <w:rPr>
                <w:sz w:val="20"/>
                <w:szCs w:val="20"/>
              </w:rPr>
            </w:pPr>
            <w:r w:rsidRPr="00216B4D">
              <w:rPr>
                <w:sz w:val="20"/>
                <w:szCs w:val="20"/>
              </w:rPr>
              <w:t>Project reports</w:t>
            </w:r>
          </w:p>
        </w:tc>
        <w:tc>
          <w:tcPr>
            <w:tcW w:w="942" w:type="pct"/>
            <w:vMerge w:val="restart"/>
            <w:shd w:val="clear" w:color="auto" w:fill="EAF1DD"/>
            <w:tcMar>
              <w:top w:w="29" w:type="dxa"/>
              <w:left w:w="72" w:type="dxa"/>
              <w:bottom w:w="29" w:type="dxa"/>
              <w:right w:w="72" w:type="dxa"/>
            </w:tcMar>
          </w:tcPr>
          <w:p w:rsidR="001D33E6" w:rsidRPr="00216B4D" w:rsidRDefault="001D33E6" w:rsidP="00E86546">
            <w:pPr>
              <w:rPr>
                <w:sz w:val="20"/>
                <w:szCs w:val="20"/>
              </w:rPr>
            </w:pPr>
            <w:r w:rsidRPr="00216B4D">
              <w:rPr>
                <w:sz w:val="20"/>
                <w:szCs w:val="20"/>
                <w:u w:val="single"/>
              </w:rPr>
              <w:t>Risk</w:t>
            </w:r>
            <w:r w:rsidRPr="00216B4D">
              <w:rPr>
                <w:sz w:val="20"/>
                <w:szCs w:val="20"/>
              </w:rPr>
              <w:t>: -</w:t>
            </w:r>
            <w:r>
              <w:rPr>
                <w:sz w:val="20"/>
                <w:szCs w:val="20"/>
              </w:rPr>
              <w:t xml:space="preserve"> L</w:t>
            </w:r>
            <w:r w:rsidRPr="00216B4D">
              <w:rPr>
                <w:sz w:val="20"/>
                <w:szCs w:val="20"/>
              </w:rPr>
              <w:t>ack of cohesion amongst stakeholders</w:t>
            </w:r>
          </w:p>
          <w:p w:rsidR="001D33E6" w:rsidRPr="00216B4D" w:rsidRDefault="001D33E6" w:rsidP="001C06F5">
            <w:pPr>
              <w:spacing w:after="0"/>
              <w:rPr>
                <w:sz w:val="20"/>
                <w:szCs w:val="20"/>
              </w:rPr>
            </w:pPr>
            <w:r w:rsidRPr="00216B4D">
              <w:rPr>
                <w:sz w:val="20"/>
                <w:szCs w:val="20"/>
                <w:u w:val="single"/>
              </w:rPr>
              <w:t>Assumption</w:t>
            </w:r>
            <w:r w:rsidRPr="00216B4D">
              <w:rPr>
                <w:sz w:val="20"/>
                <w:szCs w:val="20"/>
              </w:rPr>
              <w:t>: Continued interest and support of government and staff in the implementation of policies and programmes to mainstream biodiversity conservation and economic development in national planning</w:t>
            </w:r>
          </w:p>
        </w:tc>
      </w:tr>
      <w:tr w:rsidR="001D33E6" w:rsidRPr="00216B4D" w:rsidTr="001C06F5">
        <w:tc>
          <w:tcPr>
            <w:tcW w:w="707" w:type="pct"/>
            <w:vMerge/>
            <w:shd w:val="clear" w:color="auto" w:fill="EAF1DD"/>
            <w:tcMar>
              <w:top w:w="29" w:type="dxa"/>
              <w:left w:w="72" w:type="dxa"/>
              <w:bottom w:w="29" w:type="dxa"/>
              <w:right w:w="72" w:type="dxa"/>
            </w:tcMar>
          </w:tcPr>
          <w:p w:rsidR="001D33E6" w:rsidRPr="00216B4D" w:rsidRDefault="001D33E6" w:rsidP="00E86546">
            <w:pPr>
              <w:rPr>
                <w:b/>
                <w:bCs/>
                <w:sz w:val="20"/>
                <w:szCs w:val="20"/>
              </w:rPr>
            </w:pPr>
          </w:p>
        </w:tc>
        <w:tc>
          <w:tcPr>
            <w:tcW w:w="893" w:type="pct"/>
            <w:shd w:val="clear" w:color="auto" w:fill="EAF1DD"/>
            <w:tcMar>
              <w:top w:w="29" w:type="dxa"/>
              <w:left w:w="72" w:type="dxa"/>
              <w:bottom w:w="29" w:type="dxa"/>
              <w:right w:w="72" w:type="dxa"/>
            </w:tcMar>
          </w:tcPr>
          <w:p w:rsidR="001D33E6" w:rsidRPr="00216B4D" w:rsidRDefault="001D33E6" w:rsidP="00E86546">
            <w:pPr>
              <w:rPr>
                <w:sz w:val="20"/>
                <w:szCs w:val="20"/>
              </w:rPr>
            </w:pPr>
            <w:r w:rsidRPr="00216B4D">
              <w:rPr>
                <w:sz w:val="20"/>
                <w:szCs w:val="20"/>
              </w:rPr>
              <w:t>METT scores improved in selected PAs:</w:t>
            </w:r>
          </w:p>
          <w:p w:rsidR="001D33E6" w:rsidRPr="00216B4D" w:rsidRDefault="001D33E6" w:rsidP="00E86546">
            <w:pPr>
              <w:rPr>
                <w:sz w:val="20"/>
                <w:szCs w:val="20"/>
              </w:rPr>
            </w:pPr>
            <w:r w:rsidRPr="00216B4D">
              <w:rPr>
                <w:sz w:val="20"/>
                <w:szCs w:val="20"/>
              </w:rPr>
              <w:t>Amboseli NP</w:t>
            </w:r>
          </w:p>
          <w:p w:rsidR="001D33E6" w:rsidRPr="00216B4D" w:rsidRDefault="001D33E6" w:rsidP="00E86546">
            <w:pPr>
              <w:rPr>
                <w:sz w:val="20"/>
                <w:szCs w:val="20"/>
              </w:rPr>
            </w:pPr>
            <w:proofErr w:type="spellStart"/>
            <w:r w:rsidRPr="00216B4D">
              <w:rPr>
                <w:sz w:val="20"/>
                <w:szCs w:val="20"/>
              </w:rPr>
              <w:t>Chyulu</w:t>
            </w:r>
            <w:proofErr w:type="spellEnd"/>
            <w:r w:rsidRPr="00216B4D">
              <w:rPr>
                <w:sz w:val="20"/>
                <w:szCs w:val="20"/>
              </w:rPr>
              <w:t xml:space="preserve"> Hills NP</w:t>
            </w:r>
          </w:p>
        </w:tc>
        <w:tc>
          <w:tcPr>
            <w:tcW w:w="754" w:type="pct"/>
            <w:shd w:val="clear" w:color="auto" w:fill="EAF1DD"/>
            <w:tcMar>
              <w:top w:w="29" w:type="dxa"/>
              <w:left w:w="72" w:type="dxa"/>
              <w:bottom w:w="29" w:type="dxa"/>
              <w:right w:w="72" w:type="dxa"/>
            </w:tcMar>
          </w:tcPr>
          <w:p w:rsidR="001D33E6" w:rsidRPr="00216B4D" w:rsidRDefault="001D33E6" w:rsidP="00E86546">
            <w:pPr>
              <w:pStyle w:val="FootnoteText"/>
              <w:ind w:right="-57"/>
              <w:jc w:val="center"/>
              <w:rPr>
                <w:sz w:val="20"/>
              </w:rPr>
            </w:pPr>
          </w:p>
          <w:p w:rsidR="001D33E6" w:rsidRDefault="001D33E6" w:rsidP="00E86546">
            <w:pPr>
              <w:pStyle w:val="FootnoteText"/>
              <w:ind w:right="-57"/>
              <w:jc w:val="center"/>
              <w:rPr>
                <w:sz w:val="20"/>
              </w:rPr>
            </w:pPr>
          </w:p>
          <w:p w:rsidR="001C06F5" w:rsidRPr="00216B4D" w:rsidRDefault="001C06F5" w:rsidP="00E86546">
            <w:pPr>
              <w:pStyle w:val="FootnoteText"/>
              <w:ind w:right="-57"/>
              <w:jc w:val="center"/>
              <w:rPr>
                <w:sz w:val="20"/>
              </w:rPr>
            </w:pPr>
          </w:p>
          <w:p w:rsidR="001D33E6" w:rsidRPr="001C06F5" w:rsidRDefault="001D33E6" w:rsidP="001C06F5">
            <w:pPr>
              <w:jc w:val="center"/>
              <w:rPr>
                <w:sz w:val="20"/>
                <w:szCs w:val="20"/>
              </w:rPr>
            </w:pPr>
            <w:r w:rsidRPr="001C06F5">
              <w:rPr>
                <w:sz w:val="20"/>
                <w:szCs w:val="20"/>
              </w:rPr>
              <w:t>66</w:t>
            </w:r>
          </w:p>
          <w:p w:rsidR="001D33E6" w:rsidRPr="00216B4D" w:rsidRDefault="001D33E6" w:rsidP="001C06F5">
            <w:pPr>
              <w:jc w:val="center"/>
              <w:rPr>
                <w:sz w:val="20"/>
              </w:rPr>
            </w:pPr>
            <w:r w:rsidRPr="001C06F5">
              <w:rPr>
                <w:sz w:val="20"/>
                <w:szCs w:val="20"/>
              </w:rPr>
              <w:t>52</w:t>
            </w:r>
          </w:p>
        </w:tc>
        <w:tc>
          <w:tcPr>
            <w:tcW w:w="862" w:type="pct"/>
            <w:shd w:val="clear" w:color="auto" w:fill="EAF1DD"/>
            <w:tcMar>
              <w:top w:w="29" w:type="dxa"/>
              <w:left w:w="72" w:type="dxa"/>
              <w:bottom w:w="29" w:type="dxa"/>
              <w:right w:w="72" w:type="dxa"/>
            </w:tcMar>
          </w:tcPr>
          <w:p w:rsidR="001D33E6" w:rsidRDefault="001D33E6" w:rsidP="00E86546">
            <w:pPr>
              <w:jc w:val="center"/>
              <w:rPr>
                <w:sz w:val="20"/>
                <w:szCs w:val="20"/>
              </w:rPr>
            </w:pPr>
          </w:p>
          <w:p w:rsidR="001C06F5" w:rsidRPr="00216B4D" w:rsidRDefault="001C06F5" w:rsidP="00E86546">
            <w:pPr>
              <w:jc w:val="center"/>
              <w:rPr>
                <w:sz w:val="20"/>
                <w:szCs w:val="20"/>
              </w:rPr>
            </w:pPr>
          </w:p>
          <w:p w:rsidR="001D33E6" w:rsidRPr="00216B4D" w:rsidRDefault="001D33E6" w:rsidP="001C06F5">
            <w:pPr>
              <w:jc w:val="center"/>
              <w:rPr>
                <w:sz w:val="20"/>
                <w:szCs w:val="20"/>
              </w:rPr>
            </w:pPr>
            <w:r w:rsidRPr="00216B4D">
              <w:rPr>
                <w:sz w:val="20"/>
                <w:szCs w:val="20"/>
              </w:rPr>
              <w:t>75</w:t>
            </w:r>
          </w:p>
          <w:p w:rsidR="001D33E6" w:rsidRPr="00216B4D" w:rsidRDefault="001D33E6" w:rsidP="001C06F5">
            <w:pPr>
              <w:jc w:val="center"/>
              <w:rPr>
                <w:sz w:val="20"/>
                <w:szCs w:val="20"/>
              </w:rPr>
            </w:pPr>
            <w:r w:rsidRPr="00216B4D">
              <w:rPr>
                <w:sz w:val="20"/>
                <w:szCs w:val="20"/>
              </w:rPr>
              <w:t>65</w:t>
            </w:r>
          </w:p>
        </w:tc>
        <w:tc>
          <w:tcPr>
            <w:tcW w:w="842" w:type="pct"/>
            <w:shd w:val="clear" w:color="auto" w:fill="EAF1DD"/>
            <w:tcMar>
              <w:top w:w="29" w:type="dxa"/>
              <w:left w:w="72" w:type="dxa"/>
              <w:bottom w:w="29" w:type="dxa"/>
              <w:right w:w="72" w:type="dxa"/>
            </w:tcMar>
          </w:tcPr>
          <w:p w:rsidR="001D33E6" w:rsidRPr="00216B4D" w:rsidRDefault="001D33E6" w:rsidP="00E86546">
            <w:pPr>
              <w:rPr>
                <w:sz w:val="20"/>
                <w:szCs w:val="20"/>
              </w:rPr>
            </w:pPr>
            <w:r w:rsidRPr="00216B4D">
              <w:rPr>
                <w:sz w:val="20"/>
                <w:szCs w:val="20"/>
              </w:rPr>
              <w:t>METT applied at PPG, Mid-term and Final Evaluation</w:t>
            </w:r>
          </w:p>
        </w:tc>
        <w:tc>
          <w:tcPr>
            <w:tcW w:w="942" w:type="pct"/>
            <w:vMerge/>
            <w:shd w:val="clear" w:color="auto" w:fill="EAF1DD"/>
            <w:tcMar>
              <w:top w:w="29" w:type="dxa"/>
              <w:left w:w="72" w:type="dxa"/>
              <w:bottom w:w="29" w:type="dxa"/>
              <w:right w:w="72" w:type="dxa"/>
            </w:tcMar>
          </w:tcPr>
          <w:p w:rsidR="001D33E6" w:rsidRPr="00216B4D" w:rsidRDefault="001D33E6" w:rsidP="00E86546">
            <w:pPr>
              <w:rPr>
                <w:sz w:val="20"/>
                <w:szCs w:val="20"/>
              </w:rPr>
            </w:pPr>
          </w:p>
        </w:tc>
      </w:tr>
      <w:tr w:rsidR="001D33E6" w:rsidRPr="00216B4D" w:rsidTr="001C06F5">
        <w:tc>
          <w:tcPr>
            <w:tcW w:w="707" w:type="pct"/>
            <w:vMerge w:val="restart"/>
            <w:tcMar>
              <w:top w:w="29" w:type="dxa"/>
              <w:left w:w="72" w:type="dxa"/>
              <w:bottom w:w="29" w:type="dxa"/>
              <w:right w:w="72" w:type="dxa"/>
            </w:tcMar>
          </w:tcPr>
          <w:p w:rsidR="001D33E6" w:rsidRPr="00216B4D" w:rsidRDefault="001D33E6" w:rsidP="00E86546">
            <w:pPr>
              <w:rPr>
                <w:b/>
                <w:sz w:val="20"/>
                <w:szCs w:val="20"/>
              </w:rPr>
            </w:pPr>
            <w:r w:rsidRPr="00216B4D">
              <w:rPr>
                <w:b/>
                <w:sz w:val="20"/>
                <w:szCs w:val="20"/>
              </w:rPr>
              <w:t>Component 1 –</w:t>
            </w:r>
            <w:r w:rsidRPr="00216B4D">
              <w:rPr>
                <w:sz w:val="20"/>
                <w:szCs w:val="20"/>
              </w:rPr>
              <w:t xml:space="preserve"> Effective governance for multiple use and threat removal outside PAs</w:t>
            </w:r>
          </w:p>
        </w:tc>
        <w:tc>
          <w:tcPr>
            <w:tcW w:w="3351" w:type="pct"/>
            <w:gridSpan w:val="4"/>
            <w:shd w:val="clear" w:color="auto" w:fill="DAEEF3" w:themeFill="accent5" w:themeFillTint="33"/>
            <w:tcMar>
              <w:top w:w="29" w:type="dxa"/>
              <w:left w:w="72" w:type="dxa"/>
              <w:bottom w:w="29" w:type="dxa"/>
              <w:right w:w="72" w:type="dxa"/>
            </w:tcMar>
          </w:tcPr>
          <w:p w:rsidR="001D33E6" w:rsidRPr="005E6D67" w:rsidRDefault="001D33E6" w:rsidP="001C06F5">
            <w:pPr>
              <w:spacing w:after="120"/>
              <w:rPr>
                <w:sz w:val="20"/>
                <w:szCs w:val="20"/>
              </w:rPr>
            </w:pPr>
            <w:r w:rsidRPr="005E6D67">
              <w:rPr>
                <w:sz w:val="20"/>
                <w:szCs w:val="20"/>
              </w:rPr>
              <w:t>Regional and local institutions for facilitating a more inclusive planning and conservation of the Greater Amboseli landscape established and made operational in the ecosystem:</w:t>
            </w:r>
          </w:p>
          <w:p w:rsidR="001D33E6" w:rsidRPr="005E6D67" w:rsidRDefault="001D33E6" w:rsidP="001C06F5">
            <w:pPr>
              <w:spacing w:after="120"/>
              <w:rPr>
                <w:sz w:val="20"/>
                <w:szCs w:val="20"/>
              </w:rPr>
            </w:pPr>
            <w:r w:rsidRPr="005E6D67">
              <w:rPr>
                <w:sz w:val="20"/>
                <w:szCs w:val="20"/>
              </w:rPr>
              <w:t>1.1 County level rangeland management committee is emplaced and capacitated, coordinating activities amongst the conservancies at county level.</w:t>
            </w:r>
          </w:p>
          <w:p w:rsidR="001D33E6" w:rsidRPr="005E6D67" w:rsidRDefault="001D33E6" w:rsidP="001C06F5">
            <w:pPr>
              <w:spacing w:after="120"/>
              <w:rPr>
                <w:sz w:val="20"/>
                <w:szCs w:val="20"/>
              </w:rPr>
            </w:pPr>
            <w:r w:rsidRPr="005E6D67">
              <w:rPr>
                <w:sz w:val="20"/>
                <w:szCs w:val="20"/>
              </w:rPr>
              <w:t xml:space="preserve">1.2 Independent, national level Kenya Wildlife Conservation Forum emplaced, with at least 10 active member </w:t>
            </w:r>
            <w:proofErr w:type="spellStart"/>
            <w:r w:rsidRPr="005E6D67">
              <w:rPr>
                <w:sz w:val="20"/>
                <w:szCs w:val="20"/>
              </w:rPr>
              <w:t>organisations</w:t>
            </w:r>
            <w:proofErr w:type="spellEnd"/>
            <w:r w:rsidRPr="005E6D67">
              <w:rPr>
                <w:sz w:val="20"/>
                <w:szCs w:val="20"/>
              </w:rPr>
              <w:t>.</w:t>
            </w:r>
          </w:p>
          <w:p w:rsidR="001D33E6" w:rsidRPr="005E6D67" w:rsidRDefault="001D33E6" w:rsidP="001C06F5">
            <w:pPr>
              <w:spacing w:after="120"/>
              <w:rPr>
                <w:sz w:val="20"/>
                <w:szCs w:val="20"/>
              </w:rPr>
            </w:pPr>
            <w:r w:rsidRPr="005E6D67">
              <w:rPr>
                <w:sz w:val="20"/>
                <w:szCs w:val="20"/>
              </w:rPr>
              <w:t xml:space="preserve">1.3 Stakeholder-led process identifies existing rangeland management </w:t>
            </w:r>
            <w:proofErr w:type="spellStart"/>
            <w:r w:rsidRPr="005E6D67">
              <w:rPr>
                <w:sz w:val="20"/>
                <w:szCs w:val="20"/>
              </w:rPr>
              <w:t>organisations</w:t>
            </w:r>
            <w:proofErr w:type="spellEnd"/>
            <w:r w:rsidRPr="005E6D67">
              <w:rPr>
                <w:sz w:val="20"/>
                <w:szCs w:val="20"/>
              </w:rPr>
              <w:t xml:space="preserve"> and engages interest in the capacitation of a system of Southern Rangelands conservancies, modelled on best practice achieved by the Northern Rangelands Trust and conservancies in southern Africa.</w:t>
            </w:r>
          </w:p>
          <w:p w:rsidR="001D33E6" w:rsidRPr="00216B4D" w:rsidRDefault="001D33E6" w:rsidP="001C06F5">
            <w:pPr>
              <w:spacing w:after="120"/>
              <w:rPr>
                <w:sz w:val="20"/>
                <w:szCs w:val="20"/>
              </w:rPr>
            </w:pPr>
            <w:r w:rsidRPr="005E6D67">
              <w:rPr>
                <w:sz w:val="20"/>
                <w:szCs w:val="20"/>
              </w:rPr>
              <w:t>1.4 Development of recommendations for wildlife conservation practices for the greater Amboseli for the longer-term harmonious co-existence of wildlife, livestock and economic development.</w:t>
            </w:r>
          </w:p>
        </w:tc>
        <w:tc>
          <w:tcPr>
            <w:tcW w:w="942" w:type="pct"/>
            <w:vMerge w:val="restart"/>
            <w:shd w:val="clear" w:color="auto" w:fill="EAF1DD"/>
            <w:tcMar>
              <w:top w:w="29" w:type="dxa"/>
              <w:left w:w="72" w:type="dxa"/>
              <w:bottom w:w="29" w:type="dxa"/>
              <w:right w:w="72" w:type="dxa"/>
            </w:tcMar>
          </w:tcPr>
          <w:p w:rsidR="001D33E6" w:rsidRPr="00216B4D" w:rsidRDefault="001D33E6" w:rsidP="00E86546">
            <w:pPr>
              <w:rPr>
                <w:rStyle w:val="CharChar1"/>
                <w:sz w:val="20"/>
                <w:szCs w:val="20"/>
                <w:lang w:val="en-GB"/>
              </w:rPr>
            </w:pPr>
            <w:r w:rsidRPr="00216B4D">
              <w:rPr>
                <w:iCs/>
                <w:sz w:val="20"/>
                <w:szCs w:val="20"/>
                <w:u w:val="single"/>
              </w:rPr>
              <w:t>Risks</w:t>
            </w:r>
            <w:r w:rsidRPr="00216B4D">
              <w:rPr>
                <w:iCs/>
                <w:sz w:val="20"/>
                <w:szCs w:val="20"/>
              </w:rPr>
              <w:t>: -</w:t>
            </w:r>
            <w:r w:rsidRPr="00216B4D">
              <w:rPr>
                <w:rStyle w:val="CharChar1"/>
                <w:sz w:val="20"/>
                <w:szCs w:val="20"/>
                <w:lang w:val="en-GB"/>
              </w:rPr>
              <w:t>Complexity in stakeholder collaboration due to differing interests and wide range of stakeholders.</w:t>
            </w:r>
          </w:p>
          <w:p w:rsidR="001D33E6" w:rsidRPr="00216B4D" w:rsidRDefault="001D33E6" w:rsidP="00E86546">
            <w:pPr>
              <w:rPr>
                <w:iCs/>
                <w:sz w:val="20"/>
                <w:szCs w:val="20"/>
              </w:rPr>
            </w:pPr>
          </w:p>
          <w:p w:rsidR="001D33E6" w:rsidRPr="00216B4D" w:rsidRDefault="001D33E6" w:rsidP="00E86546">
            <w:pPr>
              <w:rPr>
                <w:sz w:val="20"/>
                <w:szCs w:val="20"/>
              </w:rPr>
            </w:pPr>
            <w:r w:rsidRPr="00216B4D">
              <w:rPr>
                <w:sz w:val="20"/>
                <w:szCs w:val="20"/>
              </w:rPr>
              <w:t xml:space="preserve">- Slow </w:t>
            </w:r>
            <w:proofErr w:type="spellStart"/>
            <w:r w:rsidRPr="00216B4D">
              <w:rPr>
                <w:sz w:val="20"/>
                <w:szCs w:val="20"/>
              </w:rPr>
              <w:t>operationalisation</w:t>
            </w:r>
            <w:proofErr w:type="spellEnd"/>
            <w:r w:rsidRPr="00216B4D">
              <w:rPr>
                <w:sz w:val="20"/>
                <w:szCs w:val="20"/>
              </w:rPr>
              <w:t xml:space="preserve"> of legislation </w:t>
            </w:r>
            <w:proofErr w:type="spellStart"/>
            <w:r w:rsidRPr="00216B4D">
              <w:rPr>
                <w:sz w:val="20"/>
                <w:szCs w:val="20"/>
              </w:rPr>
              <w:t>legalising</w:t>
            </w:r>
            <w:proofErr w:type="spellEnd"/>
            <w:r w:rsidRPr="00216B4D">
              <w:rPr>
                <w:sz w:val="20"/>
                <w:szCs w:val="20"/>
              </w:rPr>
              <w:t xml:space="preserve"> conservancies as the vehicle for co-management.</w:t>
            </w:r>
          </w:p>
          <w:p w:rsidR="001D33E6" w:rsidRPr="00216B4D" w:rsidRDefault="001D33E6" w:rsidP="00E86546">
            <w:pPr>
              <w:rPr>
                <w:sz w:val="20"/>
                <w:szCs w:val="20"/>
              </w:rPr>
            </w:pPr>
          </w:p>
          <w:p w:rsidR="001D33E6" w:rsidRPr="00216B4D" w:rsidRDefault="001D33E6" w:rsidP="00E86546">
            <w:pPr>
              <w:rPr>
                <w:rStyle w:val="CharChar1"/>
                <w:sz w:val="20"/>
                <w:szCs w:val="20"/>
                <w:lang w:val="en-GB"/>
              </w:rPr>
            </w:pPr>
            <w:r w:rsidRPr="00216B4D">
              <w:rPr>
                <w:sz w:val="20"/>
                <w:szCs w:val="20"/>
              </w:rPr>
              <w:t xml:space="preserve">- </w:t>
            </w:r>
            <w:r w:rsidRPr="00216B4D">
              <w:rPr>
                <w:rStyle w:val="CharChar1"/>
                <w:sz w:val="20"/>
                <w:szCs w:val="20"/>
                <w:lang w:val="en-GB"/>
              </w:rPr>
              <w:t xml:space="preserve">Delays caused by the complexities in establishing </w:t>
            </w:r>
            <w:r w:rsidRPr="00216B4D">
              <w:rPr>
                <w:rStyle w:val="CharChar1"/>
                <w:sz w:val="20"/>
                <w:szCs w:val="20"/>
                <w:lang w:val="en-GB"/>
              </w:rPr>
              <w:lastRenderedPageBreak/>
              <w:t>the institutions required for the southern rangelands</w:t>
            </w:r>
          </w:p>
          <w:p w:rsidR="001D33E6" w:rsidRPr="00216B4D" w:rsidRDefault="001D33E6" w:rsidP="00E86546">
            <w:pPr>
              <w:rPr>
                <w:rStyle w:val="CharChar1"/>
                <w:sz w:val="20"/>
                <w:szCs w:val="20"/>
                <w:lang w:val="en-GB"/>
              </w:rPr>
            </w:pPr>
          </w:p>
          <w:p w:rsidR="001D33E6" w:rsidRPr="00216B4D" w:rsidRDefault="001D33E6" w:rsidP="00E86546">
            <w:pPr>
              <w:rPr>
                <w:iCs/>
                <w:sz w:val="20"/>
                <w:szCs w:val="20"/>
                <w:u w:val="single"/>
              </w:rPr>
            </w:pPr>
            <w:r w:rsidRPr="00216B4D">
              <w:rPr>
                <w:rStyle w:val="CharChar1"/>
                <w:sz w:val="20"/>
                <w:szCs w:val="20"/>
                <w:u w:val="single"/>
                <w:lang w:val="en-GB"/>
              </w:rPr>
              <w:t>Assumptions</w:t>
            </w:r>
            <w:r w:rsidRPr="00216B4D">
              <w:rPr>
                <w:rStyle w:val="CharChar1"/>
                <w:sz w:val="20"/>
                <w:szCs w:val="20"/>
                <w:lang w:val="en-GB"/>
              </w:rPr>
              <w:t>: - governance systems will enable the necessary cohesion and pace of implementation</w:t>
            </w:r>
          </w:p>
        </w:tc>
      </w:tr>
      <w:tr w:rsidR="001D33E6" w:rsidRPr="00216B4D" w:rsidTr="001C06F5">
        <w:tc>
          <w:tcPr>
            <w:tcW w:w="707" w:type="pct"/>
            <w:vMerge/>
            <w:tcMar>
              <w:top w:w="29" w:type="dxa"/>
              <w:left w:w="72" w:type="dxa"/>
              <w:bottom w:w="29" w:type="dxa"/>
              <w:right w:w="72" w:type="dxa"/>
            </w:tcMar>
          </w:tcPr>
          <w:p w:rsidR="001D33E6" w:rsidRPr="00216B4D" w:rsidRDefault="001D33E6" w:rsidP="00E86546">
            <w:pPr>
              <w:rPr>
                <w:b/>
                <w:sz w:val="20"/>
                <w:szCs w:val="20"/>
              </w:rPr>
            </w:pPr>
          </w:p>
        </w:tc>
        <w:tc>
          <w:tcPr>
            <w:tcW w:w="893" w:type="pct"/>
            <w:tcMar>
              <w:top w:w="29" w:type="dxa"/>
              <w:left w:w="72" w:type="dxa"/>
              <w:bottom w:w="29" w:type="dxa"/>
              <w:right w:w="72" w:type="dxa"/>
            </w:tcMar>
          </w:tcPr>
          <w:p w:rsidR="001D33E6" w:rsidRPr="00216B4D" w:rsidRDefault="001D33E6" w:rsidP="001C06F5">
            <w:pPr>
              <w:spacing w:after="120"/>
              <w:rPr>
                <w:bCs/>
                <w:sz w:val="20"/>
                <w:szCs w:val="20"/>
              </w:rPr>
            </w:pPr>
            <w:r w:rsidRPr="00216B4D">
              <w:rPr>
                <w:bCs/>
                <w:sz w:val="20"/>
                <w:szCs w:val="20"/>
              </w:rPr>
              <w:t xml:space="preserve">Financial sustainability score (%) for national </w:t>
            </w:r>
            <w:r w:rsidRPr="00216B4D">
              <w:rPr>
                <w:bCs/>
                <w:sz w:val="20"/>
                <w:szCs w:val="20"/>
              </w:rPr>
              <w:lastRenderedPageBreak/>
              <w:t>systems of protected areas:</w:t>
            </w:r>
          </w:p>
          <w:p w:rsidR="001D33E6" w:rsidRPr="00216B4D" w:rsidRDefault="001D33E6" w:rsidP="001C06F5">
            <w:pPr>
              <w:spacing w:after="120"/>
              <w:rPr>
                <w:bCs/>
                <w:sz w:val="20"/>
                <w:szCs w:val="20"/>
              </w:rPr>
            </w:pPr>
            <w:r w:rsidRPr="00216B4D">
              <w:rPr>
                <w:bCs/>
                <w:sz w:val="20"/>
                <w:szCs w:val="20"/>
              </w:rPr>
              <w:t>Component 1: Legal, Regulatory and Institutional frameworks.</w:t>
            </w:r>
          </w:p>
          <w:p w:rsidR="001D33E6" w:rsidRPr="00216B4D" w:rsidRDefault="001D33E6" w:rsidP="001C06F5">
            <w:pPr>
              <w:spacing w:after="120"/>
              <w:rPr>
                <w:bCs/>
                <w:sz w:val="20"/>
                <w:szCs w:val="20"/>
              </w:rPr>
            </w:pPr>
            <w:r w:rsidRPr="00216B4D">
              <w:rPr>
                <w:bCs/>
                <w:sz w:val="20"/>
                <w:szCs w:val="20"/>
              </w:rPr>
              <w:t>Component 2: Business planning and tools for cost effective management.</w:t>
            </w:r>
          </w:p>
          <w:p w:rsidR="001D33E6" w:rsidRPr="00984C23" w:rsidRDefault="001D33E6" w:rsidP="001C06F5">
            <w:pPr>
              <w:spacing w:after="0"/>
              <w:rPr>
                <w:bCs/>
                <w:sz w:val="20"/>
                <w:szCs w:val="20"/>
              </w:rPr>
            </w:pPr>
            <w:r w:rsidRPr="00216B4D">
              <w:rPr>
                <w:bCs/>
                <w:sz w:val="20"/>
                <w:szCs w:val="20"/>
              </w:rPr>
              <w:t>Component 3: Tools for revenue generation.</w:t>
            </w:r>
          </w:p>
        </w:tc>
        <w:tc>
          <w:tcPr>
            <w:tcW w:w="754" w:type="pct"/>
            <w:tcMar>
              <w:top w:w="29" w:type="dxa"/>
              <w:left w:w="72" w:type="dxa"/>
              <w:bottom w:w="29" w:type="dxa"/>
              <w:right w:w="72" w:type="dxa"/>
            </w:tcMar>
          </w:tcPr>
          <w:p w:rsidR="001D33E6" w:rsidRPr="00216B4D" w:rsidRDefault="001D33E6" w:rsidP="001C06F5">
            <w:pPr>
              <w:pStyle w:val="FootnoteText"/>
              <w:spacing w:after="120"/>
              <w:ind w:right="-57"/>
              <w:jc w:val="center"/>
              <w:rPr>
                <w:sz w:val="20"/>
              </w:rPr>
            </w:pPr>
          </w:p>
          <w:p w:rsidR="001D33E6" w:rsidRPr="00216B4D" w:rsidRDefault="001D33E6" w:rsidP="001C06F5">
            <w:pPr>
              <w:pStyle w:val="FootnoteText"/>
              <w:spacing w:after="120"/>
              <w:ind w:right="-57"/>
              <w:jc w:val="center"/>
              <w:rPr>
                <w:sz w:val="20"/>
              </w:rPr>
            </w:pPr>
          </w:p>
          <w:p w:rsidR="001D33E6" w:rsidRDefault="001D33E6" w:rsidP="001C06F5">
            <w:pPr>
              <w:pStyle w:val="FootnoteText"/>
              <w:spacing w:after="120"/>
              <w:ind w:right="-57"/>
              <w:jc w:val="center"/>
              <w:rPr>
                <w:sz w:val="20"/>
              </w:rPr>
            </w:pPr>
          </w:p>
          <w:p w:rsidR="001C06F5" w:rsidRDefault="001C06F5" w:rsidP="001C06F5">
            <w:pPr>
              <w:pStyle w:val="FootnoteText"/>
              <w:spacing w:after="120"/>
              <w:ind w:right="-57"/>
              <w:jc w:val="center"/>
              <w:rPr>
                <w:sz w:val="20"/>
              </w:rPr>
            </w:pPr>
          </w:p>
          <w:p w:rsidR="001C06F5" w:rsidRPr="00216B4D" w:rsidRDefault="001C06F5" w:rsidP="001C06F5">
            <w:pPr>
              <w:pStyle w:val="FootnoteText"/>
              <w:spacing w:after="120"/>
              <w:ind w:right="-57"/>
              <w:jc w:val="center"/>
              <w:rPr>
                <w:sz w:val="20"/>
              </w:rPr>
            </w:pPr>
          </w:p>
          <w:p w:rsidR="001D33E6" w:rsidRPr="00216B4D" w:rsidRDefault="001D33E6" w:rsidP="001C06F5">
            <w:pPr>
              <w:pStyle w:val="FootnoteText"/>
              <w:spacing w:after="120"/>
              <w:ind w:right="-57"/>
              <w:jc w:val="center"/>
              <w:rPr>
                <w:sz w:val="20"/>
              </w:rPr>
            </w:pPr>
            <w:r w:rsidRPr="00216B4D">
              <w:rPr>
                <w:sz w:val="20"/>
              </w:rPr>
              <w:t>46.67%</w:t>
            </w:r>
          </w:p>
          <w:p w:rsidR="001D33E6" w:rsidRPr="00216B4D" w:rsidRDefault="001D33E6" w:rsidP="001C06F5">
            <w:pPr>
              <w:pStyle w:val="FootnoteText"/>
              <w:spacing w:after="120"/>
              <w:ind w:right="-57"/>
              <w:jc w:val="center"/>
              <w:rPr>
                <w:sz w:val="20"/>
              </w:rPr>
            </w:pPr>
          </w:p>
          <w:p w:rsidR="001D33E6" w:rsidRPr="00216B4D" w:rsidRDefault="001D33E6" w:rsidP="001C06F5">
            <w:pPr>
              <w:pStyle w:val="FootnoteText"/>
              <w:spacing w:after="120"/>
              <w:ind w:right="-57"/>
              <w:jc w:val="center"/>
              <w:rPr>
                <w:sz w:val="20"/>
              </w:rPr>
            </w:pPr>
          </w:p>
          <w:p w:rsidR="001D33E6" w:rsidRPr="00216B4D" w:rsidRDefault="001D33E6" w:rsidP="001C06F5">
            <w:pPr>
              <w:pStyle w:val="FootnoteText"/>
              <w:spacing w:after="120"/>
              <w:ind w:right="-57"/>
              <w:jc w:val="center"/>
              <w:rPr>
                <w:sz w:val="20"/>
              </w:rPr>
            </w:pPr>
            <w:r w:rsidRPr="00216B4D">
              <w:rPr>
                <w:sz w:val="20"/>
              </w:rPr>
              <w:t>52.5%</w:t>
            </w:r>
          </w:p>
          <w:p w:rsidR="001D33E6" w:rsidRPr="00216B4D" w:rsidRDefault="001D33E6" w:rsidP="001C06F5">
            <w:pPr>
              <w:pStyle w:val="FootnoteText"/>
              <w:spacing w:after="120"/>
              <w:ind w:right="-57"/>
              <w:jc w:val="center"/>
              <w:rPr>
                <w:sz w:val="20"/>
              </w:rPr>
            </w:pPr>
          </w:p>
          <w:p w:rsidR="001D33E6" w:rsidRPr="00216B4D" w:rsidRDefault="001D33E6" w:rsidP="001C06F5">
            <w:pPr>
              <w:pStyle w:val="FootnoteText"/>
              <w:spacing w:after="120"/>
              <w:ind w:right="-57"/>
              <w:jc w:val="center"/>
              <w:rPr>
                <w:sz w:val="20"/>
              </w:rPr>
            </w:pPr>
            <w:r w:rsidRPr="00216B4D">
              <w:rPr>
                <w:sz w:val="20"/>
              </w:rPr>
              <w:t>36.62%</w:t>
            </w:r>
          </w:p>
        </w:tc>
        <w:tc>
          <w:tcPr>
            <w:tcW w:w="862" w:type="pct"/>
            <w:tcMar>
              <w:top w:w="29" w:type="dxa"/>
              <w:left w:w="72" w:type="dxa"/>
              <w:bottom w:w="29" w:type="dxa"/>
              <w:right w:w="72" w:type="dxa"/>
            </w:tcMar>
          </w:tcPr>
          <w:p w:rsidR="001D33E6" w:rsidRPr="00216B4D" w:rsidRDefault="001D33E6" w:rsidP="001C06F5">
            <w:pPr>
              <w:spacing w:after="120"/>
              <w:jc w:val="center"/>
              <w:rPr>
                <w:sz w:val="20"/>
                <w:szCs w:val="20"/>
              </w:rPr>
            </w:pPr>
          </w:p>
          <w:p w:rsidR="001D33E6" w:rsidRPr="00216B4D" w:rsidRDefault="001D33E6" w:rsidP="001C06F5">
            <w:pPr>
              <w:spacing w:after="120"/>
              <w:jc w:val="center"/>
              <w:rPr>
                <w:sz w:val="20"/>
                <w:szCs w:val="20"/>
              </w:rPr>
            </w:pPr>
          </w:p>
          <w:p w:rsidR="001D33E6" w:rsidRDefault="001D33E6" w:rsidP="001C06F5">
            <w:pPr>
              <w:spacing w:after="120"/>
              <w:jc w:val="center"/>
              <w:rPr>
                <w:sz w:val="20"/>
                <w:szCs w:val="20"/>
              </w:rPr>
            </w:pPr>
          </w:p>
          <w:p w:rsidR="001C06F5" w:rsidRDefault="001C06F5" w:rsidP="001C06F5">
            <w:pPr>
              <w:spacing w:after="120"/>
              <w:jc w:val="center"/>
              <w:rPr>
                <w:sz w:val="20"/>
                <w:szCs w:val="20"/>
              </w:rPr>
            </w:pPr>
          </w:p>
          <w:p w:rsidR="001C06F5" w:rsidRDefault="001C06F5" w:rsidP="001C06F5">
            <w:pPr>
              <w:spacing w:after="120"/>
              <w:jc w:val="center"/>
              <w:rPr>
                <w:sz w:val="20"/>
                <w:szCs w:val="20"/>
              </w:rPr>
            </w:pPr>
          </w:p>
          <w:p w:rsidR="001D33E6" w:rsidRPr="00216B4D" w:rsidRDefault="001D33E6" w:rsidP="001C06F5">
            <w:pPr>
              <w:pStyle w:val="FootnoteText"/>
              <w:spacing w:after="120"/>
              <w:ind w:right="-57"/>
              <w:jc w:val="center"/>
              <w:rPr>
                <w:sz w:val="20"/>
              </w:rPr>
            </w:pPr>
            <w:r w:rsidRPr="00216B4D">
              <w:rPr>
                <w:sz w:val="20"/>
              </w:rPr>
              <w:t>55%</w:t>
            </w:r>
          </w:p>
          <w:p w:rsidR="001D33E6" w:rsidRPr="00216B4D" w:rsidRDefault="001D33E6" w:rsidP="001C06F5">
            <w:pPr>
              <w:pStyle w:val="FootnoteText"/>
              <w:spacing w:after="120"/>
              <w:ind w:right="-57"/>
              <w:jc w:val="center"/>
              <w:rPr>
                <w:sz w:val="20"/>
              </w:rPr>
            </w:pPr>
          </w:p>
          <w:p w:rsidR="001D33E6" w:rsidRPr="00216B4D" w:rsidRDefault="001D33E6" w:rsidP="001C06F5">
            <w:pPr>
              <w:pStyle w:val="FootnoteText"/>
              <w:spacing w:after="120"/>
              <w:ind w:right="-57"/>
              <w:jc w:val="center"/>
              <w:rPr>
                <w:sz w:val="20"/>
              </w:rPr>
            </w:pPr>
          </w:p>
          <w:p w:rsidR="001D33E6" w:rsidRPr="00216B4D" w:rsidRDefault="001D33E6" w:rsidP="001C06F5">
            <w:pPr>
              <w:pStyle w:val="FootnoteText"/>
              <w:spacing w:after="120"/>
              <w:ind w:right="-57"/>
              <w:jc w:val="center"/>
              <w:rPr>
                <w:sz w:val="20"/>
              </w:rPr>
            </w:pPr>
            <w:r w:rsidRPr="00216B4D">
              <w:rPr>
                <w:sz w:val="20"/>
              </w:rPr>
              <w:t>60%</w:t>
            </w:r>
          </w:p>
          <w:p w:rsidR="001D33E6" w:rsidRPr="00216B4D" w:rsidRDefault="001D33E6" w:rsidP="001C06F5">
            <w:pPr>
              <w:pStyle w:val="FootnoteText"/>
              <w:spacing w:after="120"/>
              <w:ind w:right="-57"/>
              <w:jc w:val="center"/>
              <w:rPr>
                <w:sz w:val="20"/>
              </w:rPr>
            </w:pPr>
          </w:p>
          <w:p w:rsidR="001D33E6" w:rsidRPr="00216B4D" w:rsidRDefault="001D33E6" w:rsidP="001C06F5">
            <w:pPr>
              <w:pStyle w:val="FootnoteText"/>
              <w:spacing w:after="120"/>
              <w:ind w:right="-57"/>
              <w:jc w:val="center"/>
              <w:rPr>
                <w:sz w:val="20"/>
              </w:rPr>
            </w:pPr>
            <w:r w:rsidRPr="00216B4D">
              <w:rPr>
                <w:sz w:val="20"/>
              </w:rPr>
              <w:t>45%</w:t>
            </w:r>
          </w:p>
        </w:tc>
        <w:tc>
          <w:tcPr>
            <w:tcW w:w="842" w:type="pct"/>
            <w:tcMar>
              <w:top w:w="29" w:type="dxa"/>
              <w:left w:w="72" w:type="dxa"/>
              <w:bottom w:w="29" w:type="dxa"/>
              <w:right w:w="72" w:type="dxa"/>
            </w:tcMar>
          </w:tcPr>
          <w:p w:rsidR="001D33E6" w:rsidRPr="00216B4D" w:rsidRDefault="001D33E6" w:rsidP="00E86546">
            <w:pPr>
              <w:rPr>
                <w:sz w:val="20"/>
                <w:szCs w:val="20"/>
              </w:rPr>
            </w:pPr>
            <w:r w:rsidRPr="00216B4D">
              <w:rPr>
                <w:sz w:val="20"/>
                <w:szCs w:val="20"/>
              </w:rPr>
              <w:lastRenderedPageBreak/>
              <w:t>Financial sustainability scorecard</w:t>
            </w:r>
          </w:p>
        </w:tc>
        <w:tc>
          <w:tcPr>
            <w:tcW w:w="942" w:type="pct"/>
            <w:vMerge/>
            <w:shd w:val="clear" w:color="auto" w:fill="EAF1DD"/>
            <w:tcMar>
              <w:top w:w="29" w:type="dxa"/>
              <w:left w:w="72" w:type="dxa"/>
              <w:bottom w:w="29" w:type="dxa"/>
              <w:right w:w="72" w:type="dxa"/>
            </w:tcMar>
          </w:tcPr>
          <w:p w:rsidR="001D33E6" w:rsidRPr="00216B4D" w:rsidRDefault="001D33E6" w:rsidP="00E86546">
            <w:pPr>
              <w:rPr>
                <w:sz w:val="20"/>
                <w:szCs w:val="20"/>
              </w:rPr>
            </w:pPr>
          </w:p>
        </w:tc>
      </w:tr>
      <w:tr w:rsidR="001D33E6" w:rsidRPr="00216B4D" w:rsidTr="001C06F5">
        <w:tc>
          <w:tcPr>
            <w:tcW w:w="707" w:type="pct"/>
            <w:vMerge/>
            <w:tcMar>
              <w:top w:w="29" w:type="dxa"/>
              <w:left w:w="72" w:type="dxa"/>
              <w:bottom w:w="29" w:type="dxa"/>
              <w:right w:w="72" w:type="dxa"/>
            </w:tcMar>
          </w:tcPr>
          <w:p w:rsidR="001D33E6" w:rsidRPr="00216B4D" w:rsidRDefault="001D33E6" w:rsidP="00E86546">
            <w:pPr>
              <w:rPr>
                <w:b/>
                <w:sz w:val="20"/>
                <w:szCs w:val="20"/>
              </w:rPr>
            </w:pPr>
          </w:p>
        </w:tc>
        <w:tc>
          <w:tcPr>
            <w:tcW w:w="893" w:type="pct"/>
            <w:tcMar>
              <w:top w:w="29" w:type="dxa"/>
              <w:left w:w="72" w:type="dxa"/>
              <w:bottom w:w="29" w:type="dxa"/>
              <w:right w:w="72" w:type="dxa"/>
            </w:tcMar>
          </w:tcPr>
          <w:p w:rsidR="001D33E6" w:rsidRPr="00216B4D" w:rsidRDefault="001D33E6" w:rsidP="001C06F5">
            <w:pPr>
              <w:spacing w:after="0"/>
              <w:rPr>
                <w:bCs/>
                <w:sz w:val="20"/>
                <w:szCs w:val="20"/>
              </w:rPr>
            </w:pPr>
            <w:r w:rsidRPr="00216B4D">
              <w:rPr>
                <w:bCs/>
                <w:sz w:val="20"/>
                <w:szCs w:val="20"/>
              </w:rPr>
              <w:t xml:space="preserve">National level institutions </w:t>
            </w:r>
            <w:proofErr w:type="spellStart"/>
            <w:r w:rsidRPr="00216B4D">
              <w:rPr>
                <w:bCs/>
                <w:sz w:val="20"/>
                <w:szCs w:val="20"/>
              </w:rPr>
              <w:t>formalised</w:t>
            </w:r>
            <w:proofErr w:type="spellEnd"/>
            <w:r w:rsidRPr="00216B4D">
              <w:rPr>
                <w:bCs/>
                <w:sz w:val="20"/>
                <w:szCs w:val="20"/>
              </w:rPr>
              <w:t xml:space="preserve"> for empowerment of local communities</w:t>
            </w:r>
          </w:p>
        </w:tc>
        <w:tc>
          <w:tcPr>
            <w:tcW w:w="754" w:type="pct"/>
            <w:tcMar>
              <w:top w:w="29" w:type="dxa"/>
              <w:left w:w="72" w:type="dxa"/>
              <w:bottom w:w="29" w:type="dxa"/>
              <w:right w:w="72" w:type="dxa"/>
            </w:tcMar>
          </w:tcPr>
          <w:p w:rsidR="001D33E6" w:rsidRPr="00216B4D" w:rsidRDefault="001D33E6" w:rsidP="001C06F5">
            <w:pPr>
              <w:pStyle w:val="FootnoteText"/>
              <w:spacing w:after="0"/>
              <w:ind w:right="-57"/>
              <w:jc w:val="center"/>
              <w:rPr>
                <w:sz w:val="20"/>
              </w:rPr>
            </w:pPr>
            <w:r w:rsidRPr="00216B4D">
              <w:rPr>
                <w:sz w:val="20"/>
              </w:rPr>
              <w:t>1</w:t>
            </w:r>
          </w:p>
          <w:p w:rsidR="001D33E6" w:rsidRPr="00216B4D" w:rsidRDefault="001D33E6" w:rsidP="001C06F5">
            <w:pPr>
              <w:pStyle w:val="FootnoteText"/>
              <w:spacing w:after="0"/>
              <w:ind w:right="-57"/>
              <w:jc w:val="center"/>
              <w:rPr>
                <w:sz w:val="20"/>
              </w:rPr>
            </w:pPr>
            <w:r w:rsidRPr="00216B4D">
              <w:rPr>
                <w:sz w:val="20"/>
              </w:rPr>
              <w:t>(KWCA)</w:t>
            </w:r>
          </w:p>
        </w:tc>
        <w:tc>
          <w:tcPr>
            <w:tcW w:w="862" w:type="pct"/>
            <w:tcMar>
              <w:top w:w="29" w:type="dxa"/>
              <w:left w:w="72" w:type="dxa"/>
              <w:bottom w:w="29" w:type="dxa"/>
              <w:right w:w="72" w:type="dxa"/>
            </w:tcMar>
          </w:tcPr>
          <w:p w:rsidR="001D33E6" w:rsidRPr="00216B4D" w:rsidRDefault="001D33E6" w:rsidP="001C06F5">
            <w:pPr>
              <w:spacing w:after="0"/>
              <w:jc w:val="center"/>
              <w:rPr>
                <w:sz w:val="20"/>
                <w:szCs w:val="20"/>
              </w:rPr>
            </w:pPr>
            <w:r w:rsidRPr="00216B4D">
              <w:rPr>
                <w:sz w:val="20"/>
                <w:szCs w:val="20"/>
              </w:rPr>
              <w:t>2</w:t>
            </w:r>
          </w:p>
          <w:p w:rsidR="001D33E6" w:rsidRPr="00216B4D" w:rsidRDefault="001D33E6" w:rsidP="001C06F5">
            <w:pPr>
              <w:spacing w:after="0"/>
              <w:jc w:val="center"/>
              <w:rPr>
                <w:sz w:val="20"/>
                <w:szCs w:val="20"/>
              </w:rPr>
            </w:pPr>
            <w:r w:rsidRPr="00216B4D">
              <w:rPr>
                <w:sz w:val="20"/>
                <w:szCs w:val="20"/>
              </w:rPr>
              <w:t>(CRMC and KWCA)</w:t>
            </w:r>
          </w:p>
        </w:tc>
        <w:tc>
          <w:tcPr>
            <w:tcW w:w="842"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KWS reports;</w:t>
            </w:r>
          </w:p>
          <w:p w:rsidR="001D33E6" w:rsidRPr="00216B4D" w:rsidRDefault="001D33E6" w:rsidP="001C06F5">
            <w:pPr>
              <w:spacing w:after="0"/>
              <w:rPr>
                <w:sz w:val="20"/>
                <w:szCs w:val="20"/>
              </w:rPr>
            </w:pPr>
            <w:r w:rsidRPr="00216B4D">
              <w:rPr>
                <w:sz w:val="20"/>
                <w:szCs w:val="20"/>
              </w:rPr>
              <w:t>Government registration/</w:t>
            </w:r>
            <w:proofErr w:type="spellStart"/>
            <w:r w:rsidRPr="00216B4D">
              <w:rPr>
                <w:sz w:val="20"/>
                <w:szCs w:val="20"/>
              </w:rPr>
              <w:t>formalisation</w:t>
            </w:r>
            <w:proofErr w:type="spellEnd"/>
            <w:r w:rsidRPr="00216B4D">
              <w:rPr>
                <w:sz w:val="20"/>
                <w:szCs w:val="20"/>
              </w:rPr>
              <w:t xml:space="preserve"> documents</w:t>
            </w:r>
          </w:p>
        </w:tc>
        <w:tc>
          <w:tcPr>
            <w:tcW w:w="942" w:type="pct"/>
            <w:vMerge/>
            <w:shd w:val="clear" w:color="auto" w:fill="EAF1DD"/>
            <w:tcMar>
              <w:top w:w="29" w:type="dxa"/>
              <w:left w:w="72" w:type="dxa"/>
              <w:bottom w:w="29" w:type="dxa"/>
              <w:right w:w="72" w:type="dxa"/>
            </w:tcMar>
          </w:tcPr>
          <w:p w:rsidR="001D33E6" w:rsidRPr="00216B4D" w:rsidRDefault="001D33E6" w:rsidP="00E86546">
            <w:pPr>
              <w:rPr>
                <w:iCs/>
                <w:sz w:val="20"/>
                <w:szCs w:val="20"/>
                <w:u w:val="single"/>
              </w:rPr>
            </w:pPr>
          </w:p>
        </w:tc>
      </w:tr>
      <w:tr w:rsidR="001D33E6" w:rsidRPr="00216B4D" w:rsidTr="001C06F5">
        <w:tc>
          <w:tcPr>
            <w:tcW w:w="707" w:type="pct"/>
            <w:vMerge/>
            <w:tcMar>
              <w:top w:w="29" w:type="dxa"/>
              <w:left w:w="72" w:type="dxa"/>
              <w:bottom w:w="29" w:type="dxa"/>
              <w:right w:w="72" w:type="dxa"/>
            </w:tcMar>
          </w:tcPr>
          <w:p w:rsidR="001D33E6" w:rsidRPr="00216B4D" w:rsidRDefault="001D33E6" w:rsidP="00E86546">
            <w:pPr>
              <w:rPr>
                <w:b/>
                <w:sz w:val="20"/>
                <w:szCs w:val="20"/>
              </w:rPr>
            </w:pPr>
          </w:p>
        </w:tc>
        <w:tc>
          <w:tcPr>
            <w:tcW w:w="893"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Number of capacity building and training programmes in place (Eco monitoring, Security &amp; Livelihoods)</w:t>
            </w:r>
          </w:p>
        </w:tc>
        <w:tc>
          <w:tcPr>
            <w:tcW w:w="754" w:type="pct"/>
            <w:tcMar>
              <w:top w:w="29" w:type="dxa"/>
              <w:left w:w="72" w:type="dxa"/>
              <w:bottom w:w="29" w:type="dxa"/>
              <w:right w:w="72" w:type="dxa"/>
            </w:tcMar>
          </w:tcPr>
          <w:p w:rsidR="001D33E6" w:rsidRPr="00216B4D" w:rsidRDefault="001D33E6" w:rsidP="001C06F5">
            <w:pPr>
              <w:pStyle w:val="FootnoteText"/>
              <w:spacing w:after="0"/>
              <w:ind w:right="-57"/>
              <w:jc w:val="center"/>
              <w:rPr>
                <w:sz w:val="20"/>
              </w:rPr>
            </w:pPr>
            <w:r w:rsidRPr="00216B4D">
              <w:rPr>
                <w:sz w:val="20"/>
              </w:rPr>
              <w:t>3 in each currently established conservancy (Big Life, ACC &amp; MWCT)</w:t>
            </w:r>
          </w:p>
        </w:tc>
        <w:tc>
          <w:tcPr>
            <w:tcW w:w="862" w:type="pct"/>
            <w:tcMar>
              <w:top w:w="29" w:type="dxa"/>
              <w:left w:w="72" w:type="dxa"/>
              <w:bottom w:w="29" w:type="dxa"/>
              <w:right w:w="72" w:type="dxa"/>
            </w:tcMar>
          </w:tcPr>
          <w:p w:rsidR="001D33E6" w:rsidRPr="00216B4D" w:rsidRDefault="001D33E6" w:rsidP="001C06F5">
            <w:pPr>
              <w:spacing w:after="0"/>
              <w:jc w:val="center"/>
              <w:rPr>
                <w:sz w:val="20"/>
                <w:szCs w:val="20"/>
              </w:rPr>
            </w:pPr>
            <w:r w:rsidRPr="00216B4D">
              <w:rPr>
                <w:sz w:val="20"/>
                <w:szCs w:val="20"/>
              </w:rPr>
              <w:t>At least 5 with streamlined curriculum</w:t>
            </w:r>
          </w:p>
        </w:tc>
        <w:tc>
          <w:tcPr>
            <w:tcW w:w="842"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KWS reports;</w:t>
            </w:r>
          </w:p>
          <w:p w:rsidR="001D33E6" w:rsidRPr="00216B4D" w:rsidRDefault="001D33E6" w:rsidP="001C06F5">
            <w:pPr>
              <w:spacing w:after="0"/>
              <w:rPr>
                <w:iCs/>
                <w:sz w:val="20"/>
                <w:szCs w:val="20"/>
              </w:rPr>
            </w:pPr>
            <w:r w:rsidRPr="00216B4D">
              <w:rPr>
                <w:sz w:val="20"/>
                <w:szCs w:val="20"/>
              </w:rPr>
              <w:t>Training course curriculum</w:t>
            </w:r>
          </w:p>
        </w:tc>
        <w:tc>
          <w:tcPr>
            <w:tcW w:w="942" w:type="pct"/>
            <w:vMerge/>
            <w:shd w:val="clear" w:color="auto" w:fill="EAF1DD"/>
            <w:tcMar>
              <w:top w:w="29" w:type="dxa"/>
              <w:left w:w="72" w:type="dxa"/>
              <w:bottom w:w="29" w:type="dxa"/>
              <w:right w:w="72" w:type="dxa"/>
            </w:tcMar>
          </w:tcPr>
          <w:p w:rsidR="001D33E6" w:rsidRPr="00216B4D" w:rsidRDefault="001D33E6" w:rsidP="00E86546">
            <w:pPr>
              <w:rPr>
                <w:iCs/>
                <w:sz w:val="20"/>
                <w:szCs w:val="20"/>
              </w:rPr>
            </w:pPr>
          </w:p>
        </w:tc>
      </w:tr>
      <w:tr w:rsidR="001D33E6" w:rsidRPr="00216B4D" w:rsidTr="001C06F5">
        <w:tc>
          <w:tcPr>
            <w:tcW w:w="707" w:type="pct"/>
            <w:vMerge w:val="restart"/>
            <w:tcMar>
              <w:top w:w="29" w:type="dxa"/>
              <w:left w:w="72" w:type="dxa"/>
              <w:bottom w:w="29" w:type="dxa"/>
              <w:right w:w="72" w:type="dxa"/>
            </w:tcMar>
          </w:tcPr>
          <w:p w:rsidR="001D33E6" w:rsidRPr="00216B4D" w:rsidRDefault="001D33E6" w:rsidP="00E86546">
            <w:pPr>
              <w:rPr>
                <w:sz w:val="20"/>
                <w:szCs w:val="20"/>
              </w:rPr>
            </w:pPr>
            <w:r w:rsidRPr="00216B4D">
              <w:rPr>
                <w:b/>
                <w:sz w:val="20"/>
                <w:szCs w:val="20"/>
              </w:rPr>
              <w:t xml:space="preserve">Component 2 – </w:t>
            </w:r>
            <w:r w:rsidRPr="00216B4D">
              <w:rPr>
                <w:sz w:val="20"/>
                <w:szCs w:val="20"/>
              </w:rPr>
              <w:t xml:space="preserve">Landscape based multiple use/management delivers multiple benefits to the widest range of users, reducing </w:t>
            </w:r>
            <w:r w:rsidRPr="00216B4D">
              <w:rPr>
                <w:sz w:val="20"/>
                <w:szCs w:val="20"/>
              </w:rPr>
              <w:lastRenderedPageBreak/>
              <w:t>threats to wildlife from outside the ecosystem.</w:t>
            </w:r>
          </w:p>
          <w:p w:rsidR="001D33E6" w:rsidRPr="00216B4D" w:rsidRDefault="001D33E6" w:rsidP="00E86546">
            <w:pPr>
              <w:rPr>
                <w:b/>
                <w:sz w:val="20"/>
                <w:szCs w:val="20"/>
              </w:rPr>
            </w:pPr>
          </w:p>
        </w:tc>
        <w:tc>
          <w:tcPr>
            <w:tcW w:w="3351" w:type="pct"/>
            <w:gridSpan w:val="4"/>
            <w:shd w:val="clear" w:color="auto" w:fill="DAEEF3" w:themeFill="accent5" w:themeFillTint="33"/>
            <w:tcMar>
              <w:top w:w="29" w:type="dxa"/>
              <w:left w:w="72" w:type="dxa"/>
              <w:bottom w:w="29" w:type="dxa"/>
              <w:right w:w="72" w:type="dxa"/>
            </w:tcMar>
          </w:tcPr>
          <w:p w:rsidR="001D33E6" w:rsidRPr="005E6D67" w:rsidRDefault="001D33E6" w:rsidP="00E86546">
            <w:pPr>
              <w:rPr>
                <w:sz w:val="20"/>
                <w:szCs w:val="20"/>
              </w:rPr>
            </w:pPr>
            <w:r w:rsidRPr="005E6D67">
              <w:rPr>
                <w:sz w:val="20"/>
                <w:szCs w:val="20"/>
              </w:rPr>
              <w:lastRenderedPageBreak/>
              <w:t>An integrated land use plan for the wildlife dispersal areas formulated and implementation initiated, clearly delineating different zones of use, providing specific regulations, standards and codes of practice:</w:t>
            </w:r>
          </w:p>
          <w:p w:rsidR="001D33E6" w:rsidRPr="005E6D67" w:rsidRDefault="001D33E6" w:rsidP="001C06F5">
            <w:pPr>
              <w:spacing w:after="120"/>
              <w:rPr>
                <w:sz w:val="20"/>
                <w:szCs w:val="20"/>
              </w:rPr>
            </w:pPr>
            <w:r w:rsidRPr="005E6D67">
              <w:rPr>
                <w:sz w:val="20"/>
                <w:szCs w:val="20"/>
              </w:rPr>
              <w:t>2.1 Establishment/</w:t>
            </w:r>
            <w:proofErr w:type="spellStart"/>
            <w:r w:rsidRPr="005E6D67">
              <w:rPr>
                <w:sz w:val="20"/>
                <w:szCs w:val="20"/>
              </w:rPr>
              <w:t>Formalisation</w:t>
            </w:r>
            <w:proofErr w:type="spellEnd"/>
            <w:r w:rsidRPr="005E6D67">
              <w:rPr>
                <w:sz w:val="20"/>
                <w:szCs w:val="20"/>
              </w:rPr>
              <w:t xml:space="preserve"> of 5 conservancies ensuring key corridors of connectivity between the 2 core Parks (Amboseli and </w:t>
            </w:r>
            <w:proofErr w:type="spellStart"/>
            <w:r w:rsidRPr="005E6D67">
              <w:rPr>
                <w:sz w:val="20"/>
                <w:szCs w:val="20"/>
              </w:rPr>
              <w:t>Chyulu</w:t>
            </w:r>
            <w:proofErr w:type="spellEnd"/>
            <w:r w:rsidRPr="005E6D67">
              <w:rPr>
                <w:sz w:val="20"/>
                <w:szCs w:val="20"/>
              </w:rPr>
              <w:t>) and the surrounding areas (group ranches) are secured through a) identification and mapping key HVBAs and forest fragments in the project landscape; b) elevating the legal status of identified critical biodiversity areas outside PAs; c) rehabilitation/ eco-restoration of critically degraded areas (with co- finance).</w:t>
            </w:r>
          </w:p>
          <w:p w:rsidR="001D33E6" w:rsidRPr="005E6D67" w:rsidRDefault="001D33E6" w:rsidP="001C06F5">
            <w:pPr>
              <w:spacing w:after="120"/>
              <w:rPr>
                <w:sz w:val="20"/>
                <w:szCs w:val="20"/>
              </w:rPr>
            </w:pPr>
            <w:r w:rsidRPr="005E6D67">
              <w:rPr>
                <w:sz w:val="20"/>
                <w:szCs w:val="20"/>
              </w:rPr>
              <w:lastRenderedPageBreak/>
              <w:t>2.2 Creation and establishment of the proposed conservancies identified during PPG activities and consultations with local communities and key stakeholders.</w:t>
            </w:r>
          </w:p>
          <w:p w:rsidR="001D33E6" w:rsidRPr="005E6D67" w:rsidRDefault="001D33E6" w:rsidP="001C06F5">
            <w:pPr>
              <w:spacing w:after="120"/>
              <w:rPr>
                <w:sz w:val="20"/>
                <w:szCs w:val="20"/>
              </w:rPr>
            </w:pPr>
            <w:r w:rsidRPr="005E6D67">
              <w:rPr>
                <w:sz w:val="20"/>
                <w:szCs w:val="20"/>
              </w:rPr>
              <w:t>2.3 The Southern Rangelands conservancies’ project is implemented at county level, with possible alignment of Tsavo /</w:t>
            </w:r>
            <w:proofErr w:type="spellStart"/>
            <w:r w:rsidRPr="005E6D67">
              <w:rPr>
                <w:sz w:val="20"/>
                <w:szCs w:val="20"/>
              </w:rPr>
              <w:t>Chyulu</w:t>
            </w:r>
            <w:proofErr w:type="spellEnd"/>
            <w:r w:rsidRPr="005E6D67">
              <w:rPr>
                <w:sz w:val="20"/>
                <w:szCs w:val="20"/>
              </w:rPr>
              <w:t xml:space="preserve"> conservancies with the wider landscape; possibly with bordering counties of Narok, Makueni and </w:t>
            </w:r>
            <w:proofErr w:type="spellStart"/>
            <w:r w:rsidRPr="005E6D67">
              <w:rPr>
                <w:sz w:val="20"/>
                <w:szCs w:val="20"/>
              </w:rPr>
              <w:t>Taita</w:t>
            </w:r>
            <w:proofErr w:type="spellEnd"/>
            <w:r w:rsidRPr="005E6D67">
              <w:rPr>
                <w:sz w:val="20"/>
                <w:szCs w:val="20"/>
              </w:rPr>
              <w:t xml:space="preserve"> Taveta.</w:t>
            </w:r>
          </w:p>
          <w:p w:rsidR="001D33E6" w:rsidRPr="005E6D67" w:rsidRDefault="001D33E6" w:rsidP="001C06F5">
            <w:pPr>
              <w:spacing w:after="120"/>
              <w:rPr>
                <w:sz w:val="20"/>
                <w:szCs w:val="20"/>
              </w:rPr>
            </w:pPr>
            <w:r w:rsidRPr="005E6D67">
              <w:rPr>
                <w:sz w:val="20"/>
                <w:szCs w:val="20"/>
              </w:rPr>
              <w:t xml:space="preserve">2.4 Minimum </w:t>
            </w:r>
            <w:proofErr w:type="spellStart"/>
            <w:r w:rsidRPr="005E6D67">
              <w:rPr>
                <w:sz w:val="20"/>
                <w:szCs w:val="20"/>
              </w:rPr>
              <w:t>utilisation</w:t>
            </w:r>
            <w:proofErr w:type="spellEnd"/>
            <w:r w:rsidRPr="005E6D67">
              <w:rPr>
                <w:sz w:val="20"/>
                <w:szCs w:val="20"/>
              </w:rPr>
              <w:t xml:space="preserve"> levels for wildlife corridors particularly for agriculture, livestock, settlements and tourism development areas/zoned in multiple use areas.</w:t>
            </w:r>
          </w:p>
          <w:p w:rsidR="001D33E6" w:rsidRPr="005E6D67" w:rsidRDefault="001D33E6" w:rsidP="001C06F5">
            <w:pPr>
              <w:spacing w:after="120"/>
              <w:rPr>
                <w:sz w:val="20"/>
                <w:szCs w:val="20"/>
              </w:rPr>
            </w:pPr>
            <w:r w:rsidRPr="005E6D67">
              <w:rPr>
                <w:sz w:val="20"/>
                <w:szCs w:val="20"/>
              </w:rPr>
              <w:t xml:space="preserve">2.5 Protection of swamps, river systems and </w:t>
            </w:r>
            <w:proofErr w:type="spellStart"/>
            <w:r w:rsidRPr="005E6D67">
              <w:rPr>
                <w:sz w:val="20"/>
                <w:szCs w:val="20"/>
              </w:rPr>
              <w:t>Chyulu</w:t>
            </w:r>
            <w:proofErr w:type="spellEnd"/>
            <w:r w:rsidRPr="005E6D67">
              <w:rPr>
                <w:sz w:val="20"/>
                <w:szCs w:val="20"/>
              </w:rPr>
              <w:t xml:space="preserve"> hills water catchment </w:t>
            </w:r>
            <w:proofErr w:type="spellStart"/>
            <w:r w:rsidRPr="005E6D67">
              <w:rPr>
                <w:sz w:val="20"/>
                <w:szCs w:val="20"/>
              </w:rPr>
              <w:t>stabilises</w:t>
            </w:r>
            <w:proofErr w:type="spellEnd"/>
            <w:r w:rsidRPr="005E6D67">
              <w:rPr>
                <w:sz w:val="20"/>
                <w:szCs w:val="20"/>
              </w:rPr>
              <w:t xml:space="preserve"> water availability to wildlife and human use.</w:t>
            </w:r>
          </w:p>
          <w:p w:rsidR="001D33E6" w:rsidRPr="005E6D67" w:rsidRDefault="001D33E6" w:rsidP="001C06F5">
            <w:pPr>
              <w:spacing w:after="120"/>
              <w:rPr>
                <w:sz w:val="20"/>
                <w:szCs w:val="20"/>
              </w:rPr>
            </w:pPr>
            <w:r w:rsidRPr="005E6D67">
              <w:rPr>
                <w:sz w:val="20"/>
                <w:szCs w:val="20"/>
              </w:rPr>
              <w:t xml:space="preserve">2.6 Implementation of alternative sustainable livelihoods plans and biodiversity friendly farming practices that include </w:t>
            </w:r>
            <w:proofErr w:type="spellStart"/>
            <w:r w:rsidRPr="005E6D67">
              <w:rPr>
                <w:sz w:val="20"/>
                <w:szCs w:val="20"/>
              </w:rPr>
              <w:t>agri</w:t>
            </w:r>
            <w:proofErr w:type="spellEnd"/>
            <w:r w:rsidRPr="005E6D67">
              <w:rPr>
                <w:sz w:val="20"/>
                <w:szCs w:val="20"/>
              </w:rPr>
              <w:t xml:space="preserve">-livestock activities by farmers in </w:t>
            </w:r>
            <w:proofErr w:type="spellStart"/>
            <w:r w:rsidRPr="005E6D67">
              <w:rPr>
                <w:sz w:val="20"/>
                <w:szCs w:val="20"/>
              </w:rPr>
              <w:t>Kimana</w:t>
            </w:r>
            <w:proofErr w:type="spellEnd"/>
            <w:r w:rsidRPr="005E6D67">
              <w:rPr>
                <w:sz w:val="20"/>
                <w:szCs w:val="20"/>
              </w:rPr>
              <w:t xml:space="preserve"> Ranch and </w:t>
            </w:r>
            <w:proofErr w:type="spellStart"/>
            <w:r w:rsidRPr="005E6D67">
              <w:rPr>
                <w:sz w:val="20"/>
                <w:szCs w:val="20"/>
              </w:rPr>
              <w:t>Chyulu</w:t>
            </w:r>
            <w:proofErr w:type="spellEnd"/>
            <w:r w:rsidRPr="005E6D67">
              <w:rPr>
                <w:sz w:val="20"/>
                <w:szCs w:val="20"/>
              </w:rPr>
              <w:t xml:space="preserve"> Hills resulting in </w:t>
            </w:r>
            <w:proofErr w:type="spellStart"/>
            <w:r w:rsidRPr="005E6D67">
              <w:rPr>
                <w:sz w:val="20"/>
                <w:szCs w:val="20"/>
              </w:rPr>
              <w:t>stabilisation</w:t>
            </w:r>
            <w:proofErr w:type="spellEnd"/>
            <w:r w:rsidRPr="005E6D67">
              <w:rPr>
                <w:sz w:val="20"/>
                <w:szCs w:val="20"/>
              </w:rPr>
              <w:t xml:space="preserve"> in agriculture fields, increase in volumes and duration of stream flows, no net loss of natural forest blocks in critical corridors.</w:t>
            </w:r>
          </w:p>
          <w:p w:rsidR="001D33E6" w:rsidRPr="00216B4D" w:rsidRDefault="001D33E6" w:rsidP="001C06F5">
            <w:pPr>
              <w:spacing w:after="120"/>
              <w:rPr>
                <w:sz w:val="20"/>
                <w:szCs w:val="20"/>
              </w:rPr>
            </w:pPr>
            <w:r w:rsidRPr="005E6D67">
              <w:rPr>
                <w:sz w:val="20"/>
                <w:szCs w:val="20"/>
              </w:rPr>
              <w:t>2.7 Capacitation of KWS for the protection of wildlife within and outside the NPs to cover the Greater Amboseli Ecosystem.</w:t>
            </w:r>
          </w:p>
        </w:tc>
        <w:tc>
          <w:tcPr>
            <w:tcW w:w="942" w:type="pct"/>
            <w:vMerge w:val="restart"/>
            <w:shd w:val="clear" w:color="auto" w:fill="EAF1DD"/>
            <w:tcMar>
              <w:top w:w="29" w:type="dxa"/>
              <w:left w:w="72" w:type="dxa"/>
              <w:bottom w:w="29" w:type="dxa"/>
              <w:right w:w="72" w:type="dxa"/>
            </w:tcMar>
          </w:tcPr>
          <w:p w:rsidR="001D33E6" w:rsidRPr="00216B4D" w:rsidRDefault="001D33E6" w:rsidP="00E86546">
            <w:pPr>
              <w:rPr>
                <w:iCs/>
                <w:sz w:val="20"/>
                <w:szCs w:val="20"/>
              </w:rPr>
            </w:pPr>
            <w:r w:rsidRPr="00216B4D">
              <w:rPr>
                <w:iCs/>
                <w:sz w:val="20"/>
                <w:szCs w:val="20"/>
                <w:u w:val="single"/>
              </w:rPr>
              <w:lastRenderedPageBreak/>
              <w:t>Risks</w:t>
            </w:r>
            <w:r w:rsidRPr="00216B4D">
              <w:rPr>
                <w:iCs/>
                <w:sz w:val="20"/>
                <w:szCs w:val="20"/>
              </w:rPr>
              <w:t>: - Threat of continued subdivision of the Group Ranches accompanied by fencing, overgrazing, extension of agriculture and unplanned human development.</w:t>
            </w:r>
          </w:p>
          <w:p w:rsidR="001D33E6" w:rsidRPr="00216B4D" w:rsidRDefault="001D33E6" w:rsidP="00E86546">
            <w:pPr>
              <w:rPr>
                <w:iCs/>
                <w:sz w:val="20"/>
                <w:szCs w:val="20"/>
              </w:rPr>
            </w:pPr>
          </w:p>
          <w:p w:rsidR="001D33E6" w:rsidRPr="00216B4D" w:rsidRDefault="001D33E6" w:rsidP="00E86546">
            <w:pPr>
              <w:rPr>
                <w:rStyle w:val="CharChar1"/>
                <w:sz w:val="20"/>
                <w:szCs w:val="20"/>
                <w:lang w:val="en-GB"/>
              </w:rPr>
            </w:pPr>
            <w:r w:rsidRPr="00216B4D">
              <w:rPr>
                <w:rStyle w:val="CharChar1"/>
                <w:sz w:val="20"/>
                <w:szCs w:val="20"/>
                <w:lang w:val="en-GB"/>
              </w:rPr>
              <w:t>- Climate change could lead to both changed distributions of BD components, and changes in demands on biodiversity-based resources.</w:t>
            </w:r>
          </w:p>
          <w:p w:rsidR="001D33E6" w:rsidRPr="00216B4D" w:rsidRDefault="001D33E6" w:rsidP="00E86546">
            <w:pPr>
              <w:rPr>
                <w:iCs/>
                <w:sz w:val="20"/>
                <w:szCs w:val="20"/>
              </w:rPr>
            </w:pPr>
            <w:r w:rsidRPr="00216B4D">
              <w:rPr>
                <w:rStyle w:val="CharChar1"/>
                <w:sz w:val="20"/>
                <w:szCs w:val="20"/>
                <w:lang w:val="en-GB"/>
              </w:rPr>
              <w:t>- Conservancies are slow to join the project for fear of loss of autonomy.</w:t>
            </w:r>
          </w:p>
          <w:p w:rsidR="001D33E6" w:rsidRPr="00216B4D" w:rsidRDefault="001D33E6" w:rsidP="00E86546">
            <w:pPr>
              <w:rPr>
                <w:rStyle w:val="CharChar1"/>
                <w:sz w:val="20"/>
                <w:szCs w:val="20"/>
                <w:lang w:val="en-GB"/>
              </w:rPr>
            </w:pPr>
            <w:r w:rsidRPr="00216B4D">
              <w:rPr>
                <w:iCs/>
                <w:sz w:val="20"/>
                <w:szCs w:val="20"/>
              </w:rPr>
              <w:t>-</w:t>
            </w:r>
            <w:r w:rsidRPr="00216B4D">
              <w:rPr>
                <w:rStyle w:val="CharChar1"/>
                <w:sz w:val="20"/>
                <w:szCs w:val="20"/>
                <w:lang w:val="en-GB"/>
              </w:rPr>
              <w:t>Climate change affects ecosystem resilience.</w:t>
            </w:r>
          </w:p>
          <w:p w:rsidR="001D33E6" w:rsidRPr="00216B4D" w:rsidRDefault="001D33E6" w:rsidP="00E86546">
            <w:pPr>
              <w:rPr>
                <w:iCs/>
                <w:sz w:val="20"/>
                <w:szCs w:val="20"/>
              </w:rPr>
            </w:pPr>
          </w:p>
          <w:p w:rsidR="001D33E6" w:rsidRPr="00216B4D" w:rsidRDefault="001D33E6" w:rsidP="00E86546">
            <w:pPr>
              <w:rPr>
                <w:iCs/>
                <w:sz w:val="20"/>
                <w:szCs w:val="20"/>
              </w:rPr>
            </w:pPr>
            <w:r w:rsidRPr="00216B4D">
              <w:rPr>
                <w:iCs/>
                <w:sz w:val="20"/>
                <w:szCs w:val="20"/>
                <w:u w:val="single"/>
              </w:rPr>
              <w:t>Assumptions</w:t>
            </w:r>
            <w:r w:rsidRPr="00216B4D">
              <w:rPr>
                <w:iCs/>
                <w:sz w:val="20"/>
                <w:szCs w:val="20"/>
              </w:rPr>
              <w:t>: landscape approach understood and bought into by stakeholders</w:t>
            </w:r>
          </w:p>
          <w:p w:rsidR="001D33E6" w:rsidRPr="00216B4D" w:rsidRDefault="001D33E6" w:rsidP="00E86546">
            <w:pPr>
              <w:rPr>
                <w:iCs/>
                <w:sz w:val="20"/>
                <w:szCs w:val="20"/>
                <w:u w:val="single"/>
              </w:rPr>
            </w:pPr>
          </w:p>
        </w:tc>
      </w:tr>
      <w:tr w:rsidR="001D33E6" w:rsidRPr="00216B4D" w:rsidTr="001C06F5">
        <w:tc>
          <w:tcPr>
            <w:tcW w:w="707" w:type="pct"/>
            <w:vMerge/>
            <w:tcMar>
              <w:top w:w="29" w:type="dxa"/>
              <w:left w:w="72" w:type="dxa"/>
              <w:bottom w:w="29" w:type="dxa"/>
              <w:right w:w="72" w:type="dxa"/>
            </w:tcMar>
          </w:tcPr>
          <w:p w:rsidR="001D33E6" w:rsidRPr="00216B4D" w:rsidRDefault="001D33E6" w:rsidP="00E86546">
            <w:pPr>
              <w:rPr>
                <w:b/>
                <w:sz w:val="20"/>
                <w:szCs w:val="20"/>
              </w:rPr>
            </w:pPr>
          </w:p>
        </w:tc>
        <w:tc>
          <w:tcPr>
            <w:tcW w:w="893"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Movement of elephants within the greater Amboseli landscape, between the 3 core NPs.</w:t>
            </w:r>
          </w:p>
        </w:tc>
        <w:tc>
          <w:tcPr>
            <w:tcW w:w="754" w:type="pct"/>
            <w:tcMar>
              <w:top w:w="29" w:type="dxa"/>
              <w:left w:w="72" w:type="dxa"/>
              <w:bottom w:w="29" w:type="dxa"/>
              <w:right w:w="72" w:type="dxa"/>
            </w:tcMar>
          </w:tcPr>
          <w:p w:rsidR="001D33E6" w:rsidRPr="00216B4D" w:rsidRDefault="001D33E6" w:rsidP="001C06F5">
            <w:pPr>
              <w:pStyle w:val="FootnoteText"/>
              <w:spacing w:after="0"/>
              <w:ind w:right="-57"/>
              <w:jc w:val="center"/>
              <w:rPr>
                <w:sz w:val="20"/>
              </w:rPr>
            </w:pPr>
            <w:r w:rsidRPr="00216B4D">
              <w:rPr>
                <w:sz w:val="20"/>
              </w:rPr>
              <w:t>Concentration of elephants in the Amboseli NP irrespective of season</w:t>
            </w:r>
          </w:p>
        </w:tc>
        <w:tc>
          <w:tcPr>
            <w:tcW w:w="862" w:type="pct"/>
            <w:tcMar>
              <w:top w:w="29" w:type="dxa"/>
              <w:left w:w="72" w:type="dxa"/>
              <w:bottom w:w="29" w:type="dxa"/>
              <w:right w:w="72" w:type="dxa"/>
            </w:tcMar>
          </w:tcPr>
          <w:p w:rsidR="001D33E6" w:rsidRPr="00216B4D" w:rsidRDefault="001D33E6" w:rsidP="001C06F5">
            <w:pPr>
              <w:spacing w:after="0"/>
              <w:jc w:val="center"/>
              <w:rPr>
                <w:sz w:val="20"/>
                <w:szCs w:val="20"/>
              </w:rPr>
            </w:pPr>
            <w:r w:rsidRPr="00216B4D">
              <w:rPr>
                <w:sz w:val="20"/>
                <w:szCs w:val="20"/>
              </w:rPr>
              <w:t>Increased movement of elephant populations within the Amboseli landscape and between the 3 core NPs.</w:t>
            </w:r>
          </w:p>
        </w:tc>
        <w:tc>
          <w:tcPr>
            <w:tcW w:w="842"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Biodiversity monitoring database;</w:t>
            </w:r>
          </w:p>
          <w:p w:rsidR="001D33E6" w:rsidRPr="00216B4D" w:rsidRDefault="001D33E6" w:rsidP="001C06F5">
            <w:pPr>
              <w:spacing w:after="0"/>
              <w:rPr>
                <w:sz w:val="20"/>
                <w:szCs w:val="20"/>
              </w:rPr>
            </w:pPr>
            <w:r w:rsidRPr="00216B4D">
              <w:rPr>
                <w:sz w:val="20"/>
                <w:szCs w:val="20"/>
              </w:rPr>
              <w:t>Monitoring reports;</w:t>
            </w:r>
          </w:p>
          <w:p w:rsidR="001D33E6" w:rsidRPr="00216B4D" w:rsidRDefault="001D33E6" w:rsidP="001C06F5">
            <w:pPr>
              <w:spacing w:after="0"/>
              <w:rPr>
                <w:sz w:val="20"/>
                <w:szCs w:val="20"/>
              </w:rPr>
            </w:pPr>
            <w:r w:rsidRPr="00216B4D">
              <w:rPr>
                <w:sz w:val="20"/>
                <w:szCs w:val="20"/>
              </w:rPr>
              <w:t>DRSRS and ACP monitoring reports</w:t>
            </w:r>
          </w:p>
        </w:tc>
        <w:tc>
          <w:tcPr>
            <w:tcW w:w="942" w:type="pct"/>
            <w:vMerge/>
            <w:shd w:val="clear" w:color="auto" w:fill="EAF1DD"/>
            <w:tcMar>
              <w:top w:w="29" w:type="dxa"/>
              <w:left w:w="72" w:type="dxa"/>
              <w:bottom w:w="29" w:type="dxa"/>
              <w:right w:w="72" w:type="dxa"/>
            </w:tcMar>
          </w:tcPr>
          <w:p w:rsidR="001D33E6" w:rsidRPr="00216B4D" w:rsidRDefault="001D33E6" w:rsidP="00E86546">
            <w:pPr>
              <w:rPr>
                <w:iCs/>
                <w:sz w:val="20"/>
                <w:szCs w:val="20"/>
              </w:rPr>
            </w:pPr>
          </w:p>
        </w:tc>
      </w:tr>
      <w:tr w:rsidR="001D33E6" w:rsidRPr="00216B4D" w:rsidTr="001C06F5">
        <w:tc>
          <w:tcPr>
            <w:tcW w:w="707" w:type="pct"/>
            <w:vMerge/>
            <w:tcMar>
              <w:top w:w="29" w:type="dxa"/>
              <w:left w:w="72" w:type="dxa"/>
              <w:bottom w:w="29" w:type="dxa"/>
              <w:right w:w="72" w:type="dxa"/>
            </w:tcMar>
          </w:tcPr>
          <w:p w:rsidR="001D33E6" w:rsidRPr="00216B4D" w:rsidRDefault="001D33E6" w:rsidP="00E86546">
            <w:pPr>
              <w:rPr>
                <w:b/>
                <w:sz w:val="20"/>
                <w:szCs w:val="20"/>
              </w:rPr>
            </w:pPr>
          </w:p>
        </w:tc>
        <w:tc>
          <w:tcPr>
            <w:tcW w:w="893"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Proportion of productive land in the Group Ranches under conservancies</w:t>
            </w:r>
          </w:p>
        </w:tc>
        <w:tc>
          <w:tcPr>
            <w:tcW w:w="754" w:type="pct"/>
            <w:tcMar>
              <w:top w:w="29" w:type="dxa"/>
              <w:left w:w="72" w:type="dxa"/>
              <w:bottom w:w="29" w:type="dxa"/>
              <w:right w:w="72" w:type="dxa"/>
            </w:tcMar>
          </w:tcPr>
          <w:p w:rsidR="001D33E6" w:rsidRPr="00216B4D" w:rsidRDefault="001D33E6" w:rsidP="001C06F5">
            <w:pPr>
              <w:pStyle w:val="FootnoteText"/>
              <w:spacing w:after="0"/>
              <w:ind w:right="-57"/>
              <w:jc w:val="center"/>
              <w:rPr>
                <w:sz w:val="20"/>
              </w:rPr>
            </w:pPr>
            <w:r w:rsidRPr="00216B4D">
              <w:rPr>
                <w:sz w:val="20"/>
              </w:rPr>
              <w:t>10.8% (approximately 57,700ha)</w:t>
            </w:r>
          </w:p>
        </w:tc>
        <w:tc>
          <w:tcPr>
            <w:tcW w:w="862" w:type="pct"/>
            <w:tcMar>
              <w:top w:w="29" w:type="dxa"/>
              <w:left w:w="72" w:type="dxa"/>
              <w:bottom w:w="29" w:type="dxa"/>
              <w:right w:w="72" w:type="dxa"/>
            </w:tcMar>
          </w:tcPr>
          <w:p w:rsidR="001D33E6" w:rsidRPr="00216B4D" w:rsidRDefault="001D33E6" w:rsidP="001C06F5">
            <w:pPr>
              <w:spacing w:after="0"/>
              <w:jc w:val="center"/>
              <w:rPr>
                <w:sz w:val="20"/>
                <w:szCs w:val="20"/>
              </w:rPr>
            </w:pPr>
            <w:r w:rsidRPr="00216B4D">
              <w:rPr>
                <w:sz w:val="20"/>
                <w:szCs w:val="20"/>
              </w:rPr>
              <w:t>20.7% (approximately 101,902)</w:t>
            </w:r>
          </w:p>
        </w:tc>
        <w:tc>
          <w:tcPr>
            <w:tcW w:w="842"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KWS reports</w:t>
            </w:r>
          </w:p>
        </w:tc>
        <w:tc>
          <w:tcPr>
            <w:tcW w:w="942" w:type="pct"/>
            <w:vMerge/>
            <w:shd w:val="clear" w:color="auto" w:fill="EAF1DD"/>
            <w:tcMar>
              <w:top w:w="29" w:type="dxa"/>
              <w:left w:w="72" w:type="dxa"/>
              <w:bottom w:w="29" w:type="dxa"/>
              <w:right w:w="72" w:type="dxa"/>
            </w:tcMar>
          </w:tcPr>
          <w:p w:rsidR="001D33E6" w:rsidRPr="00216B4D" w:rsidRDefault="001D33E6" w:rsidP="00E86546">
            <w:pPr>
              <w:rPr>
                <w:iCs/>
                <w:sz w:val="20"/>
                <w:szCs w:val="20"/>
                <w:u w:val="single"/>
              </w:rPr>
            </w:pPr>
          </w:p>
        </w:tc>
      </w:tr>
      <w:tr w:rsidR="001D33E6" w:rsidRPr="00216B4D" w:rsidTr="001C06F5">
        <w:tc>
          <w:tcPr>
            <w:tcW w:w="707" w:type="pct"/>
            <w:vMerge/>
            <w:tcMar>
              <w:top w:w="29" w:type="dxa"/>
              <w:left w:w="72" w:type="dxa"/>
              <w:bottom w:w="29" w:type="dxa"/>
              <w:right w:w="72" w:type="dxa"/>
            </w:tcMar>
          </w:tcPr>
          <w:p w:rsidR="001D33E6" w:rsidRPr="00216B4D" w:rsidRDefault="001D33E6" w:rsidP="00E86546">
            <w:pPr>
              <w:rPr>
                <w:b/>
                <w:sz w:val="20"/>
                <w:szCs w:val="20"/>
              </w:rPr>
            </w:pPr>
          </w:p>
        </w:tc>
        <w:tc>
          <w:tcPr>
            <w:tcW w:w="893"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Number of conservancies managed under a landscape level coordinated management programme</w:t>
            </w:r>
          </w:p>
        </w:tc>
        <w:tc>
          <w:tcPr>
            <w:tcW w:w="754" w:type="pct"/>
            <w:tcMar>
              <w:top w:w="29" w:type="dxa"/>
              <w:left w:w="72" w:type="dxa"/>
              <w:bottom w:w="29" w:type="dxa"/>
              <w:right w:w="72" w:type="dxa"/>
            </w:tcMar>
          </w:tcPr>
          <w:p w:rsidR="001D33E6" w:rsidRPr="00216B4D" w:rsidRDefault="001D33E6" w:rsidP="001C06F5">
            <w:pPr>
              <w:pStyle w:val="FootnoteText"/>
              <w:spacing w:after="0"/>
              <w:ind w:right="-57"/>
              <w:jc w:val="center"/>
              <w:rPr>
                <w:sz w:val="20"/>
              </w:rPr>
            </w:pPr>
            <w:r w:rsidRPr="00216B4D">
              <w:rPr>
                <w:sz w:val="20"/>
              </w:rPr>
              <w:t>0</w:t>
            </w:r>
          </w:p>
        </w:tc>
        <w:tc>
          <w:tcPr>
            <w:tcW w:w="862" w:type="pct"/>
            <w:tcMar>
              <w:top w:w="29" w:type="dxa"/>
              <w:left w:w="72" w:type="dxa"/>
              <w:bottom w:w="29" w:type="dxa"/>
              <w:right w:w="72" w:type="dxa"/>
            </w:tcMar>
          </w:tcPr>
          <w:p w:rsidR="001D33E6" w:rsidRPr="00216B4D" w:rsidRDefault="001D33E6" w:rsidP="001C06F5">
            <w:pPr>
              <w:spacing w:after="0"/>
              <w:jc w:val="center"/>
              <w:rPr>
                <w:sz w:val="20"/>
                <w:szCs w:val="20"/>
              </w:rPr>
            </w:pPr>
            <w:r w:rsidRPr="00216B4D">
              <w:rPr>
                <w:sz w:val="20"/>
                <w:szCs w:val="20"/>
              </w:rPr>
              <w:t>At least 5 conservancies</w:t>
            </w:r>
          </w:p>
        </w:tc>
        <w:tc>
          <w:tcPr>
            <w:tcW w:w="842"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KWS reports;</w:t>
            </w:r>
          </w:p>
          <w:p w:rsidR="001D33E6" w:rsidRPr="00216B4D" w:rsidRDefault="001D33E6" w:rsidP="001C06F5">
            <w:pPr>
              <w:spacing w:after="0"/>
              <w:rPr>
                <w:sz w:val="20"/>
                <w:szCs w:val="20"/>
              </w:rPr>
            </w:pPr>
            <w:r w:rsidRPr="00216B4D">
              <w:rPr>
                <w:sz w:val="20"/>
                <w:szCs w:val="20"/>
              </w:rPr>
              <w:t>MOUs agreed upon by member conservancies</w:t>
            </w:r>
          </w:p>
        </w:tc>
        <w:tc>
          <w:tcPr>
            <w:tcW w:w="942" w:type="pct"/>
            <w:vMerge/>
            <w:shd w:val="clear" w:color="auto" w:fill="EAF1DD"/>
            <w:tcMar>
              <w:top w:w="29" w:type="dxa"/>
              <w:left w:w="72" w:type="dxa"/>
              <w:bottom w:w="29" w:type="dxa"/>
              <w:right w:w="72" w:type="dxa"/>
            </w:tcMar>
          </w:tcPr>
          <w:p w:rsidR="001D33E6" w:rsidRPr="00216B4D" w:rsidRDefault="001D33E6" w:rsidP="00E86546">
            <w:pPr>
              <w:rPr>
                <w:iCs/>
                <w:sz w:val="20"/>
                <w:szCs w:val="20"/>
                <w:u w:val="single"/>
              </w:rPr>
            </w:pPr>
          </w:p>
        </w:tc>
      </w:tr>
      <w:tr w:rsidR="001D33E6" w:rsidRPr="00216B4D" w:rsidTr="001C06F5">
        <w:tc>
          <w:tcPr>
            <w:tcW w:w="707" w:type="pct"/>
            <w:vMerge/>
            <w:tcMar>
              <w:top w:w="29" w:type="dxa"/>
              <w:left w:w="72" w:type="dxa"/>
              <w:bottom w:w="29" w:type="dxa"/>
              <w:right w:w="72" w:type="dxa"/>
            </w:tcMar>
          </w:tcPr>
          <w:p w:rsidR="001D33E6" w:rsidRPr="00216B4D" w:rsidRDefault="001D33E6" w:rsidP="001C06F5">
            <w:pPr>
              <w:spacing w:after="0"/>
              <w:rPr>
                <w:b/>
                <w:sz w:val="20"/>
                <w:szCs w:val="20"/>
              </w:rPr>
            </w:pPr>
          </w:p>
        </w:tc>
        <w:tc>
          <w:tcPr>
            <w:tcW w:w="893"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Number of operational wildlife conservancies managed by local communities</w:t>
            </w:r>
          </w:p>
        </w:tc>
        <w:tc>
          <w:tcPr>
            <w:tcW w:w="754" w:type="pct"/>
            <w:tcMar>
              <w:top w:w="29" w:type="dxa"/>
              <w:left w:w="72" w:type="dxa"/>
              <w:bottom w:w="29" w:type="dxa"/>
              <w:right w:w="72" w:type="dxa"/>
            </w:tcMar>
          </w:tcPr>
          <w:p w:rsidR="001D33E6" w:rsidRPr="00216B4D" w:rsidRDefault="001D33E6" w:rsidP="001C06F5">
            <w:pPr>
              <w:pStyle w:val="FootnoteText"/>
              <w:spacing w:after="0"/>
              <w:ind w:right="-57"/>
              <w:jc w:val="center"/>
              <w:rPr>
                <w:sz w:val="20"/>
              </w:rPr>
            </w:pPr>
            <w:r w:rsidRPr="00216B4D">
              <w:rPr>
                <w:sz w:val="20"/>
              </w:rPr>
              <w:t>1 derelict (</w:t>
            </w:r>
            <w:proofErr w:type="spellStart"/>
            <w:r w:rsidRPr="00216B4D">
              <w:rPr>
                <w:sz w:val="20"/>
              </w:rPr>
              <w:t>Kimana</w:t>
            </w:r>
            <w:proofErr w:type="spellEnd"/>
            <w:r w:rsidRPr="00216B4D">
              <w:rPr>
                <w:sz w:val="20"/>
              </w:rPr>
              <w:t>) community wildlife conservancy</w:t>
            </w:r>
          </w:p>
        </w:tc>
        <w:tc>
          <w:tcPr>
            <w:tcW w:w="862" w:type="pct"/>
            <w:tcMar>
              <w:top w:w="29" w:type="dxa"/>
              <w:left w:w="72" w:type="dxa"/>
              <w:bottom w:w="29" w:type="dxa"/>
              <w:right w:w="72" w:type="dxa"/>
            </w:tcMar>
          </w:tcPr>
          <w:p w:rsidR="001D33E6" w:rsidRPr="00216B4D" w:rsidRDefault="001D33E6" w:rsidP="001C06F5">
            <w:pPr>
              <w:spacing w:after="0"/>
              <w:jc w:val="center"/>
              <w:rPr>
                <w:sz w:val="20"/>
                <w:szCs w:val="20"/>
              </w:rPr>
            </w:pPr>
            <w:r w:rsidRPr="00216B4D">
              <w:rPr>
                <w:sz w:val="20"/>
                <w:szCs w:val="20"/>
              </w:rPr>
              <w:t xml:space="preserve">At least 5 conservancies with rehabilitation of </w:t>
            </w:r>
            <w:proofErr w:type="spellStart"/>
            <w:r w:rsidRPr="00216B4D">
              <w:rPr>
                <w:sz w:val="20"/>
                <w:szCs w:val="20"/>
              </w:rPr>
              <w:t>Kimana</w:t>
            </w:r>
            <w:proofErr w:type="spellEnd"/>
            <w:r w:rsidRPr="00216B4D">
              <w:rPr>
                <w:sz w:val="20"/>
                <w:szCs w:val="20"/>
              </w:rPr>
              <w:t xml:space="preserve"> sanctuaries.</w:t>
            </w:r>
          </w:p>
        </w:tc>
        <w:tc>
          <w:tcPr>
            <w:tcW w:w="842"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KWS reports;</w:t>
            </w:r>
          </w:p>
          <w:p w:rsidR="001D33E6" w:rsidRPr="00216B4D" w:rsidRDefault="001D33E6" w:rsidP="001C06F5">
            <w:pPr>
              <w:spacing w:after="0"/>
              <w:rPr>
                <w:sz w:val="20"/>
                <w:szCs w:val="20"/>
              </w:rPr>
            </w:pPr>
            <w:r w:rsidRPr="00216B4D">
              <w:rPr>
                <w:sz w:val="20"/>
                <w:szCs w:val="20"/>
              </w:rPr>
              <w:t>Independent mid-term and final evaluations</w:t>
            </w:r>
          </w:p>
        </w:tc>
        <w:tc>
          <w:tcPr>
            <w:tcW w:w="942" w:type="pct"/>
            <w:vMerge/>
            <w:shd w:val="clear" w:color="auto" w:fill="EAF1DD"/>
            <w:tcMar>
              <w:top w:w="29" w:type="dxa"/>
              <w:left w:w="72" w:type="dxa"/>
              <w:bottom w:w="29" w:type="dxa"/>
              <w:right w:w="72" w:type="dxa"/>
            </w:tcMar>
          </w:tcPr>
          <w:p w:rsidR="001D33E6" w:rsidRPr="00216B4D" w:rsidRDefault="001D33E6" w:rsidP="001C06F5">
            <w:pPr>
              <w:spacing w:after="0"/>
              <w:rPr>
                <w:iCs/>
                <w:sz w:val="20"/>
                <w:szCs w:val="20"/>
              </w:rPr>
            </w:pPr>
          </w:p>
        </w:tc>
      </w:tr>
      <w:tr w:rsidR="001D33E6" w:rsidRPr="00216B4D" w:rsidTr="001C06F5">
        <w:tc>
          <w:tcPr>
            <w:tcW w:w="707" w:type="pct"/>
            <w:vMerge/>
            <w:tcMar>
              <w:top w:w="29" w:type="dxa"/>
              <w:left w:w="72" w:type="dxa"/>
              <w:bottom w:w="29" w:type="dxa"/>
              <w:right w:w="72" w:type="dxa"/>
            </w:tcMar>
          </w:tcPr>
          <w:p w:rsidR="001D33E6" w:rsidRPr="00216B4D" w:rsidRDefault="001D33E6" w:rsidP="001C06F5">
            <w:pPr>
              <w:spacing w:after="0"/>
              <w:rPr>
                <w:b/>
                <w:sz w:val="20"/>
                <w:szCs w:val="20"/>
              </w:rPr>
            </w:pPr>
          </w:p>
        </w:tc>
        <w:tc>
          <w:tcPr>
            <w:tcW w:w="893"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Threats to wildlife from unplanned tourism infrastructure development mitigated</w:t>
            </w:r>
          </w:p>
        </w:tc>
        <w:tc>
          <w:tcPr>
            <w:tcW w:w="754" w:type="pct"/>
            <w:tcMar>
              <w:top w:w="29" w:type="dxa"/>
              <w:left w:w="72" w:type="dxa"/>
              <w:bottom w:w="29" w:type="dxa"/>
              <w:right w:w="72" w:type="dxa"/>
            </w:tcMar>
          </w:tcPr>
          <w:p w:rsidR="001D33E6" w:rsidRPr="00216B4D" w:rsidRDefault="001D33E6" w:rsidP="001C06F5">
            <w:pPr>
              <w:pStyle w:val="FootnoteText"/>
              <w:spacing w:after="0"/>
              <w:ind w:right="-57"/>
              <w:jc w:val="center"/>
              <w:rPr>
                <w:sz w:val="20"/>
              </w:rPr>
            </w:pPr>
            <w:r w:rsidRPr="00216B4D">
              <w:rPr>
                <w:sz w:val="20"/>
              </w:rPr>
              <w:t>Limited scope of procedures in place to deal with unplanned developments</w:t>
            </w:r>
          </w:p>
        </w:tc>
        <w:tc>
          <w:tcPr>
            <w:tcW w:w="862" w:type="pct"/>
            <w:tcMar>
              <w:top w:w="29" w:type="dxa"/>
              <w:left w:w="72" w:type="dxa"/>
              <w:bottom w:w="29" w:type="dxa"/>
              <w:right w:w="72" w:type="dxa"/>
            </w:tcMar>
          </w:tcPr>
          <w:p w:rsidR="001D33E6" w:rsidRPr="00216B4D" w:rsidDel="004C2D0C" w:rsidRDefault="001D33E6" w:rsidP="001C06F5">
            <w:pPr>
              <w:spacing w:after="0"/>
              <w:jc w:val="center"/>
              <w:rPr>
                <w:sz w:val="20"/>
                <w:szCs w:val="20"/>
              </w:rPr>
            </w:pPr>
            <w:r w:rsidRPr="00216B4D">
              <w:rPr>
                <w:sz w:val="20"/>
                <w:szCs w:val="20"/>
              </w:rPr>
              <w:t xml:space="preserve">Protocols for infrastructure development </w:t>
            </w:r>
            <w:proofErr w:type="spellStart"/>
            <w:r w:rsidRPr="00216B4D">
              <w:rPr>
                <w:sz w:val="20"/>
                <w:szCs w:val="20"/>
              </w:rPr>
              <w:t>operationalised</w:t>
            </w:r>
            <w:proofErr w:type="spellEnd"/>
            <w:r w:rsidRPr="00216B4D">
              <w:rPr>
                <w:sz w:val="20"/>
                <w:szCs w:val="20"/>
              </w:rPr>
              <w:t>.</w:t>
            </w:r>
          </w:p>
        </w:tc>
        <w:tc>
          <w:tcPr>
            <w:tcW w:w="842"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KWS reports;</w:t>
            </w:r>
          </w:p>
          <w:p w:rsidR="001D33E6" w:rsidRPr="00216B4D" w:rsidRDefault="001D33E6" w:rsidP="001C06F5">
            <w:pPr>
              <w:spacing w:after="0"/>
              <w:rPr>
                <w:sz w:val="20"/>
                <w:szCs w:val="20"/>
              </w:rPr>
            </w:pPr>
            <w:r w:rsidRPr="00216B4D">
              <w:rPr>
                <w:sz w:val="20"/>
                <w:szCs w:val="20"/>
              </w:rPr>
              <w:t>Approved infrastructure development guidelines</w:t>
            </w:r>
          </w:p>
        </w:tc>
        <w:tc>
          <w:tcPr>
            <w:tcW w:w="942" w:type="pct"/>
            <w:vMerge/>
            <w:shd w:val="clear" w:color="auto" w:fill="EAF1DD"/>
            <w:tcMar>
              <w:top w:w="29" w:type="dxa"/>
              <w:left w:w="72" w:type="dxa"/>
              <w:bottom w:w="29" w:type="dxa"/>
              <w:right w:w="72" w:type="dxa"/>
            </w:tcMar>
          </w:tcPr>
          <w:p w:rsidR="001D33E6" w:rsidRPr="00216B4D" w:rsidRDefault="001D33E6" w:rsidP="001C06F5">
            <w:pPr>
              <w:spacing w:after="0"/>
              <w:rPr>
                <w:iCs/>
                <w:sz w:val="20"/>
                <w:szCs w:val="20"/>
              </w:rPr>
            </w:pPr>
          </w:p>
        </w:tc>
      </w:tr>
      <w:tr w:rsidR="001D33E6" w:rsidRPr="00216B4D" w:rsidTr="001C06F5">
        <w:trPr>
          <w:trHeight w:val="334"/>
        </w:trPr>
        <w:tc>
          <w:tcPr>
            <w:tcW w:w="707" w:type="pct"/>
            <w:vMerge w:val="restart"/>
            <w:tcMar>
              <w:top w:w="29" w:type="dxa"/>
              <w:left w:w="72" w:type="dxa"/>
              <w:bottom w:w="29" w:type="dxa"/>
              <w:right w:w="72" w:type="dxa"/>
            </w:tcMar>
          </w:tcPr>
          <w:p w:rsidR="001D33E6" w:rsidRPr="00216B4D" w:rsidRDefault="001D33E6" w:rsidP="00E86546">
            <w:pPr>
              <w:rPr>
                <w:b/>
                <w:sz w:val="20"/>
                <w:szCs w:val="20"/>
              </w:rPr>
            </w:pPr>
            <w:r w:rsidRPr="00216B4D">
              <w:rPr>
                <w:b/>
                <w:sz w:val="20"/>
                <w:szCs w:val="20"/>
              </w:rPr>
              <w:t xml:space="preserve">Component 3 </w:t>
            </w:r>
            <w:r w:rsidRPr="00216B4D">
              <w:rPr>
                <w:sz w:val="20"/>
                <w:szCs w:val="20"/>
              </w:rPr>
              <w:t>– Increased benefits from tourism shared more equitably.</w:t>
            </w:r>
          </w:p>
        </w:tc>
        <w:tc>
          <w:tcPr>
            <w:tcW w:w="3351" w:type="pct"/>
            <w:gridSpan w:val="4"/>
            <w:shd w:val="clear" w:color="auto" w:fill="DAEEF3" w:themeFill="accent5" w:themeFillTint="33"/>
            <w:tcMar>
              <w:top w:w="29" w:type="dxa"/>
              <w:left w:w="72" w:type="dxa"/>
              <w:bottom w:w="29" w:type="dxa"/>
              <w:right w:w="72" w:type="dxa"/>
            </w:tcMar>
          </w:tcPr>
          <w:p w:rsidR="001D33E6" w:rsidRPr="005E6D67" w:rsidRDefault="001D33E6" w:rsidP="00E86546">
            <w:pPr>
              <w:rPr>
                <w:sz w:val="20"/>
                <w:szCs w:val="20"/>
              </w:rPr>
            </w:pPr>
            <w:r w:rsidRPr="005E6D67">
              <w:rPr>
                <w:sz w:val="20"/>
                <w:szCs w:val="20"/>
              </w:rPr>
              <w:t>3.1 A negotiated ecosystem-wide tourism development plan formulated and implementation initiated, to support sustainable tourism development and infrastructure development outside the core PAs.</w:t>
            </w:r>
          </w:p>
          <w:p w:rsidR="001D33E6" w:rsidRPr="005E6D67" w:rsidRDefault="001D33E6" w:rsidP="00E86546">
            <w:pPr>
              <w:rPr>
                <w:sz w:val="20"/>
                <w:szCs w:val="20"/>
              </w:rPr>
            </w:pPr>
            <w:r w:rsidRPr="005E6D67">
              <w:rPr>
                <w:sz w:val="20"/>
                <w:szCs w:val="20"/>
              </w:rPr>
              <w:t xml:space="preserve">3.2 Tourism returns to local communities enhanced through formation and </w:t>
            </w:r>
            <w:proofErr w:type="spellStart"/>
            <w:r w:rsidRPr="005E6D67">
              <w:rPr>
                <w:sz w:val="20"/>
                <w:szCs w:val="20"/>
              </w:rPr>
              <w:t>operationalisation</w:t>
            </w:r>
            <w:proofErr w:type="spellEnd"/>
            <w:r w:rsidRPr="005E6D67">
              <w:rPr>
                <w:sz w:val="20"/>
                <w:szCs w:val="20"/>
              </w:rPr>
              <w:t xml:space="preserve"> of finance management mechanisms.</w:t>
            </w:r>
          </w:p>
          <w:p w:rsidR="001D33E6" w:rsidRPr="005E6D67" w:rsidRDefault="001D33E6" w:rsidP="00E86546">
            <w:pPr>
              <w:rPr>
                <w:sz w:val="20"/>
                <w:szCs w:val="20"/>
              </w:rPr>
            </w:pPr>
            <w:r w:rsidRPr="005E6D67">
              <w:rPr>
                <w:sz w:val="20"/>
                <w:szCs w:val="20"/>
              </w:rPr>
              <w:t>3.3 Partnerships between the private sector and group ranches on tourism outside the core PAs increased and made more equitable through development of new and innovative tourism products and other incentives (such as tax breaks), and renewed branding and marketing.</w:t>
            </w:r>
          </w:p>
          <w:p w:rsidR="001D33E6" w:rsidRPr="00216B4D" w:rsidRDefault="001D33E6" w:rsidP="00E86546">
            <w:pPr>
              <w:rPr>
                <w:sz w:val="20"/>
                <w:szCs w:val="20"/>
              </w:rPr>
            </w:pPr>
            <w:r w:rsidRPr="005E6D67">
              <w:rPr>
                <w:sz w:val="20"/>
                <w:szCs w:val="20"/>
              </w:rPr>
              <w:t xml:space="preserve">3.4 PES for green water credits operation and earning money to land users on the </w:t>
            </w:r>
            <w:proofErr w:type="spellStart"/>
            <w:r w:rsidRPr="005E6D67">
              <w:rPr>
                <w:sz w:val="20"/>
                <w:szCs w:val="20"/>
              </w:rPr>
              <w:t>Chyulu</w:t>
            </w:r>
            <w:proofErr w:type="spellEnd"/>
            <w:r w:rsidRPr="005E6D67">
              <w:rPr>
                <w:sz w:val="20"/>
                <w:szCs w:val="20"/>
              </w:rPr>
              <w:t xml:space="preserve"> hills(co-finance);</w:t>
            </w:r>
          </w:p>
        </w:tc>
        <w:tc>
          <w:tcPr>
            <w:tcW w:w="942" w:type="pct"/>
            <w:vMerge w:val="restart"/>
            <w:shd w:val="clear" w:color="auto" w:fill="EAF1DD"/>
            <w:tcMar>
              <w:top w:w="29" w:type="dxa"/>
              <w:left w:w="72" w:type="dxa"/>
              <w:bottom w:w="29" w:type="dxa"/>
              <w:right w:w="72" w:type="dxa"/>
            </w:tcMar>
          </w:tcPr>
          <w:p w:rsidR="001D33E6" w:rsidRPr="00216B4D" w:rsidRDefault="001D33E6" w:rsidP="00E86546">
            <w:pPr>
              <w:rPr>
                <w:iCs/>
                <w:sz w:val="20"/>
                <w:szCs w:val="20"/>
              </w:rPr>
            </w:pPr>
            <w:r w:rsidRPr="00216B4D">
              <w:rPr>
                <w:iCs/>
                <w:sz w:val="20"/>
                <w:szCs w:val="20"/>
                <w:u w:val="single"/>
              </w:rPr>
              <w:t>Risks</w:t>
            </w:r>
            <w:r w:rsidRPr="00216B4D">
              <w:rPr>
                <w:iCs/>
                <w:sz w:val="20"/>
                <w:szCs w:val="20"/>
              </w:rPr>
              <w:t xml:space="preserve">: -Declining tourism revenue unable to stimulate the necessary </w:t>
            </w:r>
            <w:r w:rsidRPr="00216B4D">
              <w:rPr>
                <w:rStyle w:val="CharChar1"/>
                <w:sz w:val="20"/>
                <w:szCs w:val="20"/>
                <w:lang w:val="en-GB"/>
              </w:rPr>
              <w:t>paradigm shift from unsustainable to sustainable wildlife management.</w:t>
            </w:r>
          </w:p>
          <w:p w:rsidR="001D33E6" w:rsidRPr="00216B4D" w:rsidRDefault="001D33E6" w:rsidP="00E86546">
            <w:pPr>
              <w:rPr>
                <w:iCs/>
                <w:sz w:val="20"/>
                <w:szCs w:val="20"/>
              </w:rPr>
            </w:pPr>
          </w:p>
          <w:p w:rsidR="001D33E6" w:rsidRPr="00216B4D" w:rsidRDefault="001D33E6" w:rsidP="00E86546">
            <w:pPr>
              <w:rPr>
                <w:rStyle w:val="CharChar1"/>
                <w:sz w:val="20"/>
                <w:szCs w:val="20"/>
                <w:lang w:val="en-GB"/>
              </w:rPr>
            </w:pPr>
            <w:r w:rsidRPr="00216B4D">
              <w:rPr>
                <w:rStyle w:val="CharChar1"/>
                <w:sz w:val="20"/>
                <w:szCs w:val="20"/>
                <w:lang w:val="en-GB"/>
              </w:rPr>
              <w:t>-Participation by women in the project is limited by lack of awareness and cultural norms</w:t>
            </w:r>
          </w:p>
          <w:p w:rsidR="001D33E6" w:rsidRPr="00216B4D" w:rsidRDefault="001D33E6" w:rsidP="00E86546">
            <w:pPr>
              <w:rPr>
                <w:iCs/>
                <w:sz w:val="20"/>
                <w:szCs w:val="20"/>
              </w:rPr>
            </w:pPr>
          </w:p>
          <w:p w:rsidR="001D33E6" w:rsidRPr="00216B4D" w:rsidRDefault="001D33E6" w:rsidP="00E86546">
            <w:pPr>
              <w:rPr>
                <w:iCs/>
                <w:sz w:val="20"/>
                <w:szCs w:val="20"/>
              </w:rPr>
            </w:pPr>
            <w:r w:rsidRPr="00216B4D">
              <w:rPr>
                <w:iCs/>
                <w:sz w:val="20"/>
                <w:szCs w:val="20"/>
                <w:u w:val="single"/>
              </w:rPr>
              <w:t>Assumptions</w:t>
            </w:r>
            <w:r w:rsidRPr="00216B4D">
              <w:rPr>
                <w:iCs/>
                <w:sz w:val="20"/>
                <w:szCs w:val="20"/>
              </w:rPr>
              <w:t xml:space="preserve">: clear and defined interest in economic engagement by </w:t>
            </w:r>
            <w:r w:rsidRPr="00216B4D">
              <w:rPr>
                <w:iCs/>
                <w:sz w:val="20"/>
                <w:szCs w:val="20"/>
              </w:rPr>
              <w:lastRenderedPageBreak/>
              <w:t>appropriate stakeholders including women</w:t>
            </w:r>
          </w:p>
          <w:p w:rsidR="001D33E6" w:rsidRPr="00216B4D" w:rsidRDefault="001D33E6" w:rsidP="00E86546">
            <w:pPr>
              <w:rPr>
                <w:iCs/>
                <w:sz w:val="20"/>
                <w:szCs w:val="20"/>
                <w:u w:val="single"/>
              </w:rPr>
            </w:pPr>
          </w:p>
        </w:tc>
      </w:tr>
      <w:tr w:rsidR="001D33E6" w:rsidRPr="00216B4D" w:rsidTr="001C06F5">
        <w:trPr>
          <w:trHeight w:val="1498"/>
        </w:trPr>
        <w:tc>
          <w:tcPr>
            <w:tcW w:w="707" w:type="pct"/>
            <w:vMerge/>
            <w:tcMar>
              <w:top w:w="29" w:type="dxa"/>
              <w:left w:w="72" w:type="dxa"/>
              <w:bottom w:w="29" w:type="dxa"/>
              <w:right w:w="72" w:type="dxa"/>
            </w:tcMar>
          </w:tcPr>
          <w:p w:rsidR="001D33E6" w:rsidRPr="00216B4D" w:rsidRDefault="001D33E6" w:rsidP="001C06F5">
            <w:pPr>
              <w:spacing w:after="0"/>
              <w:rPr>
                <w:b/>
                <w:sz w:val="20"/>
                <w:szCs w:val="20"/>
              </w:rPr>
            </w:pPr>
          </w:p>
        </w:tc>
        <w:tc>
          <w:tcPr>
            <w:tcW w:w="893"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Number of leasehold agreements entered into by the local communities with tourism investors for use of conservancies or wildlife zones</w:t>
            </w:r>
          </w:p>
        </w:tc>
        <w:tc>
          <w:tcPr>
            <w:tcW w:w="754" w:type="pct"/>
            <w:tcMar>
              <w:top w:w="29" w:type="dxa"/>
              <w:left w:w="72" w:type="dxa"/>
              <w:bottom w:w="29" w:type="dxa"/>
              <w:right w:w="72" w:type="dxa"/>
            </w:tcMar>
          </w:tcPr>
          <w:p w:rsidR="001D33E6" w:rsidRPr="00216B4D" w:rsidRDefault="001D33E6" w:rsidP="001C06F5">
            <w:pPr>
              <w:spacing w:after="0"/>
              <w:ind w:right="-57"/>
              <w:jc w:val="center"/>
              <w:rPr>
                <w:sz w:val="20"/>
                <w:szCs w:val="20"/>
              </w:rPr>
            </w:pPr>
            <w:r w:rsidRPr="00216B4D">
              <w:rPr>
                <w:sz w:val="20"/>
                <w:szCs w:val="20"/>
              </w:rPr>
              <w:t>1 (Kuku GR)</w:t>
            </w:r>
          </w:p>
        </w:tc>
        <w:tc>
          <w:tcPr>
            <w:tcW w:w="862" w:type="pct"/>
            <w:tcMar>
              <w:top w:w="29" w:type="dxa"/>
              <w:left w:w="72" w:type="dxa"/>
              <w:bottom w:w="29" w:type="dxa"/>
              <w:right w:w="72" w:type="dxa"/>
            </w:tcMar>
          </w:tcPr>
          <w:p w:rsidR="001D33E6" w:rsidRPr="00216B4D" w:rsidRDefault="001D33E6" w:rsidP="001C06F5">
            <w:pPr>
              <w:spacing w:after="0"/>
              <w:jc w:val="center"/>
              <w:rPr>
                <w:sz w:val="20"/>
                <w:szCs w:val="20"/>
              </w:rPr>
            </w:pPr>
            <w:r w:rsidRPr="00216B4D">
              <w:rPr>
                <w:sz w:val="20"/>
                <w:szCs w:val="20"/>
              </w:rPr>
              <w:t>At least 5 leasehold/management agreements</w:t>
            </w:r>
          </w:p>
        </w:tc>
        <w:tc>
          <w:tcPr>
            <w:tcW w:w="842"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KWS reports;</w:t>
            </w:r>
          </w:p>
          <w:p w:rsidR="001D33E6" w:rsidRPr="00216B4D" w:rsidRDefault="001D33E6" w:rsidP="001C06F5">
            <w:pPr>
              <w:spacing w:after="0"/>
              <w:rPr>
                <w:iCs/>
                <w:sz w:val="20"/>
                <w:szCs w:val="20"/>
              </w:rPr>
            </w:pPr>
            <w:r w:rsidRPr="00216B4D">
              <w:rPr>
                <w:sz w:val="20"/>
                <w:szCs w:val="20"/>
              </w:rPr>
              <w:t>Independent mid-term and final evaluations</w:t>
            </w:r>
          </w:p>
        </w:tc>
        <w:tc>
          <w:tcPr>
            <w:tcW w:w="942" w:type="pct"/>
            <w:vMerge/>
            <w:shd w:val="clear" w:color="auto" w:fill="EAF1DD"/>
            <w:tcMar>
              <w:top w:w="29" w:type="dxa"/>
              <w:left w:w="72" w:type="dxa"/>
              <w:bottom w:w="29" w:type="dxa"/>
              <w:right w:w="72" w:type="dxa"/>
            </w:tcMar>
          </w:tcPr>
          <w:p w:rsidR="001D33E6" w:rsidRPr="00216B4D" w:rsidRDefault="001D33E6" w:rsidP="001C06F5">
            <w:pPr>
              <w:spacing w:after="0"/>
              <w:rPr>
                <w:sz w:val="20"/>
                <w:szCs w:val="20"/>
              </w:rPr>
            </w:pPr>
          </w:p>
        </w:tc>
      </w:tr>
      <w:tr w:rsidR="001D33E6" w:rsidRPr="00216B4D" w:rsidTr="001C06F5">
        <w:trPr>
          <w:trHeight w:val="689"/>
        </w:trPr>
        <w:tc>
          <w:tcPr>
            <w:tcW w:w="707" w:type="pct"/>
            <w:vMerge/>
            <w:tcMar>
              <w:top w:w="29" w:type="dxa"/>
              <w:left w:w="72" w:type="dxa"/>
              <w:bottom w:w="29" w:type="dxa"/>
              <w:right w:w="72" w:type="dxa"/>
            </w:tcMar>
          </w:tcPr>
          <w:p w:rsidR="001D33E6" w:rsidRPr="00216B4D" w:rsidRDefault="001D33E6" w:rsidP="001C06F5">
            <w:pPr>
              <w:spacing w:after="0"/>
              <w:rPr>
                <w:b/>
                <w:sz w:val="20"/>
                <w:szCs w:val="20"/>
              </w:rPr>
            </w:pPr>
          </w:p>
        </w:tc>
        <w:tc>
          <w:tcPr>
            <w:tcW w:w="893"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Proportion of household incomes generated from wildlife-related activities</w:t>
            </w:r>
          </w:p>
        </w:tc>
        <w:tc>
          <w:tcPr>
            <w:tcW w:w="754" w:type="pct"/>
            <w:tcMar>
              <w:top w:w="29" w:type="dxa"/>
              <w:left w:w="72" w:type="dxa"/>
              <w:bottom w:w="29" w:type="dxa"/>
              <w:right w:w="72" w:type="dxa"/>
            </w:tcMar>
          </w:tcPr>
          <w:p w:rsidR="001D33E6" w:rsidRPr="00216B4D" w:rsidRDefault="001D33E6" w:rsidP="001C06F5">
            <w:pPr>
              <w:spacing w:after="0"/>
              <w:ind w:right="-57"/>
              <w:jc w:val="center"/>
              <w:rPr>
                <w:sz w:val="20"/>
                <w:szCs w:val="20"/>
              </w:rPr>
            </w:pPr>
            <w:r w:rsidRPr="00216B4D">
              <w:rPr>
                <w:sz w:val="20"/>
                <w:szCs w:val="20"/>
              </w:rPr>
              <w:t>&lt;3% as determined during PPG activities</w:t>
            </w:r>
          </w:p>
        </w:tc>
        <w:tc>
          <w:tcPr>
            <w:tcW w:w="862" w:type="pct"/>
            <w:tcMar>
              <w:top w:w="29" w:type="dxa"/>
              <w:left w:w="72" w:type="dxa"/>
              <w:bottom w:w="29" w:type="dxa"/>
              <w:right w:w="72" w:type="dxa"/>
            </w:tcMar>
          </w:tcPr>
          <w:p w:rsidR="001D33E6" w:rsidRPr="00216B4D" w:rsidRDefault="001D33E6" w:rsidP="001C06F5">
            <w:pPr>
              <w:spacing w:after="0"/>
              <w:jc w:val="center"/>
              <w:rPr>
                <w:sz w:val="20"/>
                <w:szCs w:val="20"/>
              </w:rPr>
            </w:pPr>
            <w:r w:rsidRPr="00216B4D">
              <w:rPr>
                <w:sz w:val="20"/>
                <w:szCs w:val="20"/>
              </w:rPr>
              <w:t>Increase to at least 10%</w:t>
            </w:r>
          </w:p>
        </w:tc>
        <w:tc>
          <w:tcPr>
            <w:tcW w:w="842" w:type="pct"/>
            <w:tcMar>
              <w:top w:w="29" w:type="dxa"/>
              <w:left w:w="72" w:type="dxa"/>
              <w:bottom w:w="29" w:type="dxa"/>
              <w:right w:w="72" w:type="dxa"/>
            </w:tcMar>
          </w:tcPr>
          <w:p w:rsidR="001D33E6" w:rsidRPr="00216B4D" w:rsidRDefault="001D33E6" w:rsidP="001C06F5">
            <w:pPr>
              <w:spacing w:after="0"/>
              <w:rPr>
                <w:iCs/>
                <w:sz w:val="20"/>
                <w:szCs w:val="20"/>
              </w:rPr>
            </w:pPr>
            <w:r w:rsidRPr="00216B4D">
              <w:rPr>
                <w:iCs/>
                <w:sz w:val="20"/>
                <w:szCs w:val="20"/>
              </w:rPr>
              <w:t>KWS reports and Fiscal monitoring programmes</w:t>
            </w:r>
          </w:p>
        </w:tc>
        <w:tc>
          <w:tcPr>
            <w:tcW w:w="942" w:type="pct"/>
            <w:vMerge/>
            <w:shd w:val="clear" w:color="auto" w:fill="EAF1DD"/>
            <w:tcMar>
              <w:top w:w="29" w:type="dxa"/>
              <w:left w:w="72" w:type="dxa"/>
              <w:bottom w:w="29" w:type="dxa"/>
              <w:right w:w="72" w:type="dxa"/>
            </w:tcMar>
          </w:tcPr>
          <w:p w:rsidR="001D33E6" w:rsidRPr="00216B4D" w:rsidRDefault="001D33E6" w:rsidP="001C06F5">
            <w:pPr>
              <w:spacing w:after="0"/>
              <w:rPr>
                <w:sz w:val="20"/>
                <w:szCs w:val="20"/>
              </w:rPr>
            </w:pPr>
          </w:p>
        </w:tc>
      </w:tr>
      <w:tr w:rsidR="001D33E6" w:rsidRPr="00216B4D" w:rsidTr="001C06F5">
        <w:tc>
          <w:tcPr>
            <w:tcW w:w="707" w:type="pct"/>
            <w:vMerge/>
            <w:tcMar>
              <w:top w:w="29" w:type="dxa"/>
              <w:left w:w="72" w:type="dxa"/>
              <w:bottom w:w="29" w:type="dxa"/>
              <w:right w:w="72" w:type="dxa"/>
            </w:tcMar>
          </w:tcPr>
          <w:p w:rsidR="001D33E6" w:rsidRPr="00216B4D" w:rsidRDefault="001D33E6" w:rsidP="001C06F5">
            <w:pPr>
              <w:spacing w:after="0"/>
              <w:rPr>
                <w:b/>
                <w:sz w:val="20"/>
                <w:szCs w:val="20"/>
              </w:rPr>
            </w:pPr>
          </w:p>
        </w:tc>
        <w:tc>
          <w:tcPr>
            <w:tcW w:w="893"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Number of alternative livelihoods engaged in by the local communities</w:t>
            </w:r>
          </w:p>
        </w:tc>
        <w:tc>
          <w:tcPr>
            <w:tcW w:w="754" w:type="pct"/>
            <w:tcMar>
              <w:top w:w="29" w:type="dxa"/>
              <w:left w:w="72" w:type="dxa"/>
              <w:bottom w:w="29" w:type="dxa"/>
              <w:right w:w="72" w:type="dxa"/>
            </w:tcMar>
          </w:tcPr>
          <w:p w:rsidR="001D33E6" w:rsidRPr="00216B4D" w:rsidRDefault="001D33E6" w:rsidP="001C06F5">
            <w:pPr>
              <w:spacing w:after="0"/>
              <w:ind w:right="-57"/>
              <w:rPr>
                <w:sz w:val="20"/>
                <w:szCs w:val="20"/>
              </w:rPr>
            </w:pPr>
            <w:r w:rsidRPr="00216B4D">
              <w:rPr>
                <w:sz w:val="20"/>
                <w:szCs w:val="20"/>
              </w:rPr>
              <w:t xml:space="preserve">1 (Bird shooting in </w:t>
            </w:r>
            <w:proofErr w:type="spellStart"/>
            <w:r w:rsidRPr="00216B4D">
              <w:rPr>
                <w:sz w:val="20"/>
                <w:szCs w:val="20"/>
              </w:rPr>
              <w:t>Mbirikani</w:t>
            </w:r>
            <w:proofErr w:type="spellEnd"/>
            <w:r w:rsidRPr="00216B4D">
              <w:rPr>
                <w:sz w:val="20"/>
                <w:szCs w:val="20"/>
              </w:rPr>
              <w:t xml:space="preserve"> Ranch)</w:t>
            </w:r>
          </w:p>
        </w:tc>
        <w:tc>
          <w:tcPr>
            <w:tcW w:w="862"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At least 4 alternative livelihoods including Beekeeping, Sericulture, Aloe farming and eco-charcoal burning</w:t>
            </w:r>
          </w:p>
        </w:tc>
        <w:tc>
          <w:tcPr>
            <w:tcW w:w="842" w:type="pct"/>
            <w:tcMar>
              <w:top w:w="29" w:type="dxa"/>
              <w:left w:w="72" w:type="dxa"/>
              <w:bottom w:w="29" w:type="dxa"/>
              <w:right w:w="72" w:type="dxa"/>
            </w:tcMar>
          </w:tcPr>
          <w:p w:rsidR="001D33E6" w:rsidRPr="00216B4D" w:rsidRDefault="001D33E6" w:rsidP="001C06F5">
            <w:pPr>
              <w:spacing w:after="0"/>
              <w:rPr>
                <w:iCs/>
                <w:sz w:val="20"/>
                <w:szCs w:val="20"/>
              </w:rPr>
            </w:pPr>
            <w:r w:rsidRPr="00216B4D">
              <w:rPr>
                <w:iCs/>
                <w:sz w:val="20"/>
                <w:szCs w:val="20"/>
              </w:rPr>
              <w:t>Reports by ACC, ACP and KWS</w:t>
            </w:r>
          </w:p>
          <w:p w:rsidR="001D33E6" w:rsidRPr="00216B4D" w:rsidRDefault="001D33E6" w:rsidP="001C06F5">
            <w:pPr>
              <w:spacing w:after="0"/>
              <w:rPr>
                <w:iCs/>
                <w:sz w:val="20"/>
                <w:szCs w:val="20"/>
              </w:rPr>
            </w:pPr>
            <w:r w:rsidRPr="00216B4D">
              <w:rPr>
                <w:sz w:val="20"/>
                <w:szCs w:val="20"/>
              </w:rPr>
              <w:t>Independent mid-term and final evaluations</w:t>
            </w:r>
          </w:p>
        </w:tc>
        <w:tc>
          <w:tcPr>
            <w:tcW w:w="942" w:type="pct"/>
            <w:vMerge/>
            <w:shd w:val="clear" w:color="auto" w:fill="EAF1DD"/>
            <w:tcMar>
              <w:top w:w="29" w:type="dxa"/>
              <w:left w:w="72" w:type="dxa"/>
              <w:bottom w:w="29" w:type="dxa"/>
              <w:right w:w="72" w:type="dxa"/>
            </w:tcMar>
          </w:tcPr>
          <w:p w:rsidR="001D33E6" w:rsidRPr="00216B4D" w:rsidRDefault="001D33E6" w:rsidP="001C06F5">
            <w:pPr>
              <w:spacing w:after="0"/>
              <w:rPr>
                <w:sz w:val="20"/>
                <w:szCs w:val="20"/>
              </w:rPr>
            </w:pPr>
          </w:p>
        </w:tc>
      </w:tr>
      <w:tr w:rsidR="001D33E6" w:rsidRPr="00216B4D" w:rsidTr="001C06F5">
        <w:tc>
          <w:tcPr>
            <w:tcW w:w="707" w:type="pct"/>
            <w:vMerge/>
            <w:tcMar>
              <w:top w:w="29" w:type="dxa"/>
              <w:left w:w="72" w:type="dxa"/>
              <w:bottom w:w="29" w:type="dxa"/>
              <w:right w:w="72" w:type="dxa"/>
            </w:tcMar>
          </w:tcPr>
          <w:p w:rsidR="001D33E6" w:rsidRPr="00216B4D" w:rsidRDefault="001D33E6" w:rsidP="001C06F5">
            <w:pPr>
              <w:spacing w:after="0"/>
              <w:rPr>
                <w:b/>
                <w:sz w:val="20"/>
                <w:szCs w:val="20"/>
              </w:rPr>
            </w:pPr>
          </w:p>
        </w:tc>
        <w:tc>
          <w:tcPr>
            <w:tcW w:w="893"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 xml:space="preserve">Number of tourists visiting conservancies </w:t>
            </w:r>
          </w:p>
        </w:tc>
        <w:tc>
          <w:tcPr>
            <w:tcW w:w="754" w:type="pct"/>
            <w:tcMar>
              <w:top w:w="29" w:type="dxa"/>
              <w:left w:w="72" w:type="dxa"/>
              <w:bottom w:w="29" w:type="dxa"/>
              <w:right w:w="72" w:type="dxa"/>
            </w:tcMar>
          </w:tcPr>
          <w:p w:rsidR="001D33E6" w:rsidRPr="00216B4D" w:rsidRDefault="001D33E6" w:rsidP="001C06F5">
            <w:pPr>
              <w:spacing w:after="0"/>
              <w:ind w:right="-57"/>
              <w:rPr>
                <w:sz w:val="20"/>
                <w:szCs w:val="20"/>
              </w:rPr>
            </w:pPr>
            <w:r w:rsidRPr="00216B4D">
              <w:rPr>
                <w:sz w:val="20"/>
                <w:szCs w:val="20"/>
              </w:rPr>
              <w:t xml:space="preserve">Majority of tourists visit the 3 core NPs, few </w:t>
            </w:r>
            <w:proofErr w:type="gramStart"/>
            <w:r w:rsidR="001C06F5" w:rsidRPr="00216B4D">
              <w:rPr>
                <w:sz w:val="20"/>
                <w:szCs w:val="20"/>
              </w:rPr>
              <w:t>venture</w:t>
            </w:r>
            <w:proofErr w:type="gramEnd"/>
            <w:r w:rsidRPr="00216B4D">
              <w:rPr>
                <w:sz w:val="20"/>
                <w:szCs w:val="20"/>
              </w:rPr>
              <w:t xml:space="preserve"> to conservancies</w:t>
            </w:r>
          </w:p>
        </w:tc>
        <w:tc>
          <w:tcPr>
            <w:tcW w:w="862"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Increase by up to 50% of number of visitors to conservancies.</w:t>
            </w:r>
          </w:p>
        </w:tc>
        <w:tc>
          <w:tcPr>
            <w:tcW w:w="842"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Kenya Tourism Development Board reports</w:t>
            </w:r>
          </w:p>
          <w:p w:rsidR="001D33E6" w:rsidRPr="00216B4D" w:rsidRDefault="001D33E6" w:rsidP="001C06F5">
            <w:pPr>
              <w:spacing w:after="0"/>
              <w:rPr>
                <w:sz w:val="20"/>
                <w:szCs w:val="20"/>
              </w:rPr>
            </w:pPr>
            <w:r w:rsidRPr="00216B4D">
              <w:rPr>
                <w:sz w:val="20"/>
                <w:szCs w:val="20"/>
              </w:rPr>
              <w:t>KWS reports</w:t>
            </w:r>
          </w:p>
        </w:tc>
        <w:tc>
          <w:tcPr>
            <w:tcW w:w="942" w:type="pct"/>
            <w:vMerge/>
            <w:shd w:val="clear" w:color="auto" w:fill="EAF1DD"/>
            <w:tcMar>
              <w:top w:w="29" w:type="dxa"/>
              <w:left w:w="72" w:type="dxa"/>
              <w:bottom w:w="29" w:type="dxa"/>
              <w:right w:w="72" w:type="dxa"/>
            </w:tcMar>
          </w:tcPr>
          <w:p w:rsidR="001D33E6" w:rsidRPr="00216B4D" w:rsidRDefault="001D33E6" w:rsidP="001C06F5">
            <w:pPr>
              <w:spacing w:after="0"/>
              <w:rPr>
                <w:sz w:val="20"/>
                <w:szCs w:val="20"/>
              </w:rPr>
            </w:pPr>
          </w:p>
        </w:tc>
      </w:tr>
      <w:tr w:rsidR="001D33E6" w:rsidRPr="00216B4D" w:rsidTr="001C06F5">
        <w:tc>
          <w:tcPr>
            <w:tcW w:w="707" w:type="pct"/>
            <w:vMerge/>
            <w:tcMar>
              <w:top w:w="29" w:type="dxa"/>
              <w:left w:w="72" w:type="dxa"/>
              <w:bottom w:w="29" w:type="dxa"/>
              <w:right w:w="72" w:type="dxa"/>
            </w:tcMar>
          </w:tcPr>
          <w:p w:rsidR="001D33E6" w:rsidRPr="00216B4D" w:rsidRDefault="001D33E6" w:rsidP="001C06F5">
            <w:pPr>
              <w:spacing w:after="0"/>
              <w:rPr>
                <w:b/>
                <w:sz w:val="20"/>
                <w:szCs w:val="20"/>
              </w:rPr>
            </w:pPr>
          </w:p>
        </w:tc>
        <w:tc>
          <w:tcPr>
            <w:tcW w:w="893"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Number of PES schemes established and implemented.</w:t>
            </w:r>
          </w:p>
        </w:tc>
        <w:tc>
          <w:tcPr>
            <w:tcW w:w="754" w:type="pct"/>
            <w:tcMar>
              <w:top w:w="29" w:type="dxa"/>
              <w:left w:w="72" w:type="dxa"/>
              <w:bottom w:w="29" w:type="dxa"/>
              <w:right w:w="72" w:type="dxa"/>
            </w:tcMar>
          </w:tcPr>
          <w:p w:rsidR="001D33E6" w:rsidRPr="00216B4D" w:rsidRDefault="001D33E6" w:rsidP="001C06F5">
            <w:pPr>
              <w:spacing w:after="0"/>
              <w:ind w:right="-57"/>
              <w:jc w:val="center"/>
              <w:rPr>
                <w:sz w:val="20"/>
                <w:szCs w:val="20"/>
              </w:rPr>
            </w:pPr>
            <w:r w:rsidRPr="00216B4D">
              <w:rPr>
                <w:sz w:val="20"/>
                <w:szCs w:val="20"/>
              </w:rPr>
              <w:t>1 PES scheme (Tourism PES)</w:t>
            </w:r>
          </w:p>
        </w:tc>
        <w:tc>
          <w:tcPr>
            <w:tcW w:w="862" w:type="pct"/>
            <w:tcMar>
              <w:top w:w="29" w:type="dxa"/>
              <w:left w:w="72" w:type="dxa"/>
              <w:bottom w:w="29" w:type="dxa"/>
              <w:right w:w="72" w:type="dxa"/>
            </w:tcMar>
          </w:tcPr>
          <w:p w:rsidR="001D33E6" w:rsidRPr="00216B4D" w:rsidRDefault="001D33E6" w:rsidP="001C06F5">
            <w:pPr>
              <w:spacing w:after="0"/>
              <w:rPr>
                <w:sz w:val="20"/>
                <w:szCs w:val="20"/>
              </w:rPr>
            </w:pPr>
            <w:r w:rsidRPr="00216B4D">
              <w:rPr>
                <w:sz w:val="20"/>
                <w:szCs w:val="20"/>
              </w:rPr>
              <w:t>At least 2 additional PES schemes for watershed conservation and carbon trading.</w:t>
            </w:r>
          </w:p>
        </w:tc>
        <w:tc>
          <w:tcPr>
            <w:tcW w:w="842" w:type="pct"/>
            <w:tcMar>
              <w:top w:w="29" w:type="dxa"/>
              <w:left w:w="72" w:type="dxa"/>
              <w:bottom w:w="29" w:type="dxa"/>
              <w:right w:w="72" w:type="dxa"/>
            </w:tcMar>
          </w:tcPr>
          <w:p w:rsidR="001D33E6" w:rsidRPr="00216B4D" w:rsidRDefault="001D33E6" w:rsidP="001C06F5">
            <w:pPr>
              <w:spacing w:after="0"/>
              <w:rPr>
                <w:iCs/>
                <w:sz w:val="20"/>
                <w:szCs w:val="20"/>
              </w:rPr>
            </w:pPr>
            <w:r w:rsidRPr="00216B4D">
              <w:rPr>
                <w:iCs/>
                <w:sz w:val="20"/>
                <w:szCs w:val="20"/>
              </w:rPr>
              <w:t>KWS reports and Fiscal monitoring programmes</w:t>
            </w:r>
          </w:p>
        </w:tc>
        <w:tc>
          <w:tcPr>
            <w:tcW w:w="942" w:type="pct"/>
            <w:vMerge/>
            <w:shd w:val="clear" w:color="auto" w:fill="EAF1DD"/>
            <w:tcMar>
              <w:top w:w="29" w:type="dxa"/>
              <w:left w:w="72" w:type="dxa"/>
              <w:bottom w:w="29" w:type="dxa"/>
              <w:right w:w="72" w:type="dxa"/>
            </w:tcMar>
          </w:tcPr>
          <w:p w:rsidR="001D33E6" w:rsidRPr="00216B4D" w:rsidRDefault="001D33E6" w:rsidP="001C06F5">
            <w:pPr>
              <w:spacing w:after="0"/>
              <w:rPr>
                <w:sz w:val="20"/>
                <w:szCs w:val="20"/>
              </w:rPr>
            </w:pPr>
          </w:p>
        </w:tc>
      </w:tr>
    </w:tbl>
    <w:p w:rsidR="00D6638C" w:rsidRPr="001D33E6" w:rsidRDefault="00D6638C" w:rsidP="00D6638C">
      <w:pPr>
        <w:spacing w:before="200"/>
        <w:rPr>
          <w:rFonts w:ascii="Calibri" w:eastAsia="Times New Roman" w:hAnsi="Calibri" w:cs="Times New Roman"/>
          <w:b/>
          <w:sz w:val="20"/>
          <w:szCs w:val="20"/>
          <w:lang w:val="en-GB"/>
        </w:rPr>
      </w:pPr>
    </w:p>
    <w:p w:rsidR="00D6638C" w:rsidRPr="00D6638C" w:rsidRDefault="00D6638C" w:rsidP="00D6638C">
      <w:pPr>
        <w:spacing w:before="200"/>
        <w:rPr>
          <w:rFonts w:ascii="Calibri" w:eastAsia="Times New Roman" w:hAnsi="Calibri" w:cs="Times New Roman"/>
          <w:sz w:val="20"/>
          <w:szCs w:val="20"/>
        </w:rPr>
      </w:pPr>
      <w:bookmarkStart w:id="59" w:name="_Toc299122845"/>
      <w:bookmarkStart w:id="60" w:name="_Toc299122867"/>
      <w:bookmarkStart w:id="61" w:name="_Toc299126631"/>
    </w:p>
    <w:p w:rsidR="001D33E6" w:rsidRDefault="001D33E6" w:rsidP="00F05366">
      <w:pPr>
        <w:pStyle w:val="Heading31"/>
        <w:sectPr w:rsidR="001D33E6" w:rsidSect="001D33E6">
          <w:pgSz w:w="15840" w:h="12240" w:orient="landscape"/>
          <w:pgMar w:top="1440" w:right="1440" w:bottom="1325" w:left="1440" w:header="708" w:footer="708" w:gutter="0"/>
          <w:cols w:space="708"/>
          <w:docGrid w:linePitch="360"/>
        </w:sectPr>
      </w:pPr>
      <w:bookmarkStart w:id="62" w:name="_TOR_Annex_B:"/>
      <w:bookmarkStart w:id="63" w:name="_Toc299133054"/>
      <w:bookmarkStart w:id="64" w:name="_Toc321341563"/>
      <w:bookmarkEnd w:id="62"/>
    </w:p>
    <w:p w:rsidR="00D6638C" w:rsidRPr="00D6638C" w:rsidRDefault="00D6638C" w:rsidP="00F05366">
      <w:pPr>
        <w:pStyle w:val="Heading31"/>
      </w:pPr>
      <w:r w:rsidRPr="00D6638C">
        <w:lastRenderedPageBreak/>
        <w:t>Annex B: List of Documents to be reviewed by the evaluators</w:t>
      </w:r>
      <w:bookmarkEnd w:id="59"/>
      <w:bookmarkEnd w:id="60"/>
      <w:bookmarkEnd w:id="61"/>
      <w:bookmarkEnd w:id="63"/>
      <w:bookmarkEnd w:id="64"/>
    </w:p>
    <w:p w:rsidR="00DC4E22" w:rsidRPr="00755528" w:rsidRDefault="00DC4E22" w:rsidP="00DC4E22">
      <w:pPr>
        <w:pStyle w:val="FootnoteText"/>
        <w:rPr>
          <w:rFonts w:ascii="Calibri" w:hAnsi="Calibri" w:cs="Calibri"/>
          <w:szCs w:val="18"/>
          <w:lang w:val="en-CA"/>
        </w:rPr>
      </w:pPr>
      <w:r w:rsidRPr="00755528">
        <w:rPr>
          <w:rFonts w:ascii="Calibri" w:hAnsi="Calibri" w:cs="Calibri"/>
          <w:szCs w:val="18"/>
          <w:lang w:val="en-CA"/>
        </w:rPr>
        <w:t xml:space="preserve">UNDP. Evaluation Office. 2012. </w:t>
      </w:r>
      <w:r w:rsidRPr="00755528">
        <w:rPr>
          <w:rFonts w:ascii="Calibri" w:hAnsi="Calibri" w:cs="Calibri"/>
          <w:i/>
          <w:szCs w:val="18"/>
          <w:lang w:val="en-CA"/>
        </w:rPr>
        <w:t xml:space="preserve">Guidance for Conducting Terminal Evaluations of UNDP-Supported, GEF-Financed Projects. </w:t>
      </w:r>
      <w:r w:rsidRPr="00755528">
        <w:rPr>
          <w:rFonts w:ascii="Calibri" w:hAnsi="Calibri" w:cs="Calibri"/>
          <w:szCs w:val="18"/>
          <w:lang w:val="en-CA"/>
        </w:rPr>
        <w:t>iii + 53 p.</w:t>
      </w:r>
    </w:p>
    <w:p w:rsidR="00DC4E22" w:rsidRPr="00755528" w:rsidRDefault="00DC4E22" w:rsidP="00DC4E22">
      <w:pPr>
        <w:pStyle w:val="FootnoteText"/>
        <w:rPr>
          <w:rFonts w:ascii="Calibri" w:hAnsi="Calibri" w:cs="Calibri"/>
          <w:szCs w:val="18"/>
          <w:lang w:val="en-CA"/>
        </w:rPr>
      </w:pPr>
    </w:p>
    <w:p w:rsidR="00DC4E22" w:rsidRPr="002D66A9" w:rsidRDefault="00DC4E22" w:rsidP="00DC4E22">
      <w:pPr>
        <w:shd w:val="clear" w:color="auto" w:fill="FFFFFF"/>
        <w:spacing w:before="120" w:after="0"/>
        <w:rPr>
          <w:rFonts w:ascii="Calibri" w:eastAsia="Times New Roman" w:hAnsi="Calibri" w:cs="Calibri"/>
          <w:b/>
          <w:bCs/>
          <w:color w:val="222222"/>
          <w:sz w:val="19"/>
          <w:szCs w:val="19"/>
          <w:lang w:val="en-CA" w:eastAsia="fr-CA"/>
        </w:rPr>
      </w:pPr>
      <w:r w:rsidRPr="002D66A9">
        <w:rPr>
          <w:rFonts w:ascii="Calibri" w:eastAsia="Times New Roman" w:hAnsi="Calibri" w:cs="Calibri"/>
          <w:b/>
          <w:bCs/>
          <w:color w:val="222222"/>
          <w:sz w:val="19"/>
          <w:szCs w:val="19"/>
          <w:lang w:val="en-CA" w:eastAsia="fr-CA"/>
        </w:rPr>
        <w:t>Project development documents:</w:t>
      </w:r>
    </w:p>
    <w:p w:rsidR="00DC4E22" w:rsidRPr="00755528" w:rsidRDefault="00DC4E22" w:rsidP="00DC4E22">
      <w:pPr>
        <w:shd w:val="clear" w:color="auto" w:fill="FFFFFF"/>
        <w:spacing w:after="0"/>
        <w:ind w:left="284"/>
        <w:rPr>
          <w:rFonts w:ascii="Calibri" w:eastAsia="Times New Roman" w:hAnsi="Calibri" w:cs="Calibri"/>
          <w:color w:val="222222"/>
          <w:sz w:val="18"/>
          <w:szCs w:val="18"/>
          <w:lang w:val="en-CA" w:eastAsia="fr-CA"/>
        </w:rPr>
      </w:pPr>
      <w:r w:rsidRPr="00755528">
        <w:rPr>
          <w:rFonts w:cstheme="minorHAnsi"/>
          <w:sz w:val="18"/>
          <w:szCs w:val="18"/>
          <w:lang w:val="en-CA"/>
        </w:rPr>
        <w:t xml:space="preserve">UNDP-GEF - Government of </w:t>
      </w:r>
      <w:r w:rsidR="009E0003">
        <w:rPr>
          <w:rFonts w:cstheme="minorHAnsi"/>
          <w:sz w:val="18"/>
          <w:szCs w:val="18"/>
          <w:lang w:val="en-CA"/>
        </w:rPr>
        <w:t>Kenya</w:t>
      </w:r>
      <w:r w:rsidRPr="00755528">
        <w:rPr>
          <w:rFonts w:cstheme="minorHAnsi"/>
          <w:sz w:val="18"/>
          <w:szCs w:val="18"/>
          <w:lang w:val="en-CA"/>
        </w:rPr>
        <w:t>. 201</w:t>
      </w:r>
      <w:r w:rsidR="009E0003">
        <w:rPr>
          <w:rFonts w:cstheme="minorHAnsi"/>
          <w:sz w:val="18"/>
          <w:szCs w:val="18"/>
          <w:lang w:val="en-CA"/>
        </w:rPr>
        <w:t>5</w:t>
      </w:r>
      <w:r w:rsidRPr="00755528">
        <w:rPr>
          <w:rFonts w:cstheme="minorHAnsi"/>
          <w:sz w:val="18"/>
          <w:szCs w:val="18"/>
          <w:lang w:val="en-CA"/>
        </w:rPr>
        <w:t>. Project Document.</w:t>
      </w:r>
    </w:p>
    <w:p w:rsidR="00DC4E22" w:rsidRPr="00755528" w:rsidRDefault="00DC4E22" w:rsidP="00DC4E22">
      <w:pPr>
        <w:shd w:val="clear" w:color="auto" w:fill="FFFFFF"/>
        <w:spacing w:after="0"/>
        <w:ind w:left="284"/>
        <w:rPr>
          <w:rFonts w:ascii="Calibri" w:eastAsia="Times New Roman" w:hAnsi="Calibri" w:cs="Calibri"/>
          <w:color w:val="222222"/>
          <w:sz w:val="18"/>
          <w:szCs w:val="18"/>
          <w:lang w:val="en-CA" w:eastAsia="fr-CA"/>
        </w:rPr>
      </w:pPr>
      <w:r w:rsidRPr="00755528">
        <w:rPr>
          <w:rFonts w:ascii="Calibri" w:eastAsia="Times New Roman" w:hAnsi="Calibri" w:cs="Calibri"/>
          <w:color w:val="222222"/>
          <w:sz w:val="18"/>
          <w:szCs w:val="18"/>
          <w:lang w:val="en-CA" w:eastAsia="fr-CA"/>
        </w:rPr>
        <w:t xml:space="preserve">CEO Endorsement Request (revised). </w:t>
      </w:r>
    </w:p>
    <w:p w:rsidR="00DC4E22" w:rsidRPr="00755528" w:rsidRDefault="00DC4E22" w:rsidP="00DC4E22">
      <w:pPr>
        <w:shd w:val="clear" w:color="auto" w:fill="FFFFFF"/>
        <w:spacing w:after="0"/>
        <w:ind w:left="284"/>
        <w:rPr>
          <w:rFonts w:ascii="Calibri" w:eastAsia="Times New Roman" w:hAnsi="Calibri" w:cs="Calibri"/>
          <w:color w:val="222222"/>
          <w:sz w:val="18"/>
          <w:szCs w:val="18"/>
          <w:lang w:val="en-CA" w:eastAsia="fr-CA"/>
        </w:rPr>
      </w:pPr>
      <w:r w:rsidRPr="00755528">
        <w:rPr>
          <w:rFonts w:ascii="Calibri" w:eastAsia="Times New Roman" w:hAnsi="Calibri" w:cs="Calibri"/>
          <w:color w:val="222222"/>
          <w:sz w:val="18"/>
          <w:szCs w:val="18"/>
          <w:lang w:val="en-CA" w:eastAsia="fr-CA"/>
        </w:rPr>
        <w:t xml:space="preserve">Project Identification File (PIF). </w:t>
      </w:r>
    </w:p>
    <w:p w:rsidR="00DC4E22" w:rsidRPr="00344F2C" w:rsidRDefault="00DC4E22" w:rsidP="00DC4E22">
      <w:pPr>
        <w:shd w:val="clear" w:color="auto" w:fill="FFFFFF"/>
        <w:spacing w:before="120" w:after="0"/>
        <w:rPr>
          <w:rFonts w:ascii="Calibri" w:eastAsia="Times New Roman" w:hAnsi="Calibri" w:cs="Calibri"/>
          <w:b/>
          <w:bCs/>
          <w:color w:val="222222"/>
          <w:sz w:val="19"/>
          <w:szCs w:val="19"/>
          <w:lang w:eastAsia="fr-CA"/>
        </w:rPr>
      </w:pPr>
      <w:r w:rsidRPr="00344F2C">
        <w:rPr>
          <w:rFonts w:ascii="Calibri" w:eastAsia="Times New Roman" w:hAnsi="Calibri" w:cs="Calibri"/>
          <w:b/>
          <w:bCs/>
          <w:color w:val="222222"/>
          <w:sz w:val="19"/>
          <w:szCs w:val="19"/>
          <w:lang w:eastAsia="fr-CA"/>
        </w:rPr>
        <w:t>Technical Documents developed as part of the project implementation:</w:t>
      </w:r>
    </w:p>
    <w:p w:rsidR="00DC4E22" w:rsidRPr="00755528" w:rsidRDefault="007C07DC" w:rsidP="00DC4E22">
      <w:pPr>
        <w:shd w:val="clear" w:color="auto" w:fill="FFFFFF"/>
        <w:spacing w:after="0"/>
        <w:ind w:left="284"/>
        <w:rPr>
          <w:rFonts w:ascii="Calibri" w:eastAsia="Times New Roman" w:hAnsi="Calibri" w:cs="Calibri"/>
          <w:color w:val="222222"/>
          <w:sz w:val="18"/>
          <w:szCs w:val="18"/>
          <w:lang w:val="en-CA" w:eastAsia="fr-CA"/>
        </w:rPr>
      </w:pPr>
      <w:r>
        <w:rPr>
          <w:rFonts w:ascii="Calibri" w:eastAsia="Times New Roman" w:hAnsi="Calibri" w:cs="Calibri"/>
          <w:color w:val="222222"/>
          <w:sz w:val="18"/>
          <w:szCs w:val="18"/>
          <w:highlight w:val="yellow"/>
          <w:lang w:val="en-CA" w:eastAsia="fr-CA"/>
        </w:rPr>
        <w:t xml:space="preserve">Activity Implementation Reports from the field </w:t>
      </w:r>
    </w:p>
    <w:p w:rsidR="00DC4E22" w:rsidRPr="00294994" w:rsidRDefault="00DC4E22" w:rsidP="00DC4E22">
      <w:pPr>
        <w:shd w:val="clear" w:color="auto" w:fill="FFFFFF"/>
        <w:spacing w:before="120" w:after="0"/>
        <w:rPr>
          <w:rFonts w:ascii="Calibri" w:eastAsia="Times New Roman" w:hAnsi="Calibri" w:cs="Calibri"/>
          <w:b/>
          <w:bCs/>
          <w:color w:val="222222"/>
          <w:sz w:val="19"/>
          <w:szCs w:val="19"/>
          <w:lang w:val="en-CA" w:eastAsia="fr-CA"/>
        </w:rPr>
      </w:pPr>
      <w:r w:rsidRPr="002D66A9">
        <w:rPr>
          <w:rFonts w:ascii="Calibri" w:eastAsia="Times New Roman" w:hAnsi="Calibri" w:cs="Calibri"/>
          <w:b/>
          <w:bCs/>
          <w:color w:val="222222"/>
          <w:sz w:val="19"/>
          <w:szCs w:val="19"/>
          <w:lang w:val="en-CA" w:eastAsia="fr-CA"/>
        </w:rPr>
        <w:t>Project Management Documents:</w:t>
      </w:r>
    </w:p>
    <w:p w:rsidR="00DC4E22" w:rsidRPr="00755528" w:rsidRDefault="00DC4E22" w:rsidP="00DC4E22">
      <w:pPr>
        <w:shd w:val="clear" w:color="auto" w:fill="FFFFFF"/>
        <w:spacing w:after="0"/>
        <w:ind w:left="284"/>
        <w:rPr>
          <w:rFonts w:cstheme="minorHAnsi"/>
          <w:sz w:val="18"/>
          <w:szCs w:val="18"/>
          <w:lang w:val="en-CA"/>
        </w:rPr>
      </w:pPr>
      <w:r w:rsidRPr="00755528">
        <w:rPr>
          <w:rFonts w:cstheme="minorHAnsi"/>
          <w:sz w:val="18"/>
          <w:szCs w:val="18"/>
          <w:lang w:val="en-CA"/>
        </w:rPr>
        <w:t xml:space="preserve">Inception Workshop Report - </w:t>
      </w:r>
      <w:r w:rsidR="009E0003">
        <w:rPr>
          <w:rFonts w:cstheme="minorHAnsi"/>
          <w:sz w:val="18"/>
          <w:szCs w:val="18"/>
          <w:lang w:val="en-CA"/>
        </w:rPr>
        <w:t>2015</w:t>
      </w:r>
    </w:p>
    <w:p w:rsidR="00DC4E22" w:rsidRPr="00755528" w:rsidRDefault="00DC4E22" w:rsidP="00DC4E22">
      <w:pPr>
        <w:shd w:val="clear" w:color="auto" w:fill="FFFFFF"/>
        <w:spacing w:after="0"/>
        <w:ind w:left="284"/>
        <w:rPr>
          <w:rFonts w:cstheme="minorHAnsi"/>
          <w:sz w:val="18"/>
          <w:szCs w:val="18"/>
          <w:lang w:val="en-CA"/>
        </w:rPr>
      </w:pPr>
      <w:r w:rsidRPr="00755528">
        <w:rPr>
          <w:rFonts w:cstheme="minorHAnsi"/>
          <w:sz w:val="18"/>
          <w:szCs w:val="18"/>
          <w:lang w:val="en-CA"/>
        </w:rPr>
        <w:t>Terms of Reference of the project technical team</w:t>
      </w:r>
    </w:p>
    <w:p w:rsidR="00DC4E22" w:rsidRPr="00755528" w:rsidRDefault="00DC4E22" w:rsidP="00DC4E22">
      <w:pPr>
        <w:shd w:val="clear" w:color="auto" w:fill="FFFFFF"/>
        <w:spacing w:after="0"/>
        <w:ind w:left="284"/>
        <w:rPr>
          <w:rFonts w:cstheme="minorHAnsi"/>
          <w:sz w:val="18"/>
          <w:szCs w:val="18"/>
          <w:lang w:val="en-CA"/>
        </w:rPr>
      </w:pPr>
      <w:r w:rsidRPr="00755528">
        <w:rPr>
          <w:rFonts w:cstheme="minorHAnsi"/>
          <w:sz w:val="18"/>
          <w:szCs w:val="18"/>
          <w:lang w:val="en-CA"/>
        </w:rPr>
        <w:t>Annual Workplans and budgets</w:t>
      </w:r>
    </w:p>
    <w:p w:rsidR="00DC4E22" w:rsidRPr="00755528" w:rsidRDefault="00DC4E22" w:rsidP="00DC4E22">
      <w:pPr>
        <w:shd w:val="clear" w:color="auto" w:fill="FFFFFF"/>
        <w:spacing w:after="0"/>
        <w:ind w:left="284"/>
        <w:rPr>
          <w:rFonts w:cstheme="minorHAnsi"/>
          <w:sz w:val="18"/>
          <w:szCs w:val="18"/>
          <w:lang w:val="en-CA"/>
        </w:rPr>
      </w:pPr>
      <w:r w:rsidRPr="00755528">
        <w:rPr>
          <w:rFonts w:cstheme="minorHAnsi"/>
          <w:sz w:val="18"/>
          <w:szCs w:val="18"/>
          <w:lang w:val="en-CA"/>
        </w:rPr>
        <w:t>Project Budget and financial data</w:t>
      </w:r>
    </w:p>
    <w:p w:rsidR="00DC4E22" w:rsidRPr="00755528" w:rsidRDefault="00DC4E22" w:rsidP="00DC4E22">
      <w:pPr>
        <w:shd w:val="clear" w:color="auto" w:fill="FFFFFF"/>
        <w:spacing w:after="0"/>
        <w:ind w:left="284"/>
        <w:rPr>
          <w:rFonts w:cstheme="minorHAnsi"/>
          <w:sz w:val="18"/>
          <w:szCs w:val="18"/>
          <w:lang w:val="en-CA"/>
        </w:rPr>
      </w:pPr>
      <w:r w:rsidRPr="00755528">
        <w:rPr>
          <w:rFonts w:cstheme="minorHAnsi"/>
          <w:sz w:val="18"/>
          <w:szCs w:val="18"/>
          <w:lang w:val="en-CA"/>
        </w:rPr>
        <w:t>Project internal monitoring and evaluation reports, including GEF tracking tools, at the beginning and end of the project</w:t>
      </w:r>
    </w:p>
    <w:p w:rsidR="00DC4E22" w:rsidRPr="00755528" w:rsidRDefault="00DC4E22" w:rsidP="00DC4E22">
      <w:pPr>
        <w:shd w:val="clear" w:color="auto" w:fill="FFFFFF"/>
        <w:spacing w:after="0"/>
        <w:ind w:left="284"/>
        <w:rPr>
          <w:rFonts w:cstheme="minorHAnsi"/>
          <w:sz w:val="18"/>
          <w:szCs w:val="18"/>
          <w:lang w:val="en-CA"/>
        </w:rPr>
      </w:pPr>
      <w:r w:rsidRPr="00755528">
        <w:rPr>
          <w:rFonts w:cstheme="minorHAnsi"/>
          <w:sz w:val="18"/>
          <w:szCs w:val="18"/>
          <w:lang w:val="en-CA"/>
        </w:rPr>
        <w:t>Annual reviews of the implementation of the project (PIRs 201</w:t>
      </w:r>
      <w:r w:rsidR="009E0003">
        <w:rPr>
          <w:rFonts w:cstheme="minorHAnsi"/>
          <w:sz w:val="18"/>
          <w:szCs w:val="18"/>
          <w:lang w:val="en-CA"/>
        </w:rPr>
        <w:t>7</w:t>
      </w:r>
      <w:r w:rsidRPr="00755528">
        <w:rPr>
          <w:rFonts w:cstheme="minorHAnsi"/>
          <w:sz w:val="18"/>
          <w:szCs w:val="18"/>
          <w:lang w:val="en-CA"/>
        </w:rPr>
        <w:t xml:space="preserve"> - 201</w:t>
      </w:r>
      <w:r w:rsidR="009E0003">
        <w:rPr>
          <w:rFonts w:cstheme="minorHAnsi"/>
          <w:sz w:val="18"/>
          <w:szCs w:val="18"/>
          <w:lang w:val="en-CA"/>
        </w:rPr>
        <w:t>9</w:t>
      </w:r>
      <w:r w:rsidRPr="00755528">
        <w:rPr>
          <w:rFonts w:cstheme="minorHAnsi"/>
          <w:sz w:val="18"/>
          <w:szCs w:val="18"/>
          <w:lang w:val="en-CA"/>
        </w:rPr>
        <w:t>)</w:t>
      </w:r>
    </w:p>
    <w:p w:rsidR="00DC4E22" w:rsidRPr="00755528" w:rsidRDefault="00DC4E22" w:rsidP="00DC4E22">
      <w:pPr>
        <w:shd w:val="clear" w:color="auto" w:fill="FFFFFF"/>
        <w:spacing w:after="0"/>
        <w:ind w:left="284"/>
        <w:rPr>
          <w:rFonts w:cstheme="minorHAnsi"/>
          <w:sz w:val="18"/>
          <w:szCs w:val="18"/>
          <w:lang w:val="en-CA"/>
        </w:rPr>
      </w:pPr>
      <w:r w:rsidRPr="00755528">
        <w:rPr>
          <w:rFonts w:cstheme="minorHAnsi"/>
          <w:sz w:val="18"/>
          <w:szCs w:val="18"/>
          <w:lang w:val="en-CA"/>
        </w:rPr>
        <w:t>Minutes of the Steering Committee Meetings (</w:t>
      </w:r>
      <w:r w:rsidR="009E0003">
        <w:rPr>
          <w:rFonts w:cstheme="minorHAnsi"/>
          <w:sz w:val="18"/>
          <w:szCs w:val="18"/>
          <w:lang w:val="en-CA"/>
        </w:rPr>
        <w:t>…</w:t>
      </w:r>
      <w:r w:rsidRPr="00755528">
        <w:rPr>
          <w:rFonts w:cstheme="minorHAnsi"/>
          <w:sz w:val="18"/>
          <w:szCs w:val="18"/>
          <w:lang w:val="en-CA"/>
        </w:rPr>
        <w:t>)</w:t>
      </w:r>
    </w:p>
    <w:p w:rsidR="00DC4E22" w:rsidRPr="00755528" w:rsidRDefault="00DC4E22" w:rsidP="00DC4E22">
      <w:pPr>
        <w:shd w:val="clear" w:color="auto" w:fill="FFFFFF"/>
        <w:spacing w:after="0"/>
        <w:ind w:left="284"/>
        <w:rPr>
          <w:rFonts w:cstheme="minorHAnsi"/>
          <w:sz w:val="18"/>
          <w:szCs w:val="18"/>
          <w:lang w:val="en-CA"/>
        </w:rPr>
      </w:pPr>
      <w:r w:rsidRPr="00755528">
        <w:rPr>
          <w:rFonts w:cstheme="minorHAnsi"/>
          <w:sz w:val="18"/>
          <w:szCs w:val="18"/>
          <w:lang w:val="en-CA"/>
        </w:rPr>
        <w:t xml:space="preserve">Annual Audit </w:t>
      </w:r>
      <w:r>
        <w:rPr>
          <w:rFonts w:cstheme="minorHAnsi"/>
          <w:sz w:val="18"/>
          <w:szCs w:val="18"/>
          <w:lang w:val="en-CA"/>
        </w:rPr>
        <w:t>Report</w:t>
      </w:r>
      <w:r w:rsidRPr="00755528">
        <w:rPr>
          <w:rFonts w:cstheme="minorHAnsi"/>
          <w:sz w:val="18"/>
          <w:szCs w:val="18"/>
          <w:lang w:val="en-CA"/>
        </w:rPr>
        <w:t xml:space="preserve"> (</w:t>
      </w:r>
      <w:r>
        <w:rPr>
          <w:rFonts w:cstheme="minorHAnsi"/>
          <w:sz w:val="18"/>
          <w:szCs w:val="18"/>
          <w:lang w:val="en-CA"/>
        </w:rPr>
        <w:t>2016</w:t>
      </w:r>
      <w:r w:rsidR="009E0003">
        <w:rPr>
          <w:rFonts w:cstheme="minorHAnsi"/>
          <w:sz w:val="18"/>
          <w:szCs w:val="18"/>
          <w:lang w:val="en-CA"/>
        </w:rPr>
        <w:t>,2017</w:t>
      </w:r>
      <w:r w:rsidRPr="00755528">
        <w:rPr>
          <w:rFonts w:cstheme="minorHAnsi"/>
          <w:sz w:val="18"/>
          <w:szCs w:val="18"/>
          <w:lang w:val="en-CA"/>
        </w:rPr>
        <w:t>)</w:t>
      </w:r>
    </w:p>
    <w:p w:rsidR="00DC4E22" w:rsidRPr="002D66A9" w:rsidRDefault="00DC4E22" w:rsidP="00DC4E22">
      <w:pPr>
        <w:shd w:val="clear" w:color="auto" w:fill="FFFFFF"/>
        <w:spacing w:before="120" w:after="0"/>
        <w:rPr>
          <w:rFonts w:ascii="Calibri" w:eastAsia="Times New Roman" w:hAnsi="Calibri" w:cs="Calibri"/>
          <w:color w:val="222222"/>
          <w:sz w:val="19"/>
          <w:szCs w:val="19"/>
          <w:lang w:val="en-CA" w:eastAsia="fr-CA"/>
        </w:rPr>
      </w:pPr>
      <w:r w:rsidRPr="002D66A9">
        <w:rPr>
          <w:rFonts w:ascii="Calibri" w:eastAsia="Times New Roman" w:hAnsi="Calibri" w:cs="Calibri"/>
          <w:b/>
          <w:bCs/>
          <w:color w:val="222222"/>
          <w:sz w:val="19"/>
          <w:szCs w:val="19"/>
          <w:lang w:val="en-CA" w:eastAsia="fr-CA"/>
        </w:rPr>
        <w:t xml:space="preserve">National Documents </w:t>
      </w:r>
    </w:p>
    <w:p w:rsidR="00DC4E22" w:rsidRPr="00755528" w:rsidRDefault="00DC4E22" w:rsidP="00DC4E22">
      <w:pPr>
        <w:shd w:val="clear" w:color="auto" w:fill="FFFFFF"/>
        <w:spacing w:after="0"/>
        <w:ind w:left="284"/>
        <w:rPr>
          <w:rFonts w:cstheme="minorHAnsi"/>
          <w:sz w:val="18"/>
          <w:szCs w:val="18"/>
          <w:lang w:val="en-CA"/>
        </w:rPr>
      </w:pPr>
      <w:r w:rsidRPr="00755528">
        <w:rPr>
          <w:rFonts w:cstheme="minorHAnsi"/>
          <w:sz w:val="18"/>
          <w:szCs w:val="18"/>
          <w:lang w:val="en-CA"/>
        </w:rPr>
        <w:t xml:space="preserve">Country Programme Document and UNDAF </w:t>
      </w:r>
      <w:r w:rsidR="009E0003">
        <w:rPr>
          <w:rFonts w:cstheme="minorHAnsi"/>
          <w:sz w:val="18"/>
          <w:szCs w:val="18"/>
          <w:lang w:val="en-CA"/>
        </w:rPr>
        <w:t>Kenya</w:t>
      </w:r>
    </w:p>
    <w:p w:rsidR="00DC4E22" w:rsidRPr="00755528" w:rsidRDefault="009E0003" w:rsidP="00DC4E22">
      <w:pPr>
        <w:shd w:val="clear" w:color="auto" w:fill="FFFFFF"/>
        <w:spacing w:after="0"/>
        <w:ind w:left="284"/>
        <w:rPr>
          <w:rFonts w:cstheme="minorHAnsi"/>
          <w:sz w:val="18"/>
          <w:szCs w:val="18"/>
          <w:lang w:val="en-CA"/>
        </w:rPr>
      </w:pPr>
      <w:r>
        <w:rPr>
          <w:rFonts w:cstheme="minorHAnsi"/>
          <w:sz w:val="18"/>
          <w:szCs w:val="18"/>
          <w:lang w:val="en-CA"/>
        </w:rPr>
        <w:t xml:space="preserve">Wildlife Management and Conservation Act 2013 </w:t>
      </w:r>
    </w:p>
    <w:p w:rsidR="00D6638C" w:rsidRPr="007C07DC" w:rsidRDefault="009E0003" w:rsidP="00DC4E22">
      <w:pPr>
        <w:shd w:val="clear" w:color="auto" w:fill="FFFFFF"/>
        <w:spacing w:after="0"/>
        <w:ind w:left="284"/>
        <w:rPr>
          <w:sz w:val="18"/>
          <w:szCs w:val="18"/>
        </w:rPr>
      </w:pPr>
      <w:r w:rsidRPr="007C07DC">
        <w:rPr>
          <w:rFonts w:cstheme="minorHAnsi"/>
          <w:sz w:val="18"/>
          <w:szCs w:val="18"/>
          <w:lang w:val="en-CA"/>
        </w:rPr>
        <w:t xml:space="preserve">Report on Wildlife Corridors and Dispersal Areas </w:t>
      </w:r>
      <w:hyperlink r:id="rId11" w:history="1">
        <w:r w:rsidRPr="007C07DC">
          <w:rPr>
            <w:rStyle w:val="Hyperlink"/>
            <w:sz w:val="18"/>
            <w:szCs w:val="18"/>
          </w:rPr>
          <w:t>https://kwcakenya.com/wp-content/uploads/2018/01/Report-on-Wildlife-Corridors-and-Dispersal-Areas-Final-July-2017.pdf</w:t>
        </w:r>
      </w:hyperlink>
    </w:p>
    <w:p w:rsidR="007C07DC" w:rsidRPr="007C07DC" w:rsidRDefault="007C07DC" w:rsidP="00DC4E22">
      <w:pPr>
        <w:shd w:val="clear" w:color="auto" w:fill="FFFFFF"/>
        <w:spacing w:after="0"/>
        <w:ind w:left="284"/>
        <w:rPr>
          <w:sz w:val="18"/>
          <w:szCs w:val="18"/>
        </w:rPr>
      </w:pPr>
      <w:r w:rsidRPr="007C07DC">
        <w:rPr>
          <w:sz w:val="18"/>
          <w:szCs w:val="18"/>
        </w:rPr>
        <w:t xml:space="preserve">National Wildlife Strategy 2030  </w:t>
      </w:r>
      <w:hyperlink r:id="rId12" w:history="1">
        <w:r w:rsidRPr="007C07DC">
          <w:rPr>
            <w:rStyle w:val="Hyperlink"/>
            <w:sz w:val="18"/>
            <w:szCs w:val="18"/>
          </w:rPr>
          <w:t>http://www.tourism.go.ke/wp-content/uploads/2018/06/WILDLIFE-STRATEGY2030-ABRIDGED-VERSION-Final-June-12-2018-1.pdf</w:t>
        </w:r>
      </w:hyperlink>
    </w:p>
    <w:p w:rsidR="007C07DC" w:rsidRPr="00DC4E22" w:rsidRDefault="007C07DC" w:rsidP="00DC4E22">
      <w:pPr>
        <w:shd w:val="clear" w:color="auto" w:fill="FFFFFF"/>
        <w:spacing w:after="0"/>
        <w:ind w:left="284"/>
        <w:rPr>
          <w:rFonts w:cstheme="minorHAnsi"/>
          <w:sz w:val="18"/>
          <w:szCs w:val="18"/>
          <w:lang w:val="en-CA"/>
        </w:rPr>
        <w:sectPr w:rsidR="007C07DC" w:rsidRPr="00DC4E22" w:rsidSect="001D33E6">
          <w:pgSz w:w="12240" w:h="15840"/>
          <w:pgMar w:top="1440" w:right="1325" w:bottom="1440" w:left="1440" w:header="708" w:footer="708" w:gutter="0"/>
          <w:cols w:space="708"/>
          <w:docGrid w:linePitch="360"/>
        </w:sectPr>
      </w:pPr>
    </w:p>
    <w:p w:rsidR="00D6638C" w:rsidRDefault="00D6638C" w:rsidP="00F05366">
      <w:pPr>
        <w:pStyle w:val="Heading31"/>
      </w:pPr>
      <w:bookmarkStart w:id="65" w:name="_TOR_Annex_C:"/>
      <w:bookmarkStart w:id="66" w:name="_Toc321341564"/>
      <w:bookmarkStart w:id="67" w:name="_Toc299122846"/>
      <w:bookmarkStart w:id="68" w:name="_Toc299122868"/>
      <w:bookmarkStart w:id="69" w:name="_Toc299126632"/>
      <w:bookmarkEnd w:id="65"/>
      <w:r w:rsidRPr="00D6638C">
        <w:lastRenderedPageBreak/>
        <w:t>Annex C: Evaluation Questions</w:t>
      </w:r>
      <w:bookmarkEnd w:id="66"/>
    </w:p>
    <w:p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FD3230">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70" w:name="_TOR_Annex_D:"/>
      <w:bookmarkStart w:id="71" w:name="_Toc321341565"/>
      <w:bookmarkEnd w:id="70"/>
      <w:r w:rsidRPr="00D6638C">
        <w:lastRenderedPageBreak/>
        <w:t>Annex D: Rating</w:t>
      </w:r>
      <w:r w:rsidR="00E77635">
        <w:t xml:space="preserve"> Scales</w:t>
      </w:r>
      <w:bookmarkEnd w:id="71"/>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3. Moderately Unsatisfactory (MU): </w:t>
            </w:r>
            <w:r w:rsidR="003763B4" w:rsidRPr="00D6638C">
              <w:rPr>
                <w:rFonts w:ascii="Calibri" w:eastAsia="Times New Roman" w:hAnsi="Calibri" w:cs="Times New Roman"/>
                <w:sz w:val="20"/>
                <w:szCs w:val="20"/>
              </w:rPr>
              <w:t>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sidR="003763B4" w:rsidRPr="00D6638C">
              <w:rPr>
                <w:rFonts w:ascii="Calibri" w:eastAsia="Times New Roman" w:hAnsi="Calibri" w:cs="Times New Roman"/>
                <w:sz w:val="20"/>
                <w:szCs w:val="20"/>
              </w:rPr>
              <w:t>): moderate</w:t>
            </w:r>
            <w:r w:rsidRPr="00D6638C">
              <w:rPr>
                <w:rFonts w:ascii="Calibri" w:eastAsia="Times New Roman" w:hAnsi="Calibri" w:cs="Times New Roman"/>
                <w:sz w:val="20"/>
                <w:szCs w:val="20"/>
              </w:rPr>
              <w:t xml:space="preserv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2" w:name="_Toc299133056"/>
      <w:bookmarkStart w:id="73" w:name="_Toc321341566"/>
      <w:r w:rsidRPr="00D6638C">
        <w:lastRenderedPageBreak/>
        <w:t xml:space="preserve">Annex E: Evaluation Consultant Code of Conduct </w:t>
      </w:r>
      <w:r w:rsidR="00B913F1">
        <w:t xml:space="preserve">and </w:t>
      </w:r>
      <w:r w:rsidRPr="00D6638C">
        <w:t>Agreement Form</w:t>
      </w:r>
      <w:bookmarkEnd w:id="67"/>
      <w:bookmarkEnd w:id="68"/>
      <w:bookmarkEnd w:id="69"/>
      <w:bookmarkEnd w:id="72"/>
      <w:bookmarkEnd w:id="73"/>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4" w:name="_TOR_Annex_F:"/>
      <w:bookmarkStart w:id="75" w:name="_Toc299122847"/>
      <w:bookmarkStart w:id="76" w:name="_Toc299122869"/>
      <w:bookmarkStart w:id="77" w:name="_Toc299126633"/>
      <w:bookmarkStart w:id="78" w:name="_Toc299133057"/>
      <w:bookmarkStart w:id="79" w:name="_Toc321341567"/>
      <w:bookmarkEnd w:id="74"/>
      <w:r w:rsidRPr="00D6638C">
        <w:lastRenderedPageBreak/>
        <w:t>Annex F: Evaluation Report Outline</w:t>
      </w:r>
      <w:bookmarkEnd w:id="75"/>
      <w:bookmarkEnd w:id="76"/>
      <w:bookmarkEnd w:id="77"/>
      <w:bookmarkEnd w:id="78"/>
      <w:r w:rsidRPr="00D6638C">
        <w:rPr>
          <w:vertAlign w:val="superscript"/>
        </w:rPr>
        <w:footnoteReference w:id="4"/>
      </w:r>
      <w:bookmarkEnd w:id="79"/>
    </w:p>
    <w:tbl>
      <w:tblPr>
        <w:tblW w:w="0" w:type="auto"/>
        <w:tblInd w:w="108" w:type="dxa"/>
        <w:tblLook w:val="04A0" w:firstRow="1" w:lastRow="0" w:firstColumn="1" w:lastColumn="0" w:noHBand="0" w:noVBand="1"/>
      </w:tblPr>
      <w:tblGrid>
        <w:gridCol w:w="968"/>
        <w:gridCol w:w="8284"/>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w:t>
            </w:r>
            <w:r w:rsidR="003763B4" w:rsidRPr="00D6638C">
              <w:rPr>
                <w:rFonts w:ascii="Calibri" w:eastAsia="Times New Roman" w:hAnsi="Calibri" w:cs="Times New Roman"/>
                <w:sz w:val="20"/>
                <w:szCs w:val="20"/>
              </w:rPr>
              <w:t>of UNDP</w:t>
            </w:r>
            <w:r w:rsidRPr="00D6638C">
              <w:rPr>
                <w:rFonts w:ascii="Calibri" w:eastAsia="Times New Roman" w:hAnsi="Calibri" w:cs="Times New Roman"/>
                <w:sz w:val="20"/>
                <w:szCs w:val="20"/>
              </w:rPr>
              <w:t xml:space="preserve">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Problems that the project </w:t>
            </w:r>
            <w:r w:rsidR="003763B4" w:rsidRPr="00D6638C">
              <w:rPr>
                <w:rFonts w:ascii="Calibri" w:eastAsia="Times New Roman" w:hAnsi="Calibri" w:cs="Times New Roman"/>
                <w:sz w:val="20"/>
                <w:szCs w:val="20"/>
              </w:rPr>
              <w:t>sought to</w:t>
            </w:r>
            <w:r w:rsidRPr="00D6638C">
              <w:rPr>
                <w:rFonts w:ascii="Calibri" w:eastAsia="Times New Roman" w:hAnsi="Calibri" w:cs="Times New Roman"/>
                <w:sz w:val="20"/>
                <w:szCs w:val="20"/>
              </w:rPr>
              <w:t xml:space="preserve">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3763B4"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 (</w:t>
            </w:r>
            <w:r w:rsidR="00D6638C" w:rsidRPr="00D6638C">
              <w:rPr>
                <w:rFonts w:ascii="Calibri" w:eastAsia="Times New Roman" w:hAnsi="Calibri" w:cs="Times New Roman"/>
                <w:sz w:val="20"/>
                <w:szCs w:val="20"/>
              </w:rPr>
              <w: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80" w:name="_TOR_Annex_G:"/>
      <w:bookmarkStart w:id="81" w:name="_Toc299133058"/>
      <w:bookmarkStart w:id="82" w:name="_Toc299122848"/>
      <w:bookmarkStart w:id="83" w:name="_Toc299122870"/>
      <w:bookmarkStart w:id="84" w:name="_Toc299126634"/>
      <w:bookmarkEnd w:id="80"/>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5" w:name="_TOR_Annex_G:_1"/>
      <w:bookmarkStart w:id="86" w:name="_Toc321341568"/>
      <w:bookmarkEnd w:id="85"/>
      <w:r w:rsidRPr="00F05366">
        <w:lastRenderedPageBreak/>
        <w:t>Annex G: Evaluation Report Clearance Form</w:t>
      </w:r>
      <w:bookmarkEnd w:id="81"/>
      <w:bookmarkEnd w:id="86"/>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0D9DCF2A" wp14:editId="7A2132A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AA614A" w:rsidRPr="0084083F" w:rsidRDefault="00AA614A" w:rsidP="00D6638C">
                            <w:pPr>
                              <w:rPr>
                                <w:rFonts w:eastAsia="Batang"/>
                              </w:rPr>
                            </w:pPr>
                            <w:r w:rsidRPr="0084083F">
                              <w:rPr>
                                <w:rFonts w:eastAsia="Batang"/>
                              </w:rPr>
                              <w:t>Evaluation Report Reviewed and Cleared by</w:t>
                            </w:r>
                          </w:p>
                          <w:p w:rsidR="00AA614A" w:rsidRPr="0084083F" w:rsidRDefault="00AA614A" w:rsidP="00D6638C">
                            <w:r w:rsidRPr="0084083F">
                              <w:t>UNDP Country Office</w:t>
                            </w:r>
                          </w:p>
                          <w:p w:rsidR="00AA614A" w:rsidRPr="0084083F" w:rsidRDefault="00AA614A" w:rsidP="00D6638C">
                            <w:r w:rsidRPr="0084083F">
                              <w:t>Name:  ___________________________________________________</w:t>
                            </w:r>
                          </w:p>
                          <w:p w:rsidR="00AA614A" w:rsidRPr="0084083F" w:rsidRDefault="00AA614A" w:rsidP="00D6638C">
                            <w:r w:rsidRPr="0084083F">
                              <w:t>Signature: ______________________________       Date: _________________________________</w:t>
                            </w:r>
                          </w:p>
                          <w:p w:rsidR="00AA614A" w:rsidRPr="0084083F" w:rsidRDefault="00AA614A" w:rsidP="00D6638C">
                            <w:r w:rsidRPr="0084083F">
                              <w:t>UNDP GEF R</w:t>
                            </w:r>
                            <w:r>
                              <w:t>TA</w:t>
                            </w:r>
                          </w:p>
                          <w:p w:rsidR="00AA614A" w:rsidRPr="0084083F" w:rsidRDefault="00AA614A" w:rsidP="00D6638C">
                            <w:r w:rsidRPr="0084083F">
                              <w:t>Name:  ___________________________________________________</w:t>
                            </w:r>
                          </w:p>
                          <w:p w:rsidR="00AA614A" w:rsidRPr="0084083F" w:rsidRDefault="00AA614A"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9DCF2A"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">
                <v:textbox style="mso-fit-shape-to-text:t">
                  <w:txbxContent>
                    <w:p w:rsidR="00AA614A" w:rsidRPr="0084083F" w:rsidRDefault="00AA614A" w:rsidP="00D6638C">
                      <w:pPr>
                        <w:rPr>
                          <w:rFonts w:eastAsia="Batang"/>
                        </w:rPr>
                      </w:pPr>
                      <w:r w:rsidRPr="0084083F">
                        <w:rPr>
                          <w:rFonts w:eastAsia="Batang"/>
                        </w:rPr>
                        <w:t>Evaluation Report Reviewed and Cleared by</w:t>
                      </w:r>
                    </w:p>
                    <w:p w:rsidR="00AA614A" w:rsidRPr="0084083F" w:rsidRDefault="00AA614A" w:rsidP="00D6638C">
                      <w:r w:rsidRPr="0084083F">
                        <w:t>UNDP Country Office</w:t>
                      </w:r>
                    </w:p>
                    <w:p w:rsidR="00AA614A" w:rsidRPr="0084083F" w:rsidRDefault="00AA614A" w:rsidP="00D6638C">
                      <w:r w:rsidRPr="0084083F">
                        <w:t>Name:  ___________________________________________________</w:t>
                      </w:r>
                    </w:p>
                    <w:p w:rsidR="00AA614A" w:rsidRPr="0084083F" w:rsidRDefault="00AA614A" w:rsidP="00D6638C">
                      <w:r w:rsidRPr="0084083F">
                        <w:t>Signature: ______________________________       Date: _________________________________</w:t>
                      </w:r>
                    </w:p>
                    <w:p w:rsidR="00AA614A" w:rsidRPr="0084083F" w:rsidRDefault="00AA614A" w:rsidP="00D6638C">
                      <w:r w:rsidRPr="0084083F">
                        <w:t>UNDP GEF R</w:t>
                      </w:r>
                      <w:r>
                        <w:t>TA</w:t>
                      </w:r>
                    </w:p>
                    <w:p w:rsidR="00AA614A" w:rsidRPr="0084083F" w:rsidRDefault="00AA614A" w:rsidP="00D6638C">
                      <w:r w:rsidRPr="0084083F">
                        <w:t>Name:  ___________________________________________________</w:t>
                      </w:r>
                    </w:p>
                    <w:p w:rsidR="00AA614A" w:rsidRPr="0084083F" w:rsidRDefault="00AA614A"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2"/>
      <w:bookmarkEnd w:id="83"/>
      <w:bookmarkEnd w:id="84"/>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7" w:name="_Annex_3._Sample"/>
      <w:bookmarkEnd w:id="87"/>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14A" w:rsidRDefault="00AA614A" w:rsidP="00D6638C">
      <w:pPr>
        <w:spacing w:after="0" w:line="240" w:lineRule="auto"/>
      </w:pPr>
      <w:r>
        <w:separator/>
      </w:r>
    </w:p>
  </w:endnote>
  <w:endnote w:type="continuationSeparator" w:id="0">
    <w:p w:rsidR="00AA614A" w:rsidRDefault="00AA614A"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20B0604020202020204"/>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20B0604020202020204"/>
    <w:charset w:val="00"/>
    <w:family w:val="roman"/>
    <w:pitch w:val="default"/>
    <w:sig w:usb0="00000003" w:usb1="00000000" w:usb2="00000000" w:usb3="00000000" w:csb0="00000001" w:csb1="00000000"/>
  </w:font>
  <w:font w:name="Myriad-Bold">
    <w:altName w:val="Calibri"/>
    <w:panose1 w:val="020B0604020202020204"/>
    <w:charset w:val="00"/>
    <w:family w:val="swiss"/>
    <w:pitch w:val="default"/>
    <w:sig w:usb0="00000003" w:usb1="00000000" w:usb2="00000000" w:usb3="00000000" w:csb0="00000001" w:csb1="00000000"/>
  </w:font>
  <w:font w:name="ACaslon-Regular">
    <w:altName w:val="MS Mincho"/>
    <w:panose1 w:val="020B0604020202020204"/>
    <w:charset w:val="80"/>
    <w:family w:val="roman"/>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rsidR="00AA614A" w:rsidRDefault="00AA614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A614A" w:rsidRDefault="00AA6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14A" w:rsidRDefault="00AA614A" w:rsidP="00D6638C">
      <w:pPr>
        <w:spacing w:after="0" w:line="240" w:lineRule="auto"/>
      </w:pPr>
      <w:r>
        <w:separator/>
      </w:r>
    </w:p>
  </w:footnote>
  <w:footnote w:type="continuationSeparator" w:id="0">
    <w:p w:rsidR="00AA614A" w:rsidRDefault="00AA614A" w:rsidP="00D6638C">
      <w:pPr>
        <w:spacing w:after="0" w:line="240" w:lineRule="auto"/>
      </w:pPr>
      <w:r>
        <w:continuationSeparator/>
      </w:r>
    </w:p>
  </w:footnote>
  <w:footnote w:id="1">
    <w:p w:rsidR="00AA614A" w:rsidRDefault="00AA614A"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AA614A" w:rsidRPr="00022F8E" w:rsidRDefault="00AA614A">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rsidR="00AA614A" w:rsidRDefault="00AA614A" w:rsidP="00D6638C">
      <w:pPr>
        <w:pStyle w:val="FootnoteText"/>
      </w:pPr>
      <w:r w:rsidRPr="004B6248">
        <w:rPr>
          <w:rStyle w:val="FootnoteReference"/>
        </w:rPr>
        <w:footnoteRef/>
      </w:r>
      <w:r w:rsidRPr="00FB1376">
        <w:t>www.unevaluation.org/unegcodeofconduct</w:t>
      </w:r>
    </w:p>
    <w:p w:rsidR="00AA614A" w:rsidRDefault="00AA614A" w:rsidP="00D6638C">
      <w:pPr>
        <w:pStyle w:val="FootnoteText"/>
      </w:pPr>
    </w:p>
  </w:footnote>
  <w:footnote w:id="4">
    <w:p w:rsidR="00AA614A" w:rsidRPr="002B7151" w:rsidRDefault="00AA614A"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AA614A" w:rsidRPr="002B7151" w:rsidRDefault="00AA614A"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AA614A" w:rsidRPr="002B7151" w:rsidRDefault="00AA614A"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2"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4"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1"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5"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6" w15:restartNumberingAfterBreak="0">
    <w:nsid w:val="62581544"/>
    <w:multiLevelType w:val="hybridMultilevel"/>
    <w:tmpl w:val="F1F863A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24"/>
  </w:num>
  <w:num w:numId="4">
    <w:abstractNumId w:val="16"/>
  </w:num>
  <w:num w:numId="5">
    <w:abstractNumId w:val="2"/>
  </w:num>
  <w:num w:numId="6">
    <w:abstractNumId w:val="21"/>
  </w:num>
  <w:num w:numId="7">
    <w:abstractNumId w:val="1"/>
  </w:num>
  <w:num w:numId="8">
    <w:abstractNumId w:val="27"/>
  </w:num>
  <w:num w:numId="9">
    <w:abstractNumId w:val="11"/>
  </w:num>
  <w:num w:numId="10">
    <w:abstractNumId w:val="25"/>
  </w:num>
  <w:num w:numId="11">
    <w:abstractNumId w:val="9"/>
  </w:num>
  <w:num w:numId="12">
    <w:abstractNumId w:val="22"/>
  </w:num>
  <w:num w:numId="13">
    <w:abstractNumId w:val="20"/>
  </w:num>
  <w:num w:numId="14">
    <w:abstractNumId w:val="3"/>
  </w:num>
  <w:num w:numId="15">
    <w:abstractNumId w:val="19"/>
  </w:num>
  <w:num w:numId="16">
    <w:abstractNumId w:val="13"/>
  </w:num>
  <w:num w:numId="17">
    <w:abstractNumId w:val="4"/>
  </w:num>
  <w:num w:numId="18">
    <w:abstractNumId w:val="12"/>
  </w:num>
  <w:num w:numId="19">
    <w:abstractNumId w:val="30"/>
  </w:num>
  <w:num w:numId="20">
    <w:abstractNumId w:val="14"/>
  </w:num>
  <w:num w:numId="21">
    <w:abstractNumId w:val="10"/>
  </w:num>
  <w:num w:numId="22">
    <w:abstractNumId w:val="5"/>
  </w:num>
  <w:num w:numId="23">
    <w:abstractNumId w:val="6"/>
  </w:num>
  <w:num w:numId="24">
    <w:abstractNumId w:val="28"/>
  </w:num>
  <w:num w:numId="25">
    <w:abstractNumId w:val="0"/>
  </w:num>
  <w:num w:numId="26">
    <w:abstractNumId w:val="32"/>
  </w:num>
  <w:num w:numId="27">
    <w:abstractNumId w:val="8"/>
  </w:num>
  <w:num w:numId="28">
    <w:abstractNumId w:val="29"/>
  </w:num>
  <w:num w:numId="29">
    <w:abstractNumId w:val="18"/>
  </w:num>
  <w:num w:numId="30">
    <w:abstractNumId w:val="15"/>
  </w:num>
  <w:num w:numId="31">
    <w:abstractNumId w:val="23"/>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22F8E"/>
    <w:rsid w:val="00087EF0"/>
    <w:rsid w:val="001A54D7"/>
    <w:rsid w:val="001C06F5"/>
    <w:rsid w:val="001D33E6"/>
    <w:rsid w:val="00224F9C"/>
    <w:rsid w:val="00303541"/>
    <w:rsid w:val="00310398"/>
    <w:rsid w:val="003763B4"/>
    <w:rsid w:val="003A1C86"/>
    <w:rsid w:val="00552DCE"/>
    <w:rsid w:val="006A5FB9"/>
    <w:rsid w:val="006C1964"/>
    <w:rsid w:val="00734DEC"/>
    <w:rsid w:val="007C07DC"/>
    <w:rsid w:val="008F6C60"/>
    <w:rsid w:val="009E0003"/>
    <w:rsid w:val="00A46086"/>
    <w:rsid w:val="00AA614A"/>
    <w:rsid w:val="00B913F1"/>
    <w:rsid w:val="00D6638C"/>
    <w:rsid w:val="00D73944"/>
    <w:rsid w:val="00DC4E22"/>
    <w:rsid w:val="00E23201"/>
    <w:rsid w:val="00E662FD"/>
    <w:rsid w:val="00E77635"/>
    <w:rsid w:val="00E86546"/>
    <w:rsid w:val="00EB4CB6"/>
    <w:rsid w:val="00F05366"/>
    <w:rsid w:val="00F76D15"/>
    <w:rsid w:val="00FD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2A2FFF"/>
  <w15:docId w15:val="{2B859DE7-3862-4996-8143-DB690FA9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Heading,List Paragraph (numbered (a)),WB Para"/>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Heading Char,List Paragraph (numbered (a)) Char,WB Para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u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u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u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harChar1">
    <w:name w:val="Char Char1"/>
    <w:basedOn w:val="DefaultParagraphFont"/>
    <w:rsid w:val="001D33E6"/>
    <w:rPr>
      <w:rFonts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urism.go.ke/wp-content/uploads/2018/06/WILDLIFE-STRATEGY2030-ABRIDGED-VERSION-Final-June-12-2018-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wcakenya.com/wp-content/uploads/2018/01/Report-on-Wildlife-Corridors-and-Dispersal-Areas-Final-July-2017.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evaluation.org/ethicalguidelin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5CCF-3A81-804F-9788-2FAC8923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18</Pages>
  <Words>4698</Words>
  <Characters>26781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Saskia Marijnissen</cp:lastModifiedBy>
  <cp:revision>10</cp:revision>
  <dcterms:created xsi:type="dcterms:W3CDTF">2020-01-10T05:30:00Z</dcterms:created>
  <dcterms:modified xsi:type="dcterms:W3CDTF">2020-02-18T10:02:00Z</dcterms:modified>
</cp:coreProperties>
</file>