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D164" w14:textId="77777777" w:rsidR="00BF0763" w:rsidRPr="00AE2CDB" w:rsidRDefault="00BF0763" w:rsidP="00BF0763">
      <w:pPr>
        <w:pStyle w:val="Ttulo2"/>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14:paraId="3FB0E0D7" w14:textId="77777777" w:rsidR="00BF0763" w:rsidRDefault="00BF0763" w:rsidP="005A0E07">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1: Formatted for attachment to </w:t>
      </w:r>
      <w:hyperlink r:id="rId11" w:history="1">
        <w:r w:rsidRPr="005B06A6">
          <w:rPr>
            <w:rStyle w:val="Hipervnculo"/>
            <w:rFonts w:ascii="Garamond" w:hAnsi="Garamond"/>
            <w:b/>
            <w:sz w:val="28"/>
            <w:szCs w:val="28"/>
            <w:highlight w:val="lightGray"/>
          </w:rPr>
          <w:t>UNDP Procurement Website</w:t>
        </w:r>
      </w:hyperlink>
      <w:r>
        <w:rPr>
          <w:rFonts w:ascii="Garamond" w:hAnsi="Garamond"/>
          <w:b/>
          <w:sz w:val="28"/>
          <w:szCs w:val="28"/>
        </w:rPr>
        <w:t xml:space="preserve">  </w:t>
      </w:r>
    </w:p>
    <w:p w14:paraId="7FAE6714" w14:textId="77777777" w:rsidR="005A0E07" w:rsidRPr="005A0E07" w:rsidRDefault="005A0E07" w:rsidP="005A0E07">
      <w:pPr>
        <w:spacing w:after="0" w:line="240" w:lineRule="auto"/>
        <w:rPr>
          <w:rFonts w:ascii="Garamond" w:hAnsi="Garamond"/>
          <w:b/>
          <w:sz w:val="28"/>
          <w:szCs w:val="28"/>
        </w:rPr>
      </w:pPr>
    </w:p>
    <w:p w14:paraId="60B55556" w14:textId="77777777" w:rsidR="00BF0763" w:rsidRPr="00BE7FD4" w:rsidRDefault="00BF0763" w:rsidP="00BF0763">
      <w:pPr>
        <w:pStyle w:val="Textoindependiente"/>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2797B3D0" w14:textId="27836580"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w:t>
      </w:r>
      <w:proofErr w:type="spellStart"/>
      <w:r>
        <w:rPr>
          <w:rFonts w:ascii="Garamond" w:hAnsi="Garamond"/>
          <w:color w:val="000000"/>
          <w:lang w:val="en-GB"/>
        </w:rPr>
        <w:t>To</w:t>
      </w:r>
      <w:r w:rsidRPr="002D731C">
        <w:rPr>
          <w:rFonts w:ascii="Garamond" w:hAnsi="Garamond"/>
          <w:color w:val="000000"/>
          <w:lang w:val="en-GB"/>
        </w:rPr>
        <w:t>R</w:t>
      </w:r>
      <w:proofErr w:type="spellEnd"/>
      <w:r w:rsidRPr="002D731C">
        <w:rPr>
          <w:rFonts w:ascii="Garamond" w:hAnsi="Garamond"/>
          <w:color w:val="000000"/>
          <w:lang w:val="en-GB"/>
        </w:rPr>
        <w:t xml:space="preserve">)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2D731C">
        <w:rPr>
          <w:rFonts w:ascii="Garamond" w:hAnsi="Garamond" w:cs="Arial"/>
          <w:i/>
          <w:highlight w:val="lightGray"/>
          <w:lang w:eastAsia="ja-JP"/>
        </w:rPr>
        <w:t>full</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bookmarkStart w:id="1" w:name="OLE_LINK1"/>
      <w:r w:rsidR="00CC451B" w:rsidRPr="0014114F">
        <w:rPr>
          <w:rFonts w:cs="Arial"/>
          <w:b/>
          <w:szCs w:val="20"/>
        </w:rPr>
        <w:t>Sustainable business models for biogas production from organic municipal solid waste.</w:t>
      </w:r>
      <w:bookmarkEnd w:id="1"/>
      <w:r w:rsidR="00CC451B" w:rsidRPr="002D731C">
        <w:rPr>
          <w:rFonts w:ascii="Garamond" w:hAnsi="Garamond" w:cs="Arial"/>
          <w:lang w:eastAsia="ja-JP"/>
        </w:rPr>
        <w:t xml:space="preserve"> </w:t>
      </w:r>
      <w:r w:rsidRPr="002D731C">
        <w:rPr>
          <w:rFonts w:ascii="Garamond" w:hAnsi="Garamond" w:cs="Arial"/>
          <w:lang w:eastAsia="ja-JP"/>
        </w:rPr>
        <w:t>(PIMS</w:t>
      </w:r>
      <w:r w:rsidR="00CC451B">
        <w:rPr>
          <w:rFonts w:ascii="Garamond" w:hAnsi="Garamond" w:cs="Arial"/>
          <w:lang w:eastAsia="ja-JP"/>
        </w:rPr>
        <w:t>5345</w:t>
      </w:r>
      <w:r w:rsidRPr="002D731C">
        <w:rPr>
          <w:rFonts w:ascii="Garamond" w:hAnsi="Garamond" w:cs="Arial"/>
          <w:lang w:eastAsia="ja-JP"/>
        </w:rPr>
        <w:t xml:space="preserve">) implemented through the </w:t>
      </w:r>
      <w:r w:rsidR="009525B6">
        <w:rPr>
          <w:rFonts w:ascii="Garamond" w:hAnsi="Garamond" w:cs="Arial"/>
          <w:lang w:eastAsia="ja-JP"/>
        </w:rPr>
        <w:t>UNDP/</w:t>
      </w:r>
      <w:r w:rsidR="00CC451B">
        <w:rPr>
          <w:rFonts w:ascii="Garamond" w:hAnsi="Garamond" w:cs="Arial"/>
          <w:i/>
          <w:lang w:eastAsia="ja-JP"/>
        </w:rPr>
        <w:t>Environment and Sustainable Development Secretary (Control and Monitoring Secretary</w:t>
      </w:r>
      <w:r w:rsidR="00CC451B">
        <w:rPr>
          <w:rFonts w:ascii="Garamond" w:hAnsi="Garamond" w:cs="Arial"/>
          <w:lang w:eastAsia="ja-JP"/>
        </w:rPr>
        <w:t>),</w:t>
      </w:r>
      <w:r>
        <w:rPr>
          <w:rFonts w:ascii="Garamond" w:hAnsi="Garamond" w:cs="Arial"/>
          <w:lang w:eastAsia="ja-JP"/>
        </w:rPr>
        <w:t xml:space="preserve"> which</w:t>
      </w:r>
      <w:r w:rsidRPr="002D731C">
        <w:rPr>
          <w:rFonts w:ascii="Garamond" w:hAnsi="Garamond" w:cs="Arial"/>
          <w:lang w:eastAsia="ja-JP"/>
        </w:rPr>
        <w:t xml:space="preserve"> is to be undertaken in </w:t>
      </w:r>
      <w:r w:rsidR="009525B6">
        <w:rPr>
          <w:rFonts w:ascii="Garamond" w:hAnsi="Garamond" w:cs="Arial"/>
          <w:lang w:eastAsia="ja-JP"/>
        </w:rPr>
        <w:t>2019</w:t>
      </w:r>
      <w:r w:rsidRPr="002D731C">
        <w:rPr>
          <w:rFonts w:ascii="Garamond" w:hAnsi="Garamond" w:cs="Arial"/>
          <w:lang w:eastAsia="ja-JP"/>
        </w:rPr>
        <w:t xml:space="preserve">. </w:t>
      </w:r>
      <w:r w:rsidRPr="002D731C">
        <w:rPr>
          <w:rFonts w:ascii="Garamond" w:hAnsi="Garamond"/>
        </w:rPr>
        <w:t xml:space="preserve">The project started on the </w:t>
      </w:r>
      <w:r w:rsidR="00CC451B">
        <w:rPr>
          <w:rFonts w:ascii="Garamond" w:hAnsi="Garamond"/>
          <w:i/>
        </w:rPr>
        <w:t>January</w:t>
      </w:r>
      <w:r w:rsidR="009525B6">
        <w:rPr>
          <w:rFonts w:ascii="Garamond" w:hAnsi="Garamond"/>
          <w:i/>
        </w:rPr>
        <w:t xml:space="preserve"> 201</w:t>
      </w:r>
      <w:r w:rsidR="00CC451B">
        <w:rPr>
          <w:rFonts w:ascii="Garamond" w:hAnsi="Garamond"/>
          <w:i/>
        </w:rPr>
        <w:t>7</w:t>
      </w:r>
      <w:r w:rsidRPr="002D731C">
        <w:rPr>
          <w:rFonts w:ascii="Garamond" w:hAnsi="Garamond"/>
        </w:rPr>
        <w:t xml:space="preserve"> and</w:t>
      </w:r>
      <w:r>
        <w:rPr>
          <w:rFonts w:ascii="Garamond" w:hAnsi="Garamond"/>
        </w:rPr>
        <w:t xml:space="preserve"> </w:t>
      </w:r>
      <w:r w:rsidR="00CC451B">
        <w:rPr>
          <w:rFonts w:ascii="Garamond" w:hAnsi="Garamond"/>
        </w:rPr>
        <w:t xml:space="preserve">it </w:t>
      </w:r>
      <w:proofErr w:type="gramStart"/>
      <w:r w:rsidR="00CC451B">
        <w:rPr>
          <w:rFonts w:ascii="Garamond" w:hAnsi="Garamond"/>
        </w:rPr>
        <w:t>running</w:t>
      </w:r>
      <w:proofErr w:type="gramEnd"/>
      <w:r w:rsidR="00CC451B">
        <w:rPr>
          <w:rFonts w:ascii="Garamond" w:hAnsi="Garamond"/>
        </w:rPr>
        <w:t xml:space="preserve"> </w:t>
      </w:r>
      <w:r w:rsidRPr="002D731C">
        <w:rPr>
          <w:rFonts w:ascii="Garamond" w:hAnsi="Garamond"/>
        </w:rPr>
        <w:t xml:space="preserve">its </w:t>
      </w:r>
      <w:r w:rsidR="00CC451B">
        <w:rPr>
          <w:rFonts w:ascii="Garamond" w:hAnsi="Garamond"/>
          <w:i/>
        </w:rPr>
        <w:t xml:space="preserve">third </w:t>
      </w:r>
      <w:r w:rsidRPr="002D731C">
        <w:rPr>
          <w:rFonts w:ascii="Garamond" w:hAnsi="Garamond"/>
        </w:rPr>
        <w:t xml:space="preserve">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proofErr w:type="spellStart"/>
      <w:r>
        <w:rPr>
          <w:rFonts w:ascii="Garamond" w:hAnsi="Garamond"/>
          <w:color w:val="000000"/>
          <w:lang w:val="en-GB"/>
        </w:rPr>
        <w:t>ToR</w:t>
      </w:r>
      <w:proofErr w:type="spellEnd"/>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w:t>
      </w:r>
      <w:proofErr w:type="gramStart"/>
      <w:r w:rsidRPr="00594F2C">
        <w:rPr>
          <w:rFonts w:ascii="Garamond" w:hAnsi="Garamond"/>
          <w:i/>
          <w:lang w:val="en-GB"/>
        </w:rPr>
        <w:t>For</w:t>
      </w:r>
      <w:proofErr w:type="gramEnd"/>
      <w:r w:rsidRPr="00594F2C">
        <w:rPr>
          <w:rFonts w:ascii="Garamond" w:hAnsi="Garamond"/>
          <w:i/>
          <w:lang w:val="en-GB"/>
        </w:rPr>
        <w:t xml:space="preserve"> Conducting Midterm Reviews of UNDP-Supported, GEF-Financed </w:t>
      </w:r>
      <w:r w:rsidRPr="00014537">
        <w:rPr>
          <w:rFonts w:ascii="Garamond" w:hAnsi="Garamond"/>
          <w:i/>
          <w:lang w:val="en-GB"/>
        </w:rPr>
        <w:t>Projects</w:t>
      </w:r>
      <w:r w:rsidR="00B832EE">
        <w:rPr>
          <w:rFonts w:ascii="Garamond" w:hAnsi="Garamond"/>
          <w:lang w:val="en-GB"/>
        </w:rPr>
        <w:t xml:space="preserve">, as per attachment. </w:t>
      </w:r>
    </w:p>
    <w:p w14:paraId="01D9F7CD" w14:textId="77777777" w:rsidR="00BF0763" w:rsidRPr="003E7B58" w:rsidRDefault="00BF0763" w:rsidP="00BF0763">
      <w:pPr>
        <w:spacing w:after="0" w:line="240" w:lineRule="auto"/>
        <w:jc w:val="both"/>
        <w:rPr>
          <w:rFonts w:ascii="Garamond" w:hAnsi="Garamond"/>
        </w:rPr>
      </w:pPr>
    </w:p>
    <w:p w14:paraId="3D8B0D30" w14:textId="77777777" w:rsidR="00CD0B99" w:rsidRDefault="00BF0763" w:rsidP="00CD0B99">
      <w:pPr>
        <w:jc w:val="both"/>
        <w:rPr>
          <w:rFonts w:ascii="Garamond" w:hAnsi="Garamond"/>
          <w:b/>
          <w:sz w:val="28"/>
          <w:szCs w:val="28"/>
        </w:rPr>
      </w:pPr>
      <w:r>
        <w:rPr>
          <w:rFonts w:ascii="Garamond" w:hAnsi="Garamond"/>
          <w:b/>
          <w:sz w:val="28"/>
          <w:szCs w:val="28"/>
        </w:rPr>
        <w:t>2.  PROJECT BACKGROUND INFORMATION</w:t>
      </w:r>
    </w:p>
    <w:p w14:paraId="57F72C10" w14:textId="7C2A940A" w:rsidR="00CC451B" w:rsidRPr="00200A39" w:rsidRDefault="00CC451B" w:rsidP="002810FE">
      <w:pPr>
        <w:spacing w:after="0" w:line="240" w:lineRule="auto"/>
        <w:jc w:val="both"/>
        <w:rPr>
          <w:rFonts w:ascii="Garamond" w:hAnsi="Garamond"/>
        </w:rPr>
      </w:pPr>
      <w:r w:rsidRPr="00200A39">
        <w:rPr>
          <w:rFonts w:ascii="Garamond" w:hAnsi="Garamond"/>
        </w:rPr>
        <w:t>The proposed initiative is aligned with the National Climate Change Strategy, Lines of Action 7 "To promote energy production and its rational and efficient use", and 8 "To promote and expand the integration of clean, and technically, economically, environmental and socially acceptable, energy sources in the national energy matrix". The potential of biogas capture was also identified in Argentina´s Second National Communication to the UNFCCC.</w:t>
      </w:r>
      <w:r w:rsidRPr="00200A39">
        <w:rPr>
          <w:rFonts w:ascii="Garamond" w:hAnsi="Garamond"/>
        </w:rPr>
        <w:footnoteReference w:id="1"/>
      </w:r>
      <w:r w:rsidRPr="00200A39">
        <w:rPr>
          <w:rFonts w:ascii="Garamond" w:hAnsi="Garamond"/>
        </w:rPr>
        <w:t xml:space="preserve"> The project is also consistent with Argentina's Mitigation Technology Needs Assessment (TNA), which has an entire section focused on waste management and clearly identifies </w:t>
      </w:r>
      <w:proofErr w:type="gramStart"/>
      <w:r w:rsidRPr="00200A39">
        <w:rPr>
          <w:rFonts w:ascii="Garamond" w:hAnsi="Garamond"/>
        </w:rPr>
        <w:t>biogas based</w:t>
      </w:r>
      <w:proofErr w:type="gramEnd"/>
      <w:r w:rsidRPr="00200A39">
        <w:rPr>
          <w:rFonts w:ascii="Garamond" w:hAnsi="Garamond"/>
        </w:rPr>
        <w:t xml:space="preserve"> generation as a potential renewable energy source. Biogas development is firmly embedded in national legislation and sector policies and plans, including the GIRSU </w:t>
      </w:r>
      <w:proofErr w:type="spellStart"/>
      <w:r w:rsidRPr="00200A39">
        <w:rPr>
          <w:rFonts w:ascii="Garamond" w:hAnsi="Garamond"/>
        </w:rPr>
        <w:t>programme</w:t>
      </w:r>
      <w:proofErr w:type="spellEnd"/>
      <w:r w:rsidRPr="00200A39">
        <w:rPr>
          <w:rFonts w:ascii="Garamond" w:hAnsi="Garamond"/>
        </w:rPr>
        <w:t xml:space="preserve"> (</w:t>
      </w:r>
      <w:proofErr w:type="spellStart"/>
      <w:r w:rsidR="00CD0B99" w:rsidRPr="00200A39">
        <w:rPr>
          <w:rFonts w:ascii="Garamond" w:hAnsi="Garamond"/>
        </w:rPr>
        <w:t>S</w:t>
      </w:r>
      <w:r w:rsidRPr="00200A39">
        <w:rPr>
          <w:rFonts w:ascii="Garamond" w:hAnsi="Garamond"/>
        </w:rPr>
        <w:t>AyDS</w:t>
      </w:r>
      <w:proofErr w:type="spellEnd"/>
      <w:r w:rsidRPr="00200A39">
        <w:rPr>
          <w:rFonts w:ascii="Garamond" w:hAnsi="Garamond"/>
        </w:rPr>
        <w:t>), and the recently enacted Renewable Energy Law 27.191 (2015) and its regulation Decree 531 (2016).</w:t>
      </w:r>
    </w:p>
    <w:p w14:paraId="35B5637B" w14:textId="77777777" w:rsidR="00FC4C78" w:rsidRPr="00FC4C78" w:rsidRDefault="00CD0B99" w:rsidP="00FC4C78">
      <w:pPr>
        <w:shd w:val="clear" w:color="auto" w:fill="FFFFFF"/>
        <w:spacing w:before="100" w:beforeAutospacing="1" w:after="100" w:afterAutospacing="1" w:line="240" w:lineRule="auto"/>
        <w:jc w:val="both"/>
        <w:rPr>
          <w:rFonts w:ascii="Arial" w:eastAsia="Times New Roman" w:hAnsi="Arial" w:cs="Arial"/>
          <w:color w:val="4F4F4F"/>
          <w:lang w:eastAsia="es-AR"/>
        </w:rPr>
      </w:pPr>
      <w:r w:rsidRPr="00200A39">
        <w:rPr>
          <w:rFonts w:ascii="Garamond" w:hAnsi="Garamond"/>
        </w:rPr>
        <w:t xml:space="preserve">The mentioned law establishes </w:t>
      </w:r>
      <w:r w:rsidR="00200A39" w:rsidRPr="00200A39">
        <w:rPr>
          <w:rFonts w:ascii="Garamond" w:hAnsi="Garamond"/>
        </w:rPr>
        <w:t>that for 2025 the contribution of renewables sources</w:t>
      </w:r>
      <w:r w:rsidR="00200A39">
        <w:rPr>
          <w:rFonts w:ascii="Garamond" w:hAnsi="Garamond"/>
        </w:rPr>
        <w:t xml:space="preserve"> in the national matrix</w:t>
      </w:r>
      <w:r w:rsidR="00200A39" w:rsidRPr="00200A39">
        <w:rPr>
          <w:rFonts w:ascii="Garamond" w:hAnsi="Garamond"/>
        </w:rPr>
        <w:t xml:space="preserve"> will allow the consumption up to 20% of electric energy.</w:t>
      </w:r>
      <w:r w:rsidR="00200A39">
        <w:rPr>
          <w:rFonts w:ascii="Garamond" w:hAnsi="Garamond"/>
        </w:rPr>
        <w:t xml:space="preserve"> To reach that goal RENOVAR </w:t>
      </w:r>
      <w:proofErr w:type="spellStart"/>
      <w:r w:rsidR="00200A39">
        <w:rPr>
          <w:rFonts w:ascii="Garamond" w:hAnsi="Garamond"/>
        </w:rPr>
        <w:t>Programme</w:t>
      </w:r>
      <w:proofErr w:type="spellEnd"/>
      <w:r w:rsidR="00200A39">
        <w:rPr>
          <w:rFonts w:ascii="Garamond" w:hAnsi="Garamond"/>
        </w:rPr>
        <w:t xml:space="preserve"> was set in motion in 2016</w:t>
      </w:r>
      <w:r w:rsidR="00FC4C78">
        <w:rPr>
          <w:rFonts w:ascii="Garamond" w:hAnsi="Garamond"/>
        </w:rPr>
        <w:t xml:space="preserve"> with the following objectives</w:t>
      </w:r>
    </w:p>
    <w:p w14:paraId="1E9DAA4C" w14:textId="0B179BB8" w:rsidR="00200A39" w:rsidRPr="00FC4C78" w:rsidRDefault="00200A39" w:rsidP="00200A39">
      <w:pPr>
        <w:numPr>
          <w:ilvl w:val="0"/>
          <w:numId w:val="38"/>
        </w:numPr>
        <w:shd w:val="clear" w:color="auto" w:fill="FFFFFF"/>
        <w:spacing w:before="100" w:beforeAutospacing="1" w:after="100" w:afterAutospacing="1" w:line="240" w:lineRule="auto"/>
        <w:jc w:val="both"/>
        <w:rPr>
          <w:rFonts w:ascii="Garamond" w:hAnsi="Garamond"/>
        </w:rPr>
      </w:pPr>
      <w:r>
        <w:rPr>
          <w:rFonts w:ascii="Garamond" w:hAnsi="Garamond"/>
        </w:rPr>
        <w:t xml:space="preserve"> </w:t>
      </w:r>
      <w:r w:rsidRPr="00FC4C78">
        <w:rPr>
          <w:rFonts w:ascii="Garamond" w:hAnsi="Garamond"/>
        </w:rPr>
        <w:t xml:space="preserve">Launch an auction process so that bidders can apply to the first round of </w:t>
      </w:r>
      <w:proofErr w:type="spellStart"/>
      <w:r w:rsidRPr="00FC4C78">
        <w:rPr>
          <w:rFonts w:ascii="Garamond" w:hAnsi="Garamond"/>
        </w:rPr>
        <w:t>RenovAr</w:t>
      </w:r>
      <w:proofErr w:type="spellEnd"/>
      <w:r w:rsidRPr="00FC4C78">
        <w:rPr>
          <w:rFonts w:ascii="Garamond" w:hAnsi="Garamond"/>
        </w:rPr>
        <w:t xml:space="preserve"> program</w:t>
      </w:r>
    </w:p>
    <w:p w14:paraId="219AE633" w14:textId="77777777" w:rsidR="00200A39" w:rsidRPr="00200A39" w:rsidRDefault="00200A39" w:rsidP="00200A39">
      <w:pPr>
        <w:numPr>
          <w:ilvl w:val="0"/>
          <w:numId w:val="38"/>
        </w:numPr>
        <w:shd w:val="clear" w:color="auto" w:fill="FFFFFF"/>
        <w:spacing w:before="100" w:beforeAutospacing="1" w:after="100" w:afterAutospacing="1" w:line="240" w:lineRule="auto"/>
        <w:jc w:val="both"/>
        <w:rPr>
          <w:rFonts w:ascii="Garamond" w:hAnsi="Garamond"/>
        </w:rPr>
      </w:pPr>
      <w:r w:rsidRPr="00200A39">
        <w:rPr>
          <w:rFonts w:ascii="Garamond" w:hAnsi="Garamond"/>
        </w:rPr>
        <w:t>Approves the bidding terms and conditions of the auction, and</w:t>
      </w:r>
    </w:p>
    <w:p w14:paraId="4E7DFC08" w14:textId="49359EB3" w:rsidR="00200A39" w:rsidRDefault="00200A39" w:rsidP="00200A39">
      <w:pPr>
        <w:numPr>
          <w:ilvl w:val="0"/>
          <w:numId w:val="38"/>
        </w:numPr>
        <w:shd w:val="clear" w:color="auto" w:fill="FFFFFF"/>
        <w:spacing w:before="100" w:beforeAutospacing="1" w:after="100" w:afterAutospacing="1" w:line="240" w:lineRule="auto"/>
        <w:jc w:val="both"/>
        <w:rPr>
          <w:rFonts w:ascii="Garamond" w:hAnsi="Garamond"/>
        </w:rPr>
      </w:pPr>
      <w:r w:rsidRPr="00200A39">
        <w:rPr>
          <w:rFonts w:ascii="Garamond" w:hAnsi="Garamond"/>
        </w:rPr>
        <w:t>Approves the Power Purchase Agreements (PPA) for renewable electricity.  </w:t>
      </w:r>
    </w:p>
    <w:p w14:paraId="29160F59" w14:textId="093BD8AB" w:rsidR="00FC4C78" w:rsidRPr="00200A39" w:rsidRDefault="00FC4C78" w:rsidP="00FC4C78">
      <w:pPr>
        <w:shd w:val="clear" w:color="auto" w:fill="FFFFFF"/>
        <w:spacing w:before="100" w:beforeAutospacing="1" w:after="100" w:afterAutospacing="1" w:line="240" w:lineRule="auto"/>
        <w:jc w:val="both"/>
        <w:rPr>
          <w:rFonts w:ascii="Garamond" w:hAnsi="Garamond"/>
        </w:rPr>
      </w:pPr>
      <w:r>
        <w:rPr>
          <w:rFonts w:ascii="Garamond" w:hAnsi="Garamond"/>
        </w:rPr>
        <w:t xml:space="preserve">Furthermore, the National Climate Change Cabinet was </w:t>
      </w:r>
      <w:proofErr w:type="gramStart"/>
      <w:r>
        <w:rPr>
          <w:rFonts w:ascii="Garamond" w:hAnsi="Garamond"/>
        </w:rPr>
        <w:t>created</w:t>
      </w:r>
      <w:proofErr w:type="gramEnd"/>
      <w:r>
        <w:rPr>
          <w:rFonts w:ascii="Garamond" w:hAnsi="Garamond"/>
        </w:rPr>
        <w:t xml:space="preserve"> </w:t>
      </w:r>
      <w:r w:rsidR="004E56EB">
        <w:rPr>
          <w:rFonts w:ascii="Garamond" w:hAnsi="Garamond"/>
        </w:rPr>
        <w:t>and, in those terms,</w:t>
      </w:r>
      <w:r>
        <w:rPr>
          <w:rFonts w:ascii="Garamond" w:hAnsi="Garamond"/>
        </w:rPr>
        <w:t xml:space="preserve"> the National Contributions revised in 2016. From that revision Sectoral plans which determined the road maps to reduce </w:t>
      </w:r>
      <w:r w:rsidR="001A15C7">
        <w:rPr>
          <w:rFonts w:ascii="Garamond" w:hAnsi="Garamond"/>
        </w:rPr>
        <w:t xml:space="preserve">GEI </w:t>
      </w:r>
      <w:r>
        <w:rPr>
          <w:rFonts w:ascii="Garamond" w:hAnsi="Garamond"/>
        </w:rPr>
        <w:t xml:space="preserve">emissions were designed in a participatory and consensual way. </w:t>
      </w:r>
      <w:r w:rsidR="002F3D47">
        <w:rPr>
          <w:rFonts w:ascii="Garamond" w:hAnsi="Garamond"/>
        </w:rPr>
        <w:t xml:space="preserve">The energy plan </w:t>
      </w:r>
      <w:r w:rsidR="00395A51">
        <w:rPr>
          <w:rFonts w:ascii="Garamond" w:hAnsi="Garamond"/>
        </w:rPr>
        <w:t>includes a</w:t>
      </w:r>
      <w:r w:rsidR="009825DD">
        <w:rPr>
          <w:rFonts w:ascii="Garamond" w:hAnsi="Garamond"/>
        </w:rPr>
        <w:t xml:space="preserve">n </w:t>
      </w:r>
      <w:r w:rsidR="001A15C7">
        <w:rPr>
          <w:rFonts w:ascii="Garamond" w:hAnsi="Garamond"/>
        </w:rPr>
        <w:lastRenderedPageBreak/>
        <w:t>unconditional</w:t>
      </w:r>
      <w:r w:rsidR="009825DD">
        <w:rPr>
          <w:rFonts w:ascii="Garamond" w:hAnsi="Garamond"/>
        </w:rPr>
        <w:t xml:space="preserve"> measure to generate electric energy f</w:t>
      </w:r>
      <w:r w:rsidR="00F92BA4">
        <w:rPr>
          <w:rFonts w:ascii="Garamond" w:hAnsi="Garamond"/>
        </w:rPr>
        <w:t>rom non-conventional renewables sources connected to the grid</w:t>
      </w:r>
      <w:r w:rsidR="00A30B48">
        <w:rPr>
          <w:rStyle w:val="Refdenotaalpie"/>
          <w:rFonts w:ascii="Garamond" w:hAnsi="Garamond"/>
        </w:rPr>
        <w:footnoteReference w:id="2"/>
      </w:r>
    </w:p>
    <w:p w14:paraId="57F3BBC9" w14:textId="07C64B4E" w:rsidR="004E56EB" w:rsidRPr="002810FE" w:rsidRDefault="00AE2A35" w:rsidP="002810FE">
      <w:pPr>
        <w:spacing w:after="0" w:line="240" w:lineRule="auto"/>
        <w:jc w:val="both"/>
        <w:rPr>
          <w:rFonts w:ascii="Garamond" w:hAnsi="Garamond"/>
        </w:rPr>
      </w:pPr>
      <w:r w:rsidRPr="002810FE">
        <w:rPr>
          <w:rFonts w:ascii="Garamond" w:hAnsi="Garamond"/>
        </w:rPr>
        <w:t>Additionally,</w:t>
      </w:r>
      <w:r w:rsidR="004E56EB" w:rsidRPr="002810FE">
        <w:rPr>
          <w:rFonts w:ascii="Garamond" w:hAnsi="Garamond"/>
        </w:rPr>
        <w:t xml:space="preserve"> the </w:t>
      </w:r>
      <w:r w:rsidRPr="002810FE">
        <w:rPr>
          <w:rFonts w:ascii="Garamond" w:hAnsi="Garamond"/>
        </w:rPr>
        <w:t>Environmental</w:t>
      </w:r>
      <w:r w:rsidR="004D7AF9" w:rsidRPr="002810FE">
        <w:rPr>
          <w:rFonts w:ascii="Garamond" w:hAnsi="Garamond"/>
        </w:rPr>
        <w:t xml:space="preserve"> and Sustainable Development Secretary </w:t>
      </w:r>
      <w:r w:rsidR="004E56EB" w:rsidRPr="002810FE">
        <w:rPr>
          <w:rFonts w:ascii="Garamond" w:hAnsi="Garamond"/>
        </w:rPr>
        <w:t>developed the National Strategy “ENGIRSU” for Integrated Municipal Solid Waste (MSW) Management funded by the World Bank</w:t>
      </w:r>
      <w:r w:rsidRPr="002810FE">
        <w:rPr>
          <w:rFonts w:ascii="Garamond" w:hAnsi="Garamond"/>
        </w:rPr>
        <w:t xml:space="preserve"> </w:t>
      </w:r>
      <w:proofErr w:type="gramStart"/>
      <w:r w:rsidRPr="002810FE">
        <w:rPr>
          <w:rFonts w:ascii="Garamond" w:hAnsi="Garamond"/>
        </w:rPr>
        <w:t>and also</w:t>
      </w:r>
      <w:proofErr w:type="gramEnd"/>
      <w:r w:rsidRPr="002810FE">
        <w:rPr>
          <w:rFonts w:ascii="Garamond" w:hAnsi="Garamond"/>
        </w:rPr>
        <w:t xml:space="preserve"> </w:t>
      </w:r>
      <w:r w:rsidR="004E56EB" w:rsidRPr="002810FE">
        <w:rPr>
          <w:rFonts w:ascii="Garamond" w:hAnsi="Garamond"/>
        </w:rPr>
        <w:t>IDB</w:t>
      </w:r>
      <w:r w:rsidRPr="002810FE">
        <w:rPr>
          <w:rFonts w:ascii="Garamond" w:hAnsi="Garamond"/>
        </w:rPr>
        <w:t>.</w:t>
      </w:r>
      <w:r w:rsidR="004E56EB" w:rsidRPr="002810FE">
        <w:rPr>
          <w:rFonts w:ascii="Garamond" w:hAnsi="Garamond"/>
        </w:rPr>
        <w:t xml:space="preserve"> The Strategy aims to address the environmental, public health and social issues related to the traditional open dumps, which are common practice outside the main urban centers. Integrated waste management refers to the comprehensive approach followed by the </w:t>
      </w:r>
      <w:proofErr w:type="spellStart"/>
      <w:r w:rsidR="004E56EB" w:rsidRPr="002810FE">
        <w:rPr>
          <w:rFonts w:ascii="Garamond" w:hAnsi="Garamond"/>
        </w:rPr>
        <w:t>programme</w:t>
      </w:r>
      <w:proofErr w:type="spellEnd"/>
      <w:r w:rsidR="004E56EB" w:rsidRPr="002810FE">
        <w:rPr>
          <w:rFonts w:ascii="Garamond" w:hAnsi="Garamond"/>
        </w:rPr>
        <w:t xml:space="preserve"> to the reduction and recycling of MSW, composting, efficient collection, and the construction of adequate sanitary landfill sites as centers for final disposal, thereby offering complete solutions. The operation of the landfill sites and the waste collection and recycling service is assumed either by the local municipality itself or by a concessionary (a private company); the citizens are charged for the service to allow cost-recovery.</w:t>
      </w:r>
    </w:p>
    <w:p w14:paraId="573CC917" w14:textId="4FF01511" w:rsidR="00C01891" w:rsidRPr="008B5A31" w:rsidRDefault="00C01891" w:rsidP="008B5A31">
      <w:pPr>
        <w:spacing w:after="0" w:line="240" w:lineRule="auto"/>
        <w:jc w:val="both"/>
        <w:rPr>
          <w:rFonts w:ascii="Garamond" w:hAnsi="Garamond"/>
        </w:rPr>
      </w:pPr>
      <w:r w:rsidRPr="008B5A31">
        <w:rPr>
          <w:rFonts w:ascii="Garamond" w:hAnsi="Garamond"/>
        </w:rPr>
        <w:t>The Project</w:t>
      </w:r>
      <w:r w:rsidR="008B5A31" w:rsidRPr="008B5A31">
        <w:rPr>
          <w:rFonts w:ascii="Garamond" w:hAnsi="Garamond"/>
        </w:rPr>
        <w:t xml:space="preserve"> Sustainable business models for biogas production from organic municipal solid </w:t>
      </w:r>
      <w:proofErr w:type="gramStart"/>
      <w:r w:rsidR="008B5A31" w:rsidRPr="008B5A31">
        <w:rPr>
          <w:rFonts w:ascii="Garamond" w:hAnsi="Garamond"/>
        </w:rPr>
        <w:t xml:space="preserve">waste </w:t>
      </w:r>
      <w:r w:rsidRPr="008B5A31">
        <w:rPr>
          <w:rFonts w:ascii="Garamond" w:hAnsi="Garamond"/>
        </w:rPr>
        <w:t xml:space="preserve"> envisages</w:t>
      </w:r>
      <w:proofErr w:type="gramEnd"/>
      <w:r w:rsidRPr="008B5A31">
        <w:rPr>
          <w:rFonts w:ascii="Garamond" w:hAnsi="Garamond"/>
        </w:rPr>
        <w:t xml:space="preserve"> </w:t>
      </w:r>
      <w:r w:rsidRPr="00B01097">
        <w:rPr>
          <w:rFonts w:ascii="Garamond" w:hAnsi="Garamond"/>
          <w:b/>
          <w:bCs/>
        </w:rPr>
        <w:t>demonstrating the potential of biogas (including landfill gas) for energy generation from organic municipal solid waste for medium-sized urban centers in Argentina</w:t>
      </w:r>
      <w:r w:rsidRPr="008B5A31">
        <w:rPr>
          <w:rFonts w:ascii="Garamond" w:hAnsi="Garamond"/>
        </w:rPr>
        <w:t xml:space="preserve">. The project will develop and optimize effective business models for energy production as part of integrated waste management under the national GIRSU </w:t>
      </w:r>
      <w:proofErr w:type="spellStart"/>
      <w:r w:rsidRPr="008B5A31">
        <w:rPr>
          <w:rFonts w:ascii="Garamond" w:hAnsi="Garamond"/>
        </w:rPr>
        <w:t>programme</w:t>
      </w:r>
      <w:proofErr w:type="spellEnd"/>
      <w:r w:rsidRPr="008B5A31">
        <w:rPr>
          <w:rFonts w:ascii="Garamond" w:hAnsi="Garamond"/>
        </w:rPr>
        <w:t xml:space="preserve">. Three to four small-scale biogas energy systems will be procured and demonstrated in selected municipalities. The Project is focused on electricity generation for self-supply with sales of surplus energy to the grid, but also envisages demonstrating biogas production for heat (including cogeneration) and biomethane production. The Project will deliver electricity from renewable energy sources (biogas) for approx. 21,000 people, thereby avoiding a total of 575 </w:t>
      </w:r>
      <w:proofErr w:type="spellStart"/>
      <w:r w:rsidRPr="008B5A31">
        <w:rPr>
          <w:rFonts w:ascii="Garamond" w:hAnsi="Garamond"/>
        </w:rPr>
        <w:t>kton</w:t>
      </w:r>
      <w:proofErr w:type="spellEnd"/>
      <w:r w:rsidRPr="008B5A31">
        <w:rPr>
          <w:rFonts w:ascii="Garamond" w:hAnsi="Garamond"/>
        </w:rPr>
        <w:t xml:space="preserve"> CO2eq over lifetime of the </w:t>
      </w:r>
      <w:proofErr w:type="gramStart"/>
      <w:r w:rsidRPr="008B5A31">
        <w:rPr>
          <w:rFonts w:ascii="Garamond" w:hAnsi="Garamond"/>
        </w:rPr>
        <w:t>pilots</w:t>
      </w:r>
      <w:proofErr w:type="gramEnd"/>
      <w:r w:rsidRPr="008B5A31">
        <w:rPr>
          <w:rFonts w:ascii="Garamond" w:hAnsi="Garamond"/>
        </w:rPr>
        <w:t xml:space="preserve"> projects. </w:t>
      </w:r>
    </w:p>
    <w:p w14:paraId="30D8A40E" w14:textId="021A75C5" w:rsidR="008B5A31" w:rsidRPr="000A0F13" w:rsidRDefault="008B5A31" w:rsidP="00AB2838">
      <w:pPr>
        <w:tabs>
          <w:tab w:val="left" w:pos="0"/>
        </w:tabs>
        <w:spacing w:line="240" w:lineRule="auto"/>
        <w:jc w:val="both"/>
        <w:rPr>
          <w:rFonts w:ascii="Garamond" w:hAnsi="Garamond"/>
        </w:rPr>
      </w:pPr>
      <w:r w:rsidRPr="000A0F13">
        <w:rPr>
          <w:rFonts w:ascii="Garamond" w:hAnsi="Garamond"/>
        </w:rPr>
        <w:t xml:space="preserve">The Project will push municipal biogas technology from the level of small-scale, non-consolidated initiatives to technologically mature and reliable projects, based on standardized components and approaches. Finance for a pipeline of MSW-based biogas energy systems will expectedly be available through the GIRSU </w:t>
      </w:r>
      <w:proofErr w:type="spellStart"/>
      <w:r w:rsidRPr="000A0F13">
        <w:rPr>
          <w:rFonts w:ascii="Garamond" w:hAnsi="Garamond"/>
        </w:rPr>
        <w:t>programme</w:t>
      </w:r>
      <w:proofErr w:type="spellEnd"/>
    </w:p>
    <w:p w14:paraId="46EEB214" w14:textId="782E5ECC"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E327F48" w14:textId="5FB3DE26"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sidR="0036634C">
        <w:rPr>
          <w:rFonts w:ascii="Garamond" w:hAnsi="Garamond"/>
        </w:rPr>
        <w:t>review the project’s strategy and</w:t>
      </w:r>
      <w:r>
        <w:rPr>
          <w:rFonts w:ascii="Garamond" w:hAnsi="Garamond"/>
        </w:rPr>
        <w:t xml:space="preserve"> its risks to sustainability.</w:t>
      </w:r>
    </w:p>
    <w:p w14:paraId="0249DB15"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666653A6" w14:textId="5918ACA6"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00F27C75">
        <w:rPr>
          <w:rFonts w:ascii="Garamond" w:hAnsi="Garamond"/>
          <w:lang w:val="en-GB"/>
        </w:rPr>
        <w:t xml:space="preserve"> must provide evidence</w:t>
      </w:r>
      <w:r w:rsidR="007F1168">
        <w:rPr>
          <w:rFonts w:ascii="Garamond" w:hAnsi="Garamond"/>
          <w:lang w:val="en-GB"/>
        </w:rPr>
        <w:t>-</w:t>
      </w:r>
      <w:r w:rsidRPr="002D731C">
        <w:rPr>
          <w:rFonts w:ascii="Garamond" w:hAnsi="Garamond"/>
          <w:lang w:val="en-GB"/>
        </w:rPr>
        <w:t xml:space="preserve">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w:t>
      </w:r>
      <w:r w:rsidR="008013B6">
        <w:rPr>
          <w:rFonts w:ascii="Garamond" w:hAnsi="Garamond"/>
        </w:rPr>
        <w:t xml:space="preserve">consultant </w:t>
      </w:r>
      <w:r w:rsidRPr="002D731C">
        <w:rPr>
          <w:rFonts w:ascii="Garamond" w:hAnsi="Garamond"/>
        </w:rPr>
        <w:t>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sidRPr="009E3220">
        <w:rPr>
          <w:rFonts w:ascii="Garamond" w:hAnsi="Garamond"/>
        </w:rPr>
        <w:t xml:space="preserve">The MTR </w:t>
      </w:r>
      <w:r w:rsidR="00DF6D59" w:rsidRPr="009E3220">
        <w:rPr>
          <w:rFonts w:ascii="Garamond" w:hAnsi="Garamond"/>
        </w:rPr>
        <w:t>consultant</w:t>
      </w:r>
      <w:r w:rsidRPr="009E3220">
        <w:rPr>
          <w:rFonts w:ascii="Garamond" w:hAnsi="Garamond"/>
        </w:rPr>
        <w:t xml:space="preserve"> will review the baseline GEF focal area Tracking Tool submitted to the GEF at CEO endorsement, and the midterm GEF focal area Tracking Tool that must be completed before the MTR field mission begins.</w:t>
      </w:r>
      <w:r>
        <w:rPr>
          <w:rFonts w:ascii="Garamond" w:hAnsi="Garamond"/>
        </w:rPr>
        <w:t xml:space="preserve"> </w:t>
      </w:r>
      <w:r w:rsidRPr="002D731C">
        <w:rPr>
          <w:rFonts w:ascii="Garamond" w:hAnsi="Garamond"/>
          <w:lang w:val="en-GB"/>
        </w:rPr>
        <w:t xml:space="preserve"> </w:t>
      </w:r>
    </w:p>
    <w:p w14:paraId="7EA3E8C9" w14:textId="287FA396"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0049254A">
        <w:rPr>
          <w:rFonts w:ascii="Garamond" w:hAnsi="Garamond"/>
          <w:lang w:val="en-GB"/>
        </w:rPr>
        <w:t>consultant</w:t>
      </w:r>
      <w:r w:rsidRPr="009E4054">
        <w:rPr>
          <w:rFonts w:ascii="Garamond" w:hAnsi="Garamond"/>
          <w:lang w:val="en-GB"/>
        </w:rPr>
        <w:t xml:space="preserve"> is expected to follow a collaborative and participatory </w:t>
      </w:r>
      <w:r w:rsidRPr="009E4054">
        <w:rPr>
          <w:rFonts w:ascii="Garamond" w:hAnsi="Garamond"/>
        </w:rPr>
        <w:t>approach</w:t>
      </w:r>
      <w:r>
        <w:rPr>
          <w:rStyle w:val="Refdenotaalpie"/>
          <w:rFonts w:ascii="Garamond" w:hAnsi="Garamond"/>
        </w:rPr>
        <w:footnoteReference w:id="3"/>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712663EC" w14:textId="54720C50" w:rsidR="00BF0763" w:rsidRDefault="00BF0763" w:rsidP="007F1168">
      <w:pPr>
        <w:shd w:val="clear" w:color="auto" w:fill="FFFFFF" w:themeFill="background1"/>
        <w:spacing w:line="240" w:lineRule="auto"/>
        <w:jc w:val="both"/>
        <w:rPr>
          <w:rFonts w:ascii="Garamond" w:hAnsi="Garamond"/>
        </w:rPr>
      </w:pPr>
      <w:r>
        <w:rPr>
          <w:rFonts w:ascii="Garamond" w:hAnsi="Garamond"/>
          <w:lang w:val="en-GB"/>
        </w:rPr>
        <w:lastRenderedPageBreak/>
        <w:t>Engagement of stakeholders is vital to a successful MTR.</w:t>
      </w:r>
      <w:r>
        <w:rPr>
          <w:rStyle w:val="Refdenotaalpie"/>
          <w:rFonts w:ascii="Garamond" w:hAnsi="Garamond"/>
          <w:lang w:val="en-GB"/>
        </w:rPr>
        <w:footnoteReference w:id="4"/>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including but not limited to</w:t>
      </w:r>
      <w:r w:rsidR="007F1168">
        <w:rPr>
          <w:rFonts w:ascii="Garamond" w:hAnsi="Garamond"/>
        </w:rPr>
        <w:t xml:space="preserve"> </w:t>
      </w:r>
      <w:r w:rsidR="00B832EE">
        <w:rPr>
          <w:rFonts w:ascii="Garamond" w:hAnsi="Garamond"/>
        </w:rPr>
        <w:t>partner mills</w:t>
      </w:r>
      <w:r w:rsidR="007F1168">
        <w:rPr>
          <w:rFonts w:ascii="Garamond" w:hAnsi="Garamond"/>
        </w:rPr>
        <w:t xml:space="preserve"> from Batch 1 and 2</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sidR="00B832EE">
        <w:rPr>
          <w:rFonts w:ascii="Garamond" w:hAnsi="Garamond"/>
        </w:rPr>
        <w:t>d task team/</w:t>
      </w:r>
      <w:r>
        <w:rPr>
          <w:rFonts w:ascii="Garamond" w:hAnsi="Garamond"/>
        </w:rPr>
        <w:t xml:space="preserve">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xml:space="preserve">, etc. </w:t>
      </w:r>
    </w:p>
    <w:p w14:paraId="68D44D24" w14:textId="77777777" w:rsidR="00BF0763" w:rsidRDefault="00BF0763" w:rsidP="00BF0763">
      <w:pPr>
        <w:pStyle w:val="Textoindependiente"/>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33A05A63" w14:textId="77777777" w:rsidR="00BF0763" w:rsidRPr="005A0E07" w:rsidRDefault="00BF0763" w:rsidP="00BF0763">
      <w:pPr>
        <w:pStyle w:val="Textoindependiente"/>
        <w:spacing w:before="0" w:after="0"/>
        <w:rPr>
          <w:rFonts w:ascii="Garamond" w:hAnsi="Garamond"/>
          <w:sz w:val="26"/>
          <w:szCs w:val="26"/>
        </w:rPr>
      </w:pPr>
    </w:p>
    <w:p w14:paraId="29B8488E"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1DC43918" w14:textId="20D170B5"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w:t>
      </w:r>
      <w:r w:rsidR="008013B6">
        <w:rPr>
          <w:rFonts w:ascii="Garamond" w:hAnsi="Garamond"/>
        </w:rPr>
        <w:t>consultant</w:t>
      </w:r>
      <w:r w:rsidRPr="002D731C">
        <w:rPr>
          <w:rFonts w:ascii="Garamond" w:hAnsi="Garamond"/>
        </w:rPr>
        <w:t xml:space="preserve">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proofErr w:type="gramStart"/>
      <w:r w:rsidRPr="00EB462F">
        <w:rPr>
          <w:rFonts w:ascii="Garamond" w:hAnsi="Garamond"/>
          <w:i/>
          <w:lang w:val="en-GB"/>
        </w:rPr>
        <w:t>For</w:t>
      </w:r>
      <w:proofErr w:type="gramEnd"/>
      <w:r w:rsidRPr="00EB462F">
        <w:rPr>
          <w:rFonts w:ascii="Garamond" w:hAnsi="Garamond"/>
          <w:i/>
          <w:lang w:val="en-GB"/>
        </w:rPr>
        <w:t xml:space="preserve"> Conducting Midterm Reviews of UNDP-Supported, GEF-Financed Projects</w:t>
      </w:r>
      <w:r>
        <w:rPr>
          <w:rFonts w:ascii="Garamond" w:hAnsi="Garamond"/>
          <w:lang w:val="en-GB"/>
        </w:rPr>
        <w:t xml:space="preserve"> for extended descriptions. </w:t>
      </w:r>
    </w:p>
    <w:p w14:paraId="0BCF0877" w14:textId="77777777" w:rsidR="00BF0763" w:rsidRPr="002D731C" w:rsidRDefault="00BF0763" w:rsidP="00BF0763">
      <w:pPr>
        <w:spacing w:after="0" w:line="240" w:lineRule="auto"/>
        <w:jc w:val="both"/>
        <w:rPr>
          <w:rFonts w:ascii="Garamond" w:hAnsi="Garamond"/>
        </w:rPr>
      </w:pPr>
    </w:p>
    <w:p w14:paraId="2084804B" w14:textId="77777777"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163A8687"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47B53E" w14:textId="77777777" w:rsidR="00BF0763" w:rsidRPr="002D731C" w:rsidRDefault="00BF0763" w:rsidP="00BF0763">
      <w:pPr>
        <w:pStyle w:val="Prrafodelista"/>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00010151" w14:textId="77777777" w:rsidR="00BF0763" w:rsidRPr="002D731C" w:rsidRDefault="00BF0763" w:rsidP="00BF0763">
      <w:pPr>
        <w:pStyle w:val="Prrafodelista"/>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419C2238" w14:textId="77777777" w:rsidR="00BF0763" w:rsidRPr="00616BED" w:rsidRDefault="00BF0763" w:rsidP="00BF0763">
      <w:pPr>
        <w:pStyle w:val="Prrafodelista"/>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1DD9951D" w14:textId="77777777" w:rsidR="00BF0763" w:rsidRPr="0013208A" w:rsidRDefault="00BF0763" w:rsidP="00BF0763">
      <w:pPr>
        <w:pStyle w:val="Prrafodelista"/>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A44477">
        <w:rPr>
          <w:rFonts w:ascii="Garamond" w:eastAsiaTheme="minorHAnsi" w:hAnsi="Garamond" w:cs="ArialMT"/>
          <w:sz w:val="22"/>
          <w:szCs w:val="22"/>
        </w:rPr>
        <w:t>taken into account</w:t>
      </w:r>
      <w:proofErr w:type="gramEnd"/>
      <w:r w:rsidRPr="00A44477">
        <w:rPr>
          <w:rFonts w:ascii="Garamond" w:eastAsiaTheme="minorHAnsi" w:hAnsi="Garamond" w:cs="ArialMT"/>
          <w:sz w:val="22"/>
          <w:szCs w:val="22"/>
        </w:rPr>
        <w:t xml:space="preserve"> during project design processes?</w:t>
      </w:r>
      <w:r>
        <w:rPr>
          <w:rFonts w:ascii="Garamond" w:eastAsiaTheme="minorHAnsi" w:hAnsi="Garamond" w:cs="ArialMT"/>
          <w:sz w:val="22"/>
          <w:szCs w:val="22"/>
        </w:rPr>
        <w:t xml:space="preserve"> </w:t>
      </w:r>
    </w:p>
    <w:p w14:paraId="3F3A47E9" w14:textId="77777777" w:rsidR="00BF0763" w:rsidRPr="0013208A" w:rsidRDefault="00BF0763" w:rsidP="00BF0763">
      <w:pPr>
        <w:pStyle w:val="Prrafodelista"/>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39E58F56" w14:textId="77777777" w:rsidR="00BF0763" w:rsidRPr="00A44477" w:rsidRDefault="00BF0763" w:rsidP="00BF0763">
      <w:pPr>
        <w:pStyle w:val="Prrafodelista"/>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36B899FA" w14:textId="77777777" w:rsidR="00BF0763" w:rsidRPr="005C6140" w:rsidRDefault="00BF0763" w:rsidP="00BF0763">
      <w:pPr>
        <w:pStyle w:val="Prrafodelista"/>
        <w:spacing w:before="0"/>
        <w:ind w:left="360"/>
        <w:rPr>
          <w:rFonts w:ascii="Garamond" w:hAnsi="Garamond"/>
          <w:sz w:val="22"/>
          <w:szCs w:val="22"/>
        </w:rPr>
      </w:pPr>
    </w:p>
    <w:p w14:paraId="62F7ED73" w14:textId="45C8704F" w:rsidR="00BF0763"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358962C9" w14:textId="77777777" w:rsidR="002715AA" w:rsidRPr="00A77981" w:rsidRDefault="002715AA" w:rsidP="00BF0763">
      <w:pPr>
        <w:spacing w:after="0" w:line="240" w:lineRule="auto"/>
        <w:jc w:val="both"/>
        <w:rPr>
          <w:rFonts w:ascii="Garamond" w:hAnsi="Garamond"/>
        </w:rPr>
      </w:pPr>
    </w:p>
    <w:p w14:paraId="5C5D489D" w14:textId="77777777" w:rsidR="00BF0763" w:rsidRPr="00A77981" w:rsidRDefault="00BF0763" w:rsidP="00BF0763">
      <w:pPr>
        <w:pStyle w:val="Prrafodelista"/>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01B7A833" w14:textId="77777777" w:rsidR="00BF0763" w:rsidRPr="00A77981" w:rsidRDefault="00BF0763" w:rsidP="00BF0763">
      <w:pPr>
        <w:pStyle w:val="Prrafodelista"/>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7DBC54FC" w14:textId="58E8BE9C" w:rsidR="00BF0763" w:rsidRPr="00A77981" w:rsidRDefault="00BF0763" w:rsidP="00BF0763">
      <w:pPr>
        <w:pStyle w:val="Prrafodelista"/>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w:t>
      </w:r>
      <w:proofErr w:type="gramStart"/>
      <w:r w:rsidRPr="002D731C">
        <w:rPr>
          <w:rFonts w:ascii="Garamond" w:hAnsi="Garamond"/>
          <w:sz w:val="22"/>
          <w:szCs w:val="22"/>
          <w:lang w:val="en-GB"/>
        </w:rPr>
        <w:t>to,</w:t>
      </w:r>
      <w:r w:rsidR="008013B6">
        <w:rPr>
          <w:rFonts w:ascii="Garamond" w:hAnsi="Garamond"/>
          <w:sz w:val="22"/>
          <w:szCs w:val="22"/>
          <w:lang w:val="en-GB"/>
        </w:rPr>
        <w:t xml:space="preserve"> </w:t>
      </w:r>
      <w:r w:rsidRPr="002D731C">
        <w:rPr>
          <w:rFonts w:ascii="Garamond" w:hAnsi="Garamond"/>
          <w:sz w:val="22"/>
          <w:szCs w:val="22"/>
          <w:lang w:val="en-GB"/>
        </w:rPr>
        <w:t>or</w:t>
      </w:r>
      <w:proofErr w:type="gramEnd"/>
      <w:r w:rsidRPr="002D731C">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3D154B0D"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74ECF3BB" w14:textId="77777777" w:rsidR="00BF0763" w:rsidRDefault="00BF0763" w:rsidP="00BF0763">
      <w:pPr>
        <w:spacing w:after="0" w:line="240" w:lineRule="auto"/>
        <w:ind w:left="360"/>
        <w:jc w:val="both"/>
        <w:rPr>
          <w:rFonts w:ascii="Garamond" w:hAnsi="Garamond"/>
          <w:color w:val="000000"/>
          <w:lang w:val="en-GB"/>
        </w:rPr>
      </w:pPr>
    </w:p>
    <w:p w14:paraId="414F4E1C"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lastRenderedPageBreak/>
        <w:t>ii.    Progress Towards Results</w:t>
      </w:r>
    </w:p>
    <w:p w14:paraId="1A7467B5" w14:textId="77777777" w:rsidR="00BF0763" w:rsidRPr="0013208A" w:rsidRDefault="00BF0763" w:rsidP="00BF0763">
      <w:pPr>
        <w:spacing w:after="0" w:line="240" w:lineRule="auto"/>
        <w:jc w:val="both"/>
        <w:rPr>
          <w:rFonts w:ascii="Garamond" w:hAnsi="Garamond"/>
          <w:color w:val="000000"/>
          <w:lang w:val="en-GB"/>
        </w:rPr>
      </w:pPr>
    </w:p>
    <w:p w14:paraId="7EBB54EE"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73B627EB" w14:textId="77777777" w:rsidR="005A0E07" w:rsidRPr="00185A8A" w:rsidRDefault="005A0E07" w:rsidP="005A0E07">
      <w:pPr>
        <w:pStyle w:val="Prrafodelista"/>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2E264D25" w14:textId="77777777" w:rsidR="005A0E07" w:rsidRPr="00EB462F" w:rsidRDefault="005A0E07" w:rsidP="005A0E07">
      <w:pPr>
        <w:pStyle w:val="Prrafodelista"/>
        <w:spacing w:before="0"/>
        <w:ind w:left="360"/>
        <w:rPr>
          <w:rFonts w:ascii="Garamond" w:hAnsi="Garamond"/>
          <w:color w:val="000000"/>
          <w:lang w:val="en-GB"/>
        </w:rPr>
      </w:pPr>
    </w:p>
    <w:p w14:paraId="0E6A5824" w14:textId="77777777" w:rsidR="005A0E07" w:rsidRPr="00031804" w:rsidRDefault="005A0E07" w:rsidP="005A0E07">
      <w:pPr>
        <w:pStyle w:val="Descripci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p w14:paraId="4D59FFC8" w14:textId="77777777" w:rsidR="005A0E07" w:rsidRPr="005A0E07" w:rsidRDefault="005A0E07" w:rsidP="005A0E07">
      <w:pPr>
        <w:spacing w:after="0"/>
        <w:rPr>
          <w:rFonts w:ascii="Garamond" w:hAnsi="Garamond"/>
          <w:b/>
          <w:sz w:val="14"/>
          <w:szCs w:val="14"/>
          <w:u w:val="single"/>
        </w:rPr>
      </w:pPr>
    </w:p>
    <w:tbl>
      <w:tblPr>
        <w:tblW w:w="53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22"/>
        <w:gridCol w:w="1469"/>
        <w:gridCol w:w="1470"/>
        <w:gridCol w:w="899"/>
        <w:gridCol w:w="1461"/>
        <w:gridCol w:w="926"/>
        <w:gridCol w:w="1110"/>
        <w:gridCol w:w="1039"/>
      </w:tblGrid>
      <w:tr w:rsidR="00E1102A" w:rsidRPr="008D4D31" w14:paraId="0AFD54C3" w14:textId="77777777" w:rsidTr="00D43DC1">
        <w:trPr>
          <w:trHeight w:val="248"/>
        </w:trPr>
        <w:tc>
          <w:tcPr>
            <w:tcW w:w="637" w:type="pct"/>
            <w:shd w:val="pct12" w:color="auto" w:fill="auto"/>
          </w:tcPr>
          <w:p w14:paraId="663B8B01" w14:textId="77777777" w:rsidR="00E1102A" w:rsidRPr="008D4D31" w:rsidRDefault="00E1102A" w:rsidP="00DE54DC">
            <w:pPr>
              <w:spacing w:after="0" w:line="271" w:lineRule="auto"/>
              <w:jc w:val="center"/>
              <w:rPr>
                <w:b/>
                <w:bCs/>
                <w:sz w:val="18"/>
                <w:szCs w:val="18"/>
              </w:rPr>
            </w:pPr>
          </w:p>
        </w:tc>
        <w:tc>
          <w:tcPr>
            <w:tcW w:w="766" w:type="pct"/>
            <w:shd w:val="pct12" w:color="auto" w:fill="auto"/>
          </w:tcPr>
          <w:p w14:paraId="15509708" w14:textId="77777777" w:rsidR="00E1102A" w:rsidRPr="008D4D31" w:rsidRDefault="00E1102A" w:rsidP="00DE54DC">
            <w:pPr>
              <w:spacing w:after="0" w:line="271" w:lineRule="auto"/>
              <w:jc w:val="center"/>
              <w:rPr>
                <w:b/>
                <w:bCs/>
                <w:sz w:val="18"/>
                <w:szCs w:val="18"/>
              </w:rPr>
            </w:pPr>
            <w:r w:rsidRPr="008D4D31">
              <w:rPr>
                <w:b/>
                <w:bCs/>
                <w:sz w:val="18"/>
                <w:szCs w:val="18"/>
              </w:rPr>
              <w:t>Objective and Outcome Indicators</w:t>
            </w:r>
          </w:p>
          <w:p w14:paraId="4FBED670" w14:textId="77777777" w:rsidR="00E1102A" w:rsidRPr="008D4D31" w:rsidRDefault="00E1102A" w:rsidP="00DE54DC">
            <w:pPr>
              <w:spacing w:after="0" w:line="271" w:lineRule="auto"/>
              <w:jc w:val="center"/>
              <w:rPr>
                <w:b/>
                <w:bCs/>
                <w:sz w:val="18"/>
                <w:szCs w:val="18"/>
              </w:rPr>
            </w:pPr>
          </w:p>
        </w:tc>
        <w:tc>
          <w:tcPr>
            <w:tcW w:w="766" w:type="pct"/>
            <w:shd w:val="pct12" w:color="auto" w:fill="auto"/>
          </w:tcPr>
          <w:p w14:paraId="673559EE" w14:textId="77777777" w:rsidR="00E1102A" w:rsidRPr="008D4D31" w:rsidRDefault="00E1102A" w:rsidP="00DE54DC">
            <w:pPr>
              <w:spacing w:after="0" w:line="271" w:lineRule="auto"/>
              <w:jc w:val="center"/>
              <w:rPr>
                <w:b/>
                <w:bCs/>
                <w:sz w:val="18"/>
                <w:szCs w:val="18"/>
              </w:rPr>
            </w:pPr>
            <w:r w:rsidRPr="008D4D31">
              <w:rPr>
                <w:b/>
                <w:bCs/>
                <w:sz w:val="18"/>
                <w:szCs w:val="18"/>
              </w:rPr>
              <w:t>Baseline</w:t>
            </w:r>
            <w:r w:rsidRPr="008D4D31">
              <w:rPr>
                <w:rStyle w:val="Refdenotaalpie"/>
                <w:rFonts w:ascii="Calibri" w:hAnsi="Calibri"/>
                <w:b/>
                <w:bCs/>
                <w:szCs w:val="18"/>
              </w:rPr>
              <w:footnoteReference w:id="5"/>
            </w:r>
            <w:r w:rsidRPr="008D4D31">
              <w:rPr>
                <w:b/>
                <w:bCs/>
                <w:sz w:val="18"/>
                <w:szCs w:val="18"/>
              </w:rPr>
              <w:t xml:space="preserve"> </w:t>
            </w:r>
          </w:p>
          <w:p w14:paraId="04C7F819" w14:textId="77777777" w:rsidR="00E1102A" w:rsidRPr="008D4D31" w:rsidRDefault="00E1102A" w:rsidP="00DE54DC">
            <w:pPr>
              <w:spacing w:after="0" w:line="271" w:lineRule="auto"/>
              <w:jc w:val="center"/>
              <w:rPr>
                <w:b/>
                <w:bCs/>
                <w:sz w:val="18"/>
                <w:szCs w:val="18"/>
              </w:rPr>
            </w:pPr>
          </w:p>
        </w:tc>
        <w:tc>
          <w:tcPr>
            <w:tcW w:w="468" w:type="pct"/>
            <w:shd w:val="pct12" w:color="auto" w:fill="auto"/>
          </w:tcPr>
          <w:p w14:paraId="06859B7F" w14:textId="77777777" w:rsidR="00E1102A" w:rsidRPr="008D4D31" w:rsidRDefault="00E1102A" w:rsidP="00DE54DC">
            <w:pPr>
              <w:spacing w:after="0" w:line="271" w:lineRule="auto"/>
              <w:jc w:val="center"/>
              <w:rPr>
                <w:b/>
                <w:bCs/>
                <w:sz w:val="18"/>
                <w:szCs w:val="18"/>
              </w:rPr>
            </w:pPr>
            <w:r w:rsidRPr="008D4D31">
              <w:rPr>
                <w:b/>
                <w:bCs/>
                <w:sz w:val="18"/>
                <w:szCs w:val="18"/>
              </w:rPr>
              <w:t>Mid-term Target</w:t>
            </w:r>
            <w:r w:rsidRPr="008D4D31">
              <w:rPr>
                <w:b/>
                <w:bCs/>
                <w:sz w:val="18"/>
                <w:szCs w:val="18"/>
              </w:rPr>
              <w:fldChar w:fldCharType="begin"/>
            </w:r>
            <w:r w:rsidRPr="008D4D31">
              <w:rPr>
                <w:b/>
                <w:bCs/>
                <w:sz w:val="18"/>
                <w:szCs w:val="18"/>
              </w:rPr>
              <w:instrText xml:space="preserve"> NOTEREF _Ref430614916 \f \h  \* MERGEFORMAT </w:instrText>
            </w:r>
            <w:r w:rsidRPr="008D4D31">
              <w:rPr>
                <w:b/>
                <w:bCs/>
                <w:sz w:val="18"/>
                <w:szCs w:val="18"/>
              </w:rPr>
            </w:r>
            <w:r w:rsidRPr="008D4D31">
              <w:rPr>
                <w:b/>
                <w:bCs/>
                <w:sz w:val="18"/>
                <w:szCs w:val="18"/>
              </w:rPr>
              <w:fldChar w:fldCharType="separate"/>
            </w:r>
            <w:r w:rsidRPr="00E90FBC">
              <w:rPr>
                <w:rStyle w:val="Refdenotaalpie"/>
                <w:rFonts w:ascii="Calibri" w:hAnsi="Calibri"/>
                <w:szCs w:val="18"/>
              </w:rPr>
              <w:t>61</w:t>
            </w:r>
            <w:r w:rsidRPr="008D4D31">
              <w:rPr>
                <w:b/>
                <w:bCs/>
                <w:sz w:val="18"/>
                <w:szCs w:val="18"/>
              </w:rPr>
              <w:fldChar w:fldCharType="end"/>
            </w:r>
          </w:p>
          <w:p w14:paraId="4EAB0465" w14:textId="77777777" w:rsidR="00E1102A" w:rsidRPr="008D4D31" w:rsidRDefault="00E1102A" w:rsidP="00DE54DC">
            <w:pPr>
              <w:spacing w:after="0" w:line="271" w:lineRule="auto"/>
              <w:jc w:val="center"/>
              <w:rPr>
                <w:b/>
                <w:bCs/>
                <w:sz w:val="18"/>
                <w:szCs w:val="18"/>
              </w:rPr>
            </w:pPr>
          </w:p>
        </w:tc>
        <w:tc>
          <w:tcPr>
            <w:tcW w:w="761" w:type="pct"/>
            <w:shd w:val="pct12" w:color="auto" w:fill="auto"/>
          </w:tcPr>
          <w:p w14:paraId="11D46572" w14:textId="77777777" w:rsidR="00E1102A" w:rsidRPr="008D4D31" w:rsidRDefault="00E1102A" w:rsidP="00DE54DC">
            <w:pPr>
              <w:spacing w:after="0" w:line="271" w:lineRule="auto"/>
              <w:jc w:val="center"/>
              <w:rPr>
                <w:b/>
                <w:bCs/>
                <w:sz w:val="18"/>
                <w:szCs w:val="18"/>
              </w:rPr>
            </w:pPr>
            <w:r w:rsidRPr="008D4D31">
              <w:rPr>
                <w:b/>
                <w:bCs/>
                <w:sz w:val="18"/>
                <w:szCs w:val="18"/>
              </w:rPr>
              <w:t>End of Project Target</w:t>
            </w:r>
            <w:r w:rsidRPr="008D4D31">
              <w:rPr>
                <w:b/>
                <w:bCs/>
                <w:sz w:val="18"/>
                <w:szCs w:val="18"/>
              </w:rPr>
              <w:fldChar w:fldCharType="begin"/>
            </w:r>
            <w:r w:rsidRPr="008D4D31">
              <w:rPr>
                <w:b/>
                <w:bCs/>
                <w:sz w:val="18"/>
                <w:szCs w:val="18"/>
              </w:rPr>
              <w:instrText xml:space="preserve"> NOTEREF _Ref430614916 \f \h  \* MERGEFORMAT </w:instrText>
            </w:r>
            <w:r w:rsidRPr="008D4D31">
              <w:rPr>
                <w:b/>
                <w:bCs/>
                <w:sz w:val="18"/>
                <w:szCs w:val="18"/>
              </w:rPr>
            </w:r>
            <w:r w:rsidRPr="008D4D31">
              <w:rPr>
                <w:b/>
                <w:bCs/>
                <w:sz w:val="18"/>
                <w:szCs w:val="18"/>
              </w:rPr>
              <w:fldChar w:fldCharType="separate"/>
            </w:r>
            <w:r w:rsidRPr="00E90FBC">
              <w:rPr>
                <w:rStyle w:val="Refdenotaalpie"/>
                <w:rFonts w:ascii="Calibri" w:hAnsi="Calibri"/>
                <w:szCs w:val="18"/>
              </w:rPr>
              <w:t>61</w:t>
            </w:r>
            <w:r w:rsidRPr="008D4D31">
              <w:rPr>
                <w:b/>
                <w:bCs/>
                <w:sz w:val="18"/>
                <w:szCs w:val="18"/>
              </w:rPr>
              <w:fldChar w:fldCharType="end"/>
            </w:r>
          </w:p>
          <w:p w14:paraId="1C447639" w14:textId="77777777" w:rsidR="00E1102A" w:rsidRPr="008D4D31" w:rsidRDefault="00E1102A" w:rsidP="00DE54DC">
            <w:pPr>
              <w:spacing w:after="0" w:line="271" w:lineRule="auto"/>
              <w:jc w:val="center"/>
              <w:rPr>
                <w:b/>
                <w:bCs/>
                <w:sz w:val="18"/>
                <w:szCs w:val="18"/>
              </w:rPr>
            </w:pPr>
          </w:p>
        </w:tc>
        <w:tc>
          <w:tcPr>
            <w:tcW w:w="482" w:type="pct"/>
            <w:shd w:val="pct12" w:color="auto" w:fill="auto"/>
          </w:tcPr>
          <w:p w14:paraId="097817D7" w14:textId="77777777" w:rsidR="00E1102A" w:rsidRPr="008D4D31" w:rsidRDefault="00E1102A" w:rsidP="00DE54DC">
            <w:pPr>
              <w:spacing w:after="0" w:line="271" w:lineRule="auto"/>
              <w:jc w:val="center"/>
              <w:rPr>
                <w:b/>
                <w:bCs/>
                <w:sz w:val="18"/>
                <w:szCs w:val="18"/>
              </w:rPr>
            </w:pPr>
            <w:proofErr w:type="spellStart"/>
            <w:r>
              <w:rPr>
                <w:b/>
                <w:bCs/>
                <w:sz w:val="18"/>
                <w:szCs w:val="18"/>
              </w:rPr>
              <w:t>Mid term</w:t>
            </w:r>
            <w:proofErr w:type="spellEnd"/>
            <w:r>
              <w:rPr>
                <w:b/>
                <w:bCs/>
                <w:sz w:val="18"/>
                <w:szCs w:val="18"/>
              </w:rPr>
              <w:t xml:space="preserve"> Level </w:t>
            </w:r>
            <w:proofErr w:type="spellStart"/>
            <w:r>
              <w:rPr>
                <w:b/>
                <w:bCs/>
                <w:sz w:val="18"/>
                <w:szCs w:val="18"/>
              </w:rPr>
              <w:t>Assesment</w:t>
            </w:r>
            <w:proofErr w:type="spellEnd"/>
          </w:p>
        </w:tc>
        <w:tc>
          <w:tcPr>
            <w:tcW w:w="578" w:type="pct"/>
            <w:shd w:val="pct12" w:color="auto" w:fill="auto"/>
          </w:tcPr>
          <w:p w14:paraId="5F37503F" w14:textId="77777777" w:rsidR="00E1102A" w:rsidRDefault="00E1102A" w:rsidP="00DE54DC">
            <w:pPr>
              <w:rPr>
                <w:rFonts w:ascii="Garamond" w:hAnsi="Garamond"/>
                <w:b/>
                <w:sz w:val="18"/>
                <w:szCs w:val="18"/>
              </w:rPr>
            </w:pPr>
            <w:r>
              <w:rPr>
                <w:rFonts w:ascii="Garamond" w:hAnsi="Garamond"/>
                <w:b/>
                <w:sz w:val="18"/>
                <w:szCs w:val="18"/>
              </w:rPr>
              <w:t>Achievement Rating</w:t>
            </w:r>
            <w:r>
              <w:rPr>
                <w:rStyle w:val="Refdenotaalpie"/>
                <w:rFonts w:ascii="Garamond" w:hAnsi="Garamond"/>
                <w:b/>
                <w:sz w:val="18"/>
                <w:szCs w:val="18"/>
              </w:rPr>
              <w:footnoteReference w:id="6"/>
            </w:r>
          </w:p>
        </w:tc>
        <w:tc>
          <w:tcPr>
            <w:tcW w:w="541" w:type="pct"/>
            <w:shd w:val="pct12" w:color="auto" w:fill="auto"/>
          </w:tcPr>
          <w:p w14:paraId="680E631E" w14:textId="77777777" w:rsidR="00E1102A" w:rsidRPr="007E17D6" w:rsidRDefault="00E1102A" w:rsidP="00DE54DC">
            <w:pPr>
              <w:rPr>
                <w:rFonts w:ascii="Garamond" w:hAnsi="Garamond"/>
                <w:b/>
                <w:sz w:val="18"/>
                <w:szCs w:val="18"/>
              </w:rPr>
            </w:pPr>
            <w:r>
              <w:rPr>
                <w:rFonts w:ascii="Garamond" w:hAnsi="Garamond"/>
                <w:b/>
                <w:sz w:val="18"/>
                <w:szCs w:val="18"/>
              </w:rPr>
              <w:t>Justification for Rating</w:t>
            </w:r>
          </w:p>
        </w:tc>
      </w:tr>
      <w:tr w:rsidR="00E1102A" w:rsidRPr="00FD4C67" w14:paraId="258BFFD1" w14:textId="77777777" w:rsidTr="00D43DC1">
        <w:trPr>
          <w:trHeight w:val="458"/>
        </w:trPr>
        <w:tc>
          <w:tcPr>
            <w:tcW w:w="637" w:type="pct"/>
            <w:vMerge w:val="restart"/>
            <w:shd w:val="pct12" w:color="auto" w:fill="auto"/>
          </w:tcPr>
          <w:p w14:paraId="33A96EAB" w14:textId="77777777" w:rsidR="00E1102A" w:rsidRPr="00FD4C67" w:rsidRDefault="00E1102A" w:rsidP="00DE54DC">
            <w:pPr>
              <w:spacing w:after="0" w:line="271" w:lineRule="auto"/>
              <w:rPr>
                <w:b/>
                <w:bCs/>
                <w:sz w:val="18"/>
                <w:szCs w:val="18"/>
              </w:rPr>
            </w:pPr>
            <w:r w:rsidRPr="00FD4C67">
              <w:rPr>
                <w:b/>
                <w:bCs/>
                <w:sz w:val="18"/>
                <w:szCs w:val="18"/>
              </w:rPr>
              <w:t xml:space="preserve">Project Objective: </w:t>
            </w:r>
            <w:r w:rsidRPr="00FD4C67">
              <w:rPr>
                <w:bCs/>
                <w:sz w:val="18"/>
                <w:szCs w:val="18"/>
              </w:rPr>
              <w:t>To introduce biogas technologies for energy generation as part of the National Strategy for integrated municipal waste management.</w:t>
            </w:r>
          </w:p>
        </w:tc>
        <w:tc>
          <w:tcPr>
            <w:tcW w:w="766" w:type="pct"/>
          </w:tcPr>
          <w:p w14:paraId="060767F2" w14:textId="77777777" w:rsidR="00E1102A" w:rsidRPr="00FD4C67" w:rsidRDefault="00E1102A" w:rsidP="00DE54DC">
            <w:pPr>
              <w:spacing w:after="0" w:line="271" w:lineRule="auto"/>
              <w:rPr>
                <w:bCs/>
                <w:sz w:val="18"/>
                <w:szCs w:val="18"/>
              </w:rPr>
            </w:pPr>
            <w:r w:rsidRPr="00FD4C67">
              <w:rPr>
                <w:bCs/>
                <w:sz w:val="18"/>
                <w:szCs w:val="18"/>
              </w:rPr>
              <w:t>(A) Achieved direct GHG emission reductions by pilot biogas energy plants and replication (ton CO</w:t>
            </w:r>
            <w:r w:rsidRPr="00FD4C67">
              <w:rPr>
                <w:bCs/>
                <w:sz w:val="18"/>
                <w:szCs w:val="18"/>
                <w:vertAlign w:val="subscript"/>
              </w:rPr>
              <w:t>2</w:t>
            </w:r>
            <w:r w:rsidRPr="00FD4C67">
              <w:rPr>
                <w:bCs/>
                <w:sz w:val="18"/>
                <w:szCs w:val="18"/>
              </w:rPr>
              <w:t>eq/</w:t>
            </w:r>
            <w:proofErr w:type="spellStart"/>
            <w:r w:rsidRPr="00FD4C67">
              <w:rPr>
                <w:bCs/>
                <w:sz w:val="18"/>
                <w:szCs w:val="18"/>
              </w:rPr>
              <w:t>yr</w:t>
            </w:r>
            <w:proofErr w:type="spellEnd"/>
            <w:r w:rsidRPr="00FD4C67">
              <w:rPr>
                <w:bCs/>
                <w:sz w:val="18"/>
                <w:szCs w:val="18"/>
              </w:rPr>
              <w:t>);</w:t>
            </w:r>
          </w:p>
        </w:tc>
        <w:tc>
          <w:tcPr>
            <w:tcW w:w="766" w:type="pct"/>
          </w:tcPr>
          <w:p w14:paraId="652B6FE0" w14:textId="77777777" w:rsidR="00E1102A" w:rsidRPr="00B82F8D" w:rsidRDefault="00E1102A" w:rsidP="00DE54DC">
            <w:pPr>
              <w:spacing w:after="0" w:line="271" w:lineRule="auto"/>
              <w:rPr>
                <w:bCs/>
                <w:sz w:val="18"/>
                <w:szCs w:val="18"/>
              </w:rPr>
            </w:pPr>
            <w:proofErr w:type="gramStart"/>
            <w:r w:rsidRPr="00B82F8D">
              <w:rPr>
                <w:bCs/>
                <w:sz w:val="18"/>
                <w:szCs w:val="18"/>
              </w:rPr>
              <w:t>0 ton</w:t>
            </w:r>
            <w:proofErr w:type="gramEnd"/>
            <w:r w:rsidRPr="00B82F8D">
              <w:rPr>
                <w:bCs/>
                <w:sz w:val="18"/>
                <w:szCs w:val="18"/>
              </w:rPr>
              <w:t xml:space="preserve"> CO</w:t>
            </w:r>
            <w:r w:rsidRPr="00177A4C">
              <w:rPr>
                <w:bCs/>
                <w:sz w:val="18"/>
                <w:szCs w:val="18"/>
                <w:vertAlign w:val="subscript"/>
              </w:rPr>
              <w:t>2</w:t>
            </w:r>
            <w:r w:rsidRPr="00B82F8D">
              <w:rPr>
                <w:bCs/>
                <w:sz w:val="18"/>
                <w:szCs w:val="18"/>
              </w:rPr>
              <w:t>eq/</w:t>
            </w:r>
            <w:proofErr w:type="spellStart"/>
            <w:r w:rsidRPr="00B82F8D">
              <w:rPr>
                <w:bCs/>
                <w:sz w:val="18"/>
                <w:szCs w:val="18"/>
              </w:rPr>
              <w:t>yr</w:t>
            </w:r>
            <w:proofErr w:type="spellEnd"/>
            <w:r w:rsidRPr="00B82F8D">
              <w:rPr>
                <w:bCs/>
                <w:sz w:val="18"/>
                <w:szCs w:val="18"/>
              </w:rPr>
              <w:t>;</w:t>
            </w:r>
          </w:p>
        </w:tc>
        <w:tc>
          <w:tcPr>
            <w:tcW w:w="468" w:type="pct"/>
          </w:tcPr>
          <w:p w14:paraId="4E6FD0B9" w14:textId="77777777" w:rsidR="00E1102A" w:rsidRPr="00B82F8D" w:rsidRDefault="00E1102A" w:rsidP="00DE54DC">
            <w:pPr>
              <w:spacing w:after="0" w:line="271" w:lineRule="auto"/>
              <w:rPr>
                <w:bCs/>
                <w:sz w:val="18"/>
                <w:szCs w:val="18"/>
              </w:rPr>
            </w:pPr>
            <w:proofErr w:type="gramStart"/>
            <w:r w:rsidRPr="00B82F8D">
              <w:rPr>
                <w:bCs/>
                <w:sz w:val="18"/>
                <w:szCs w:val="18"/>
              </w:rPr>
              <w:t>2,200 ton</w:t>
            </w:r>
            <w:proofErr w:type="gramEnd"/>
            <w:r w:rsidRPr="00B82F8D">
              <w:rPr>
                <w:bCs/>
                <w:sz w:val="18"/>
                <w:szCs w:val="18"/>
              </w:rPr>
              <w:t xml:space="preserve"> CO</w:t>
            </w:r>
            <w:r w:rsidRPr="00177A4C">
              <w:rPr>
                <w:bCs/>
                <w:sz w:val="18"/>
                <w:szCs w:val="18"/>
                <w:vertAlign w:val="subscript"/>
              </w:rPr>
              <w:t>2</w:t>
            </w:r>
            <w:r w:rsidRPr="00B82F8D">
              <w:rPr>
                <w:bCs/>
                <w:sz w:val="18"/>
                <w:szCs w:val="18"/>
              </w:rPr>
              <w:t>eq/</w:t>
            </w:r>
            <w:proofErr w:type="spellStart"/>
            <w:r w:rsidRPr="00B82F8D">
              <w:rPr>
                <w:bCs/>
                <w:sz w:val="18"/>
                <w:szCs w:val="18"/>
              </w:rPr>
              <w:t>yr</w:t>
            </w:r>
            <w:proofErr w:type="spellEnd"/>
            <w:r w:rsidRPr="00B82F8D">
              <w:rPr>
                <w:bCs/>
                <w:sz w:val="18"/>
                <w:szCs w:val="18"/>
              </w:rPr>
              <w:t>;</w:t>
            </w:r>
          </w:p>
        </w:tc>
        <w:tc>
          <w:tcPr>
            <w:tcW w:w="761" w:type="pct"/>
          </w:tcPr>
          <w:p w14:paraId="32A715B6" w14:textId="77777777" w:rsidR="00E1102A" w:rsidRPr="00B82F8D" w:rsidRDefault="00E1102A" w:rsidP="00DE54DC">
            <w:pPr>
              <w:spacing w:after="0" w:line="271" w:lineRule="auto"/>
              <w:rPr>
                <w:bCs/>
                <w:sz w:val="18"/>
                <w:szCs w:val="18"/>
              </w:rPr>
            </w:pPr>
            <w:proofErr w:type="gramStart"/>
            <w:r w:rsidRPr="00B82F8D">
              <w:rPr>
                <w:bCs/>
                <w:sz w:val="18"/>
                <w:szCs w:val="18"/>
              </w:rPr>
              <w:t>13,400 ton</w:t>
            </w:r>
            <w:proofErr w:type="gramEnd"/>
            <w:r w:rsidRPr="00B82F8D">
              <w:rPr>
                <w:bCs/>
                <w:sz w:val="18"/>
                <w:szCs w:val="18"/>
              </w:rPr>
              <w:t xml:space="preserve"> CO</w:t>
            </w:r>
            <w:r w:rsidRPr="00177A4C">
              <w:rPr>
                <w:bCs/>
                <w:sz w:val="18"/>
                <w:szCs w:val="18"/>
                <w:vertAlign w:val="subscript"/>
              </w:rPr>
              <w:t>2</w:t>
            </w:r>
            <w:r w:rsidRPr="00B82F8D">
              <w:rPr>
                <w:bCs/>
                <w:sz w:val="18"/>
                <w:szCs w:val="18"/>
              </w:rPr>
              <w:t>eq/</w:t>
            </w:r>
            <w:proofErr w:type="spellStart"/>
            <w:r w:rsidRPr="00B82F8D">
              <w:rPr>
                <w:bCs/>
                <w:sz w:val="18"/>
                <w:szCs w:val="18"/>
              </w:rPr>
              <w:t>yr</w:t>
            </w:r>
            <w:proofErr w:type="spellEnd"/>
            <w:r w:rsidRPr="00B82F8D">
              <w:rPr>
                <w:bCs/>
                <w:sz w:val="18"/>
                <w:szCs w:val="18"/>
              </w:rPr>
              <w:t>;</w:t>
            </w:r>
          </w:p>
        </w:tc>
        <w:tc>
          <w:tcPr>
            <w:tcW w:w="482" w:type="pct"/>
          </w:tcPr>
          <w:p w14:paraId="4EF8AC0D" w14:textId="77777777" w:rsidR="00E1102A" w:rsidRPr="00FD4C67" w:rsidRDefault="00E1102A" w:rsidP="00DE54DC">
            <w:pPr>
              <w:rPr>
                <w:bCs/>
                <w:sz w:val="18"/>
                <w:szCs w:val="18"/>
              </w:rPr>
            </w:pPr>
          </w:p>
        </w:tc>
        <w:tc>
          <w:tcPr>
            <w:tcW w:w="578" w:type="pct"/>
          </w:tcPr>
          <w:p w14:paraId="34ED4CC2" w14:textId="77777777" w:rsidR="00E1102A" w:rsidRPr="00FD4C67" w:rsidRDefault="00E1102A" w:rsidP="00DE54DC">
            <w:pPr>
              <w:rPr>
                <w:bCs/>
                <w:sz w:val="18"/>
                <w:szCs w:val="18"/>
              </w:rPr>
            </w:pPr>
          </w:p>
        </w:tc>
        <w:tc>
          <w:tcPr>
            <w:tcW w:w="541" w:type="pct"/>
          </w:tcPr>
          <w:p w14:paraId="0EA686BF" w14:textId="77777777" w:rsidR="00E1102A" w:rsidRPr="00FD4C67" w:rsidRDefault="00E1102A" w:rsidP="00DE54DC">
            <w:pPr>
              <w:rPr>
                <w:bCs/>
                <w:sz w:val="18"/>
                <w:szCs w:val="18"/>
              </w:rPr>
            </w:pPr>
          </w:p>
        </w:tc>
      </w:tr>
      <w:tr w:rsidR="00E1102A" w:rsidRPr="008D4D31" w14:paraId="3171B815" w14:textId="77777777" w:rsidTr="00D43DC1">
        <w:trPr>
          <w:trHeight w:val="458"/>
        </w:trPr>
        <w:tc>
          <w:tcPr>
            <w:tcW w:w="637" w:type="pct"/>
            <w:vMerge/>
            <w:shd w:val="pct12" w:color="auto" w:fill="auto"/>
          </w:tcPr>
          <w:p w14:paraId="06E1B1C5" w14:textId="77777777" w:rsidR="00E1102A" w:rsidRPr="00FD4C67" w:rsidRDefault="00E1102A" w:rsidP="00DE54DC">
            <w:pPr>
              <w:spacing w:after="0" w:line="271" w:lineRule="auto"/>
              <w:rPr>
                <w:b/>
                <w:bCs/>
                <w:sz w:val="18"/>
                <w:szCs w:val="18"/>
              </w:rPr>
            </w:pPr>
          </w:p>
        </w:tc>
        <w:tc>
          <w:tcPr>
            <w:tcW w:w="766" w:type="pct"/>
          </w:tcPr>
          <w:p w14:paraId="1B6D98ED" w14:textId="77777777" w:rsidR="00E1102A" w:rsidRPr="00FD4C67" w:rsidRDefault="00E1102A" w:rsidP="00DE54DC">
            <w:pPr>
              <w:spacing w:after="0" w:line="271" w:lineRule="auto"/>
              <w:rPr>
                <w:bCs/>
                <w:sz w:val="18"/>
                <w:szCs w:val="18"/>
              </w:rPr>
            </w:pPr>
            <w:r w:rsidRPr="00FD4C67">
              <w:rPr>
                <w:bCs/>
                <w:sz w:val="18"/>
                <w:szCs w:val="18"/>
              </w:rPr>
              <w:t>(B)</w:t>
            </w:r>
            <w:r>
              <w:rPr>
                <w:rStyle w:val="Refdenotaalpie"/>
                <w:bCs/>
                <w:szCs w:val="18"/>
              </w:rPr>
              <w:footnoteReference w:id="7"/>
            </w:r>
            <w:r w:rsidRPr="00FD4C67">
              <w:rPr>
                <w:bCs/>
                <w:sz w:val="18"/>
                <w:szCs w:val="18"/>
              </w:rPr>
              <w:t xml:space="preserve"> Policy and regulatory framework for MSW-based biogas energy supported;</w:t>
            </w:r>
          </w:p>
        </w:tc>
        <w:tc>
          <w:tcPr>
            <w:tcW w:w="766" w:type="pct"/>
          </w:tcPr>
          <w:p w14:paraId="56908514" w14:textId="77777777" w:rsidR="00E1102A" w:rsidRPr="008D4D31" w:rsidRDefault="00E1102A" w:rsidP="00DE54DC">
            <w:pPr>
              <w:spacing w:after="0" w:line="271" w:lineRule="auto"/>
              <w:rPr>
                <w:bCs/>
                <w:sz w:val="18"/>
                <w:szCs w:val="18"/>
              </w:rPr>
            </w:pPr>
            <w:r>
              <w:rPr>
                <w:bCs/>
                <w:sz w:val="18"/>
                <w:szCs w:val="18"/>
              </w:rPr>
              <w:t>2</w:t>
            </w:r>
          </w:p>
        </w:tc>
        <w:tc>
          <w:tcPr>
            <w:tcW w:w="468" w:type="pct"/>
          </w:tcPr>
          <w:p w14:paraId="014E26F6" w14:textId="77777777" w:rsidR="00E1102A" w:rsidRPr="008D4D31" w:rsidRDefault="00E1102A" w:rsidP="00DE54DC">
            <w:pPr>
              <w:spacing w:after="0" w:line="271" w:lineRule="auto"/>
              <w:rPr>
                <w:bCs/>
                <w:sz w:val="18"/>
                <w:szCs w:val="18"/>
              </w:rPr>
            </w:pPr>
            <w:r>
              <w:rPr>
                <w:bCs/>
                <w:sz w:val="18"/>
                <w:szCs w:val="18"/>
              </w:rPr>
              <w:t>3</w:t>
            </w:r>
          </w:p>
        </w:tc>
        <w:tc>
          <w:tcPr>
            <w:tcW w:w="761" w:type="pct"/>
          </w:tcPr>
          <w:p w14:paraId="2E3964EA" w14:textId="77777777" w:rsidR="00E1102A" w:rsidRPr="008D4D31" w:rsidRDefault="00E1102A" w:rsidP="00DE54DC">
            <w:pPr>
              <w:spacing w:after="0" w:line="271" w:lineRule="auto"/>
              <w:rPr>
                <w:b/>
                <w:bCs/>
                <w:sz w:val="18"/>
                <w:szCs w:val="18"/>
              </w:rPr>
            </w:pPr>
            <w:r>
              <w:rPr>
                <w:b/>
                <w:bCs/>
                <w:sz w:val="18"/>
                <w:szCs w:val="18"/>
              </w:rPr>
              <w:t>5</w:t>
            </w:r>
          </w:p>
        </w:tc>
        <w:tc>
          <w:tcPr>
            <w:tcW w:w="482" w:type="pct"/>
          </w:tcPr>
          <w:p w14:paraId="6AE12BAA" w14:textId="77777777" w:rsidR="00E1102A" w:rsidRPr="008D4D31" w:rsidRDefault="00E1102A" w:rsidP="00DE54DC">
            <w:pPr>
              <w:spacing w:line="271" w:lineRule="auto"/>
              <w:rPr>
                <w:bCs/>
                <w:sz w:val="18"/>
                <w:szCs w:val="18"/>
              </w:rPr>
            </w:pPr>
          </w:p>
        </w:tc>
        <w:tc>
          <w:tcPr>
            <w:tcW w:w="578" w:type="pct"/>
          </w:tcPr>
          <w:p w14:paraId="5B55091D" w14:textId="77777777" w:rsidR="00E1102A" w:rsidRPr="008D4D31" w:rsidRDefault="00E1102A" w:rsidP="00DE54DC">
            <w:pPr>
              <w:spacing w:line="271" w:lineRule="auto"/>
              <w:rPr>
                <w:bCs/>
                <w:sz w:val="18"/>
                <w:szCs w:val="18"/>
              </w:rPr>
            </w:pPr>
          </w:p>
        </w:tc>
        <w:tc>
          <w:tcPr>
            <w:tcW w:w="541" w:type="pct"/>
          </w:tcPr>
          <w:p w14:paraId="684B726D" w14:textId="77777777" w:rsidR="00E1102A" w:rsidRPr="008D4D31" w:rsidRDefault="00E1102A" w:rsidP="00DE54DC">
            <w:pPr>
              <w:spacing w:line="271" w:lineRule="auto"/>
              <w:rPr>
                <w:bCs/>
                <w:sz w:val="18"/>
                <w:szCs w:val="18"/>
              </w:rPr>
            </w:pPr>
          </w:p>
        </w:tc>
      </w:tr>
      <w:tr w:rsidR="00E1102A" w:rsidRPr="008D4D31" w14:paraId="21D6CEFD" w14:textId="77777777" w:rsidTr="00D43DC1">
        <w:trPr>
          <w:trHeight w:val="458"/>
        </w:trPr>
        <w:tc>
          <w:tcPr>
            <w:tcW w:w="637" w:type="pct"/>
            <w:vMerge/>
            <w:shd w:val="pct12" w:color="auto" w:fill="auto"/>
          </w:tcPr>
          <w:p w14:paraId="72AFDA76" w14:textId="77777777" w:rsidR="00E1102A" w:rsidRPr="008D4D31" w:rsidRDefault="00E1102A" w:rsidP="00DE54DC">
            <w:pPr>
              <w:spacing w:after="0" w:line="271" w:lineRule="auto"/>
              <w:rPr>
                <w:b/>
                <w:bCs/>
                <w:sz w:val="18"/>
                <w:szCs w:val="18"/>
              </w:rPr>
            </w:pPr>
          </w:p>
        </w:tc>
        <w:tc>
          <w:tcPr>
            <w:tcW w:w="766" w:type="pct"/>
          </w:tcPr>
          <w:p w14:paraId="5F5CE317" w14:textId="77777777" w:rsidR="00E1102A" w:rsidRPr="00FD4C67" w:rsidRDefault="00E1102A" w:rsidP="00DE54DC">
            <w:pPr>
              <w:spacing w:after="0" w:line="271" w:lineRule="auto"/>
              <w:rPr>
                <w:bCs/>
                <w:sz w:val="18"/>
                <w:szCs w:val="18"/>
              </w:rPr>
            </w:pPr>
            <w:r w:rsidRPr="00FD4C67">
              <w:rPr>
                <w:bCs/>
                <w:sz w:val="18"/>
                <w:szCs w:val="18"/>
              </w:rPr>
              <w:t>(C) Number of public-private partnerships exploiting MSW-based biogas established;</w:t>
            </w:r>
          </w:p>
        </w:tc>
        <w:tc>
          <w:tcPr>
            <w:tcW w:w="766" w:type="pct"/>
          </w:tcPr>
          <w:p w14:paraId="0980DDDF" w14:textId="77777777" w:rsidR="00E1102A" w:rsidRPr="008D4D31" w:rsidRDefault="00E1102A" w:rsidP="00DE54DC">
            <w:pPr>
              <w:spacing w:after="0" w:line="271" w:lineRule="auto"/>
              <w:rPr>
                <w:bCs/>
                <w:sz w:val="18"/>
                <w:szCs w:val="18"/>
              </w:rPr>
            </w:pPr>
            <w:r>
              <w:rPr>
                <w:bCs/>
                <w:sz w:val="18"/>
                <w:szCs w:val="18"/>
              </w:rPr>
              <w:t>1</w:t>
            </w:r>
          </w:p>
        </w:tc>
        <w:tc>
          <w:tcPr>
            <w:tcW w:w="468" w:type="pct"/>
          </w:tcPr>
          <w:p w14:paraId="2FCC78CC" w14:textId="77777777" w:rsidR="00E1102A" w:rsidRPr="008D4D31" w:rsidRDefault="00E1102A" w:rsidP="00DE54DC">
            <w:pPr>
              <w:spacing w:after="0" w:line="271" w:lineRule="auto"/>
              <w:rPr>
                <w:bCs/>
                <w:sz w:val="18"/>
                <w:szCs w:val="18"/>
              </w:rPr>
            </w:pPr>
            <w:r>
              <w:rPr>
                <w:bCs/>
                <w:sz w:val="18"/>
                <w:szCs w:val="18"/>
              </w:rPr>
              <w:t>1</w:t>
            </w:r>
          </w:p>
        </w:tc>
        <w:tc>
          <w:tcPr>
            <w:tcW w:w="761" w:type="pct"/>
          </w:tcPr>
          <w:p w14:paraId="5242FA35" w14:textId="77777777" w:rsidR="00E1102A" w:rsidRPr="00EA252B" w:rsidRDefault="00E1102A" w:rsidP="00DE54DC">
            <w:pPr>
              <w:spacing w:after="0" w:line="271" w:lineRule="auto"/>
              <w:rPr>
                <w:bCs/>
                <w:sz w:val="18"/>
                <w:szCs w:val="18"/>
              </w:rPr>
            </w:pPr>
            <w:r w:rsidRPr="00EA252B">
              <w:rPr>
                <w:bCs/>
                <w:sz w:val="18"/>
                <w:szCs w:val="18"/>
              </w:rPr>
              <w:t>3</w:t>
            </w:r>
          </w:p>
        </w:tc>
        <w:tc>
          <w:tcPr>
            <w:tcW w:w="482" w:type="pct"/>
          </w:tcPr>
          <w:p w14:paraId="6E85A3C2" w14:textId="77777777" w:rsidR="00E1102A" w:rsidRPr="008D4D31" w:rsidRDefault="00E1102A" w:rsidP="00DE54DC">
            <w:pPr>
              <w:spacing w:line="271" w:lineRule="auto"/>
              <w:rPr>
                <w:bCs/>
                <w:sz w:val="18"/>
                <w:szCs w:val="18"/>
              </w:rPr>
            </w:pPr>
          </w:p>
        </w:tc>
        <w:tc>
          <w:tcPr>
            <w:tcW w:w="578" w:type="pct"/>
          </w:tcPr>
          <w:p w14:paraId="17E847E2" w14:textId="77777777" w:rsidR="00E1102A" w:rsidRPr="008D4D31" w:rsidRDefault="00E1102A" w:rsidP="00DE54DC">
            <w:pPr>
              <w:spacing w:line="271" w:lineRule="auto"/>
              <w:rPr>
                <w:bCs/>
                <w:sz w:val="18"/>
                <w:szCs w:val="18"/>
              </w:rPr>
            </w:pPr>
          </w:p>
        </w:tc>
        <w:tc>
          <w:tcPr>
            <w:tcW w:w="541" w:type="pct"/>
          </w:tcPr>
          <w:p w14:paraId="451A6D10" w14:textId="77777777" w:rsidR="00E1102A" w:rsidRPr="008D4D31" w:rsidRDefault="00E1102A" w:rsidP="00DE54DC">
            <w:pPr>
              <w:spacing w:line="271" w:lineRule="auto"/>
              <w:rPr>
                <w:bCs/>
                <w:sz w:val="18"/>
                <w:szCs w:val="18"/>
              </w:rPr>
            </w:pPr>
          </w:p>
        </w:tc>
      </w:tr>
      <w:tr w:rsidR="00E1102A" w:rsidRPr="008D4D31" w14:paraId="31A08D18" w14:textId="77777777" w:rsidTr="00D43DC1">
        <w:trPr>
          <w:trHeight w:val="458"/>
        </w:trPr>
        <w:tc>
          <w:tcPr>
            <w:tcW w:w="637" w:type="pct"/>
            <w:vMerge/>
            <w:shd w:val="pct12" w:color="auto" w:fill="auto"/>
          </w:tcPr>
          <w:p w14:paraId="48CF8106" w14:textId="77777777" w:rsidR="00E1102A" w:rsidRPr="008D4D31" w:rsidRDefault="00E1102A" w:rsidP="00DE54DC">
            <w:pPr>
              <w:spacing w:after="0" w:line="271" w:lineRule="auto"/>
              <w:rPr>
                <w:b/>
                <w:bCs/>
                <w:sz w:val="18"/>
                <w:szCs w:val="18"/>
              </w:rPr>
            </w:pPr>
          </w:p>
        </w:tc>
        <w:tc>
          <w:tcPr>
            <w:tcW w:w="766" w:type="pct"/>
          </w:tcPr>
          <w:p w14:paraId="5B959719" w14:textId="77777777" w:rsidR="00E1102A" w:rsidRPr="00FD4C67" w:rsidRDefault="00E1102A" w:rsidP="00DE54DC">
            <w:pPr>
              <w:spacing w:after="0" w:line="271" w:lineRule="auto"/>
              <w:rPr>
                <w:bCs/>
                <w:sz w:val="18"/>
                <w:szCs w:val="18"/>
              </w:rPr>
            </w:pPr>
            <w:r w:rsidRPr="00FD4C67">
              <w:rPr>
                <w:bCs/>
                <w:sz w:val="18"/>
                <w:szCs w:val="18"/>
              </w:rPr>
              <w:t>(D) Number of people served by the electricity produced by pilot biogas energy plants and replication (-).</w:t>
            </w:r>
            <w:r>
              <w:rPr>
                <w:rStyle w:val="Refdenotaalpie"/>
                <w:bCs/>
                <w:szCs w:val="18"/>
              </w:rPr>
              <w:footnoteReference w:id="8"/>
            </w:r>
          </w:p>
        </w:tc>
        <w:tc>
          <w:tcPr>
            <w:tcW w:w="766" w:type="pct"/>
          </w:tcPr>
          <w:p w14:paraId="14D284B5" w14:textId="77777777" w:rsidR="00E1102A" w:rsidRPr="008D4D31" w:rsidRDefault="00E1102A" w:rsidP="00DE54DC">
            <w:pPr>
              <w:spacing w:after="0" w:line="271" w:lineRule="auto"/>
              <w:rPr>
                <w:bCs/>
                <w:sz w:val="18"/>
                <w:szCs w:val="18"/>
              </w:rPr>
            </w:pPr>
            <w:r>
              <w:rPr>
                <w:bCs/>
                <w:sz w:val="18"/>
                <w:szCs w:val="18"/>
              </w:rPr>
              <w:t>0</w:t>
            </w:r>
          </w:p>
        </w:tc>
        <w:tc>
          <w:tcPr>
            <w:tcW w:w="468" w:type="pct"/>
          </w:tcPr>
          <w:p w14:paraId="6B39D96F" w14:textId="77777777" w:rsidR="00E1102A" w:rsidRPr="008D4D31" w:rsidRDefault="00E1102A" w:rsidP="00DE54DC">
            <w:pPr>
              <w:spacing w:after="0" w:line="271" w:lineRule="auto"/>
              <w:rPr>
                <w:bCs/>
                <w:sz w:val="18"/>
                <w:szCs w:val="18"/>
              </w:rPr>
            </w:pPr>
            <w:r>
              <w:rPr>
                <w:bCs/>
                <w:sz w:val="18"/>
                <w:szCs w:val="18"/>
              </w:rPr>
              <w:t>2,275 people;</w:t>
            </w:r>
          </w:p>
        </w:tc>
        <w:tc>
          <w:tcPr>
            <w:tcW w:w="761" w:type="pct"/>
          </w:tcPr>
          <w:p w14:paraId="255774AE" w14:textId="77777777" w:rsidR="00E1102A" w:rsidRPr="00EA252B" w:rsidRDefault="00E1102A" w:rsidP="00DE54DC">
            <w:pPr>
              <w:spacing w:after="0" w:line="271" w:lineRule="auto"/>
              <w:rPr>
                <w:bCs/>
                <w:sz w:val="18"/>
                <w:szCs w:val="18"/>
              </w:rPr>
            </w:pPr>
            <w:r>
              <w:rPr>
                <w:bCs/>
                <w:sz w:val="18"/>
                <w:szCs w:val="18"/>
              </w:rPr>
              <w:t>21,000 people;</w:t>
            </w:r>
          </w:p>
        </w:tc>
        <w:tc>
          <w:tcPr>
            <w:tcW w:w="482" w:type="pct"/>
          </w:tcPr>
          <w:p w14:paraId="27240CB5" w14:textId="77777777" w:rsidR="00E1102A" w:rsidRPr="008D4D31" w:rsidRDefault="00E1102A" w:rsidP="00DE54DC">
            <w:pPr>
              <w:spacing w:line="271" w:lineRule="auto"/>
              <w:rPr>
                <w:bCs/>
                <w:sz w:val="18"/>
                <w:szCs w:val="18"/>
              </w:rPr>
            </w:pPr>
          </w:p>
        </w:tc>
        <w:tc>
          <w:tcPr>
            <w:tcW w:w="578" w:type="pct"/>
          </w:tcPr>
          <w:p w14:paraId="2D0838E6" w14:textId="77777777" w:rsidR="00E1102A" w:rsidRPr="008D4D31" w:rsidRDefault="00E1102A" w:rsidP="00DE54DC">
            <w:pPr>
              <w:spacing w:line="271" w:lineRule="auto"/>
              <w:rPr>
                <w:bCs/>
                <w:sz w:val="18"/>
                <w:szCs w:val="18"/>
              </w:rPr>
            </w:pPr>
          </w:p>
        </w:tc>
        <w:tc>
          <w:tcPr>
            <w:tcW w:w="541" w:type="pct"/>
          </w:tcPr>
          <w:p w14:paraId="2F7B8B6C" w14:textId="77777777" w:rsidR="00E1102A" w:rsidRPr="008D4D31" w:rsidRDefault="00E1102A" w:rsidP="00DE54DC">
            <w:pPr>
              <w:spacing w:line="271" w:lineRule="auto"/>
              <w:rPr>
                <w:bCs/>
                <w:sz w:val="18"/>
                <w:szCs w:val="18"/>
              </w:rPr>
            </w:pPr>
          </w:p>
        </w:tc>
      </w:tr>
      <w:tr w:rsidR="00E1102A" w:rsidRPr="00FD4C67" w14:paraId="3EE671AD" w14:textId="77777777" w:rsidTr="00D43DC1">
        <w:trPr>
          <w:trHeight w:val="310"/>
        </w:trPr>
        <w:tc>
          <w:tcPr>
            <w:tcW w:w="637" w:type="pct"/>
            <w:vMerge w:val="restart"/>
            <w:shd w:val="pct12" w:color="auto" w:fill="auto"/>
          </w:tcPr>
          <w:p w14:paraId="7751A9E8" w14:textId="77777777" w:rsidR="00E1102A" w:rsidRPr="00FD4C67" w:rsidRDefault="00E1102A" w:rsidP="00DE54DC">
            <w:pPr>
              <w:spacing w:after="0" w:line="271" w:lineRule="auto"/>
              <w:rPr>
                <w:b/>
                <w:bCs/>
                <w:sz w:val="18"/>
                <w:szCs w:val="18"/>
              </w:rPr>
            </w:pPr>
            <w:r w:rsidRPr="00FD4C67">
              <w:rPr>
                <w:b/>
                <w:bCs/>
                <w:sz w:val="18"/>
                <w:szCs w:val="18"/>
              </w:rPr>
              <w:t xml:space="preserve">Outcome 1: </w:t>
            </w:r>
            <w:r w:rsidRPr="00FD4C67">
              <w:rPr>
                <w:bCs/>
                <w:sz w:val="18"/>
                <w:szCs w:val="18"/>
              </w:rPr>
              <w:t xml:space="preserve">MSW-based </w:t>
            </w:r>
            <w:r w:rsidRPr="00FD4C67">
              <w:rPr>
                <w:bCs/>
                <w:sz w:val="18"/>
                <w:szCs w:val="18"/>
              </w:rPr>
              <w:lastRenderedPageBreak/>
              <w:t xml:space="preserve">biogas energy technologies are incorporated in the national GIRSU </w:t>
            </w:r>
            <w:proofErr w:type="spellStart"/>
            <w:r w:rsidRPr="00FD4C67">
              <w:rPr>
                <w:bCs/>
                <w:sz w:val="18"/>
                <w:szCs w:val="18"/>
              </w:rPr>
              <w:t>programme</w:t>
            </w:r>
            <w:proofErr w:type="spellEnd"/>
            <w:r w:rsidRPr="00FD4C67">
              <w:rPr>
                <w:bCs/>
                <w:sz w:val="18"/>
                <w:szCs w:val="18"/>
              </w:rPr>
              <w:t xml:space="preserve"> for deployment in municipal and regional waste plants.</w:t>
            </w:r>
          </w:p>
        </w:tc>
        <w:tc>
          <w:tcPr>
            <w:tcW w:w="766" w:type="pct"/>
          </w:tcPr>
          <w:p w14:paraId="12F02178" w14:textId="77777777" w:rsidR="00E1102A" w:rsidRPr="00FD4C67" w:rsidRDefault="00E1102A" w:rsidP="00DE54DC">
            <w:pPr>
              <w:spacing w:after="0" w:line="271" w:lineRule="auto"/>
              <w:rPr>
                <w:bCs/>
                <w:sz w:val="18"/>
                <w:szCs w:val="18"/>
              </w:rPr>
            </w:pPr>
            <w:r w:rsidRPr="00FD4C67">
              <w:rPr>
                <w:bCs/>
                <w:sz w:val="18"/>
                <w:szCs w:val="18"/>
              </w:rPr>
              <w:lastRenderedPageBreak/>
              <w:t xml:space="preserve">(1a) Number of municipalities </w:t>
            </w:r>
            <w:r w:rsidRPr="00FD4C67">
              <w:rPr>
                <w:bCs/>
                <w:sz w:val="18"/>
                <w:szCs w:val="18"/>
              </w:rPr>
              <w:lastRenderedPageBreak/>
              <w:t xml:space="preserve">with MSW-based biogas energy projects covered by the GIRSU </w:t>
            </w:r>
            <w:proofErr w:type="spellStart"/>
            <w:r w:rsidRPr="00FD4C67">
              <w:rPr>
                <w:bCs/>
                <w:sz w:val="18"/>
                <w:szCs w:val="18"/>
              </w:rPr>
              <w:t>programme</w:t>
            </w:r>
            <w:proofErr w:type="spellEnd"/>
            <w:r w:rsidRPr="00FD4C67">
              <w:rPr>
                <w:bCs/>
                <w:sz w:val="18"/>
                <w:szCs w:val="18"/>
              </w:rPr>
              <w:t xml:space="preserve"> (-);</w:t>
            </w:r>
          </w:p>
        </w:tc>
        <w:tc>
          <w:tcPr>
            <w:tcW w:w="766" w:type="pct"/>
          </w:tcPr>
          <w:p w14:paraId="2140B98F" w14:textId="77777777" w:rsidR="00E1102A" w:rsidRPr="002211B3" w:rsidRDefault="00E1102A" w:rsidP="00DE54DC">
            <w:pPr>
              <w:spacing w:after="0" w:line="271" w:lineRule="auto"/>
              <w:rPr>
                <w:bCs/>
                <w:sz w:val="18"/>
                <w:szCs w:val="18"/>
              </w:rPr>
            </w:pPr>
            <w:r>
              <w:rPr>
                <w:bCs/>
                <w:sz w:val="18"/>
                <w:szCs w:val="18"/>
              </w:rPr>
              <w:lastRenderedPageBreak/>
              <w:t>0</w:t>
            </w:r>
          </w:p>
        </w:tc>
        <w:tc>
          <w:tcPr>
            <w:tcW w:w="468" w:type="pct"/>
          </w:tcPr>
          <w:p w14:paraId="4B1B68EF" w14:textId="77777777" w:rsidR="00E1102A" w:rsidRPr="008D4D31" w:rsidRDefault="00E1102A" w:rsidP="00DE54DC">
            <w:pPr>
              <w:spacing w:after="0" w:line="271" w:lineRule="auto"/>
              <w:rPr>
                <w:b/>
                <w:bCs/>
                <w:sz w:val="18"/>
                <w:szCs w:val="18"/>
              </w:rPr>
            </w:pPr>
            <w:r>
              <w:rPr>
                <w:b/>
                <w:bCs/>
                <w:sz w:val="18"/>
                <w:szCs w:val="18"/>
              </w:rPr>
              <w:t>1</w:t>
            </w:r>
          </w:p>
        </w:tc>
        <w:tc>
          <w:tcPr>
            <w:tcW w:w="761" w:type="pct"/>
          </w:tcPr>
          <w:p w14:paraId="75956553" w14:textId="77777777" w:rsidR="00E1102A" w:rsidRPr="008D4D31" w:rsidRDefault="00E1102A" w:rsidP="00DE54DC">
            <w:pPr>
              <w:spacing w:after="0" w:line="271" w:lineRule="auto"/>
              <w:rPr>
                <w:bCs/>
                <w:sz w:val="18"/>
                <w:szCs w:val="18"/>
              </w:rPr>
            </w:pPr>
            <w:r>
              <w:rPr>
                <w:bCs/>
                <w:sz w:val="18"/>
                <w:szCs w:val="18"/>
              </w:rPr>
              <w:t>4</w:t>
            </w:r>
          </w:p>
        </w:tc>
        <w:tc>
          <w:tcPr>
            <w:tcW w:w="482" w:type="pct"/>
          </w:tcPr>
          <w:p w14:paraId="7F5D0C72" w14:textId="77777777" w:rsidR="00E1102A" w:rsidRPr="00FD4C67" w:rsidRDefault="00E1102A" w:rsidP="00DE54DC">
            <w:pPr>
              <w:rPr>
                <w:bCs/>
                <w:sz w:val="18"/>
                <w:szCs w:val="18"/>
              </w:rPr>
            </w:pPr>
          </w:p>
        </w:tc>
        <w:tc>
          <w:tcPr>
            <w:tcW w:w="578" w:type="pct"/>
          </w:tcPr>
          <w:p w14:paraId="2FB375D0" w14:textId="77777777" w:rsidR="00E1102A" w:rsidRPr="00FD4C67" w:rsidRDefault="00E1102A" w:rsidP="00DE54DC">
            <w:pPr>
              <w:rPr>
                <w:bCs/>
                <w:sz w:val="18"/>
                <w:szCs w:val="18"/>
              </w:rPr>
            </w:pPr>
          </w:p>
        </w:tc>
        <w:tc>
          <w:tcPr>
            <w:tcW w:w="541" w:type="pct"/>
          </w:tcPr>
          <w:p w14:paraId="12BB84E8" w14:textId="77777777" w:rsidR="00E1102A" w:rsidRPr="00FD4C67" w:rsidRDefault="00E1102A" w:rsidP="00DE54DC">
            <w:pPr>
              <w:rPr>
                <w:bCs/>
                <w:sz w:val="18"/>
                <w:szCs w:val="18"/>
              </w:rPr>
            </w:pPr>
          </w:p>
        </w:tc>
      </w:tr>
      <w:tr w:rsidR="00E1102A" w:rsidRPr="008D4D31" w14:paraId="5ECA6A35" w14:textId="77777777" w:rsidTr="00D43DC1">
        <w:trPr>
          <w:trHeight w:val="310"/>
        </w:trPr>
        <w:tc>
          <w:tcPr>
            <w:tcW w:w="637" w:type="pct"/>
            <w:vMerge/>
            <w:shd w:val="pct12" w:color="auto" w:fill="auto"/>
          </w:tcPr>
          <w:p w14:paraId="29A3D8EF" w14:textId="77777777" w:rsidR="00E1102A" w:rsidRPr="00FD4C67" w:rsidRDefault="00E1102A" w:rsidP="00DE54DC">
            <w:pPr>
              <w:spacing w:after="0" w:line="271" w:lineRule="auto"/>
              <w:rPr>
                <w:b/>
                <w:bCs/>
                <w:sz w:val="18"/>
                <w:szCs w:val="18"/>
              </w:rPr>
            </w:pPr>
          </w:p>
        </w:tc>
        <w:tc>
          <w:tcPr>
            <w:tcW w:w="766" w:type="pct"/>
          </w:tcPr>
          <w:p w14:paraId="0DC60F8F" w14:textId="77777777" w:rsidR="00E1102A" w:rsidRPr="00FD4C67" w:rsidRDefault="00E1102A" w:rsidP="00DE54DC">
            <w:pPr>
              <w:spacing w:after="0" w:line="271" w:lineRule="auto"/>
              <w:rPr>
                <w:bCs/>
                <w:sz w:val="18"/>
                <w:szCs w:val="18"/>
              </w:rPr>
            </w:pPr>
            <w:r w:rsidRPr="00FD4C67">
              <w:rPr>
                <w:bCs/>
                <w:sz w:val="18"/>
                <w:szCs w:val="18"/>
              </w:rPr>
              <w:t xml:space="preserve">(1b) Number of national </w:t>
            </w:r>
            <w:proofErr w:type="spellStart"/>
            <w:r w:rsidRPr="00FD4C67">
              <w:rPr>
                <w:bCs/>
                <w:sz w:val="18"/>
                <w:szCs w:val="18"/>
              </w:rPr>
              <w:t>programmes</w:t>
            </w:r>
            <w:proofErr w:type="spellEnd"/>
            <w:r w:rsidRPr="00FD4C67">
              <w:rPr>
                <w:bCs/>
                <w:sz w:val="18"/>
                <w:szCs w:val="18"/>
              </w:rPr>
              <w:t xml:space="preserve"> and policies adopting MSW-based biogas energy as a relevant option (-);</w:t>
            </w:r>
          </w:p>
        </w:tc>
        <w:tc>
          <w:tcPr>
            <w:tcW w:w="766" w:type="pct"/>
          </w:tcPr>
          <w:p w14:paraId="024FA669" w14:textId="77777777" w:rsidR="00E1102A" w:rsidRPr="008D4D31" w:rsidRDefault="00E1102A" w:rsidP="00DE54DC">
            <w:pPr>
              <w:spacing w:after="0" w:line="271" w:lineRule="auto"/>
              <w:rPr>
                <w:bCs/>
                <w:sz w:val="18"/>
                <w:szCs w:val="18"/>
              </w:rPr>
            </w:pPr>
            <w:r>
              <w:rPr>
                <w:bCs/>
                <w:sz w:val="18"/>
                <w:szCs w:val="18"/>
              </w:rPr>
              <w:t>0</w:t>
            </w:r>
          </w:p>
        </w:tc>
        <w:tc>
          <w:tcPr>
            <w:tcW w:w="468" w:type="pct"/>
          </w:tcPr>
          <w:p w14:paraId="44AFCC3B" w14:textId="77777777" w:rsidR="00E1102A" w:rsidRPr="008D4D31" w:rsidRDefault="00E1102A" w:rsidP="00DE54DC">
            <w:pPr>
              <w:spacing w:after="0" w:line="271" w:lineRule="auto"/>
              <w:rPr>
                <w:bCs/>
                <w:sz w:val="18"/>
                <w:szCs w:val="18"/>
              </w:rPr>
            </w:pPr>
            <w:r>
              <w:rPr>
                <w:bCs/>
                <w:sz w:val="18"/>
                <w:szCs w:val="18"/>
              </w:rPr>
              <w:t>2</w:t>
            </w:r>
          </w:p>
        </w:tc>
        <w:tc>
          <w:tcPr>
            <w:tcW w:w="761" w:type="pct"/>
          </w:tcPr>
          <w:p w14:paraId="273AD538" w14:textId="77777777" w:rsidR="00E1102A" w:rsidRPr="008D4D31" w:rsidRDefault="00E1102A" w:rsidP="00DE54DC">
            <w:pPr>
              <w:spacing w:after="0" w:line="271" w:lineRule="auto"/>
              <w:rPr>
                <w:bCs/>
                <w:sz w:val="18"/>
                <w:szCs w:val="18"/>
              </w:rPr>
            </w:pPr>
            <w:r>
              <w:rPr>
                <w:bCs/>
                <w:sz w:val="18"/>
                <w:szCs w:val="18"/>
              </w:rPr>
              <w:t>4</w:t>
            </w:r>
            <w:r>
              <w:rPr>
                <w:rStyle w:val="Refdenotaalpie"/>
                <w:bCs/>
                <w:szCs w:val="18"/>
              </w:rPr>
              <w:footnoteReference w:id="9"/>
            </w:r>
          </w:p>
        </w:tc>
        <w:tc>
          <w:tcPr>
            <w:tcW w:w="482" w:type="pct"/>
          </w:tcPr>
          <w:p w14:paraId="17129166" w14:textId="77777777" w:rsidR="00E1102A" w:rsidRPr="008D4D31" w:rsidRDefault="00E1102A" w:rsidP="00DE54DC">
            <w:pPr>
              <w:rPr>
                <w:bCs/>
                <w:sz w:val="18"/>
                <w:szCs w:val="18"/>
              </w:rPr>
            </w:pPr>
          </w:p>
        </w:tc>
        <w:tc>
          <w:tcPr>
            <w:tcW w:w="578" w:type="pct"/>
          </w:tcPr>
          <w:p w14:paraId="3E60B78B" w14:textId="77777777" w:rsidR="00E1102A" w:rsidRPr="008D4D31" w:rsidRDefault="00E1102A" w:rsidP="00DE54DC">
            <w:pPr>
              <w:rPr>
                <w:bCs/>
                <w:sz w:val="18"/>
                <w:szCs w:val="18"/>
              </w:rPr>
            </w:pPr>
          </w:p>
        </w:tc>
        <w:tc>
          <w:tcPr>
            <w:tcW w:w="541" w:type="pct"/>
          </w:tcPr>
          <w:p w14:paraId="1F6E1FE5" w14:textId="77777777" w:rsidR="00E1102A" w:rsidRPr="008D4D31" w:rsidRDefault="00E1102A" w:rsidP="00DE54DC">
            <w:pPr>
              <w:rPr>
                <w:bCs/>
                <w:sz w:val="18"/>
                <w:szCs w:val="18"/>
              </w:rPr>
            </w:pPr>
          </w:p>
        </w:tc>
      </w:tr>
      <w:tr w:rsidR="00E1102A" w:rsidRPr="008D4D31" w14:paraId="1CB8E8D5" w14:textId="77777777" w:rsidTr="00D43DC1">
        <w:trPr>
          <w:trHeight w:val="310"/>
        </w:trPr>
        <w:tc>
          <w:tcPr>
            <w:tcW w:w="637" w:type="pct"/>
            <w:vMerge/>
            <w:shd w:val="pct12" w:color="auto" w:fill="auto"/>
          </w:tcPr>
          <w:p w14:paraId="1659612D" w14:textId="77777777" w:rsidR="00E1102A" w:rsidRPr="008D4D31" w:rsidRDefault="00E1102A" w:rsidP="00DE54DC">
            <w:pPr>
              <w:spacing w:after="0" w:line="271" w:lineRule="auto"/>
              <w:rPr>
                <w:b/>
                <w:bCs/>
                <w:sz w:val="18"/>
                <w:szCs w:val="18"/>
              </w:rPr>
            </w:pPr>
          </w:p>
        </w:tc>
        <w:tc>
          <w:tcPr>
            <w:tcW w:w="766" w:type="pct"/>
          </w:tcPr>
          <w:p w14:paraId="7DF1C0BA" w14:textId="77777777" w:rsidR="00E1102A" w:rsidRPr="00FD4C67" w:rsidRDefault="00E1102A" w:rsidP="00DE54DC">
            <w:pPr>
              <w:spacing w:after="0" w:line="271" w:lineRule="auto"/>
              <w:rPr>
                <w:bCs/>
                <w:sz w:val="18"/>
                <w:szCs w:val="18"/>
              </w:rPr>
            </w:pPr>
            <w:r w:rsidRPr="00FD4C67">
              <w:rPr>
                <w:bCs/>
                <w:sz w:val="18"/>
                <w:szCs w:val="18"/>
              </w:rPr>
              <w:t>(1c) Number of policy and regulatory proposals developed and adopted (-);</w:t>
            </w:r>
          </w:p>
          <w:p w14:paraId="3E7BA76A" w14:textId="77777777" w:rsidR="00E1102A" w:rsidRPr="00FD4C67" w:rsidRDefault="00E1102A" w:rsidP="00DE54DC">
            <w:pPr>
              <w:spacing w:after="0" w:line="271" w:lineRule="auto"/>
              <w:rPr>
                <w:bCs/>
                <w:sz w:val="18"/>
                <w:szCs w:val="18"/>
              </w:rPr>
            </w:pPr>
          </w:p>
        </w:tc>
        <w:tc>
          <w:tcPr>
            <w:tcW w:w="766" w:type="pct"/>
          </w:tcPr>
          <w:p w14:paraId="28D2737D" w14:textId="77777777" w:rsidR="00E1102A" w:rsidRPr="00896FDD" w:rsidRDefault="00E1102A" w:rsidP="00DE54DC">
            <w:pPr>
              <w:spacing w:after="0" w:line="271" w:lineRule="auto"/>
              <w:rPr>
                <w:bCs/>
                <w:sz w:val="18"/>
                <w:szCs w:val="18"/>
              </w:rPr>
            </w:pPr>
            <w:r>
              <w:rPr>
                <w:bCs/>
                <w:sz w:val="18"/>
                <w:szCs w:val="18"/>
              </w:rPr>
              <w:t>0</w:t>
            </w:r>
          </w:p>
        </w:tc>
        <w:tc>
          <w:tcPr>
            <w:tcW w:w="468" w:type="pct"/>
          </w:tcPr>
          <w:p w14:paraId="2CA53E0E" w14:textId="77777777" w:rsidR="00E1102A" w:rsidRPr="00896FDD" w:rsidRDefault="00E1102A" w:rsidP="00DE54DC">
            <w:pPr>
              <w:spacing w:after="0" w:line="271" w:lineRule="auto"/>
              <w:rPr>
                <w:bCs/>
                <w:sz w:val="18"/>
                <w:szCs w:val="18"/>
              </w:rPr>
            </w:pPr>
            <w:r>
              <w:rPr>
                <w:bCs/>
                <w:sz w:val="18"/>
                <w:szCs w:val="18"/>
              </w:rPr>
              <w:t>3</w:t>
            </w:r>
          </w:p>
        </w:tc>
        <w:tc>
          <w:tcPr>
            <w:tcW w:w="761" w:type="pct"/>
          </w:tcPr>
          <w:p w14:paraId="5A4A690A" w14:textId="77777777" w:rsidR="00E1102A" w:rsidRPr="00896FDD" w:rsidRDefault="00E1102A" w:rsidP="00DE54DC">
            <w:pPr>
              <w:spacing w:after="0" w:line="271" w:lineRule="auto"/>
              <w:rPr>
                <w:bCs/>
                <w:sz w:val="18"/>
                <w:szCs w:val="18"/>
              </w:rPr>
            </w:pPr>
            <w:r>
              <w:rPr>
                <w:bCs/>
                <w:sz w:val="18"/>
                <w:szCs w:val="18"/>
              </w:rPr>
              <w:t>5</w:t>
            </w:r>
          </w:p>
        </w:tc>
        <w:tc>
          <w:tcPr>
            <w:tcW w:w="482" w:type="pct"/>
          </w:tcPr>
          <w:p w14:paraId="73AC892F" w14:textId="77777777" w:rsidR="00E1102A" w:rsidRPr="008D4D31" w:rsidRDefault="00E1102A" w:rsidP="00DE54DC">
            <w:pPr>
              <w:rPr>
                <w:bCs/>
                <w:sz w:val="18"/>
                <w:szCs w:val="18"/>
              </w:rPr>
            </w:pPr>
          </w:p>
        </w:tc>
        <w:tc>
          <w:tcPr>
            <w:tcW w:w="578" w:type="pct"/>
          </w:tcPr>
          <w:p w14:paraId="3D17C723" w14:textId="77777777" w:rsidR="00E1102A" w:rsidRPr="008D4D31" w:rsidRDefault="00E1102A" w:rsidP="00DE54DC">
            <w:pPr>
              <w:rPr>
                <w:bCs/>
                <w:sz w:val="18"/>
                <w:szCs w:val="18"/>
              </w:rPr>
            </w:pPr>
          </w:p>
        </w:tc>
        <w:tc>
          <w:tcPr>
            <w:tcW w:w="541" w:type="pct"/>
          </w:tcPr>
          <w:p w14:paraId="543F5551" w14:textId="77777777" w:rsidR="00E1102A" w:rsidRPr="008D4D31" w:rsidRDefault="00E1102A" w:rsidP="00DE54DC">
            <w:pPr>
              <w:rPr>
                <w:bCs/>
                <w:sz w:val="18"/>
                <w:szCs w:val="18"/>
              </w:rPr>
            </w:pPr>
          </w:p>
        </w:tc>
      </w:tr>
      <w:tr w:rsidR="00E1102A" w:rsidRPr="00FD4C67" w14:paraId="12805B39" w14:textId="77777777" w:rsidTr="00D43DC1">
        <w:trPr>
          <w:trHeight w:val="235"/>
        </w:trPr>
        <w:tc>
          <w:tcPr>
            <w:tcW w:w="637" w:type="pct"/>
            <w:vMerge w:val="restart"/>
            <w:shd w:val="pct12" w:color="auto" w:fill="auto"/>
          </w:tcPr>
          <w:p w14:paraId="7CC8F623" w14:textId="77777777" w:rsidR="00E1102A" w:rsidRPr="00FD4C67" w:rsidRDefault="00E1102A" w:rsidP="00DE54DC">
            <w:pPr>
              <w:spacing w:after="0" w:line="271" w:lineRule="auto"/>
              <w:rPr>
                <w:b/>
                <w:bCs/>
                <w:sz w:val="18"/>
                <w:szCs w:val="18"/>
              </w:rPr>
            </w:pPr>
            <w:r w:rsidRPr="00FD4C67">
              <w:rPr>
                <w:b/>
                <w:bCs/>
                <w:sz w:val="18"/>
                <w:szCs w:val="18"/>
              </w:rPr>
              <w:t xml:space="preserve">Outcome 2: </w:t>
            </w:r>
            <w:r w:rsidRPr="00FD4C67">
              <w:rPr>
                <w:bCs/>
                <w:sz w:val="18"/>
                <w:szCs w:val="18"/>
              </w:rPr>
              <w:t>Demonstration biogas energy technologies using MSW feedstock are procured and fully operational.</w:t>
            </w:r>
          </w:p>
        </w:tc>
        <w:tc>
          <w:tcPr>
            <w:tcW w:w="766" w:type="pct"/>
          </w:tcPr>
          <w:p w14:paraId="449796D9" w14:textId="77777777" w:rsidR="00E1102A" w:rsidRPr="00FD4C67" w:rsidRDefault="00E1102A" w:rsidP="00DE54DC">
            <w:pPr>
              <w:spacing w:after="0" w:line="271" w:lineRule="auto"/>
              <w:rPr>
                <w:bCs/>
                <w:sz w:val="18"/>
                <w:szCs w:val="18"/>
              </w:rPr>
            </w:pPr>
            <w:r w:rsidRPr="00FD4C67">
              <w:rPr>
                <w:bCs/>
                <w:sz w:val="18"/>
                <w:szCs w:val="18"/>
              </w:rPr>
              <w:t>(2a) Installed electricity generating capacity of MSW-based biogas pilot projects (MW);</w:t>
            </w:r>
          </w:p>
        </w:tc>
        <w:tc>
          <w:tcPr>
            <w:tcW w:w="766" w:type="pct"/>
          </w:tcPr>
          <w:p w14:paraId="0682DFAC" w14:textId="77777777" w:rsidR="00E1102A" w:rsidRPr="00896FDD" w:rsidRDefault="00E1102A" w:rsidP="00DE54DC">
            <w:pPr>
              <w:spacing w:after="0" w:line="271" w:lineRule="auto"/>
              <w:rPr>
                <w:bCs/>
                <w:sz w:val="18"/>
                <w:szCs w:val="18"/>
              </w:rPr>
            </w:pPr>
            <w:r>
              <w:rPr>
                <w:bCs/>
                <w:sz w:val="18"/>
                <w:szCs w:val="18"/>
              </w:rPr>
              <w:t>0 MW</w:t>
            </w:r>
          </w:p>
        </w:tc>
        <w:tc>
          <w:tcPr>
            <w:tcW w:w="468" w:type="pct"/>
          </w:tcPr>
          <w:p w14:paraId="65CB7EFB" w14:textId="77777777" w:rsidR="00E1102A" w:rsidRPr="00896FDD" w:rsidRDefault="00E1102A" w:rsidP="00DE54DC">
            <w:pPr>
              <w:spacing w:after="0" w:line="271" w:lineRule="auto"/>
              <w:rPr>
                <w:bCs/>
                <w:sz w:val="18"/>
                <w:szCs w:val="18"/>
              </w:rPr>
            </w:pPr>
            <w:r>
              <w:rPr>
                <w:bCs/>
                <w:sz w:val="18"/>
                <w:szCs w:val="18"/>
              </w:rPr>
              <w:t>0.2 MW</w:t>
            </w:r>
          </w:p>
        </w:tc>
        <w:tc>
          <w:tcPr>
            <w:tcW w:w="761" w:type="pct"/>
          </w:tcPr>
          <w:p w14:paraId="4AD3578C" w14:textId="77777777" w:rsidR="00E1102A" w:rsidRPr="00896FDD" w:rsidRDefault="00E1102A" w:rsidP="00DE54DC">
            <w:pPr>
              <w:spacing w:after="0" w:line="271" w:lineRule="auto"/>
              <w:rPr>
                <w:bCs/>
                <w:sz w:val="18"/>
                <w:szCs w:val="18"/>
              </w:rPr>
            </w:pPr>
            <w:r>
              <w:rPr>
                <w:bCs/>
                <w:sz w:val="18"/>
                <w:szCs w:val="18"/>
              </w:rPr>
              <w:t>0.54 MW</w:t>
            </w:r>
          </w:p>
        </w:tc>
        <w:tc>
          <w:tcPr>
            <w:tcW w:w="482" w:type="pct"/>
          </w:tcPr>
          <w:p w14:paraId="28D27312" w14:textId="77777777" w:rsidR="00E1102A" w:rsidRPr="00FD4C67" w:rsidRDefault="00E1102A" w:rsidP="00DE54DC">
            <w:pPr>
              <w:rPr>
                <w:bCs/>
                <w:sz w:val="18"/>
                <w:szCs w:val="18"/>
              </w:rPr>
            </w:pPr>
          </w:p>
        </w:tc>
        <w:tc>
          <w:tcPr>
            <w:tcW w:w="578" w:type="pct"/>
          </w:tcPr>
          <w:p w14:paraId="2C9551E2" w14:textId="77777777" w:rsidR="00E1102A" w:rsidRPr="00FD4C67" w:rsidRDefault="00E1102A" w:rsidP="00DE54DC">
            <w:pPr>
              <w:rPr>
                <w:bCs/>
                <w:sz w:val="18"/>
                <w:szCs w:val="18"/>
              </w:rPr>
            </w:pPr>
          </w:p>
        </w:tc>
        <w:tc>
          <w:tcPr>
            <w:tcW w:w="541" w:type="pct"/>
          </w:tcPr>
          <w:p w14:paraId="7773047E" w14:textId="77777777" w:rsidR="00E1102A" w:rsidRPr="00FD4C67" w:rsidRDefault="00E1102A" w:rsidP="00DE54DC">
            <w:pPr>
              <w:rPr>
                <w:bCs/>
                <w:sz w:val="18"/>
                <w:szCs w:val="18"/>
              </w:rPr>
            </w:pPr>
          </w:p>
        </w:tc>
      </w:tr>
      <w:tr w:rsidR="00E1102A" w:rsidRPr="008D4D31" w14:paraId="27898ED3" w14:textId="77777777" w:rsidTr="00D43DC1">
        <w:trPr>
          <w:trHeight w:val="235"/>
        </w:trPr>
        <w:tc>
          <w:tcPr>
            <w:tcW w:w="637" w:type="pct"/>
            <w:vMerge/>
            <w:shd w:val="pct12" w:color="auto" w:fill="auto"/>
          </w:tcPr>
          <w:p w14:paraId="61386083" w14:textId="77777777" w:rsidR="00E1102A" w:rsidRPr="00FD4C67" w:rsidRDefault="00E1102A" w:rsidP="00DE54DC">
            <w:pPr>
              <w:spacing w:after="0" w:line="271" w:lineRule="auto"/>
              <w:rPr>
                <w:b/>
                <w:bCs/>
                <w:sz w:val="18"/>
                <w:szCs w:val="18"/>
              </w:rPr>
            </w:pPr>
          </w:p>
        </w:tc>
        <w:tc>
          <w:tcPr>
            <w:tcW w:w="766" w:type="pct"/>
          </w:tcPr>
          <w:p w14:paraId="4ADB7461" w14:textId="77777777" w:rsidR="00E1102A" w:rsidRPr="00FD4C67" w:rsidRDefault="00E1102A" w:rsidP="00DE54DC">
            <w:pPr>
              <w:spacing w:after="0" w:line="271" w:lineRule="auto"/>
              <w:rPr>
                <w:bCs/>
                <w:sz w:val="18"/>
                <w:szCs w:val="18"/>
              </w:rPr>
            </w:pPr>
            <w:r w:rsidRPr="00FD4C67">
              <w:rPr>
                <w:bCs/>
                <w:sz w:val="18"/>
                <w:szCs w:val="18"/>
              </w:rPr>
              <w:t>(2b) Annual volume of electric energy produced by biogas pilots (MWh/</w:t>
            </w:r>
            <w:proofErr w:type="spellStart"/>
            <w:r w:rsidRPr="00FD4C67">
              <w:rPr>
                <w:bCs/>
                <w:sz w:val="18"/>
                <w:szCs w:val="18"/>
              </w:rPr>
              <w:t>yr</w:t>
            </w:r>
            <w:proofErr w:type="spellEnd"/>
            <w:r w:rsidRPr="00FD4C67">
              <w:rPr>
                <w:bCs/>
                <w:sz w:val="18"/>
                <w:szCs w:val="18"/>
              </w:rPr>
              <w:t>);</w:t>
            </w:r>
          </w:p>
        </w:tc>
        <w:tc>
          <w:tcPr>
            <w:tcW w:w="766" w:type="pct"/>
          </w:tcPr>
          <w:p w14:paraId="600C9191" w14:textId="77777777" w:rsidR="00E1102A" w:rsidRPr="00896FDD" w:rsidRDefault="00E1102A" w:rsidP="00DE54DC">
            <w:pPr>
              <w:spacing w:after="0" w:line="271" w:lineRule="auto"/>
              <w:rPr>
                <w:bCs/>
                <w:sz w:val="18"/>
                <w:szCs w:val="18"/>
              </w:rPr>
            </w:pPr>
            <w:r w:rsidRPr="00896FDD">
              <w:rPr>
                <w:bCs/>
                <w:sz w:val="18"/>
                <w:szCs w:val="18"/>
              </w:rPr>
              <w:t>0</w:t>
            </w:r>
            <w:r>
              <w:rPr>
                <w:bCs/>
                <w:sz w:val="18"/>
                <w:szCs w:val="18"/>
              </w:rPr>
              <w:t xml:space="preserve"> MWh/</w:t>
            </w:r>
            <w:proofErr w:type="spellStart"/>
            <w:r>
              <w:rPr>
                <w:bCs/>
                <w:sz w:val="18"/>
                <w:szCs w:val="18"/>
              </w:rPr>
              <w:t>yr</w:t>
            </w:r>
            <w:proofErr w:type="spellEnd"/>
          </w:p>
        </w:tc>
        <w:tc>
          <w:tcPr>
            <w:tcW w:w="468" w:type="pct"/>
          </w:tcPr>
          <w:p w14:paraId="5D3949D5" w14:textId="77777777" w:rsidR="00E1102A" w:rsidRPr="00896FDD" w:rsidRDefault="00E1102A" w:rsidP="00DE54DC">
            <w:pPr>
              <w:spacing w:after="0" w:line="271" w:lineRule="auto"/>
              <w:rPr>
                <w:bCs/>
                <w:sz w:val="18"/>
                <w:szCs w:val="18"/>
              </w:rPr>
            </w:pPr>
            <w:r>
              <w:rPr>
                <w:bCs/>
                <w:sz w:val="18"/>
                <w:szCs w:val="18"/>
              </w:rPr>
              <w:t>1,300 MWh/</w:t>
            </w:r>
            <w:proofErr w:type="spellStart"/>
            <w:r>
              <w:rPr>
                <w:bCs/>
                <w:sz w:val="18"/>
                <w:szCs w:val="18"/>
              </w:rPr>
              <w:t>yr</w:t>
            </w:r>
            <w:proofErr w:type="spellEnd"/>
          </w:p>
        </w:tc>
        <w:tc>
          <w:tcPr>
            <w:tcW w:w="761" w:type="pct"/>
          </w:tcPr>
          <w:p w14:paraId="79D24844" w14:textId="77777777" w:rsidR="00E1102A" w:rsidRPr="00896FDD" w:rsidRDefault="00E1102A" w:rsidP="00DE54DC">
            <w:pPr>
              <w:spacing w:after="0" w:line="271" w:lineRule="auto"/>
              <w:rPr>
                <w:bCs/>
                <w:sz w:val="18"/>
                <w:szCs w:val="18"/>
              </w:rPr>
            </w:pPr>
            <w:r>
              <w:rPr>
                <w:bCs/>
                <w:sz w:val="18"/>
                <w:szCs w:val="18"/>
              </w:rPr>
              <w:t>4,010MWh/</w:t>
            </w:r>
            <w:proofErr w:type="spellStart"/>
            <w:r>
              <w:rPr>
                <w:bCs/>
                <w:sz w:val="18"/>
                <w:szCs w:val="18"/>
              </w:rPr>
              <w:t>yr</w:t>
            </w:r>
            <w:proofErr w:type="spellEnd"/>
          </w:p>
        </w:tc>
        <w:tc>
          <w:tcPr>
            <w:tcW w:w="482" w:type="pct"/>
          </w:tcPr>
          <w:p w14:paraId="132B5B62" w14:textId="77777777" w:rsidR="00E1102A" w:rsidRPr="008D4D31" w:rsidRDefault="00E1102A" w:rsidP="00DE54DC">
            <w:pPr>
              <w:rPr>
                <w:bCs/>
                <w:sz w:val="18"/>
                <w:szCs w:val="18"/>
              </w:rPr>
            </w:pPr>
          </w:p>
        </w:tc>
        <w:tc>
          <w:tcPr>
            <w:tcW w:w="578" w:type="pct"/>
          </w:tcPr>
          <w:p w14:paraId="015D69B1" w14:textId="77777777" w:rsidR="00E1102A" w:rsidRPr="008D4D31" w:rsidRDefault="00E1102A" w:rsidP="00DE54DC">
            <w:pPr>
              <w:rPr>
                <w:bCs/>
                <w:sz w:val="18"/>
                <w:szCs w:val="18"/>
              </w:rPr>
            </w:pPr>
          </w:p>
        </w:tc>
        <w:tc>
          <w:tcPr>
            <w:tcW w:w="541" w:type="pct"/>
          </w:tcPr>
          <w:p w14:paraId="77AC496B" w14:textId="77777777" w:rsidR="00E1102A" w:rsidRPr="008D4D31" w:rsidRDefault="00E1102A" w:rsidP="00DE54DC">
            <w:pPr>
              <w:rPr>
                <w:bCs/>
                <w:sz w:val="18"/>
                <w:szCs w:val="18"/>
              </w:rPr>
            </w:pPr>
          </w:p>
        </w:tc>
      </w:tr>
      <w:tr w:rsidR="00E1102A" w:rsidRPr="008D4D31" w14:paraId="338A1B5F" w14:textId="77777777" w:rsidTr="00D43DC1">
        <w:trPr>
          <w:trHeight w:val="235"/>
        </w:trPr>
        <w:tc>
          <w:tcPr>
            <w:tcW w:w="637" w:type="pct"/>
            <w:vMerge/>
            <w:shd w:val="pct12" w:color="auto" w:fill="auto"/>
          </w:tcPr>
          <w:p w14:paraId="63390AE5" w14:textId="77777777" w:rsidR="00E1102A" w:rsidRPr="008D4D31" w:rsidRDefault="00E1102A" w:rsidP="00DE54DC">
            <w:pPr>
              <w:spacing w:after="0" w:line="271" w:lineRule="auto"/>
              <w:rPr>
                <w:b/>
                <w:bCs/>
                <w:sz w:val="18"/>
                <w:szCs w:val="18"/>
              </w:rPr>
            </w:pPr>
          </w:p>
        </w:tc>
        <w:tc>
          <w:tcPr>
            <w:tcW w:w="766" w:type="pct"/>
          </w:tcPr>
          <w:p w14:paraId="1E63CFA8" w14:textId="77777777" w:rsidR="00E1102A" w:rsidRPr="00FD4C67" w:rsidRDefault="00E1102A" w:rsidP="00DE54DC">
            <w:pPr>
              <w:spacing w:after="0" w:line="271" w:lineRule="auto"/>
              <w:rPr>
                <w:bCs/>
                <w:sz w:val="18"/>
                <w:szCs w:val="18"/>
              </w:rPr>
            </w:pPr>
            <w:r w:rsidRPr="00FD4C67">
              <w:rPr>
                <w:bCs/>
                <w:sz w:val="18"/>
                <w:szCs w:val="18"/>
              </w:rPr>
              <w:t>(2c) Financing mobilized for investment in MSW-based biogas energy systems (US$);</w:t>
            </w:r>
          </w:p>
        </w:tc>
        <w:tc>
          <w:tcPr>
            <w:tcW w:w="766" w:type="pct"/>
          </w:tcPr>
          <w:p w14:paraId="7622190C" w14:textId="77777777" w:rsidR="00E1102A" w:rsidRPr="00896FDD" w:rsidRDefault="00E1102A" w:rsidP="00DE54DC">
            <w:pPr>
              <w:spacing w:after="0" w:line="271" w:lineRule="auto"/>
              <w:rPr>
                <w:bCs/>
                <w:sz w:val="18"/>
                <w:szCs w:val="18"/>
              </w:rPr>
            </w:pPr>
            <w:r w:rsidRPr="00896FDD">
              <w:rPr>
                <w:bCs/>
                <w:sz w:val="18"/>
                <w:szCs w:val="18"/>
              </w:rPr>
              <w:t>0</w:t>
            </w:r>
          </w:p>
        </w:tc>
        <w:tc>
          <w:tcPr>
            <w:tcW w:w="468" w:type="pct"/>
          </w:tcPr>
          <w:p w14:paraId="1527EA55" w14:textId="77777777" w:rsidR="00E1102A" w:rsidRPr="00896FDD" w:rsidRDefault="00E1102A" w:rsidP="00DE54DC">
            <w:pPr>
              <w:spacing w:after="0" w:line="271" w:lineRule="auto"/>
              <w:rPr>
                <w:bCs/>
                <w:sz w:val="18"/>
                <w:szCs w:val="18"/>
              </w:rPr>
            </w:pPr>
            <w:r>
              <w:rPr>
                <w:bCs/>
                <w:sz w:val="18"/>
                <w:szCs w:val="18"/>
              </w:rPr>
              <w:t>US$ 3M</w:t>
            </w:r>
          </w:p>
        </w:tc>
        <w:tc>
          <w:tcPr>
            <w:tcW w:w="761" w:type="pct"/>
          </w:tcPr>
          <w:p w14:paraId="375573DB" w14:textId="77777777" w:rsidR="00E1102A" w:rsidRPr="00896FDD" w:rsidRDefault="00E1102A" w:rsidP="00DE54DC">
            <w:pPr>
              <w:spacing w:after="0" w:line="271" w:lineRule="auto"/>
              <w:rPr>
                <w:bCs/>
                <w:sz w:val="18"/>
                <w:szCs w:val="18"/>
              </w:rPr>
            </w:pPr>
            <w:r>
              <w:rPr>
                <w:bCs/>
                <w:sz w:val="18"/>
                <w:szCs w:val="18"/>
              </w:rPr>
              <w:t>US$ 10M</w:t>
            </w:r>
          </w:p>
        </w:tc>
        <w:tc>
          <w:tcPr>
            <w:tcW w:w="482" w:type="pct"/>
          </w:tcPr>
          <w:p w14:paraId="644A5C24" w14:textId="77777777" w:rsidR="00E1102A" w:rsidRPr="008D4D31" w:rsidRDefault="00E1102A" w:rsidP="00DE54DC">
            <w:pPr>
              <w:rPr>
                <w:bCs/>
                <w:sz w:val="18"/>
                <w:szCs w:val="18"/>
              </w:rPr>
            </w:pPr>
          </w:p>
        </w:tc>
        <w:tc>
          <w:tcPr>
            <w:tcW w:w="578" w:type="pct"/>
          </w:tcPr>
          <w:p w14:paraId="13BDCB24" w14:textId="77777777" w:rsidR="00E1102A" w:rsidRPr="008D4D31" w:rsidRDefault="00E1102A" w:rsidP="00DE54DC">
            <w:pPr>
              <w:rPr>
                <w:bCs/>
                <w:sz w:val="18"/>
                <w:szCs w:val="18"/>
              </w:rPr>
            </w:pPr>
          </w:p>
        </w:tc>
        <w:tc>
          <w:tcPr>
            <w:tcW w:w="541" w:type="pct"/>
          </w:tcPr>
          <w:p w14:paraId="7326D36E" w14:textId="77777777" w:rsidR="00E1102A" w:rsidRPr="008D4D31" w:rsidRDefault="00E1102A" w:rsidP="00DE54DC">
            <w:pPr>
              <w:rPr>
                <w:bCs/>
                <w:sz w:val="18"/>
                <w:szCs w:val="18"/>
              </w:rPr>
            </w:pPr>
          </w:p>
        </w:tc>
      </w:tr>
      <w:tr w:rsidR="00E1102A" w:rsidRPr="008D4D31" w14:paraId="20D5246A" w14:textId="77777777" w:rsidTr="00D43DC1">
        <w:trPr>
          <w:trHeight w:val="235"/>
        </w:trPr>
        <w:tc>
          <w:tcPr>
            <w:tcW w:w="637" w:type="pct"/>
            <w:vMerge/>
            <w:shd w:val="pct12" w:color="auto" w:fill="auto"/>
          </w:tcPr>
          <w:p w14:paraId="5448E174" w14:textId="77777777" w:rsidR="00E1102A" w:rsidRPr="008D4D31" w:rsidRDefault="00E1102A" w:rsidP="00DE54DC">
            <w:pPr>
              <w:spacing w:after="0" w:line="271" w:lineRule="auto"/>
              <w:rPr>
                <w:b/>
                <w:bCs/>
                <w:sz w:val="18"/>
                <w:szCs w:val="18"/>
              </w:rPr>
            </w:pPr>
          </w:p>
        </w:tc>
        <w:tc>
          <w:tcPr>
            <w:tcW w:w="766" w:type="pct"/>
          </w:tcPr>
          <w:p w14:paraId="0AFE0618" w14:textId="77777777" w:rsidR="00E1102A" w:rsidRPr="00FD4C67" w:rsidRDefault="00E1102A" w:rsidP="00DE54DC">
            <w:pPr>
              <w:spacing w:after="0" w:line="271" w:lineRule="auto"/>
              <w:rPr>
                <w:bCs/>
                <w:sz w:val="18"/>
                <w:szCs w:val="18"/>
              </w:rPr>
            </w:pPr>
            <w:r w:rsidRPr="00FD4C67">
              <w:rPr>
                <w:bCs/>
                <w:sz w:val="18"/>
                <w:szCs w:val="18"/>
              </w:rPr>
              <w:t>(2d) Number of people trained and employed for MSW-based biogas energy generation (m/f).</w:t>
            </w:r>
          </w:p>
        </w:tc>
        <w:tc>
          <w:tcPr>
            <w:tcW w:w="766" w:type="pct"/>
          </w:tcPr>
          <w:p w14:paraId="4E3C9039" w14:textId="77777777" w:rsidR="00E1102A" w:rsidRPr="00896FDD" w:rsidRDefault="00E1102A" w:rsidP="00DE54DC">
            <w:pPr>
              <w:spacing w:after="0" w:line="271" w:lineRule="auto"/>
              <w:rPr>
                <w:bCs/>
                <w:sz w:val="18"/>
                <w:szCs w:val="18"/>
              </w:rPr>
            </w:pPr>
            <w:r w:rsidRPr="00896FDD">
              <w:rPr>
                <w:bCs/>
                <w:sz w:val="18"/>
                <w:szCs w:val="18"/>
              </w:rPr>
              <w:t>0</w:t>
            </w:r>
            <w:r>
              <w:rPr>
                <w:bCs/>
                <w:sz w:val="18"/>
                <w:szCs w:val="18"/>
              </w:rPr>
              <w:t>m; 0f</w:t>
            </w:r>
          </w:p>
        </w:tc>
        <w:tc>
          <w:tcPr>
            <w:tcW w:w="468" w:type="pct"/>
          </w:tcPr>
          <w:p w14:paraId="0475BBD1" w14:textId="77777777" w:rsidR="00E1102A" w:rsidRPr="00896FDD" w:rsidRDefault="00E1102A" w:rsidP="00DE54DC">
            <w:pPr>
              <w:spacing w:after="0" w:line="271" w:lineRule="auto"/>
              <w:rPr>
                <w:bCs/>
                <w:sz w:val="18"/>
                <w:szCs w:val="18"/>
              </w:rPr>
            </w:pPr>
            <w:r>
              <w:rPr>
                <w:bCs/>
                <w:sz w:val="18"/>
                <w:szCs w:val="18"/>
              </w:rPr>
              <w:t>20m; 20f</w:t>
            </w:r>
          </w:p>
        </w:tc>
        <w:tc>
          <w:tcPr>
            <w:tcW w:w="761" w:type="pct"/>
          </w:tcPr>
          <w:p w14:paraId="33B303FD" w14:textId="77777777" w:rsidR="00E1102A" w:rsidRPr="00896FDD" w:rsidRDefault="00E1102A" w:rsidP="00DE54DC">
            <w:pPr>
              <w:spacing w:after="0" w:line="271" w:lineRule="auto"/>
              <w:rPr>
                <w:bCs/>
                <w:sz w:val="18"/>
                <w:szCs w:val="18"/>
              </w:rPr>
            </w:pPr>
            <w:r>
              <w:rPr>
                <w:bCs/>
                <w:sz w:val="18"/>
                <w:szCs w:val="18"/>
              </w:rPr>
              <w:t>40m; 40f</w:t>
            </w:r>
          </w:p>
        </w:tc>
        <w:tc>
          <w:tcPr>
            <w:tcW w:w="482" w:type="pct"/>
          </w:tcPr>
          <w:p w14:paraId="75ACCA30" w14:textId="77777777" w:rsidR="00E1102A" w:rsidRPr="008D4D31" w:rsidRDefault="00E1102A" w:rsidP="00DE54DC">
            <w:pPr>
              <w:rPr>
                <w:bCs/>
                <w:sz w:val="18"/>
                <w:szCs w:val="18"/>
              </w:rPr>
            </w:pPr>
          </w:p>
        </w:tc>
        <w:tc>
          <w:tcPr>
            <w:tcW w:w="578" w:type="pct"/>
          </w:tcPr>
          <w:p w14:paraId="00D58602" w14:textId="77777777" w:rsidR="00E1102A" w:rsidRPr="008D4D31" w:rsidRDefault="00E1102A" w:rsidP="00DE54DC">
            <w:pPr>
              <w:rPr>
                <w:bCs/>
                <w:sz w:val="18"/>
                <w:szCs w:val="18"/>
              </w:rPr>
            </w:pPr>
          </w:p>
        </w:tc>
        <w:tc>
          <w:tcPr>
            <w:tcW w:w="541" w:type="pct"/>
          </w:tcPr>
          <w:p w14:paraId="1A82A3DD" w14:textId="77777777" w:rsidR="00E1102A" w:rsidRPr="008D4D31" w:rsidRDefault="00E1102A" w:rsidP="00DE54DC">
            <w:pPr>
              <w:rPr>
                <w:bCs/>
                <w:sz w:val="18"/>
                <w:szCs w:val="18"/>
              </w:rPr>
            </w:pPr>
          </w:p>
        </w:tc>
      </w:tr>
      <w:tr w:rsidR="00E1102A" w:rsidRPr="00FD4C67" w14:paraId="546DF69C" w14:textId="77777777" w:rsidTr="00D43DC1">
        <w:trPr>
          <w:trHeight w:val="390"/>
        </w:trPr>
        <w:tc>
          <w:tcPr>
            <w:tcW w:w="637" w:type="pct"/>
            <w:shd w:val="pct12" w:color="auto" w:fill="auto"/>
          </w:tcPr>
          <w:p w14:paraId="2BE2AE4B" w14:textId="77777777" w:rsidR="00E1102A" w:rsidRPr="00FD4C67" w:rsidRDefault="00E1102A" w:rsidP="00DE54DC">
            <w:pPr>
              <w:spacing w:after="0" w:line="271" w:lineRule="auto"/>
              <w:rPr>
                <w:b/>
                <w:bCs/>
                <w:sz w:val="18"/>
                <w:szCs w:val="18"/>
              </w:rPr>
            </w:pPr>
            <w:r w:rsidRPr="00FD4C67">
              <w:rPr>
                <w:b/>
                <w:bCs/>
                <w:sz w:val="18"/>
                <w:szCs w:val="18"/>
              </w:rPr>
              <w:t>Outcome 3</w:t>
            </w:r>
            <w:r w:rsidRPr="00FD4C67">
              <w:rPr>
                <w:bCs/>
                <w:sz w:val="18"/>
                <w:szCs w:val="18"/>
              </w:rPr>
              <w:t xml:space="preserve">: The Monitoring &amp; Evaluation plan for the Project has </w:t>
            </w:r>
            <w:r w:rsidRPr="00FD4C67">
              <w:rPr>
                <w:bCs/>
                <w:sz w:val="18"/>
                <w:szCs w:val="18"/>
              </w:rPr>
              <w:lastRenderedPageBreak/>
              <w:t>been implemented.</w:t>
            </w:r>
          </w:p>
        </w:tc>
        <w:tc>
          <w:tcPr>
            <w:tcW w:w="766" w:type="pct"/>
          </w:tcPr>
          <w:p w14:paraId="324542C9" w14:textId="77777777" w:rsidR="00E1102A" w:rsidRPr="00FD4C67" w:rsidRDefault="00E1102A" w:rsidP="00DE54DC">
            <w:pPr>
              <w:spacing w:after="0" w:line="271" w:lineRule="auto"/>
              <w:rPr>
                <w:bCs/>
                <w:sz w:val="18"/>
                <w:szCs w:val="18"/>
              </w:rPr>
            </w:pPr>
            <w:r w:rsidRPr="00FD4C67">
              <w:rPr>
                <w:bCs/>
                <w:sz w:val="18"/>
                <w:szCs w:val="18"/>
              </w:rPr>
              <w:lastRenderedPageBreak/>
              <w:t xml:space="preserve">(3a) Mid-term review (1); and follow-up </w:t>
            </w:r>
            <w:proofErr w:type="gramStart"/>
            <w:r w:rsidRPr="00FD4C67">
              <w:rPr>
                <w:bCs/>
                <w:sz w:val="18"/>
                <w:szCs w:val="18"/>
              </w:rPr>
              <w:t>on  recommendations</w:t>
            </w:r>
            <w:proofErr w:type="gramEnd"/>
            <w:r w:rsidRPr="00FD4C67">
              <w:rPr>
                <w:bCs/>
                <w:sz w:val="18"/>
                <w:szCs w:val="18"/>
              </w:rPr>
              <w:t xml:space="preserve"> to enhance project </w:t>
            </w:r>
            <w:r w:rsidRPr="00FD4C67">
              <w:rPr>
                <w:bCs/>
                <w:sz w:val="18"/>
                <w:szCs w:val="18"/>
              </w:rPr>
              <w:lastRenderedPageBreak/>
              <w:t>effectiveness and sustainability (1);</w:t>
            </w:r>
          </w:p>
          <w:p w14:paraId="261FD873" w14:textId="77777777" w:rsidR="00E1102A" w:rsidRPr="00FD4C67" w:rsidRDefault="00E1102A" w:rsidP="00DE54DC">
            <w:pPr>
              <w:spacing w:after="0" w:line="271" w:lineRule="auto"/>
              <w:rPr>
                <w:bCs/>
                <w:sz w:val="18"/>
                <w:szCs w:val="18"/>
              </w:rPr>
            </w:pPr>
          </w:p>
          <w:p w14:paraId="2EBF712F" w14:textId="77777777" w:rsidR="00E1102A" w:rsidRPr="00FD4C67" w:rsidRDefault="00E1102A" w:rsidP="00DE54DC">
            <w:pPr>
              <w:spacing w:after="0" w:line="271" w:lineRule="auto"/>
              <w:rPr>
                <w:bCs/>
                <w:sz w:val="18"/>
                <w:szCs w:val="18"/>
              </w:rPr>
            </w:pPr>
          </w:p>
          <w:p w14:paraId="0165D927" w14:textId="77777777" w:rsidR="00E1102A" w:rsidRPr="008D4D31" w:rsidRDefault="00E1102A" w:rsidP="00DE54DC">
            <w:pPr>
              <w:spacing w:after="0" w:line="271" w:lineRule="auto"/>
              <w:rPr>
                <w:bCs/>
                <w:sz w:val="18"/>
                <w:szCs w:val="18"/>
              </w:rPr>
            </w:pPr>
            <w:r>
              <w:rPr>
                <w:bCs/>
                <w:sz w:val="18"/>
                <w:szCs w:val="18"/>
              </w:rPr>
              <w:t>(3b</w:t>
            </w:r>
            <w:r w:rsidRPr="008D4D31">
              <w:rPr>
                <w:bCs/>
                <w:sz w:val="18"/>
                <w:szCs w:val="18"/>
              </w:rPr>
              <w:t>) Terminal Evaluation document (-).</w:t>
            </w:r>
          </w:p>
        </w:tc>
        <w:tc>
          <w:tcPr>
            <w:tcW w:w="766" w:type="pct"/>
          </w:tcPr>
          <w:p w14:paraId="3B486A6C" w14:textId="77777777" w:rsidR="00E1102A" w:rsidRPr="00FD4C67" w:rsidRDefault="00E1102A" w:rsidP="00DE54DC">
            <w:pPr>
              <w:spacing w:after="0" w:line="271" w:lineRule="auto"/>
              <w:rPr>
                <w:bCs/>
                <w:sz w:val="18"/>
                <w:szCs w:val="18"/>
              </w:rPr>
            </w:pPr>
            <w:r w:rsidRPr="00FD4C67">
              <w:rPr>
                <w:bCs/>
                <w:sz w:val="18"/>
                <w:szCs w:val="18"/>
              </w:rPr>
              <w:lastRenderedPageBreak/>
              <w:t>(4a) No Mid-term Review (0) and no recommendations (0);</w:t>
            </w:r>
          </w:p>
          <w:p w14:paraId="64278ABC" w14:textId="77777777" w:rsidR="00E1102A" w:rsidRPr="008D4D31" w:rsidRDefault="00E1102A" w:rsidP="00DE54DC">
            <w:pPr>
              <w:spacing w:after="0" w:line="271" w:lineRule="auto"/>
              <w:rPr>
                <w:bCs/>
                <w:sz w:val="18"/>
                <w:szCs w:val="18"/>
              </w:rPr>
            </w:pPr>
            <w:r w:rsidRPr="008D4D31">
              <w:rPr>
                <w:bCs/>
                <w:sz w:val="18"/>
                <w:szCs w:val="18"/>
              </w:rPr>
              <w:t>(4a) No Terminal Evaluation (0).</w:t>
            </w:r>
          </w:p>
        </w:tc>
        <w:tc>
          <w:tcPr>
            <w:tcW w:w="468" w:type="pct"/>
          </w:tcPr>
          <w:p w14:paraId="5C0245A8" w14:textId="77777777" w:rsidR="00E1102A" w:rsidRPr="00FD4C67" w:rsidRDefault="00E1102A" w:rsidP="00DE54DC">
            <w:pPr>
              <w:spacing w:after="0" w:line="271" w:lineRule="auto"/>
              <w:rPr>
                <w:bCs/>
                <w:sz w:val="18"/>
                <w:szCs w:val="18"/>
              </w:rPr>
            </w:pPr>
            <w:r w:rsidRPr="00FD4C67">
              <w:rPr>
                <w:bCs/>
                <w:sz w:val="18"/>
                <w:szCs w:val="18"/>
              </w:rPr>
              <w:t>(4a) Mid-term Review completed (1);</w:t>
            </w:r>
          </w:p>
          <w:p w14:paraId="5E37256E" w14:textId="77777777" w:rsidR="00E1102A" w:rsidRPr="00FD4C67" w:rsidRDefault="00E1102A" w:rsidP="00DE54DC">
            <w:pPr>
              <w:spacing w:after="0" w:line="271" w:lineRule="auto"/>
              <w:rPr>
                <w:bCs/>
                <w:sz w:val="18"/>
                <w:szCs w:val="18"/>
              </w:rPr>
            </w:pPr>
          </w:p>
          <w:p w14:paraId="04A3E048" w14:textId="77777777" w:rsidR="00E1102A" w:rsidRPr="00FD4C67" w:rsidRDefault="00E1102A" w:rsidP="00DE54DC">
            <w:pPr>
              <w:spacing w:after="0" w:line="271" w:lineRule="auto"/>
              <w:rPr>
                <w:bCs/>
                <w:sz w:val="18"/>
                <w:szCs w:val="18"/>
              </w:rPr>
            </w:pPr>
          </w:p>
          <w:p w14:paraId="1DDFCC2D" w14:textId="77777777" w:rsidR="00E1102A" w:rsidRPr="008D4D31" w:rsidRDefault="00E1102A" w:rsidP="00DE54DC">
            <w:pPr>
              <w:spacing w:after="0" w:line="271" w:lineRule="auto"/>
              <w:rPr>
                <w:bCs/>
                <w:sz w:val="18"/>
                <w:szCs w:val="18"/>
              </w:rPr>
            </w:pPr>
            <w:r>
              <w:rPr>
                <w:bCs/>
                <w:sz w:val="18"/>
                <w:szCs w:val="18"/>
              </w:rPr>
              <w:lastRenderedPageBreak/>
              <w:t>(4b</w:t>
            </w:r>
            <w:r w:rsidRPr="008D4D31">
              <w:rPr>
                <w:bCs/>
                <w:sz w:val="18"/>
                <w:szCs w:val="18"/>
              </w:rPr>
              <w:t>) No Terminal Evaluation (0).</w:t>
            </w:r>
          </w:p>
        </w:tc>
        <w:tc>
          <w:tcPr>
            <w:tcW w:w="761" w:type="pct"/>
          </w:tcPr>
          <w:p w14:paraId="2DA89FA8" w14:textId="77777777" w:rsidR="00E1102A" w:rsidRPr="00FD4C67" w:rsidRDefault="00E1102A" w:rsidP="00DE54DC">
            <w:pPr>
              <w:spacing w:after="0" w:line="271" w:lineRule="auto"/>
              <w:rPr>
                <w:bCs/>
                <w:sz w:val="18"/>
                <w:szCs w:val="18"/>
              </w:rPr>
            </w:pPr>
            <w:r w:rsidRPr="00FD4C67">
              <w:rPr>
                <w:bCs/>
                <w:sz w:val="18"/>
                <w:szCs w:val="18"/>
              </w:rPr>
              <w:lastRenderedPageBreak/>
              <w:t>(4a) Follow-up on MTR recommendations completed (1);</w:t>
            </w:r>
          </w:p>
          <w:p w14:paraId="3901CA8C" w14:textId="77777777" w:rsidR="00E1102A" w:rsidRPr="00FD4C67" w:rsidRDefault="00E1102A" w:rsidP="00DE54DC">
            <w:pPr>
              <w:spacing w:after="0" w:line="271" w:lineRule="auto"/>
              <w:rPr>
                <w:bCs/>
                <w:sz w:val="18"/>
                <w:szCs w:val="18"/>
              </w:rPr>
            </w:pPr>
          </w:p>
          <w:p w14:paraId="14C42086" w14:textId="77777777" w:rsidR="00E1102A" w:rsidRPr="008D4D31" w:rsidRDefault="00E1102A" w:rsidP="00DE54DC">
            <w:pPr>
              <w:spacing w:after="0" w:line="271" w:lineRule="auto"/>
              <w:rPr>
                <w:bCs/>
                <w:sz w:val="18"/>
                <w:szCs w:val="18"/>
              </w:rPr>
            </w:pPr>
            <w:r>
              <w:rPr>
                <w:bCs/>
                <w:sz w:val="18"/>
                <w:szCs w:val="18"/>
              </w:rPr>
              <w:lastRenderedPageBreak/>
              <w:t>(4b) Terminal Evaluation completed (1)</w:t>
            </w:r>
          </w:p>
        </w:tc>
        <w:tc>
          <w:tcPr>
            <w:tcW w:w="482" w:type="pct"/>
          </w:tcPr>
          <w:p w14:paraId="432068FB" w14:textId="77777777" w:rsidR="00E1102A" w:rsidRPr="00FD4C67" w:rsidRDefault="00E1102A" w:rsidP="00DE54DC">
            <w:pPr>
              <w:rPr>
                <w:bCs/>
                <w:sz w:val="18"/>
                <w:szCs w:val="18"/>
              </w:rPr>
            </w:pPr>
          </w:p>
        </w:tc>
        <w:tc>
          <w:tcPr>
            <w:tcW w:w="578" w:type="pct"/>
          </w:tcPr>
          <w:p w14:paraId="4D6836C8" w14:textId="77777777" w:rsidR="00E1102A" w:rsidRPr="00FD4C67" w:rsidRDefault="00E1102A" w:rsidP="00DE54DC">
            <w:pPr>
              <w:rPr>
                <w:bCs/>
                <w:sz w:val="18"/>
                <w:szCs w:val="18"/>
              </w:rPr>
            </w:pPr>
          </w:p>
        </w:tc>
        <w:tc>
          <w:tcPr>
            <w:tcW w:w="541" w:type="pct"/>
          </w:tcPr>
          <w:p w14:paraId="320A6914" w14:textId="77777777" w:rsidR="00E1102A" w:rsidRPr="00FD4C67" w:rsidRDefault="00E1102A" w:rsidP="00DE54DC">
            <w:pPr>
              <w:rPr>
                <w:bCs/>
                <w:sz w:val="18"/>
                <w:szCs w:val="18"/>
              </w:rPr>
            </w:pPr>
          </w:p>
        </w:tc>
      </w:tr>
    </w:tbl>
    <w:p w14:paraId="661470F9" w14:textId="393EE90F" w:rsidR="00E1102A" w:rsidRDefault="00E1102A" w:rsidP="00DA55A2">
      <w:pPr>
        <w:rPr>
          <w:rFonts w:ascii="Garamond" w:hAnsi="Garamond"/>
          <w:color w:val="000000"/>
        </w:rPr>
      </w:pPr>
    </w:p>
    <w:p w14:paraId="204A0B63" w14:textId="77777777" w:rsidR="00E26D82" w:rsidRPr="00185A8A" w:rsidRDefault="00E26D82" w:rsidP="00E26D82">
      <w:pPr>
        <w:pStyle w:val="Prrafodelista"/>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aconcuadrcula"/>
        <w:tblW w:w="0" w:type="auto"/>
        <w:tblInd w:w="108" w:type="dxa"/>
        <w:tblLook w:val="04A0" w:firstRow="1" w:lastRow="0" w:firstColumn="1" w:lastColumn="0" w:noHBand="0" w:noVBand="1"/>
      </w:tblPr>
      <w:tblGrid>
        <w:gridCol w:w="2741"/>
        <w:gridCol w:w="2987"/>
        <w:gridCol w:w="3154"/>
      </w:tblGrid>
      <w:tr w:rsidR="00E26D82" w14:paraId="56DC1257" w14:textId="77777777" w:rsidTr="008013B6">
        <w:tc>
          <w:tcPr>
            <w:tcW w:w="2880" w:type="dxa"/>
            <w:shd w:val="clear" w:color="auto" w:fill="00B050"/>
          </w:tcPr>
          <w:p w14:paraId="53A3A1C4" w14:textId="77777777" w:rsidR="00E26D82" w:rsidRDefault="00E26D82" w:rsidP="008013B6">
            <w:pPr>
              <w:rPr>
                <w:rFonts w:ascii="Garamond" w:hAnsi="Garamond"/>
                <w:sz w:val="20"/>
                <w:szCs w:val="20"/>
              </w:rPr>
            </w:pPr>
            <w:r>
              <w:rPr>
                <w:rFonts w:ascii="Garamond" w:hAnsi="Garamond"/>
                <w:sz w:val="20"/>
                <w:szCs w:val="20"/>
              </w:rPr>
              <w:t>Green= Achieved</w:t>
            </w:r>
          </w:p>
        </w:tc>
        <w:tc>
          <w:tcPr>
            <w:tcW w:w="3150" w:type="dxa"/>
            <w:shd w:val="clear" w:color="auto" w:fill="FFFF00"/>
          </w:tcPr>
          <w:p w14:paraId="4781BD03" w14:textId="77777777" w:rsidR="00E26D82" w:rsidRDefault="00E26D82" w:rsidP="008013B6">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573CE9A4" w14:textId="77777777" w:rsidR="00E26D82" w:rsidRDefault="00E26D82" w:rsidP="008013B6">
            <w:pPr>
              <w:rPr>
                <w:rFonts w:ascii="Garamond" w:hAnsi="Garamond"/>
                <w:sz w:val="20"/>
                <w:szCs w:val="20"/>
              </w:rPr>
            </w:pPr>
            <w:r>
              <w:rPr>
                <w:rFonts w:ascii="Garamond" w:hAnsi="Garamond"/>
                <w:sz w:val="20"/>
                <w:szCs w:val="20"/>
              </w:rPr>
              <w:t>Red= Not on target to be achieved</w:t>
            </w:r>
          </w:p>
        </w:tc>
      </w:tr>
    </w:tbl>
    <w:p w14:paraId="53B884AC" w14:textId="77777777" w:rsidR="00E26D82" w:rsidRPr="00185A8A" w:rsidRDefault="00E26D82" w:rsidP="00E26D82">
      <w:pPr>
        <w:spacing w:after="0" w:line="240" w:lineRule="auto"/>
        <w:rPr>
          <w:rFonts w:ascii="Garamond" w:hAnsi="Garamond"/>
          <w:color w:val="000000"/>
          <w:lang w:val="en-GB"/>
        </w:rPr>
      </w:pPr>
    </w:p>
    <w:p w14:paraId="68C697FE" w14:textId="77777777" w:rsidR="00E26D82" w:rsidRPr="00185A8A" w:rsidRDefault="00E26D82" w:rsidP="00E26D82">
      <w:pPr>
        <w:spacing w:after="0"/>
        <w:rPr>
          <w:rFonts w:ascii="Garamond" w:hAnsi="Garamond"/>
          <w:color w:val="000000"/>
          <w:lang w:val="en-GB"/>
        </w:rPr>
      </w:pPr>
      <w:r w:rsidRPr="00185A8A">
        <w:rPr>
          <w:rFonts w:ascii="Garamond" w:hAnsi="Garamond"/>
          <w:lang w:val="en-GB"/>
        </w:rPr>
        <w:t>In addition to the progress towards outcomes analysis:</w:t>
      </w:r>
    </w:p>
    <w:p w14:paraId="25C1DF7D" w14:textId="77777777" w:rsidR="00E26D82" w:rsidRPr="00BE7FD4" w:rsidRDefault="00E26D82" w:rsidP="00E26D82">
      <w:pPr>
        <w:pStyle w:val="Prrafodelista"/>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19A78DB0" w14:textId="77777777" w:rsidR="00E26D82" w:rsidRPr="001F7827" w:rsidRDefault="00E26D82" w:rsidP="00E26D82">
      <w:pPr>
        <w:pStyle w:val="Prrafodelista"/>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4BF35328" w14:textId="77777777" w:rsidR="00E26D82" w:rsidRDefault="00E26D82" w:rsidP="00E26D82">
      <w:pPr>
        <w:pStyle w:val="Prrafodelista"/>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3D7FADCE" w14:textId="77777777" w:rsidR="00E1102A" w:rsidRPr="00E26D82" w:rsidRDefault="00E1102A" w:rsidP="00DA55A2">
      <w:pPr>
        <w:rPr>
          <w:rFonts w:ascii="Garamond" w:hAnsi="Garamond"/>
          <w:color w:val="000000"/>
          <w:lang w:val="en-GB"/>
        </w:rPr>
      </w:pPr>
    </w:p>
    <w:p w14:paraId="4672DCBD" w14:textId="77777777" w:rsidR="005A0E07" w:rsidRPr="001F7827" w:rsidRDefault="005A0E07" w:rsidP="005A0E07">
      <w:pPr>
        <w:pStyle w:val="Prrafodelista"/>
        <w:spacing w:before="0"/>
        <w:ind w:left="360"/>
        <w:rPr>
          <w:rFonts w:ascii="Garamond" w:hAnsi="Garamond"/>
          <w:color w:val="000000"/>
          <w:lang w:val="en-GB"/>
        </w:rPr>
      </w:pPr>
    </w:p>
    <w:p w14:paraId="3F8B28E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58AD3BD9" w14:textId="77777777" w:rsidR="005A0E07" w:rsidRPr="004A08EC" w:rsidRDefault="005A0E07" w:rsidP="005A0E07">
      <w:pPr>
        <w:tabs>
          <w:tab w:val="left" w:pos="0"/>
        </w:tabs>
        <w:spacing w:after="0"/>
        <w:rPr>
          <w:rFonts w:ascii="Garamond" w:hAnsi="Garamond"/>
          <w:b/>
          <w:lang w:val="en-GB"/>
        </w:rPr>
      </w:pPr>
    </w:p>
    <w:p w14:paraId="08DDDF6F"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42D15282" w14:textId="229C2B00"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w:t>
      </w:r>
      <w:r w:rsidR="00820FFD">
        <w:rPr>
          <w:rFonts w:ascii="Garamond" w:hAnsi="Garamond"/>
          <w:color w:val="000000"/>
          <w:lang w:val="en-GB"/>
        </w:rPr>
        <w:t>/Substantive Revision</w:t>
      </w:r>
      <w:r w:rsidRPr="002D731C">
        <w:rPr>
          <w:rFonts w:ascii="Garamond" w:hAnsi="Garamond"/>
          <w:color w:val="000000"/>
          <w:lang w:val="en-GB"/>
        </w:rPr>
        <w:t>.  Have changes been made and are they effective?  Are responsibilities and reporting lines clear?  Is decision-making transparent and undertaken in a timely manner?  Recommend areas for improvement.</w:t>
      </w:r>
    </w:p>
    <w:p w14:paraId="73570D01"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6D9AE003"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6990CEA5" w14:textId="77777777" w:rsidR="005A0E07" w:rsidRDefault="005A0E07" w:rsidP="005A0E07">
      <w:pPr>
        <w:keepNext/>
        <w:spacing w:after="0" w:line="240" w:lineRule="auto"/>
        <w:jc w:val="both"/>
        <w:rPr>
          <w:rFonts w:ascii="Garamond" w:hAnsi="Garamond"/>
          <w:color w:val="000000"/>
          <w:u w:val="single"/>
          <w:lang w:val="en-GB"/>
        </w:rPr>
      </w:pPr>
    </w:p>
    <w:p w14:paraId="73547E02"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0B730C6A" w14:textId="77777777" w:rsidR="005A0E07" w:rsidRPr="00C52D0A" w:rsidRDefault="005A0E07" w:rsidP="005A0E07">
      <w:pPr>
        <w:pStyle w:val="Prrafodelista"/>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57AFF162"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13CC2342"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1971489C"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29FB53E7"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29CE867B" w14:textId="77777777" w:rsidR="005A0E07" w:rsidRPr="002D731C" w:rsidRDefault="005A0E07" w:rsidP="005A0E07">
      <w:pPr>
        <w:pStyle w:val="Prrafodelista"/>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7309F40C" w14:textId="77777777" w:rsidR="005A0E07" w:rsidRPr="002D731C" w:rsidRDefault="005A0E07" w:rsidP="005A0E07">
      <w:pPr>
        <w:pStyle w:val="Prrafodelista"/>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5FE4689E" w14:textId="77777777" w:rsidR="005A0E07" w:rsidRPr="00A77981" w:rsidRDefault="005A0E07" w:rsidP="005A0E07">
      <w:pPr>
        <w:pStyle w:val="Prrafodelista"/>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588E63C4" w14:textId="77777777" w:rsidR="005A0E07" w:rsidRDefault="005A0E07" w:rsidP="005A0E07">
      <w:pPr>
        <w:pStyle w:val="Prrafodelista"/>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lastRenderedPageBreak/>
        <w:t>meeting with all co-financing partners regularly in order to align financing priorities and annual work plans?</w:t>
      </w:r>
    </w:p>
    <w:p w14:paraId="69964565" w14:textId="77777777" w:rsidR="005A0E07" w:rsidRPr="005C6140" w:rsidRDefault="005A0E07" w:rsidP="005A0E07">
      <w:pPr>
        <w:pStyle w:val="Prrafodelista"/>
        <w:spacing w:before="0"/>
        <w:ind w:left="360"/>
        <w:rPr>
          <w:rFonts w:ascii="Garamond" w:hAnsi="Garamond"/>
          <w:color w:val="000000"/>
          <w:sz w:val="22"/>
          <w:szCs w:val="22"/>
          <w:lang w:val="en-GB"/>
        </w:rPr>
      </w:pPr>
    </w:p>
    <w:p w14:paraId="44F122CF"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71D14759"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4AB0D9B"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w:t>
      </w:r>
      <w:proofErr w:type="gramStart"/>
      <w:r w:rsidRPr="002D731C">
        <w:rPr>
          <w:rFonts w:ascii="Garamond" w:hAnsi="Garamond"/>
          <w:color w:val="000000"/>
          <w:lang w:val="en-GB"/>
        </w:rPr>
        <w:t>sufficient</w:t>
      </w:r>
      <w:proofErr w:type="gramEnd"/>
      <w:r w:rsidRPr="002D731C">
        <w:rPr>
          <w:rFonts w:ascii="Garamond" w:hAnsi="Garamond"/>
          <w:color w:val="000000"/>
          <w:lang w:val="en-GB"/>
        </w:rPr>
        <w:t xml:space="preserve">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3135B8EB" w14:textId="77777777" w:rsidR="005A0E07" w:rsidRPr="005C6140" w:rsidRDefault="005A0E07" w:rsidP="005A0E07">
      <w:pPr>
        <w:spacing w:after="0" w:line="240" w:lineRule="auto"/>
        <w:ind w:left="360"/>
        <w:jc w:val="both"/>
        <w:rPr>
          <w:rFonts w:ascii="Garamond" w:hAnsi="Garamond"/>
          <w:color w:val="000000"/>
          <w:lang w:val="en-GB"/>
        </w:rPr>
      </w:pPr>
    </w:p>
    <w:p w14:paraId="7503DF64"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309DFF3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385556AC"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CEACEF7"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1712A257" w14:textId="77777777" w:rsidR="005A0E07" w:rsidRDefault="005A0E07" w:rsidP="005A0E07">
      <w:pPr>
        <w:spacing w:after="0" w:line="240" w:lineRule="auto"/>
        <w:jc w:val="both"/>
        <w:rPr>
          <w:rFonts w:ascii="Garamond" w:hAnsi="Garamond"/>
          <w:color w:val="000000"/>
          <w:u w:val="single"/>
          <w:lang w:val="en-GB"/>
        </w:rPr>
      </w:pPr>
    </w:p>
    <w:p w14:paraId="40EA9775"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02C131A8"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489ABED1"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73972806"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08E765B2" w14:textId="77777777" w:rsidR="005A0E07" w:rsidRDefault="005A0E07" w:rsidP="005A0E07">
      <w:pPr>
        <w:spacing w:after="0" w:line="240" w:lineRule="auto"/>
        <w:jc w:val="both"/>
        <w:rPr>
          <w:rFonts w:ascii="Garamond" w:hAnsi="Garamond"/>
          <w:color w:val="000000"/>
          <w:lang w:val="en-GB"/>
        </w:rPr>
      </w:pPr>
    </w:p>
    <w:p w14:paraId="3035065A"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7D41765F" w14:textId="77777777" w:rsidR="005A0E07" w:rsidRPr="00C10D70" w:rsidRDefault="005A0E07" w:rsidP="005A0E07">
      <w:pPr>
        <w:pStyle w:val="Prrafodelista"/>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536705E2" w14:textId="77777777" w:rsidR="005A0E07" w:rsidRDefault="005A0E07" w:rsidP="005A0E07">
      <w:pPr>
        <w:pStyle w:val="Prrafodelista"/>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3259942E" w14:textId="77777777" w:rsidR="005A0E07" w:rsidRPr="004A67DE" w:rsidRDefault="005A0E07" w:rsidP="005A0E07">
      <w:pPr>
        <w:pStyle w:val="Prrafodelista"/>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19683D3" w14:textId="77777777" w:rsidR="005A0E07" w:rsidRDefault="005A0E07" w:rsidP="005A0E07">
      <w:pPr>
        <w:spacing w:after="0" w:line="240" w:lineRule="auto"/>
        <w:jc w:val="both"/>
        <w:rPr>
          <w:rFonts w:ascii="Garamond" w:hAnsi="Garamond"/>
          <w:color w:val="000000"/>
          <w:u w:val="single"/>
          <w:lang w:val="en-GB"/>
        </w:rPr>
      </w:pPr>
    </w:p>
    <w:p w14:paraId="764C0AB1"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E432EB8" w14:textId="5F5224FE" w:rsidR="005A0E07" w:rsidRDefault="005A0E07" w:rsidP="005A0E07">
      <w:pPr>
        <w:pStyle w:val="Prrafodelista"/>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Validate whether the risks identified in the Project Document</w:t>
      </w:r>
      <w:r w:rsidR="00820FFD">
        <w:rPr>
          <w:rFonts w:ascii="Garamond" w:hAnsi="Garamond"/>
          <w:color w:val="000000"/>
          <w:sz w:val="22"/>
          <w:szCs w:val="22"/>
          <w:lang w:val="en-GB"/>
        </w:rPr>
        <w:t>/Substantive Revision</w:t>
      </w:r>
      <w:r w:rsidRPr="001B6CF6">
        <w:rPr>
          <w:rFonts w:ascii="Garamond" w:hAnsi="Garamond"/>
          <w:color w:val="000000"/>
          <w:sz w:val="22"/>
          <w:szCs w:val="22"/>
          <w:lang w:val="en-GB"/>
        </w:rPr>
        <w:t xml:space="preserve">,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526443F3" w14:textId="77777777" w:rsidR="005A0E07" w:rsidRPr="001B6CF6" w:rsidRDefault="005A0E07" w:rsidP="005A0E07">
      <w:pPr>
        <w:pStyle w:val="Prrafodelista"/>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6B8FABD3" w14:textId="77777777" w:rsidR="005A0E07" w:rsidRPr="006C3C81" w:rsidRDefault="005A0E07" w:rsidP="005A0E07">
      <w:pPr>
        <w:spacing w:after="0" w:line="240" w:lineRule="auto"/>
        <w:ind w:left="360"/>
        <w:jc w:val="both"/>
        <w:rPr>
          <w:rFonts w:ascii="Garamond" w:hAnsi="Garamond"/>
          <w:color w:val="000000"/>
          <w:lang w:val="en-GB"/>
        </w:rPr>
      </w:pPr>
    </w:p>
    <w:p w14:paraId="01BFA2BC"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2FD2BB1F" w14:textId="77777777" w:rsidR="005A0E07" w:rsidRPr="001B6CF6" w:rsidRDefault="005A0E07" w:rsidP="005A0E07">
      <w:pPr>
        <w:pStyle w:val="Prrafodelista"/>
        <w:numPr>
          <w:ilvl w:val="0"/>
          <w:numId w:val="35"/>
        </w:numPr>
        <w:spacing w:before="0"/>
        <w:ind w:left="360"/>
        <w:contextualSpacing/>
        <w:rPr>
          <w:rFonts w:ascii="Garamond" w:hAnsi="Garamond"/>
          <w:sz w:val="22"/>
          <w:szCs w:val="22"/>
        </w:rPr>
      </w:pPr>
      <w:r w:rsidRPr="001B6CF6">
        <w:rPr>
          <w:rFonts w:ascii="Garamond" w:hAnsi="Garamond"/>
          <w:sz w:val="22"/>
          <w:szCs w:val="22"/>
        </w:rPr>
        <w:t xml:space="preserve">What is the likelihood of financial and economic resources not being available once the GEF assistance ends (consider potential resources can be from multiple sources, such as the public and private sectors, </w:t>
      </w:r>
      <w:r w:rsidRPr="001B6CF6">
        <w:rPr>
          <w:rFonts w:ascii="Garamond" w:hAnsi="Garamond"/>
          <w:sz w:val="22"/>
          <w:szCs w:val="22"/>
        </w:rPr>
        <w:lastRenderedPageBreak/>
        <w:t>income generating activities, and other funding that will be adequate financial resources for sustaining project’s outcomes)?</w:t>
      </w:r>
    </w:p>
    <w:p w14:paraId="42617047" w14:textId="77777777" w:rsidR="005A0E07" w:rsidRPr="001B6CF6" w:rsidRDefault="005A0E07" w:rsidP="005A0E07">
      <w:pPr>
        <w:spacing w:line="240" w:lineRule="auto"/>
        <w:contextualSpacing/>
        <w:rPr>
          <w:rFonts w:ascii="Garamond" w:hAnsi="Garamond"/>
        </w:rPr>
      </w:pPr>
    </w:p>
    <w:p w14:paraId="2F1D205F"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0B6FA86B" w14:textId="09A2D6DB" w:rsidR="005A0E07" w:rsidRPr="001B6CF6" w:rsidRDefault="005A0E07" w:rsidP="005A0E07">
      <w:pPr>
        <w:pStyle w:val="Prrafodelista"/>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w:t>
      </w:r>
      <w:proofErr w:type="gramStart"/>
      <w:r w:rsidRPr="001B6CF6">
        <w:rPr>
          <w:rFonts w:ascii="Garamond" w:hAnsi="Garamond"/>
          <w:sz w:val="22"/>
          <w:szCs w:val="22"/>
        </w:rPr>
        <w:t>sufficient</w:t>
      </w:r>
      <w:proofErr w:type="gramEnd"/>
      <w:r w:rsidRPr="001B6CF6">
        <w:rPr>
          <w:rFonts w:ascii="Garamond" w:hAnsi="Garamond"/>
          <w:sz w:val="22"/>
          <w:szCs w:val="22"/>
        </w:rPr>
        <w:t xml:space="preserve"> public / stakeholder awareness in support of the </w:t>
      </w:r>
      <w:r w:rsidR="007F1168" w:rsidRPr="001B6CF6">
        <w:rPr>
          <w:rFonts w:ascii="Garamond" w:hAnsi="Garamond"/>
          <w:sz w:val="22"/>
          <w:szCs w:val="22"/>
        </w:rPr>
        <w:t>long-term</w:t>
      </w:r>
      <w:r w:rsidRPr="001B6CF6">
        <w:rPr>
          <w:rFonts w:ascii="Garamond" w:hAnsi="Garamond"/>
          <w:sz w:val="22"/>
          <w:szCs w:val="22"/>
        </w:rPr>
        <w:t xml:space="preserve">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559CC46C" w14:textId="77777777" w:rsidR="005A0E07" w:rsidRPr="00735675" w:rsidRDefault="005A0E07" w:rsidP="005A0E07">
      <w:pPr>
        <w:pStyle w:val="Prrafodelista"/>
        <w:spacing w:before="0"/>
        <w:rPr>
          <w:rFonts w:ascii="Garamond" w:hAnsi="Garamond"/>
          <w:color w:val="000000"/>
          <w:sz w:val="14"/>
          <w:szCs w:val="14"/>
          <w:lang w:val="en-GB"/>
        </w:rPr>
      </w:pPr>
    </w:p>
    <w:p w14:paraId="7A283BDF"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748DD5A4" w14:textId="77777777" w:rsidR="005A0E07" w:rsidRPr="001B6CF6" w:rsidRDefault="005A0E07" w:rsidP="005A0E07">
      <w:pPr>
        <w:pStyle w:val="Prrafodelista"/>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0049E9B2" w14:textId="77777777" w:rsidR="005A0E07" w:rsidRPr="00735675" w:rsidRDefault="005A0E07" w:rsidP="005A0E07">
      <w:pPr>
        <w:pStyle w:val="Prrafodelista"/>
        <w:spacing w:before="0"/>
        <w:ind w:left="360"/>
        <w:rPr>
          <w:rFonts w:ascii="Garamond" w:hAnsi="Garamond"/>
          <w:color w:val="000000"/>
          <w:sz w:val="14"/>
          <w:szCs w:val="14"/>
          <w:lang w:val="en-GB"/>
        </w:rPr>
      </w:pPr>
    </w:p>
    <w:p w14:paraId="2E97018B"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72230DF5" w14:textId="77777777" w:rsidR="005A0E07" w:rsidRPr="001B6CF6" w:rsidRDefault="005A0E07" w:rsidP="005A0E07">
      <w:pPr>
        <w:pStyle w:val="Prrafodelista"/>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45DB5DC6" w14:textId="77777777" w:rsidR="005A0E07" w:rsidRPr="005A0E07" w:rsidRDefault="005A0E07" w:rsidP="005A0E07">
      <w:pPr>
        <w:pStyle w:val="Prrafodelista"/>
        <w:spacing w:before="0"/>
        <w:ind w:left="0"/>
        <w:rPr>
          <w:rFonts w:ascii="Garamond" w:hAnsi="Garamond"/>
          <w:color w:val="000000"/>
          <w:sz w:val="28"/>
          <w:szCs w:val="28"/>
          <w:lang w:val="en-GB"/>
        </w:rPr>
      </w:pPr>
    </w:p>
    <w:p w14:paraId="0BA952D1" w14:textId="77777777" w:rsidR="005A0E07" w:rsidRPr="00346201" w:rsidRDefault="005A0E07" w:rsidP="005A0E07">
      <w:pPr>
        <w:pStyle w:val="Textoindependiente3"/>
        <w:spacing w:before="0" w:after="0"/>
        <w:rPr>
          <w:rFonts w:ascii="Garamond" w:hAnsi="Garamond"/>
          <w:b/>
          <w:sz w:val="22"/>
          <w:szCs w:val="22"/>
        </w:rPr>
      </w:pPr>
      <w:r w:rsidRPr="00346201">
        <w:rPr>
          <w:rFonts w:ascii="Garamond" w:hAnsi="Garamond"/>
          <w:b/>
          <w:sz w:val="22"/>
          <w:szCs w:val="22"/>
        </w:rPr>
        <w:t>Conclusions &amp; Recommendations</w:t>
      </w:r>
    </w:p>
    <w:p w14:paraId="79DAE640" w14:textId="77777777" w:rsidR="005A0E07" w:rsidRDefault="005A0E07" w:rsidP="005A0E07">
      <w:pPr>
        <w:pStyle w:val="Textoindependiente3"/>
        <w:spacing w:before="0" w:after="0"/>
        <w:rPr>
          <w:rFonts w:ascii="Garamond" w:hAnsi="Garamond"/>
          <w:sz w:val="22"/>
          <w:szCs w:val="22"/>
        </w:rPr>
      </w:pPr>
    </w:p>
    <w:p w14:paraId="5DC02CA5" w14:textId="7219A2EB" w:rsidR="005A0E07" w:rsidRPr="00551D2C" w:rsidRDefault="005A0E07" w:rsidP="005A0E07">
      <w:pPr>
        <w:pStyle w:val="Textoindependiente3"/>
        <w:spacing w:before="0" w:after="0"/>
        <w:rPr>
          <w:rFonts w:ascii="Garamond" w:hAnsi="Garamond"/>
          <w:sz w:val="22"/>
          <w:szCs w:val="22"/>
        </w:rPr>
      </w:pPr>
      <w:r w:rsidRPr="00551D2C">
        <w:rPr>
          <w:rFonts w:ascii="Garamond" w:hAnsi="Garamond"/>
          <w:sz w:val="22"/>
          <w:szCs w:val="22"/>
        </w:rPr>
        <w:t xml:space="preserve">The MTR </w:t>
      </w:r>
      <w:r w:rsidR="00921C60">
        <w:rPr>
          <w:rFonts w:ascii="Garamond" w:hAnsi="Garamond"/>
          <w:sz w:val="22"/>
          <w:szCs w:val="22"/>
        </w:rPr>
        <w:t>consultant</w:t>
      </w:r>
      <w:r w:rsidRPr="00551D2C">
        <w:rPr>
          <w:rFonts w:ascii="Garamond" w:hAnsi="Garamond"/>
          <w:sz w:val="22"/>
          <w:szCs w:val="22"/>
        </w:rPr>
        <w:t xml:space="preserve"> will include a section of the report setting out the MTR’s evidence-based conclusions, </w:t>
      </w:r>
      <w:proofErr w:type="gramStart"/>
      <w:r w:rsidRPr="00551D2C">
        <w:rPr>
          <w:rFonts w:ascii="Garamond" w:hAnsi="Garamond"/>
          <w:sz w:val="22"/>
          <w:szCs w:val="22"/>
        </w:rPr>
        <w:t>in light of</w:t>
      </w:r>
      <w:proofErr w:type="gramEnd"/>
      <w:r w:rsidRPr="00551D2C">
        <w:rPr>
          <w:rFonts w:ascii="Garamond" w:hAnsi="Garamond"/>
          <w:sz w:val="22"/>
          <w:szCs w:val="22"/>
        </w:rPr>
        <w:t xml:space="preserve"> the findings.</w:t>
      </w:r>
      <w:r>
        <w:rPr>
          <w:rStyle w:val="Refdenotaalpie"/>
          <w:rFonts w:ascii="Garamond" w:eastAsiaTheme="majorEastAsia" w:hAnsi="Garamond"/>
          <w:sz w:val="22"/>
          <w:szCs w:val="22"/>
        </w:rPr>
        <w:footnoteReference w:id="10"/>
      </w:r>
    </w:p>
    <w:p w14:paraId="307D9879" w14:textId="77777777" w:rsidR="005A0E07" w:rsidRPr="00735675" w:rsidRDefault="005A0E07" w:rsidP="005A0E07">
      <w:pPr>
        <w:pStyle w:val="Textoindependiente3"/>
        <w:spacing w:before="0" w:after="0"/>
        <w:rPr>
          <w:rFonts w:ascii="Garamond" w:hAnsi="Garamond"/>
          <w:sz w:val="14"/>
          <w:szCs w:val="14"/>
        </w:rPr>
      </w:pPr>
    </w:p>
    <w:p w14:paraId="5D4F2E53" w14:textId="77777777" w:rsidR="005A0E07" w:rsidRPr="00551D2C" w:rsidRDefault="005A0E07" w:rsidP="005A0E07">
      <w:pPr>
        <w:pStyle w:val="Textoindependiente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 xml:space="preserve">Guidance </w:t>
      </w:r>
      <w:proofErr w:type="gramStart"/>
      <w:r w:rsidRPr="00AA535D">
        <w:rPr>
          <w:rFonts w:ascii="Garamond" w:hAnsi="Garamond"/>
          <w:i/>
          <w:sz w:val="22"/>
          <w:szCs w:val="22"/>
          <w:lang w:val="en-GB"/>
        </w:rPr>
        <w:t>For</w:t>
      </w:r>
      <w:proofErr w:type="gramEnd"/>
      <w:r w:rsidRPr="00AA535D">
        <w:rPr>
          <w:rFonts w:ascii="Garamond" w:hAnsi="Garamond"/>
          <w:i/>
          <w:sz w:val="22"/>
          <w:szCs w:val="22"/>
          <w:lang w:val="en-GB"/>
        </w:rPr>
        <w:t xml:space="preserve">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41B11439" w14:textId="77777777" w:rsidR="005A0E07" w:rsidRPr="00551D2C" w:rsidRDefault="005A0E07" w:rsidP="005A0E07">
      <w:pPr>
        <w:pStyle w:val="Textoindependiente3"/>
        <w:spacing w:before="0" w:after="0"/>
        <w:rPr>
          <w:rFonts w:ascii="Garamond" w:hAnsi="Garamond"/>
          <w:sz w:val="22"/>
          <w:szCs w:val="22"/>
        </w:rPr>
      </w:pPr>
    </w:p>
    <w:p w14:paraId="4161A207" w14:textId="623D6E16" w:rsidR="005A0E07" w:rsidRDefault="005A0E07" w:rsidP="005A0E07">
      <w:pPr>
        <w:pStyle w:val="Textoindependiente3"/>
        <w:spacing w:before="0" w:after="0"/>
        <w:rPr>
          <w:rFonts w:ascii="Garamond" w:hAnsi="Garamond"/>
          <w:sz w:val="22"/>
          <w:szCs w:val="22"/>
        </w:rPr>
      </w:pPr>
      <w:r w:rsidRPr="00551D2C">
        <w:rPr>
          <w:rFonts w:ascii="Garamond" w:hAnsi="Garamond"/>
          <w:sz w:val="22"/>
          <w:szCs w:val="22"/>
        </w:rPr>
        <w:t xml:space="preserve">The MTR </w:t>
      </w:r>
      <w:r w:rsidR="00921C60">
        <w:rPr>
          <w:rFonts w:ascii="Garamond" w:hAnsi="Garamond"/>
          <w:sz w:val="22"/>
          <w:szCs w:val="22"/>
        </w:rPr>
        <w:t>consultant</w:t>
      </w:r>
      <w:r w:rsidRPr="00551D2C">
        <w:rPr>
          <w:rFonts w:ascii="Garamond" w:hAnsi="Garamond"/>
          <w:sz w:val="22"/>
          <w:szCs w:val="22"/>
        </w:rPr>
        <w:t xml:space="preserve">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991BFC8" w14:textId="77777777" w:rsidR="005A0E07" w:rsidRPr="005A0E07" w:rsidRDefault="005A0E07" w:rsidP="005A0E07">
      <w:pPr>
        <w:pStyle w:val="Textoindependiente3"/>
        <w:spacing w:before="0" w:after="0"/>
        <w:rPr>
          <w:rFonts w:ascii="Garamond" w:hAnsi="Garamond"/>
          <w:sz w:val="28"/>
          <w:szCs w:val="28"/>
        </w:rPr>
      </w:pPr>
    </w:p>
    <w:p w14:paraId="4777424F"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537A4B2" w14:textId="77777777" w:rsidR="005A0E07" w:rsidRDefault="005A0E07" w:rsidP="005A0E07">
      <w:pPr>
        <w:spacing w:after="0" w:line="240" w:lineRule="auto"/>
        <w:jc w:val="both"/>
        <w:rPr>
          <w:rFonts w:ascii="Garamond" w:hAnsi="Garamond"/>
        </w:rPr>
      </w:pPr>
    </w:p>
    <w:p w14:paraId="02B60BE5" w14:textId="71812422"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w:t>
      </w:r>
      <w:r w:rsidR="00FD19EB">
        <w:rPr>
          <w:rFonts w:ascii="Garamond" w:hAnsi="Garamond"/>
        </w:rPr>
        <w:t>consultant</w:t>
      </w:r>
      <w:r w:rsidRPr="00014537">
        <w:rPr>
          <w:rFonts w:ascii="Garamond" w:hAnsi="Garamond"/>
        </w:rPr>
        <w:t xml:space="preserve">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w:t>
      </w:r>
      <w:proofErr w:type="gramStart"/>
      <w:r w:rsidRPr="00014537">
        <w:rPr>
          <w:rFonts w:ascii="Garamond" w:hAnsi="Garamond"/>
        </w:rPr>
        <w:t>a</w:t>
      </w:r>
      <w:proofErr w:type="gramEnd"/>
      <w:r w:rsidRPr="00014537">
        <w:rPr>
          <w:rFonts w:ascii="Garamond" w:hAnsi="Garamond"/>
        </w:rPr>
        <w:t xml:space="preserve">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1CF311C2" w14:textId="77777777" w:rsidR="005A0E07" w:rsidRPr="00661EB2" w:rsidRDefault="005A0E07" w:rsidP="005A0E07">
      <w:pPr>
        <w:spacing w:after="0" w:line="240" w:lineRule="auto"/>
        <w:rPr>
          <w:rFonts w:ascii="Garamond" w:hAnsi="Garamond"/>
          <w:b/>
          <w:sz w:val="18"/>
          <w:szCs w:val="18"/>
        </w:rPr>
      </w:pPr>
    </w:p>
    <w:p w14:paraId="33FCF07C" w14:textId="3C6ED3F7" w:rsidR="005A0E07" w:rsidRPr="00031804" w:rsidRDefault="005A0E07" w:rsidP="005A0E07">
      <w:pPr>
        <w:pStyle w:val="Descripcin"/>
        <w:keepNext/>
        <w:spacing w:after="0"/>
        <w:jc w:val="center"/>
      </w:pPr>
      <w:r>
        <w:t xml:space="preserve">Table. </w:t>
      </w:r>
      <w:r w:rsidRPr="0003192F">
        <w:t>MTR Ratings &amp; Achievement Summary Table for (</w:t>
      </w:r>
      <w:r w:rsidR="00093095" w:rsidRPr="0014114F">
        <w:rPr>
          <w:rFonts w:cs="Arial"/>
          <w:b w:val="0"/>
          <w:szCs w:val="20"/>
        </w:rPr>
        <w:t>Sustainable business models for biogas production from organic municipal solid waste.</w:t>
      </w:r>
      <w:r w:rsidRPr="0003192F">
        <w:t>)</w:t>
      </w:r>
    </w:p>
    <w:tbl>
      <w:tblPr>
        <w:tblStyle w:val="Tablaconcuadrcula"/>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29DF3EFA"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09A28796"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3B38445C"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78A3401B" w14:textId="77777777" w:rsidR="005A0E07" w:rsidRPr="00554FDC" w:rsidRDefault="005A0E07" w:rsidP="003917B8">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3108024" w14:textId="77777777" w:rsidTr="003917B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747FB756" w14:textId="77777777" w:rsidR="005A0E07" w:rsidRPr="00554FDC" w:rsidRDefault="005A0E07" w:rsidP="003917B8">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62A9591F" w14:textId="77777777" w:rsidR="005A0E07" w:rsidRPr="00554FDC" w:rsidRDefault="005A0E07" w:rsidP="003917B8">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15CCF645" w14:textId="77777777" w:rsidR="005A0E07" w:rsidRPr="00554FDC" w:rsidRDefault="005A0E07" w:rsidP="003917B8">
            <w:pPr>
              <w:rPr>
                <w:rFonts w:ascii="Garamond" w:hAnsi="Garamond"/>
                <w:sz w:val="18"/>
                <w:szCs w:val="18"/>
              </w:rPr>
            </w:pPr>
          </w:p>
        </w:tc>
      </w:tr>
      <w:tr w:rsidR="005A0E07" w:rsidRPr="00554FDC" w14:paraId="1FD9004E" w14:textId="77777777" w:rsidTr="003917B8">
        <w:trPr>
          <w:cantSplit/>
          <w:trHeight w:val="104"/>
        </w:trPr>
        <w:tc>
          <w:tcPr>
            <w:tcW w:w="1722" w:type="dxa"/>
            <w:vMerge w:val="restart"/>
            <w:tcBorders>
              <w:top w:val="single" w:sz="4" w:space="0" w:color="auto"/>
              <w:left w:val="single" w:sz="4" w:space="0" w:color="auto"/>
              <w:right w:val="single" w:sz="4" w:space="0" w:color="auto"/>
            </w:tcBorders>
          </w:tcPr>
          <w:p w14:paraId="5B10E56E" w14:textId="77777777" w:rsidR="005A0E07" w:rsidRPr="00554FDC" w:rsidRDefault="005A0E07" w:rsidP="003917B8">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323E8CA5" w14:textId="77777777" w:rsidR="005A0E07" w:rsidRPr="00554FDC" w:rsidRDefault="005A0E07" w:rsidP="003917B8">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4A66E0F" w14:textId="77777777" w:rsidR="005A0E07" w:rsidRPr="00554FDC" w:rsidRDefault="005A0E07" w:rsidP="003917B8">
            <w:pPr>
              <w:rPr>
                <w:rFonts w:ascii="Garamond" w:hAnsi="Garamond"/>
                <w:sz w:val="18"/>
                <w:szCs w:val="18"/>
              </w:rPr>
            </w:pPr>
          </w:p>
        </w:tc>
      </w:tr>
      <w:tr w:rsidR="005A0E07" w:rsidRPr="00554FDC" w14:paraId="46484E50" w14:textId="77777777" w:rsidTr="003917B8">
        <w:trPr>
          <w:cantSplit/>
          <w:trHeight w:val="104"/>
        </w:trPr>
        <w:tc>
          <w:tcPr>
            <w:tcW w:w="1722" w:type="dxa"/>
            <w:vMerge/>
            <w:tcBorders>
              <w:left w:val="single" w:sz="4" w:space="0" w:color="auto"/>
              <w:right w:val="single" w:sz="4" w:space="0" w:color="auto"/>
            </w:tcBorders>
          </w:tcPr>
          <w:p w14:paraId="62ED756B"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ABE75D8" w14:textId="77777777" w:rsidR="005A0E07" w:rsidRPr="00554FDC" w:rsidRDefault="005A0E07" w:rsidP="003917B8">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07BBAF7F" w14:textId="77777777" w:rsidR="005A0E07" w:rsidRPr="00554FDC" w:rsidRDefault="005A0E07" w:rsidP="003917B8">
            <w:pPr>
              <w:rPr>
                <w:rFonts w:ascii="Garamond" w:hAnsi="Garamond"/>
                <w:sz w:val="18"/>
                <w:szCs w:val="18"/>
              </w:rPr>
            </w:pPr>
          </w:p>
        </w:tc>
      </w:tr>
      <w:tr w:rsidR="005A0E07" w:rsidRPr="00554FDC" w14:paraId="589A4A65" w14:textId="77777777" w:rsidTr="003917B8">
        <w:trPr>
          <w:cantSplit/>
          <w:trHeight w:val="103"/>
        </w:trPr>
        <w:tc>
          <w:tcPr>
            <w:tcW w:w="1722" w:type="dxa"/>
            <w:vMerge/>
            <w:tcBorders>
              <w:left w:val="single" w:sz="4" w:space="0" w:color="auto"/>
              <w:right w:val="single" w:sz="4" w:space="0" w:color="auto"/>
            </w:tcBorders>
          </w:tcPr>
          <w:p w14:paraId="5EF12F39"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65AD8794" w14:textId="77777777" w:rsidR="005A0E07" w:rsidRPr="00554FDC" w:rsidRDefault="005A0E07" w:rsidP="003917B8">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D372BDB" w14:textId="77777777" w:rsidR="005A0E07" w:rsidRPr="00554FDC" w:rsidRDefault="005A0E07" w:rsidP="003917B8">
            <w:pPr>
              <w:rPr>
                <w:rFonts w:ascii="Garamond" w:hAnsi="Garamond"/>
                <w:sz w:val="18"/>
                <w:szCs w:val="18"/>
              </w:rPr>
            </w:pPr>
          </w:p>
        </w:tc>
      </w:tr>
      <w:tr w:rsidR="005A0E07" w:rsidRPr="00554FDC" w14:paraId="19FA15F9" w14:textId="77777777" w:rsidTr="003917B8">
        <w:trPr>
          <w:cantSplit/>
          <w:trHeight w:val="103"/>
        </w:trPr>
        <w:tc>
          <w:tcPr>
            <w:tcW w:w="1722" w:type="dxa"/>
            <w:vMerge/>
            <w:tcBorders>
              <w:left w:val="single" w:sz="4" w:space="0" w:color="auto"/>
              <w:right w:val="single" w:sz="4" w:space="0" w:color="auto"/>
            </w:tcBorders>
          </w:tcPr>
          <w:p w14:paraId="3224FCBA"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00044F6" w14:textId="77777777" w:rsidR="005A0E07" w:rsidRPr="00554FDC" w:rsidRDefault="005A0E07" w:rsidP="003917B8">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5625F98" w14:textId="77777777" w:rsidR="005A0E07" w:rsidRPr="00554FDC" w:rsidRDefault="005A0E07" w:rsidP="003917B8">
            <w:pPr>
              <w:rPr>
                <w:rFonts w:ascii="Garamond" w:hAnsi="Garamond"/>
                <w:sz w:val="18"/>
                <w:szCs w:val="18"/>
              </w:rPr>
            </w:pPr>
          </w:p>
        </w:tc>
      </w:tr>
      <w:tr w:rsidR="005A0E07" w:rsidRPr="00554FDC" w14:paraId="0D4F9E93" w14:textId="77777777" w:rsidTr="003917B8">
        <w:trPr>
          <w:cantSplit/>
          <w:trHeight w:val="103"/>
        </w:trPr>
        <w:tc>
          <w:tcPr>
            <w:tcW w:w="1722" w:type="dxa"/>
            <w:vMerge/>
            <w:tcBorders>
              <w:left w:val="single" w:sz="4" w:space="0" w:color="auto"/>
              <w:bottom w:val="single" w:sz="4" w:space="0" w:color="auto"/>
              <w:right w:val="single" w:sz="4" w:space="0" w:color="auto"/>
            </w:tcBorders>
          </w:tcPr>
          <w:p w14:paraId="2A29BD70" w14:textId="77777777" w:rsidR="005A0E07" w:rsidRPr="00554FDC" w:rsidRDefault="005A0E07" w:rsidP="003917B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E552C35" w14:textId="77777777" w:rsidR="005A0E07" w:rsidRPr="00554FDC" w:rsidRDefault="005A0E07" w:rsidP="003917B8">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448DC1C6" w14:textId="77777777" w:rsidR="005A0E07" w:rsidRPr="00554FDC" w:rsidRDefault="005A0E07" w:rsidP="003917B8">
            <w:pPr>
              <w:rPr>
                <w:rFonts w:ascii="Garamond" w:hAnsi="Garamond"/>
                <w:sz w:val="18"/>
                <w:szCs w:val="18"/>
              </w:rPr>
            </w:pPr>
          </w:p>
        </w:tc>
      </w:tr>
      <w:tr w:rsidR="005A0E07" w:rsidRPr="00554FDC" w14:paraId="48C657DE"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4283387B" w14:textId="77777777" w:rsidR="005A0E07" w:rsidRPr="00554FDC" w:rsidRDefault="005A0E07" w:rsidP="003917B8">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3F1AA0AC" w14:textId="77777777" w:rsidR="005A0E07" w:rsidRPr="00554FDC" w:rsidRDefault="005A0E07" w:rsidP="003917B8">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7B92C617" w14:textId="77777777" w:rsidR="005A0E07" w:rsidRPr="00554FDC" w:rsidRDefault="005A0E07" w:rsidP="003917B8">
            <w:pPr>
              <w:rPr>
                <w:rFonts w:ascii="Garamond" w:hAnsi="Garamond"/>
                <w:sz w:val="18"/>
                <w:szCs w:val="18"/>
              </w:rPr>
            </w:pPr>
          </w:p>
        </w:tc>
      </w:tr>
      <w:tr w:rsidR="005A0E07" w:rsidRPr="00554FDC" w14:paraId="1EF32596" w14:textId="77777777" w:rsidTr="003917B8">
        <w:trPr>
          <w:cantSplit/>
        </w:trPr>
        <w:tc>
          <w:tcPr>
            <w:tcW w:w="1722" w:type="dxa"/>
            <w:tcBorders>
              <w:top w:val="single" w:sz="4" w:space="0" w:color="auto"/>
              <w:left w:val="single" w:sz="4" w:space="0" w:color="auto"/>
              <w:bottom w:val="single" w:sz="4" w:space="0" w:color="auto"/>
              <w:right w:val="single" w:sz="4" w:space="0" w:color="auto"/>
            </w:tcBorders>
          </w:tcPr>
          <w:p w14:paraId="7C25AEB2" w14:textId="77777777" w:rsidR="005A0E07" w:rsidRPr="00554FDC" w:rsidRDefault="005A0E07" w:rsidP="003917B8">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4CABD4B4" w14:textId="77777777" w:rsidR="005A0E07" w:rsidRPr="00554FDC" w:rsidRDefault="005A0E07" w:rsidP="003917B8">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770BE8E9" w14:textId="77777777" w:rsidR="005A0E07" w:rsidRPr="00554FDC" w:rsidRDefault="005A0E07" w:rsidP="003917B8">
            <w:pPr>
              <w:rPr>
                <w:rFonts w:ascii="Garamond" w:hAnsi="Garamond"/>
                <w:sz w:val="18"/>
                <w:szCs w:val="18"/>
              </w:rPr>
            </w:pPr>
          </w:p>
        </w:tc>
      </w:tr>
    </w:tbl>
    <w:p w14:paraId="70F5B78B" w14:textId="77777777" w:rsidR="005A0E07" w:rsidRPr="007C19D6" w:rsidRDefault="005A0E07" w:rsidP="005A0E07">
      <w:pPr>
        <w:pStyle w:val="Textoindependiente3"/>
        <w:spacing w:before="0" w:after="0"/>
        <w:rPr>
          <w:rFonts w:ascii="Garamond" w:hAnsi="Garamond"/>
          <w:sz w:val="22"/>
          <w:szCs w:val="22"/>
        </w:rPr>
      </w:pPr>
    </w:p>
    <w:p w14:paraId="1D8F3759" w14:textId="77777777" w:rsidR="00BF0763" w:rsidRPr="007C19D6" w:rsidRDefault="00BF0763" w:rsidP="00BF0763">
      <w:pPr>
        <w:pStyle w:val="Textoindependiente3"/>
        <w:spacing w:before="0" w:after="0"/>
        <w:rPr>
          <w:rFonts w:ascii="Garamond" w:hAnsi="Garamond"/>
          <w:sz w:val="22"/>
          <w:szCs w:val="22"/>
        </w:rPr>
      </w:pPr>
    </w:p>
    <w:p w14:paraId="1A4B21E2" w14:textId="77777777" w:rsidR="00BF0763" w:rsidRPr="00BE7FD4" w:rsidRDefault="00BF0763" w:rsidP="004A4E9F">
      <w:pPr>
        <w:pStyle w:val="Prrafodelista"/>
        <w:numPr>
          <w:ilvl w:val="0"/>
          <w:numId w:val="19"/>
        </w:numPr>
        <w:spacing w:before="0"/>
        <w:rPr>
          <w:rFonts w:ascii="Garamond" w:hAnsi="Garamond"/>
          <w:b/>
          <w:bCs/>
          <w:sz w:val="28"/>
          <w:szCs w:val="28"/>
        </w:rPr>
      </w:pPr>
      <w:r w:rsidRPr="00BE7FD4">
        <w:rPr>
          <w:rFonts w:ascii="Garamond" w:hAnsi="Garamond"/>
          <w:b/>
          <w:bCs/>
          <w:sz w:val="28"/>
          <w:szCs w:val="28"/>
        </w:rPr>
        <w:t>TIMEFRAME</w:t>
      </w:r>
    </w:p>
    <w:p w14:paraId="4F5F98B1" w14:textId="77777777" w:rsidR="00BF0763" w:rsidRPr="00735675" w:rsidRDefault="00BF0763" w:rsidP="00BF0763">
      <w:pPr>
        <w:spacing w:after="0" w:line="240" w:lineRule="auto"/>
        <w:jc w:val="both"/>
        <w:rPr>
          <w:rFonts w:ascii="Garamond" w:hAnsi="Garamond"/>
          <w:bCs/>
          <w:sz w:val="14"/>
          <w:szCs w:val="14"/>
        </w:rPr>
      </w:pPr>
    </w:p>
    <w:p w14:paraId="2171A3FB" w14:textId="2E6E3F7A"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5970B3">
        <w:rPr>
          <w:rFonts w:ascii="Garamond" w:hAnsi="Garamond"/>
          <w:bCs/>
          <w:i/>
        </w:rPr>
        <w:t xml:space="preserve">30 </w:t>
      </w:r>
      <w:r w:rsidR="00AA2C58" w:rsidRPr="00E82DE4">
        <w:rPr>
          <w:rFonts w:ascii="Garamond" w:hAnsi="Garamond"/>
          <w:bCs/>
        </w:rPr>
        <w:t xml:space="preserve">working </w:t>
      </w:r>
      <w:r w:rsidRPr="00E82DE4">
        <w:rPr>
          <w:rFonts w:ascii="Garamond" w:hAnsi="Garamond"/>
          <w:bCs/>
        </w:rPr>
        <w:t>days</w:t>
      </w:r>
      <w:r w:rsidR="00E82DE4" w:rsidRPr="00E82DE4">
        <w:rPr>
          <w:rFonts w:ascii="Garamond" w:hAnsi="Garamond"/>
          <w:bCs/>
          <w:i/>
        </w:rPr>
        <w:t xml:space="preserve"> </w:t>
      </w:r>
      <w:r w:rsidRPr="00E82DE4">
        <w:rPr>
          <w:rFonts w:ascii="Garamond" w:hAnsi="Garamond"/>
          <w:bCs/>
        </w:rPr>
        <w:t>over</w:t>
      </w:r>
      <w:r>
        <w:rPr>
          <w:rFonts w:ascii="Garamond" w:hAnsi="Garamond"/>
          <w:bCs/>
        </w:rPr>
        <w:t xml:space="preserve"> a time period of </w:t>
      </w:r>
      <w:r w:rsidR="00DC43F3">
        <w:rPr>
          <w:rFonts w:ascii="Garamond" w:hAnsi="Garamond"/>
          <w:bCs/>
          <w:i/>
        </w:rPr>
        <w:t xml:space="preserve">12 </w:t>
      </w:r>
      <w:r w:rsidRPr="00E82DE4">
        <w:rPr>
          <w:rFonts w:ascii="Garamond" w:hAnsi="Garamond"/>
          <w:bCs/>
        </w:rPr>
        <w:t xml:space="preserve">of </w:t>
      </w:r>
      <w:r w:rsidR="007F1168" w:rsidRPr="00E82DE4">
        <w:rPr>
          <w:rFonts w:ascii="Garamond" w:hAnsi="Garamond"/>
          <w:bCs/>
        </w:rPr>
        <w:t>weeks and</w:t>
      </w:r>
      <w:r w:rsidRPr="002B604B">
        <w:rPr>
          <w:rFonts w:ascii="Garamond" w:hAnsi="Garamond"/>
          <w:bCs/>
        </w:rPr>
        <w:t xml:space="preserve"> shall not exceed five months from when the consultant</w:t>
      </w:r>
      <w:r w:rsidR="00DC43F3">
        <w:rPr>
          <w:rFonts w:ascii="Garamond" w:hAnsi="Garamond"/>
          <w:bCs/>
        </w:rPr>
        <w:t xml:space="preserve"> is </w:t>
      </w:r>
      <w:r w:rsidRPr="002B604B">
        <w:rPr>
          <w:rFonts w:ascii="Garamond" w:hAnsi="Garamond"/>
          <w:bCs/>
        </w:rPr>
        <w:t>hired. The tentative MTR timeframe is as follows:</w:t>
      </w:r>
      <w:r>
        <w:rPr>
          <w:rFonts w:ascii="Garamond" w:hAnsi="Garamond"/>
          <w:bCs/>
        </w:rPr>
        <w:t xml:space="preserve"> </w:t>
      </w:r>
    </w:p>
    <w:p w14:paraId="1FAC9A52" w14:textId="77777777" w:rsidR="00BF0763" w:rsidRPr="005727C5" w:rsidRDefault="00BF0763" w:rsidP="00BF0763">
      <w:pPr>
        <w:spacing w:after="0" w:line="240" w:lineRule="auto"/>
        <w:rPr>
          <w:rFonts w:ascii="Garamond" w:hAnsi="Garamond"/>
          <w:bCs/>
        </w:rPr>
      </w:pPr>
    </w:p>
    <w:tbl>
      <w:tblPr>
        <w:tblStyle w:val="Tablaconcuadrcula"/>
        <w:tblW w:w="9198" w:type="dxa"/>
        <w:tblLayout w:type="fixed"/>
        <w:tblLook w:val="04A0" w:firstRow="1" w:lastRow="0" w:firstColumn="1" w:lastColumn="0" w:noHBand="0" w:noVBand="1"/>
      </w:tblPr>
      <w:tblGrid>
        <w:gridCol w:w="5238"/>
        <w:gridCol w:w="2070"/>
        <w:gridCol w:w="1890"/>
      </w:tblGrid>
      <w:tr w:rsidR="00A16BE5" w:rsidRPr="006D5FC4" w14:paraId="7AD5898C" w14:textId="77777777" w:rsidTr="00A16BE5">
        <w:tc>
          <w:tcPr>
            <w:tcW w:w="5238" w:type="dxa"/>
            <w:shd w:val="clear" w:color="auto" w:fill="D9D9D9" w:themeFill="background1" w:themeFillShade="D9"/>
          </w:tcPr>
          <w:p w14:paraId="3BA8EFDD" w14:textId="77777777" w:rsidR="00A16BE5" w:rsidRPr="006D5FC4" w:rsidRDefault="00A16BE5" w:rsidP="003917B8">
            <w:pPr>
              <w:rPr>
                <w:rFonts w:ascii="Garamond" w:hAnsi="Garamond"/>
                <w:b/>
                <w:bCs/>
              </w:rPr>
            </w:pPr>
            <w:r w:rsidRPr="006D5FC4">
              <w:rPr>
                <w:rFonts w:ascii="Garamond" w:hAnsi="Garamond"/>
                <w:b/>
                <w:bCs/>
              </w:rPr>
              <w:t>ACTIVITY</w:t>
            </w:r>
          </w:p>
        </w:tc>
        <w:tc>
          <w:tcPr>
            <w:tcW w:w="2070" w:type="dxa"/>
            <w:shd w:val="clear" w:color="auto" w:fill="D9D9D9" w:themeFill="background1" w:themeFillShade="D9"/>
          </w:tcPr>
          <w:p w14:paraId="5B06D457" w14:textId="77777777" w:rsidR="00A16BE5" w:rsidRPr="006D5FC4" w:rsidRDefault="00A16BE5" w:rsidP="003917B8">
            <w:pPr>
              <w:rPr>
                <w:rFonts w:ascii="Garamond" w:hAnsi="Garamond"/>
                <w:b/>
                <w:bCs/>
              </w:rPr>
            </w:pPr>
            <w:r>
              <w:rPr>
                <w:rFonts w:ascii="Garamond" w:hAnsi="Garamond"/>
                <w:b/>
                <w:bCs/>
              </w:rPr>
              <w:t xml:space="preserve">NUMBER OF WORKING DAYS </w:t>
            </w:r>
          </w:p>
        </w:tc>
        <w:tc>
          <w:tcPr>
            <w:tcW w:w="1890" w:type="dxa"/>
            <w:shd w:val="clear" w:color="auto" w:fill="D9D9D9" w:themeFill="background1" w:themeFillShade="D9"/>
          </w:tcPr>
          <w:p w14:paraId="300CEC64" w14:textId="77777777" w:rsidR="00A16BE5" w:rsidRPr="006D5FC4" w:rsidRDefault="00A16BE5" w:rsidP="003917B8">
            <w:pPr>
              <w:rPr>
                <w:rFonts w:ascii="Garamond" w:hAnsi="Garamond"/>
                <w:b/>
                <w:bCs/>
              </w:rPr>
            </w:pPr>
            <w:r>
              <w:rPr>
                <w:rFonts w:ascii="Garamond" w:hAnsi="Garamond"/>
                <w:b/>
                <w:bCs/>
              </w:rPr>
              <w:t>COMPLETION DATE</w:t>
            </w:r>
          </w:p>
        </w:tc>
      </w:tr>
      <w:tr w:rsidR="00A16BE5" w:rsidRPr="006D5FC4" w14:paraId="2D687B22" w14:textId="77777777" w:rsidTr="00A16BE5">
        <w:tc>
          <w:tcPr>
            <w:tcW w:w="5238" w:type="dxa"/>
          </w:tcPr>
          <w:p w14:paraId="6D0ABC2A" w14:textId="77777777" w:rsidR="00A16BE5" w:rsidRPr="00AA2C58" w:rsidRDefault="00A16BE5" w:rsidP="003917B8">
            <w:pPr>
              <w:rPr>
                <w:rFonts w:ascii="Garamond" w:hAnsi="Garamond"/>
                <w:bCs/>
              </w:rPr>
            </w:pPr>
            <w:r w:rsidRPr="00AA2C58">
              <w:rPr>
                <w:rFonts w:ascii="Garamond" w:hAnsi="Garamond"/>
                <w:bCs/>
              </w:rPr>
              <w:t>Document review and preparing MTR Inception Report</w:t>
            </w:r>
            <w:r w:rsidR="007F53C9" w:rsidRPr="00AA2C58">
              <w:rPr>
                <w:rFonts w:ascii="Garamond" w:hAnsi="Garamond"/>
                <w:bCs/>
              </w:rPr>
              <w:t xml:space="preserve"> (</w:t>
            </w:r>
            <w:r w:rsidR="00AA2C58" w:rsidRPr="00AA2C58">
              <w:rPr>
                <w:rFonts w:ascii="Garamond" w:hAnsi="Garamond"/>
                <w:bCs/>
              </w:rPr>
              <w:t>MTR Inception Report</w:t>
            </w:r>
            <w:r w:rsidR="00AA2C58">
              <w:rPr>
                <w:rFonts w:ascii="Garamond" w:hAnsi="Garamond"/>
                <w:bCs/>
              </w:rPr>
              <w:t xml:space="preserve"> due no</w:t>
            </w:r>
            <w:r w:rsidR="007F53C9" w:rsidRPr="00AA2C58">
              <w:rPr>
                <w:rFonts w:ascii="Garamond" w:hAnsi="Garamond"/>
              </w:rPr>
              <w:t xml:space="preserve"> later than 2 weeks before the MTR mission)</w:t>
            </w:r>
          </w:p>
        </w:tc>
        <w:tc>
          <w:tcPr>
            <w:tcW w:w="2070" w:type="dxa"/>
          </w:tcPr>
          <w:p w14:paraId="4FE17E49" w14:textId="340D2280" w:rsidR="00A16BE5" w:rsidRPr="00ED4E49" w:rsidRDefault="000D7CEF" w:rsidP="003917B8">
            <w:pPr>
              <w:rPr>
                <w:rFonts w:ascii="Garamond" w:hAnsi="Garamond"/>
                <w:bCs/>
                <w:i/>
              </w:rPr>
            </w:pPr>
            <w:r>
              <w:rPr>
                <w:rFonts w:ascii="Garamond" w:hAnsi="Garamond"/>
                <w:bCs/>
                <w:i/>
              </w:rPr>
              <w:t>4</w:t>
            </w:r>
            <w:r w:rsidR="00A16BE5">
              <w:rPr>
                <w:rFonts w:ascii="Garamond" w:hAnsi="Garamond"/>
                <w:bCs/>
                <w:i/>
              </w:rPr>
              <w:t xml:space="preserve"> days </w:t>
            </w:r>
          </w:p>
        </w:tc>
        <w:tc>
          <w:tcPr>
            <w:tcW w:w="1890" w:type="dxa"/>
          </w:tcPr>
          <w:p w14:paraId="18B68712" w14:textId="31D0DD0A" w:rsidR="00A16BE5" w:rsidRPr="00ED4E49" w:rsidRDefault="00BB2824" w:rsidP="003917B8">
            <w:pPr>
              <w:rPr>
                <w:rFonts w:ascii="Garamond" w:hAnsi="Garamond"/>
                <w:bCs/>
                <w:i/>
              </w:rPr>
            </w:pPr>
            <w:r>
              <w:rPr>
                <w:rFonts w:ascii="Garamond" w:hAnsi="Garamond"/>
                <w:bCs/>
                <w:i/>
              </w:rPr>
              <w:t xml:space="preserve">July </w:t>
            </w:r>
            <w:r w:rsidR="00574C52">
              <w:rPr>
                <w:rFonts w:ascii="Garamond" w:hAnsi="Garamond"/>
                <w:bCs/>
                <w:i/>
              </w:rPr>
              <w:t>3</w:t>
            </w:r>
            <w:r w:rsidR="00973EB0">
              <w:rPr>
                <w:rFonts w:ascii="Garamond" w:hAnsi="Garamond"/>
                <w:bCs/>
                <w:i/>
              </w:rPr>
              <w:t>0</w:t>
            </w:r>
            <w:r w:rsidR="001A335A">
              <w:rPr>
                <w:rFonts w:ascii="Garamond" w:hAnsi="Garamond"/>
                <w:bCs/>
                <w:i/>
              </w:rPr>
              <w:t>, 201</w:t>
            </w:r>
            <w:r w:rsidR="00CA3277">
              <w:rPr>
                <w:rFonts w:ascii="Garamond" w:hAnsi="Garamond"/>
                <w:bCs/>
                <w:i/>
              </w:rPr>
              <w:t>9</w:t>
            </w:r>
          </w:p>
        </w:tc>
      </w:tr>
      <w:tr w:rsidR="00A16BE5" w:rsidRPr="006D5FC4" w14:paraId="3962C1C7" w14:textId="77777777" w:rsidTr="00ED4E49">
        <w:tc>
          <w:tcPr>
            <w:tcW w:w="5238" w:type="dxa"/>
          </w:tcPr>
          <w:p w14:paraId="1C4886AB" w14:textId="57C8964D" w:rsidR="00A16BE5" w:rsidRPr="00AA2C58" w:rsidRDefault="00A16BE5" w:rsidP="003917B8">
            <w:pPr>
              <w:rPr>
                <w:rFonts w:ascii="Garamond" w:hAnsi="Garamond"/>
                <w:bCs/>
              </w:rPr>
            </w:pPr>
            <w:r w:rsidRPr="00AA2C58">
              <w:rPr>
                <w:rFonts w:ascii="Garamond" w:hAnsi="Garamond"/>
                <w:bCs/>
              </w:rPr>
              <w:t>MTR mission: stakeholder meetings, interviews, field visits</w:t>
            </w:r>
            <w:r w:rsidR="008A1920">
              <w:rPr>
                <w:rFonts w:ascii="Garamond" w:hAnsi="Garamond"/>
                <w:bCs/>
              </w:rPr>
              <w:t xml:space="preserve"> </w:t>
            </w:r>
            <w:r w:rsidR="00921C60">
              <w:rPr>
                <w:rFonts w:ascii="Garamond" w:hAnsi="Garamond"/>
                <w:bCs/>
              </w:rPr>
              <w:t xml:space="preserve">to Rafaela and </w:t>
            </w:r>
            <w:proofErr w:type="spellStart"/>
            <w:r w:rsidR="00921C60">
              <w:rPr>
                <w:rFonts w:ascii="Garamond" w:hAnsi="Garamond"/>
                <w:bCs/>
              </w:rPr>
              <w:t>Olavarria</w:t>
            </w:r>
            <w:proofErr w:type="spellEnd"/>
            <w:r w:rsidR="00921C60">
              <w:rPr>
                <w:rFonts w:ascii="Garamond" w:hAnsi="Garamond"/>
                <w:bCs/>
              </w:rPr>
              <w:t xml:space="preserve"> municipalities</w:t>
            </w:r>
          </w:p>
        </w:tc>
        <w:tc>
          <w:tcPr>
            <w:tcW w:w="2070" w:type="dxa"/>
          </w:tcPr>
          <w:p w14:paraId="25631442" w14:textId="739BD855" w:rsidR="00A16BE5" w:rsidRPr="00ED4E49" w:rsidRDefault="00243B53" w:rsidP="003917B8">
            <w:pPr>
              <w:rPr>
                <w:rFonts w:ascii="Garamond" w:hAnsi="Garamond"/>
                <w:bCs/>
                <w:i/>
              </w:rPr>
            </w:pPr>
            <w:r>
              <w:rPr>
                <w:rFonts w:ascii="Garamond" w:hAnsi="Garamond"/>
                <w:bCs/>
                <w:i/>
              </w:rPr>
              <w:t>5</w:t>
            </w:r>
            <w:r w:rsidR="000215A8">
              <w:rPr>
                <w:rFonts w:ascii="Garamond" w:hAnsi="Garamond"/>
                <w:bCs/>
                <w:i/>
              </w:rPr>
              <w:t xml:space="preserve"> </w:t>
            </w:r>
            <w:r w:rsidR="00A16BE5">
              <w:rPr>
                <w:rFonts w:ascii="Garamond" w:hAnsi="Garamond"/>
                <w:bCs/>
                <w:i/>
              </w:rPr>
              <w:t xml:space="preserve">days </w:t>
            </w:r>
          </w:p>
        </w:tc>
        <w:tc>
          <w:tcPr>
            <w:tcW w:w="1890" w:type="dxa"/>
            <w:shd w:val="clear" w:color="auto" w:fill="FFFFFF" w:themeFill="background1"/>
          </w:tcPr>
          <w:p w14:paraId="0840D498" w14:textId="3CC73CE0" w:rsidR="009B5D42" w:rsidRDefault="00CA3277" w:rsidP="003917B8">
            <w:pPr>
              <w:rPr>
                <w:rFonts w:ascii="Garamond" w:hAnsi="Garamond"/>
                <w:bCs/>
                <w:i/>
              </w:rPr>
            </w:pPr>
            <w:r>
              <w:rPr>
                <w:rFonts w:ascii="Garamond" w:hAnsi="Garamond"/>
                <w:bCs/>
                <w:i/>
              </w:rPr>
              <w:t xml:space="preserve">August </w:t>
            </w:r>
            <w:r w:rsidR="000215A8">
              <w:rPr>
                <w:rFonts w:ascii="Garamond" w:hAnsi="Garamond"/>
                <w:bCs/>
                <w:i/>
              </w:rPr>
              <w:t>9</w:t>
            </w:r>
            <w:r>
              <w:rPr>
                <w:rFonts w:ascii="Garamond" w:hAnsi="Garamond"/>
                <w:bCs/>
                <w:i/>
              </w:rPr>
              <w:t>,</w:t>
            </w:r>
            <w:r w:rsidR="00377B0A" w:rsidRPr="00ED4E49">
              <w:rPr>
                <w:rFonts w:ascii="Garamond" w:hAnsi="Garamond"/>
                <w:bCs/>
                <w:i/>
              </w:rPr>
              <w:t xml:space="preserve"> 201</w:t>
            </w:r>
            <w:r>
              <w:rPr>
                <w:rFonts w:ascii="Garamond" w:hAnsi="Garamond"/>
                <w:bCs/>
                <w:i/>
              </w:rPr>
              <w:t>9</w:t>
            </w:r>
          </w:p>
          <w:p w14:paraId="650CDC0D" w14:textId="01FAA962" w:rsidR="00A16BE5" w:rsidRPr="00ED4E49" w:rsidRDefault="00A16BE5" w:rsidP="003917B8">
            <w:pPr>
              <w:rPr>
                <w:rFonts w:ascii="Garamond" w:hAnsi="Garamond"/>
                <w:bCs/>
                <w:i/>
              </w:rPr>
            </w:pPr>
            <w:r w:rsidRPr="00ED4E49">
              <w:rPr>
                <w:rFonts w:ascii="Garamond" w:hAnsi="Garamond"/>
                <w:bCs/>
                <w:i/>
              </w:rPr>
              <w:t xml:space="preserve"> </w:t>
            </w:r>
          </w:p>
        </w:tc>
      </w:tr>
      <w:tr w:rsidR="00A16BE5" w:rsidRPr="006D5FC4" w14:paraId="3B7666A6" w14:textId="77777777" w:rsidTr="00A16BE5">
        <w:tc>
          <w:tcPr>
            <w:tcW w:w="5238" w:type="dxa"/>
          </w:tcPr>
          <w:p w14:paraId="62794FD4" w14:textId="77777777" w:rsidR="00A16BE5" w:rsidRDefault="007F53C9" w:rsidP="007F53C9">
            <w:pPr>
              <w:rPr>
                <w:rFonts w:ascii="Garamond" w:hAnsi="Garamond"/>
                <w:bCs/>
              </w:rPr>
            </w:pPr>
            <w:r>
              <w:rPr>
                <w:rFonts w:ascii="Garamond" w:hAnsi="Garamond"/>
                <w:bCs/>
              </w:rPr>
              <w:t>P</w:t>
            </w:r>
            <w:r w:rsidR="00A16BE5" w:rsidRPr="006D5FC4">
              <w:rPr>
                <w:rFonts w:ascii="Garamond" w:hAnsi="Garamond"/>
                <w:bCs/>
              </w:rPr>
              <w:t>resentation of initial findings</w:t>
            </w:r>
            <w:r w:rsidR="00A16BE5">
              <w:rPr>
                <w:rFonts w:ascii="Garamond" w:hAnsi="Garamond"/>
                <w:bCs/>
              </w:rPr>
              <w:t xml:space="preserve">- </w:t>
            </w:r>
            <w:r>
              <w:rPr>
                <w:rFonts w:ascii="Garamond" w:hAnsi="Garamond"/>
                <w:bCs/>
              </w:rPr>
              <w:t>last day of the</w:t>
            </w:r>
            <w:r w:rsidR="00A16BE5">
              <w:rPr>
                <w:rFonts w:ascii="Garamond" w:hAnsi="Garamond"/>
                <w:bCs/>
              </w:rPr>
              <w:t xml:space="preserve"> MTR mission</w:t>
            </w:r>
          </w:p>
          <w:p w14:paraId="1CB0CE14" w14:textId="4099AC71" w:rsidR="000C0FB5" w:rsidRPr="006D5FC4" w:rsidRDefault="000C0FB5" w:rsidP="007F53C9">
            <w:pPr>
              <w:rPr>
                <w:rFonts w:ascii="Garamond" w:hAnsi="Garamond"/>
                <w:bCs/>
              </w:rPr>
            </w:pPr>
          </w:p>
        </w:tc>
        <w:tc>
          <w:tcPr>
            <w:tcW w:w="2070" w:type="dxa"/>
          </w:tcPr>
          <w:p w14:paraId="45DEA67D" w14:textId="77777777" w:rsidR="00A16BE5" w:rsidRPr="007F53C9" w:rsidRDefault="007F53C9" w:rsidP="003917B8">
            <w:pPr>
              <w:rPr>
                <w:rFonts w:ascii="Garamond" w:hAnsi="Garamond"/>
                <w:bCs/>
                <w:i/>
              </w:rPr>
            </w:pPr>
            <w:r w:rsidRPr="007F53C9">
              <w:rPr>
                <w:rFonts w:ascii="Garamond" w:hAnsi="Garamond"/>
                <w:bCs/>
                <w:i/>
              </w:rPr>
              <w:t>1 day</w:t>
            </w:r>
          </w:p>
        </w:tc>
        <w:tc>
          <w:tcPr>
            <w:tcW w:w="1890" w:type="dxa"/>
          </w:tcPr>
          <w:p w14:paraId="09A5DF5B" w14:textId="42772AED" w:rsidR="00A16BE5" w:rsidRPr="006D5FC4" w:rsidRDefault="00CA3277" w:rsidP="003917B8">
            <w:pPr>
              <w:rPr>
                <w:rFonts w:ascii="Garamond" w:hAnsi="Garamond"/>
                <w:bCs/>
              </w:rPr>
            </w:pPr>
            <w:r>
              <w:rPr>
                <w:rFonts w:ascii="Garamond" w:hAnsi="Garamond"/>
                <w:bCs/>
                <w:i/>
              </w:rPr>
              <w:t xml:space="preserve">August </w:t>
            </w:r>
            <w:r w:rsidR="000215A8">
              <w:rPr>
                <w:rFonts w:ascii="Garamond" w:hAnsi="Garamond"/>
                <w:bCs/>
                <w:i/>
              </w:rPr>
              <w:t>9</w:t>
            </w:r>
            <w:r w:rsidR="00377B0A">
              <w:rPr>
                <w:rFonts w:ascii="Garamond" w:hAnsi="Garamond"/>
                <w:bCs/>
                <w:i/>
              </w:rPr>
              <w:t>, 201</w:t>
            </w:r>
            <w:r w:rsidR="009E5760">
              <w:rPr>
                <w:rFonts w:ascii="Garamond" w:hAnsi="Garamond"/>
                <w:bCs/>
                <w:i/>
              </w:rPr>
              <w:t>9</w:t>
            </w:r>
          </w:p>
        </w:tc>
      </w:tr>
      <w:tr w:rsidR="00A16BE5" w:rsidRPr="006D5FC4" w14:paraId="1F8CC01F" w14:textId="77777777" w:rsidTr="00A16BE5">
        <w:tc>
          <w:tcPr>
            <w:tcW w:w="5238" w:type="dxa"/>
          </w:tcPr>
          <w:p w14:paraId="6D2C5BED" w14:textId="77777777" w:rsidR="00A16BE5" w:rsidRDefault="00A16BE5" w:rsidP="003917B8">
            <w:pPr>
              <w:rPr>
                <w:rFonts w:ascii="Garamond" w:hAnsi="Garamond"/>
              </w:rPr>
            </w:pPr>
            <w:r w:rsidRPr="006D5FC4">
              <w:rPr>
                <w:rFonts w:ascii="Garamond" w:hAnsi="Garamond"/>
                <w:bCs/>
              </w:rPr>
              <w:t>Preparing draft report</w:t>
            </w:r>
            <w:r w:rsidR="00AA2C58">
              <w:rPr>
                <w:rFonts w:ascii="Garamond" w:hAnsi="Garamond"/>
                <w:bCs/>
              </w:rPr>
              <w:t xml:space="preserve"> (</w:t>
            </w:r>
            <w:r w:rsidR="00AA2C58" w:rsidRPr="00AA2C58">
              <w:rPr>
                <w:rFonts w:ascii="Garamond" w:hAnsi="Garamond"/>
                <w:bCs/>
              </w:rPr>
              <w:t xml:space="preserve">due </w:t>
            </w:r>
            <w:r w:rsidR="00AA2C58" w:rsidRPr="00AA2C58">
              <w:rPr>
                <w:rFonts w:ascii="Garamond" w:hAnsi="Garamond"/>
              </w:rPr>
              <w:t>within 3 weeks</w:t>
            </w:r>
            <w:r w:rsidR="00AA2C58" w:rsidRPr="002D731C">
              <w:rPr>
                <w:rFonts w:ascii="Garamond" w:hAnsi="Garamond"/>
              </w:rPr>
              <w:t xml:space="preserve"> of the </w:t>
            </w:r>
            <w:r w:rsidR="00AA2C58">
              <w:rPr>
                <w:rFonts w:ascii="Garamond" w:hAnsi="Garamond"/>
              </w:rPr>
              <w:t>MTR</w:t>
            </w:r>
            <w:r w:rsidR="00AA2C58" w:rsidRPr="002D731C">
              <w:rPr>
                <w:rFonts w:ascii="Garamond" w:hAnsi="Garamond"/>
              </w:rPr>
              <w:t xml:space="preserve"> mission</w:t>
            </w:r>
            <w:r w:rsidR="00AA2C58">
              <w:rPr>
                <w:rFonts w:ascii="Garamond" w:hAnsi="Garamond"/>
              </w:rPr>
              <w:t>)</w:t>
            </w:r>
          </w:p>
          <w:p w14:paraId="484CB7CF" w14:textId="62F85D9E" w:rsidR="000C0FB5" w:rsidRPr="006D5FC4" w:rsidRDefault="000C0FB5" w:rsidP="003917B8">
            <w:pPr>
              <w:rPr>
                <w:rFonts w:ascii="Garamond" w:hAnsi="Garamond"/>
                <w:bCs/>
              </w:rPr>
            </w:pPr>
          </w:p>
        </w:tc>
        <w:tc>
          <w:tcPr>
            <w:tcW w:w="2070" w:type="dxa"/>
          </w:tcPr>
          <w:p w14:paraId="4234614E" w14:textId="72555C91" w:rsidR="00A16BE5" w:rsidRPr="006D5FC4" w:rsidRDefault="009E5760" w:rsidP="007F53C9">
            <w:pPr>
              <w:rPr>
                <w:rFonts w:ascii="Garamond" w:hAnsi="Garamond"/>
                <w:bCs/>
              </w:rPr>
            </w:pPr>
            <w:r>
              <w:rPr>
                <w:rFonts w:ascii="Garamond" w:hAnsi="Garamond"/>
                <w:bCs/>
                <w:i/>
              </w:rPr>
              <w:t>10</w:t>
            </w:r>
            <w:r w:rsidR="00E82DE4">
              <w:rPr>
                <w:rFonts w:ascii="Garamond" w:hAnsi="Garamond"/>
                <w:bCs/>
                <w:i/>
              </w:rPr>
              <w:t xml:space="preserve"> </w:t>
            </w:r>
            <w:r w:rsidR="007F53C9">
              <w:rPr>
                <w:rFonts w:ascii="Garamond" w:hAnsi="Garamond"/>
                <w:bCs/>
                <w:i/>
              </w:rPr>
              <w:t xml:space="preserve">days </w:t>
            </w:r>
          </w:p>
        </w:tc>
        <w:tc>
          <w:tcPr>
            <w:tcW w:w="1890" w:type="dxa"/>
          </w:tcPr>
          <w:p w14:paraId="6E85D6C2" w14:textId="16185EFE" w:rsidR="00A16BE5" w:rsidRPr="006D5FC4" w:rsidRDefault="00F61B4D" w:rsidP="003917B8">
            <w:pPr>
              <w:rPr>
                <w:rFonts w:ascii="Garamond" w:hAnsi="Garamond"/>
                <w:bCs/>
              </w:rPr>
            </w:pPr>
            <w:r>
              <w:rPr>
                <w:rFonts w:ascii="Garamond" w:hAnsi="Garamond"/>
                <w:bCs/>
                <w:i/>
              </w:rPr>
              <w:t>August 30</w:t>
            </w:r>
            <w:r w:rsidR="00A936A6">
              <w:rPr>
                <w:rFonts w:ascii="Garamond" w:hAnsi="Garamond"/>
                <w:bCs/>
                <w:i/>
              </w:rPr>
              <w:t>,</w:t>
            </w:r>
            <w:r w:rsidR="009E5289">
              <w:rPr>
                <w:rFonts w:ascii="Garamond" w:hAnsi="Garamond"/>
                <w:bCs/>
                <w:i/>
              </w:rPr>
              <w:t xml:space="preserve"> </w:t>
            </w:r>
            <w:r w:rsidR="00A936A6">
              <w:rPr>
                <w:rFonts w:ascii="Garamond" w:hAnsi="Garamond"/>
                <w:bCs/>
                <w:i/>
              </w:rPr>
              <w:t>2019</w:t>
            </w:r>
          </w:p>
        </w:tc>
      </w:tr>
      <w:tr w:rsidR="007F53C9" w:rsidRPr="006D5FC4" w14:paraId="14C5226E" w14:textId="77777777" w:rsidTr="00A16BE5">
        <w:tc>
          <w:tcPr>
            <w:tcW w:w="5238" w:type="dxa"/>
          </w:tcPr>
          <w:p w14:paraId="708CB6E8" w14:textId="77777777" w:rsidR="007F53C9" w:rsidRDefault="007F53C9" w:rsidP="007F53C9">
            <w:pPr>
              <w:rPr>
                <w:rFonts w:ascii="Garamond" w:hAnsi="Garamond"/>
              </w:rPr>
            </w:pPr>
            <w:r>
              <w:rPr>
                <w:rFonts w:ascii="Garamond" w:hAnsi="Garamond"/>
                <w:bCs/>
              </w:rPr>
              <w:t xml:space="preserve">Finalization of MTR report/ </w:t>
            </w: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 </w:t>
            </w:r>
            <w:r w:rsidR="00AA2C58">
              <w:rPr>
                <w:rFonts w:ascii="Garamond" w:hAnsi="Garamond"/>
                <w:bCs/>
              </w:rPr>
              <w:t>(</w:t>
            </w:r>
            <w:r w:rsidR="00AA2C58" w:rsidRPr="00AA2C58">
              <w:rPr>
                <w:rFonts w:ascii="Garamond" w:hAnsi="Garamond"/>
                <w:bCs/>
              </w:rPr>
              <w:t xml:space="preserve">due </w:t>
            </w:r>
            <w:r w:rsidR="00AA2C58" w:rsidRPr="00AA2C58">
              <w:rPr>
                <w:rFonts w:ascii="Garamond" w:hAnsi="Garamond"/>
              </w:rPr>
              <w:t>within 1 week of receiving</w:t>
            </w:r>
            <w:r w:rsidR="000C0FB5">
              <w:rPr>
                <w:rFonts w:ascii="Garamond" w:hAnsi="Garamond"/>
              </w:rPr>
              <w:t xml:space="preserve"> UNDP comments on the draft)</w:t>
            </w:r>
          </w:p>
          <w:p w14:paraId="75B3319C" w14:textId="42F949B0" w:rsidR="000C0FB5" w:rsidRPr="006D5FC4" w:rsidRDefault="000C0FB5" w:rsidP="007F53C9">
            <w:pPr>
              <w:rPr>
                <w:rFonts w:ascii="Garamond" w:hAnsi="Garamond"/>
                <w:bCs/>
              </w:rPr>
            </w:pPr>
          </w:p>
        </w:tc>
        <w:tc>
          <w:tcPr>
            <w:tcW w:w="2070" w:type="dxa"/>
          </w:tcPr>
          <w:p w14:paraId="76833165" w14:textId="69E82C14" w:rsidR="007F53C9" w:rsidRPr="006D5FC4" w:rsidRDefault="00A936A6" w:rsidP="007F53C9">
            <w:pPr>
              <w:rPr>
                <w:rFonts w:ascii="Garamond" w:hAnsi="Garamond"/>
                <w:bCs/>
              </w:rPr>
            </w:pPr>
            <w:r>
              <w:rPr>
                <w:rFonts w:ascii="Garamond" w:hAnsi="Garamond"/>
                <w:bCs/>
                <w:i/>
              </w:rPr>
              <w:t>4 days</w:t>
            </w:r>
            <w:r w:rsidR="007F53C9">
              <w:rPr>
                <w:rFonts w:ascii="Garamond" w:hAnsi="Garamond"/>
                <w:bCs/>
                <w:i/>
              </w:rPr>
              <w:t xml:space="preserve"> </w:t>
            </w:r>
          </w:p>
        </w:tc>
        <w:tc>
          <w:tcPr>
            <w:tcW w:w="1890" w:type="dxa"/>
          </w:tcPr>
          <w:p w14:paraId="220AD61F" w14:textId="3EAD4FF8" w:rsidR="007F53C9" w:rsidRPr="006D5FC4" w:rsidRDefault="00A936A6" w:rsidP="003917B8">
            <w:pPr>
              <w:rPr>
                <w:rFonts w:ascii="Garamond" w:hAnsi="Garamond"/>
                <w:bCs/>
              </w:rPr>
            </w:pPr>
            <w:r>
              <w:rPr>
                <w:rFonts w:ascii="Garamond" w:hAnsi="Garamond"/>
                <w:bCs/>
                <w:i/>
              </w:rPr>
              <w:t xml:space="preserve">September </w:t>
            </w:r>
            <w:r w:rsidR="009E5289">
              <w:rPr>
                <w:rFonts w:ascii="Garamond" w:hAnsi="Garamond"/>
                <w:bCs/>
                <w:i/>
              </w:rPr>
              <w:t>1</w:t>
            </w:r>
            <w:r w:rsidR="00727EDC">
              <w:rPr>
                <w:rFonts w:ascii="Garamond" w:hAnsi="Garamond"/>
                <w:bCs/>
                <w:i/>
              </w:rPr>
              <w:t>3</w:t>
            </w:r>
            <w:r w:rsidR="009E5289">
              <w:rPr>
                <w:rFonts w:ascii="Garamond" w:hAnsi="Garamond"/>
                <w:bCs/>
                <w:i/>
              </w:rPr>
              <w:t>, 2019</w:t>
            </w:r>
          </w:p>
        </w:tc>
      </w:tr>
    </w:tbl>
    <w:p w14:paraId="69C68E28" w14:textId="77777777" w:rsidR="00BF0763" w:rsidRPr="00735675" w:rsidRDefault="00BF0763" w:rsidP="00BF0763">
      <w:pPr>
        <w:spacing w:after="0" w:line="240" w:lineRule="auto"/>
        <w:rPr>
          <w:rFonts w:ascii="Garamond" w:hAnsi="Garamond"/>
          <w:bCs/>
          <w:sz w:val="14"/>
          <w:szCs w:val="14"/>
          <w:u w:val="single"/>
        </w:rPr>
      </w:pPr>
    </w:p>
    <w:p w14:paraId="541234EC" w14:textId="507915C3" w:rsidR="005A0E07" w:rsidRDefault="00BF0763" w:rsidP="00BF0763">
      <w:pPr>
        <w:rPr>
          <w:rFonts w:ascii="Garamond" w:hAnsi="Garamond"/>
          <w:bCs/>
        </w:rPr>
      </w:pPr>
      <w:r w:rsidRPr="008E31E5">
        <w:rPr>
          <w:rFonts w:ascii="Garamond" w:hAnsi="Garamond"/>
          <w:bCs/>
        </w:rPr>
        <w:t xml:space="preserve">Options for site visits should be </w:t>
      </w:r>
      <w:r w:rsidR="005F3EF0">
        <w:rPr>
          <w:rFonts w:ascii="Garamond" w:hAnsi="Garamond"/>
          <w:bCs/>
        </w:rPr>
        <w:t xml:space="preserve">discussed in the Inception Report, between the consultant, UNDP and </w:t>
      </w:r>
      <w:proofErr w:type="spellStart"/>
      <w:r w:rsidR="00CE346A">
        <w:rPr>
          <w:rFonts w:ascii="Garamond" w:hAnsi="Garamond"/>
          <w:bCs/>
        </w:rPr>
        <w:t>SAyDS</w:t>
      </w:r>
      <w:proofErr w:type="spellEnd"/>
      <w:r w:rsidR="00CE346A">
        <w:rPr>
          <w:rFonts w:ascii="Garamond" w:hAnsi="Garamond"/>
          <w:bCs/>
        </w:rPr>
        <w:t>.</w:t>
      </w:r>
    </w:p>
    <w:p w14:paraId="59852790" w14:textId="77777777" w:rsidR="00BF0763" w:rsidRPr="00BE7FD4" w:rsidRDefault="00BF0763" w:rsidP="004A4E9F">
      <w:pPr>
        <w:pStyle w:val="Prrafodelista"/>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644B9ED8" w14:textId="77777777" w:rsidR="00BF0763" w:rsidRPr="009C2C33" w:rsidRDefault="00BF0763" w:rsidP="00BF0763">
      <w:pPr>
        <w:pStyle w:val="Prrafodelista"/>
        <w:spacing w:before="0"/>
        <w:ind w:left="360"/>
        <w:rPr>
          <w:rFonts w:ascii="Garamond" w:hAnsi="Garamond"/>
          <w:b/>
          <w:i/>
          <w:sz w:val="22"/>
          <w:szCs w:val="22"/>
        </w:rPr>
      </w:pPr>
    </w:p>
    <w:tbl>
      <w:tblPr>
        <w:tblStyle w:val="Tablaconcuadrcula"/>
        <w:tblW w:w="0" w:type="auto"/>
        <w:tblInd w:w="18" w:type="dxa"/>
        <w:tblLook w:val="04A0" w:firstRow="1" w:lastRow="0" w:firstColumn="1" w:lastColumn="0" w:noHBand="0" w:noVBand="1"/>
      </w:tblPr>
      <w:tblGrid>
        <w:gridCol w:w="364"/>
        <w:gridCol w:w="1885"/>
        <w:gridCol w:w="2485"/>
        <w:gridCol w:w="1921"/>
        <w:gridCol w:w="2317"/>
      </w:tblGrid>
      <w:tr w:rsidR="00BF0763" w14:paraId="1310B8CC" w14:textId="77777777" w:rsidTr="003917B8">
        <w:tc>
          <w:tcPr>
            <w:tcW w:w="364" w:type="dxa"/>
            <w:shd w:val="clear" w:color="auto" w:fill="BFBFBF" w:themeFill="background1" w:themeFillShade="BF"/>
          </w:tcPr>
          <w:p w14:paraId="4419B503" w14:textId="77777777" w:rsidR="00BF0763" w:rsidRPr="00F96345" w:rsidRDefault="00BF0763" w:rsidP="003917B8">
            <w:pPr>
              <w:pStyle w:val="Prrafodelista"/>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29420730" w14:textId="77777777" w:rsidR="00BF0763" w:rsidRPr="00F96345" w:rsidRDefault="00BF0763" w:rsidP="003917B8">
            <w:pPr>
              <w:pStyle w:val="Prrafodelista"/>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651A80C5" w14:textId="77777777" w:rsidR="00BF0763" w:rsidRPr="00F96345" w:rsidRDefault="00BF0763" w:rsidP="003917B8">
            <w:pPr>
              <w:pStyle w:val="Prrafodelista"/>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4CAF895" w14:textId="77777777" w:rsidR="00BF0763" w:rsidRPr="00F96345" w:rsidRDefault="00BF0763" w:rsidP="003917B8">
            <w:pPr>
              <w:pStyle w:val="Prrafodelista"/>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39AF3F00" w14:textId="77777777" w:rsidR="00BF0763" w:rsidRPr="00F96345" w:rsidRDefault="00BF0763" w:rsidP="003917B8">
            <w:pPr>
              <w:pStyle w:val="Prrafodelista"/>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77C374AE" w14:textId="77777777" w:rsidTr="00D1352C">
        <w:tc>
          <w:tcPr>
            <w:tcW w:w="364" w:type="dxa"/>
          </w:tcPr>
          <w:p w14:paraId="038E1CC4" w14:textId="77777777" w:rsidR="00BF0763" w:rsidRDefault="00BF0763" w:rsidP="003917B8">
            <w:pPr>
              <w:pStyle w:val="Prrafodelista"/>
              <w:spacing w:before="0"/>
              <w:ind w:left="0"/>
              <w:jc w:val="left"/>
              <w:rPr>
                <w:rFonts w:ascii="Garamond" w:hAnsi="Garamond"/>
                <w:b/>
                <w:sz w:val="22"/>
                <w:szCs w:val="22"/>
              </w:rPr>
            </w:pPr>
            <w:r>
              <w:rPr>
                <w:rFonts w:ascii="Garamond" w:hAnsi="Garamond"/>
                <w:b/>
                <w:sz w:val="22"/>
                <w:szCs w:val="22"/>
              </w:rPr>
              <w:t>1</w:t>
            </w:r>
          </w:p>
        </w:tc>
        <w:tc>
          <w:tcPr>
            <w:tcW w:w="1976" w:type="dxa"/>
          </w:tcPr>
          <w:p w14:paraId="7DF23695" w14:textId="77777777" w:rsidR="00BF0763" w:rsidRDefault="00BF0763" w:rsidP="003917B8">
            <w:pPr>
              <w:pStyle w:val="Prrafodelista"/>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5024F8D9" w14:textId="363F5434" w:rsidR="00BF0763" w:rsidRDefault="00BF0763" w:rsidP="003917B8">
            <w:pPr>
              <w:pStyle w:val="Prrafodelista"/>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w:t>
            </w:r>
            <w:r w:rsidR="00CE346A">
              <w:rPr>
                <w:rFonts w:ascii="Garamond" w:hAnsi="Garamond"/>
                <w:sz w:val="22"/>
                <w:szCs w:val="22"/>
              </w:rPr>
              <w:t>consultant</w:t>
            </w:r>
            <w:r w:rsidRPr="009C2C33">
              <w:rPr>
                <w:rFonts w:ascii="Garamond" w:hAnsi="Garamond"/>
                <w:sz w:val="22"/>
                <w:szCs w:val="22"/>
              </w:rPr>
              <w:t xml:space="preserve">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shd w:val="clear" w:color="auto" w:fill="FFFFFF" w:themeFill="background1"/>
          </w:tcPr>
          <w:p w14:paraId="356B8D73" w14:textId="77777777" w:rsidR="00BF0763" w:rsidRDefault="00BF0763" w:rsidP="007F53C9">
            <w:pPr>
              <w:pStyle w:val="Prrafodelista"/>
              <w:spacing w:before="0"/>
              <w:ind w:left="0"/>
              <w:jc w:val="left"/>
              <w:rPr>
                <w:rFonts w:ascii="Garamond" w:hAnsi="Garamond"/>
                <w:sz w:val="22"/>
                <w:szCs w:val="22"/>
              </w:rPr>
            </w:pPr>
            <w:r w:rsidRPr="002D731C">
              <w:rPr>
                <w:rFonts w:ascii="Garamond" w:hAnsi="Garamond"/>
                <w:sz w:val="22"/>
                <w:szCs w:val="22"/>
              </w:rPr>
              <w:t xml:space="preserve">No later </w:t>
            </w:r>
            <w:r w:rsidRPr="00D1352C">
              <w:rPr>
                <w:rFonts w:ascii="Garamond" w:hAnsi="Garamond"/>
                <w:sz w:val="22"/>
                <w:szCs w:val="22"/>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p>
        </w:tc>
        <w:tc>
          <w:tcPr>
            <w:tcW w:w="2430" w:type="dxa"/>
          </w:tcPr>
          <w:p w14:paraId="7A1E4ED7" w14:textId="2118E12D" w:rsidR="00BF0763" w:rsidRDefault="00BF0763" w:rsidP="003917B8">
            <w:pPr>
              <w:pStyle w:val="Prrafodelista"/>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w:t>
            </w:r>
            <w:r w:rsidR="00CE346A">
              <w:rPr>
                <w:rFonts w:ascii="Garamond" w:hAnsi="Garamond"/>
                <w:sz w:val="22"/>
                <w:szCs w:val="22"/>
              </w:rPr>
              <w:t>consultant s</w:t>
            </w:r>
            <w:r w:rsidRPr="002D731C">
              <w:rPr>
                <w:rFonts w:ascii="Garamond" w:hAnsi="Garamond"/>
                <w:sz w:val="22"/>
                <w:szCs w:val="22"/>
              </w:rPr>
              <w:t xml:space="preserve">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05E86349" w14:textId="77777777" w:rsidTr="00D1352C">
        <w:tc>
          <w:tcPr>
            <w:tcW w:w="364" w:type="dxa"/>
          </w:tcPr>
          <w:p w14:paraId="20602AAD" w14:textId="77777777" w:rsidR="00BF0763" w:rsidRPr="009C2C33" w:rsidRDefault="00BF0763" w:rsidP="003917B8">
            <w:pPr>
              <w:pStyle w:val="Prrafodelista"/>
              <w:spacing w:before="0"/>
              <w:ind w:left="0"/>
              <w:jc w:val="left"/>
              <w:rPr>
                <w:rFonts w:ascii="Garamond" w:hAnsi="Garamond"/>
                <w:b/>
                <w:sz w:val="22"/>
                <w:szCs w:val="22"/>
              </w:rPr>
            </w:pPr>
            <w:r>
              <w:rPr>
                <w:rFonts w:ascii="Garamond" w:hAnsi="Garamond"/>
                <w:b/>
                <w:sz w:val="22"/>
                <w:szCs w:val="22"/>
              </w:rPr>
              <w:t>2</w:t>
            </w:r>
          </w:p>
        </w:tc>
        <w:tc>
          <w:tcPr>
            <w:tcW w:w="1976" w:type="dxa"/>
          </w:tcPr>
          <w:p w14:paraId="2452053E" w14:textId="77777777" w:rsidR="00BF0763" w:rsidRDefault="00BF0763" w:rsidP="003917B8">
            <w:pPr>
              <w:pStyle w:val="Prrafodelista"/>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99FDF8E" w14:textId="77777777" w:rsidR="00BF0763" w:rsidRDefault="00BF0763" w:rsidP="003917B8">
            <w:pPr>
              <w:pStyle w:val="Prrafodelista"/>
              <w:spacing w:before="0"/>
              <w:ind w:left="0"/>
              <w:jc w:val="left"/>
              <w:rPr>
                <w:rFonts w:ascii="Garamond" w:hAnsi="Garamond"/>
                <w:sz w:val="22"/>
                <w:szCs w:val="22"/>
              </w:rPr>
            </w:pPr>
            <w:r w:rsidRPr="002D731C">
              <w:rPr>
                <w:rFonts w:ascii="Garamond" w:hAnsi="Garamond"/>
                <w:sz w:val="22"/>
                <w:szCs w:val="22"/>
              </w:rPr>
              <w:t>Initial Findings</w:t>
            </w:r>
          </w:p>
        </w:tc>
        <w:tc>
          <w:tcPr>
            <w:tcW w:w="2070" w:type="dxa"/>
            <w:shd w:val="clear" w:color="auto" w:fill="FFFFFF" w:themeFill="background1"/>
          </w:tcPr>
          <w:p w14:paraId="05504818" w14:textId="77777777" w:rsidR="00BF0763" w:rsidRDefault="00BF0763" w:rsidP="007F53C9">
            <w:pPr>
              <w:pStyle w:val="Prrafodelista"/>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p>
        </w:tc>
        <w:tc>
          <w:tcPr>
            <w:tcW w:w="2430" w:type="dxa"/>
          </w:tcPr>
          <w:p w14:paraId="73EA7DC8" w14:textId="07BF62C1" w:rsidR="00BF0763" w:rsidRDefault="00BF0763" w:rsidP="003917B8">
            <w:pPr>
              <w:pStyle w:val="Prrafodelista"/>
              <w:spacing w:before="0"/>
              <w:ind w:left="0"/>
              <w:jc w:val="left"/>
              <w:rPr>
                <w:rFonts w:ascii="Garamond" w:hAnsi="Garamond"/>
                <w:sz w:val="22"/>
                <w:szCs w:val="22"/>
              </w:rPr>
            </w:pPr>
            <w:r>
              <w:rPr>
                <w:rFonts w:ascii="Garamond" w:hAnsi="Garamond"/>
                <w:sz w:val="22"/>
                <w:szCs w:val="22"/>
              </w:rPr>
              <w:t xml:space="preserve">MTR </w:t>
            </w:r>
            <w:r w:rsidR="00CE346A">
              <w:rPr>
                <w:rFonts w:ascii="Garamond" w:hAnsi="Garamond"/>
                <w:sz w:val="22"/>
                <w:szCs w:val="22"/>
              </w:rPr>
              <w:t>consultant</w:t>
            </w:r>
            <w:r>
              <w:rPr>
                <w:rFonts w:ascii="Garamond" w:hAnsi="Garamond"/>
                <w:sz w:val="22"/>
                <w:szCs w:val="22"/>
              </w:rPr>
              <w:t xml:space="preserve">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69AA1F7A" w14:textId="77777777" w:rsidTr="00D1352C">
        <w:tc>
          <w:tcPr>
            <w:tcW w:w="364" w:type="dxa"/>
          </w:tcPr>
          <w:p w14:paraId="3F35A449" w14:textId="77777777" w:rsidR="00BF0763" w:rsidRPr="009C2C33" w:rsidRDefault="00BF0763" w:rsidP="003917B8">
            <w:pPr>
              <w:pStyle w:val="Prrafodelista"/>
              <w:spacing w:before="0"/>
              <w:ind w:left="0"/>
              <w:jc w:val="left"/>
              <w:rPr>
                <w:rFonts w:ascii="Garamond" w:hAnsi="Garamond"/>
                <w:b/>
                <w:sz w:val="22"/>
                <w:szCs w:val="22"/>
              </w:rPr>
            </w:pPr>
            <w:r>
              <w:rPr>
                <w:rFonts w:ascii="Garamond" w:hAnsi="Garamond"/>
                <w:b/>
                <w:sz w:val="22"/>
                <w:szCs w:val="22"/>
              </w:rPr>
              <w:t>3</w:t>
            </w:r>
          </w:p>
        </w:tc>
        <w:tc>
          <w:tcPr>
            <w:tcW w:w="1976" w:type="dxa"/>
          </w:tcPr>
          <w:p w14:paraId="07EC6A47" w14:textId="77777777" w:rsidR="00BF0763" w:rsidRDefault="00BF0763" w:rsidP="003917B8">
            <w:pPr>
              <w:pStyle w:val="Prrafodelista"/>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13B5CC89" w14:textId="77777777" w:rsidR="00BF0763" w:rsidRDefault="00BF0763" w:rsidP="003917B8">
            <w:pPr>
              <w:pStyle w:val="Prrafodelista"/>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w:t>
            </w:r>
            <w:r>
              <w:rPr>
                <w:rFonts w:ascii="Garamond" w:hAnsi="Garamond"/>
                <w:sz w:val="22"/>
                <w:szCs w:val="22"/>
              </w:rPr>
              <w:lastRenderedPageBreak/>
              <w:t xml:space="preserve">outlined in </w:t>
            </w:r>
            <w:r w:rsidRPr="00014537">
              <w:rPr>
                <w:rFonts w:ascii="Garamond" w:hAnsi="Garamond"/>
                <w:sz w:val="22"/>
                <w:szCs w:val="22"/>
              </w:rPr>
              <w:t>Annex B) with annexes</w:t>
            </w:r>
          </w:p>
        </w:tc>
        <w:tc>
          <w:tcPr>
            <w:tcW w:w="2070" w:type="dxa"/>
            <w:shd w:val="clear" w:color="auto" w:fill="FFFFFF" w:themeFill="background1"/>
          </w:tcPr>
          <w:p w14:paraId="407453B9" w14:textId="77777777" w:rsidR="00BF0763" w:rsidRDefault="00BF0763" w:rsidP="007F53C9">
            <w:pPr>
              <w:pStyle w:val="Prrafodelista"/>
              <w:spacing w:before="0"/>
              <w:ind w:left="0"/>
              <w:jc w:val="left"/>
              <w:rPr>
                <w:rFonts w:ascii="Garamond" w:hAnsi="Garamond"/>
                <w:sz w:val="22"/>
                <w:szCs w:val="22"/>
              </w:rPr>
            </w:pPr>
            <w:r w:rsidRPr="00D1352C">
              <w:rPr>
                <w:rFonts w:ascii="Garamond" w:hAnsi="Garamond"/>
                <w:sz w:val="22"/>
                <w:szCs w:val="22"/>
              </w:rPr>
              <w:lastRenderedPageBreak/>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p>
        </w:tc>
        <w:tc>
          <w:tcPr>
            <w:tcW w:w="2430" w:type="dxa"/>
          </w:tcPr>
          <w:p w14:paraId="49BCC3A3" w14:textId="77777777" w:rsidR="00BF0763" w:rsidRDefault="00BF0763" w:rsidP="003917B8">
            <w:pPr>
              <w:pStyle w:val="Prrafodelista"/>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 xml:space="preserve">RTA, </w:t>
            </w:r>
            <w:r w:rsidRPr="00346C3B">
              <w:rPr>
                <w:rFonts w:ascii="Garamond" w:hAnsi="Garamond"/>
                <w:sz w:val="22"/>
                <w:szCs w:val="22"/>
              </w:rPr>
              <w:lastRenderedPageBreak/>
              <w:t>Project Coordinating Unit, GEF OFP</w:t>
            </w:r>
          </w:p>
        </w:tc>
      </w:tr>
      <w:tr w:rsidR="00BF0763" w14:paraId="1DB15A5E" w14:textId="77777777" w:rsidTr="00D1352C">
        <w:tc>
          <w:tcPr>
            <w:tcW w:w="364" w:type="dxa"/>
          </w:tcPr>
          <w:p w14:paraId="3E866E4D" w14:textId="77777777" w:rsidR="00BF0763" w:rsidRPr="009C2C33" w:rsidRDefault="00BF0763" w:rsidP="003917B8">
            <w:pPr>
              <w:pStyle w:val="Prrafodelista"/>
              <w:spacing w:before="0"/>
              <w:ind w:left="0"/>
              <w:jc w:val="left"/>
              <w:rPr>
                <w:rFonts w:ascii="Garamond" w:hAnsi="Garamond"/>
                <w:b/>
                <w:sz w:val="22"/>
                <w:szCs w:val="22"/>
              </w:rPr>
            </w:pPr>
            <w:r>
              <w:rPr>
                <w:rFonts w:ascii="Garamond" w:hAnsi="Garamond"/>
                <w:b/>
                <w:sz w:val="22"/>
                <w:szCs w:val="22"/>
              </w:rPr>
              <w:lastRenderedPageBreak/>
              <w:t>4</w:t>
            </w:r>
          </w:p>
        </w:tc>
        <w:tc>
          <w:tcPr>
            <w:tcW w:w="1976" w:type="dxa"/>
          </w:tcPr>
          <w:p w14:paraId="464257CA" w14:textId="77777777" w:rsidR="00BF0763" w:rsidRDefault="00BF0763" w:rsidP="003917B8">
            <w:pPr>
              <w:pStyle w:val="Prrafodelista"/>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7A2EB5B9" w14:textId="77777777" w:rsidR="00BF0763" w:rsidRDefault="00BF0763" w:rsidP="003917B8">
            <w:pPr>
              <w:pStyle w:val="Prrafodelista"/>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shd w:val="clear" w:color="auto" w:fill="FFFFFF" w:themeFill="background1"/>
          </w:tcPr>
          <w:p w14:paraId="6CFE7623" w14:textId="77777777" w:rsidR="00BF0763" w:rsidRDefault="00BF0763" w:rsidP="007F53C9">
            <w:pPr>
              <w:pStyle w:val="Prrafodelista"/>
              <w:spacing w:before="0"/>
              <w:ind w:left="0"/>
              <w:jc w:val="left"/>
              <w:rPr>
                <w:rFonts w:ascii="Garamond" w:hAnsi="Garamond"/>
                <w:sz w:val="22"/>
                <w:szCs w:val="22"/>
              </w:rPr>
            </w:pPr>
            <w:r w:rsidRPr="00D1352C">
              <w:rPr>
                <w:rFonts w:ascii="Garamond" w:hAnsi="Garamond"/>
                <w:sz w:val="22"/>
                <w:szCs w:val="22"/>
              </w:rPr>
              <w:t>Within 1 week</w:t>
            </w:r>
            <w:r w:rsidRPr="002D731C">
              <w:rPr>
                <w:rFonts w:ascii="Garamond" w:hAnsi="Garamond"/>
                <w:sz w:val="22"/>
                <w:szCs w:val="22"/>
              </w:rPr>
              <w:t xml:space="preserve"> of receiving UNDP comments on draft</w:t>
            </w:r>
          </w:p>
        </w:tc>
        <w:tc>
          <w:tcPr>
            <w:tcW w:w="2430" w:type="dxa"/>
          </w:tcPr>
          <w:p w14:paraId="79070756" w14:textId="77777777" w:rsidR="00BF0763" w:rsidRDefault="00BF0763" w:rsidP="003917B8">
            <w:pPr>
              <w:pStyle w:val="Prrafodelista"/>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37E47FD2"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5408738E" w14:textId="77777777" w:rsidR="00BF0763" w:rsidRPr="00BE7FD4" w:rsidRDefault="00BF0763" w:rsidP="004A4E9F">
      <w:pPr>
        <w:pStyle w:val="Textoindependiente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6345E760" w14:textId="77777777" w:rsidR="00BF0763" w:rsidRDefault="00BF0763" w:rsidP="00BF0763">
      <w:pPr>
        <w:pStyle w:val="Textoindependiente3"/>
        <w:spacing w:before="0" w:after="0"/>
        <w:rPr>
          <w:rFonts w:ascii="Garamond" w:hAnsi="Garamond"/>
          <w:sz w:val="22"/>
          <w:szCs w:val="22"/>
        </w:rPr>
      </w:pPr>
    </w:p>
    <w:p w14:paraId="0BCA3115" w14:textId="724FBECC" w:rsidR="00BF0763" w:rsidRPr="00F10306" w:rsidRDefault="00BF0763" w:rsidP="00BF0763">
      <w:pPr>
        <w:pStyle w:val="Textoindependiente3"/>
        <w:shd w:val="clear" w:color="auto" w:fill="FFFFFF" w:themeFill="background1"/>
        <w:spacing w:before="0" w:after="0"/>
        <w:rPr>
          <w:rFonts w:ascii="Garamond" w:hAnsi="Garamond"/>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w:t>
      </w:r>
      <w:r w:rsidRPr="00F10306">
        <w:rPr>
          <w:rFonts w:ascii="Garamond" w:hAnsi="Garamond"/>
          <w:sz w:val="22"/>
          <w:szCs w:val="22"/>
        </w:rPr>
        <w:t>managing this MTR resides with the Commissioning Unit. The Commissioning Unit for this project’s MTR is UNDP Country Office</w:t>
      </w:r>
      <w:r w:rsidR="001A335A" w:rsidRPr="00F10306">
        <w:rPr>
          <w:rFonts w:ascii="Garamond" w:hAnsi="Garamond"/>
          <w:sz w:val="22"/>
          <w:szCs w:val="22"/>
        </w:rPr>
        <w:t xml:space="preserve"> in </w:t>
      </w:r>
      <w:r w:rsidR="00CE346A">
        <w:rPr>
          <w:rFonts w:ascii="Garamond" w:hAnsi="Garamond"/>
          <w:sz w:val="22"/>
          <w:szCs w:val="22"/>
        </w:rPr>
        <w:t xml:space="preserve">Argentina </w:t>
      </w:r>
      <w:r w:rsidR="00F10306" w:rsidRPr="00F10306">
        <w:rPr>
          <w:rFonts w:ascii="Garamond" w:hAnsi="Garamond"/>
          <w:sz w:val="22"/>
          <w:szCs w:val="22"/>
        </w:rPr>
        <w:t xml:space="preserve">in close collaboration with </w:t>
      </w:r>
      <w:proofErr w:type="spellStart"/>
      <w:r w:rsidR="00CE346A">
        <w:rPr>
          <w:rFonts w:ascii="Garamond" w:hAnsi="Garamond"/>
          <w:sz w:val="22"/>
          <w:szCs w:val="22"/>
        </w:rPr>
        <w:t>SAyDS</w:t>
      </w:r>
      <w:proofErr w:type="spellEnd"/>
      <w:r w:rsidR="00CE346A">
        <w:rPr>
          <w:rFonts w:ascii="Garamond" w:hAnsi="Garamond"/>
          <w:sz w:val="22"/>
          <w:szCs w:val="22"/>
        </w:rPr>
        <w:t xml:space="preserve">- </w:t>
      </w:r>
      <w:r w:rsidR="00184512">
        <w:rPr>
          <w:rFonts w:ascii="Garamond" w:hAnsi="Garamond"/>
          <w:sz w:val="22"/>
          <w:szCs w:val="22"/>
        </w:rPr>
        <w:t>Urban Solid Waste Direction- Monitoring and Control Secretary</w:t>
      </w:r>
      <w:r w:rsidRPr="00F10306">
        <w:rPr>
          <w:rFonts w:ascii="Garamond" w:hAnsi="Garamond"/>
          <w:sz w:val="22"/>
          <w:szCs w:val="22"/>
        </w:rPr>
        <w:t xml:space="preserve">. </w:t>
      </w:r>
    </w:p>
    <w:p w14:paraId="66C9B8FC" w14:textId="77777777" w:rsidR="00BF0763" w:rsidRDefault="00BF0763" w:rsidP="00BF0763">
      <w:pPr>
        <w:pStyle w:val="Textoindependiente3"/>
        <w:spacing w:before="0" w:after="0"/>
        <w:rPr>
          <w:rFonts w:ascii="Garamond" w:hAnsi="Garamond"/>
          <w:sz w:val="22"/>
          <w:szCs w:val="22"/>
        </w:rPr>
      </w:pPr>
    </w:p>
    <w:p w14:paraId="63CA8AE3" w14:textId="3C499B1C" w:rsidR="00BF0763" w:rsidRDefault="00BF0763" w:rsidP="00BF0763">
      <w:pPr>
        <w:pStyle w:val="Textoindependiente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 and ensure the timely provision of per diems and </w:t>
      </w:r>
      <w:r w:rsidRPr="00F10306">
        <w:rPr>
          <w:rFonts w:ascii="Garamond" w:hAnsi="Garamond"/>
          <w:sz w:val="22"/>
          <w:szCs w:val="22"/>
        </w:rPr>
        <w:t xml:space="preserve">travel arrangements within the country for the MTR </w:t>
      </w:r>
      <w:r w:rsidR="00921C60">
        <w:rPr>
          <w:rFonts w:ascii="Garamond" w:hAnsi="Garamond"/>
          <w:sz w:val="22"/>
          <w:szCs w:val="22"/>
        </w:rPr>
        <w:t>consultant</w:t>
      </w:r>
      <w:r w:rsidRPr="00F10306">
        <w:rPr>
          <w:rFonts w:ascii="Garamond" w:hAnsi="Garamond"/>
          <w:sz w:val="22"/>
          <w:szCs w:val="22"/>
        </w:rPr>
        <w:t xml:space="preserve">. The Project Team will be responsible for liaising with the MTR </w:t>
      </w:r>
      <w:r w:rsidR="007A7AC5">
        <w:rPr>
          <w:rFonts w:ascii="Garamond" w:hAnsi="Garamond"/>
          <w:sz w:val="22"/>
          <w:szCs w:val="22"/>
        </w:rPr>
        <w:t>consultant</w:t>
      </w:r>
      <w:r w:rsidRPr="00F10306">
        <w:rPr>
          <w:rFonts w:ascii="Garamond" w:hAnsi="Garamond"/>
          <w:sz w:val="22"/>
          <w:szCs w:val="22"/>
        </w:rPr>
        <w:t xml:space="preserve"> to provide all relevant documents</w:t>
      </w:r>
      <w:r w:rsidRPr="002D731C">
        <w:rPr>
          <w:rFonts w:ascii="Garamond" w:hAnsi="Garamond"/>
          <w:sz w:val="22"/>
          <w:szCs w:val="22"/>
        </w:rPr>
        <w:t xml:space="preserve">, set up stakeholder interviews, and arrange field visits. </w:t>
      </w:r>
    </w:p>
    <w:p w14:paraId="6C3F2385" w14:textId="77777777" w:rsidR="00BF0763" w:rsidRPr="001042F4" w:rsidRDefault="00BF0763" w:rsidP="00BF0763">
      <w:pPr>
        <w:pStyle w:val="Prrafodelista"/>
        <w:spacing w:before="0"/>
        <w:ind w:left="360"/>
        <w:rPr>
          <w:rFonts w:ascii="Garamond" w:hAnsi="Garamond"/>
          <w:bCs/>
          <w:sz w:val="14"/>
          <w:szCs w:val="14"/>
        </w:rPr>
      </w:pPr>
    </w:p>
    <w:p w14:paraId="4D428539" w14:textId="33A73D6A" w:rsidR="00BF0763" w:rsidRPr="00BE7FD4" w:rsidRDefault="00BF0763" w:rsidP="004A4E9F">
      <w:pPr>
        <w:pStyle w:val="Prrafodelista"/>
        <w:numPr>
          <w:ilvl w:val="0"/>
          <w:numId w:val="19"/>
        </w:numPr>
        <w:spacing w:before="0"/>
        <w:rPr>
          <w:rFonts w:ascii="Garamond" w:hAnsi="Garamond"/>
          <w:b/>
          <w:bCs/>
          <w:sz w:val="28"/>
          <w:szCs w:val="28"/>
        </w:rPr>
      </w:pPr>
      <w:r w:rsidRPr="00BE7FD4">
        <w:rPr>
          <w:rFonts w:ascii="Garamond" w:hAnsi="Garamond"/>
          <w:b/>
          <w:bCs/>
          <w:sz w:val="28"/>
          <w:szCs w:val="28"/>
        </w:rPr>
        <w:t xml:space="preserve"> </w:t>
      </w:r>
      <w:r w:rsidR="00DC43F3">
        <w:rPr>
          <w:rFonts w:ascii="Garamond" w:hAnsi="Garamond"/>
          <w:b/>
          <w:bCs/>
          <w:sz w:val="28"/>
          <w:szCs w:val="28"/>
        </w:rPr>
        <w:t>CONSULTANT PROFILE</w:t>
      </w:r>
    </w:p>
    <w:p w14:paraId="0BFDC8BB" w14:textId="77777777" w:rsidR="00BF0763" w:rsidRPr="001042F4" w:rsidRDefault="00BF0763" w:rsidP="00BF0763">
      <w:pPr>
        <w:spacing w:after="0" w:line="240" w:lineRule="auto"/>
        <w:jc w:val="both"/>
        <w:rPr>
          <w:rFonts w:ascii="Garamond" w:hAnsi="Garamond"/>
          <w:sz w:val="14"/>
          <w:szCs w:val="14"/>
        </w:rPr>
      </w:pPr>
    </w:p>
    <w:p w14:paraId="220A6C6D" w14:textId="75B4C99B" w:rsidR="00BF0763" w:rsidRPr="005D0221" w:rsidRDefault="00DC43F3" w:rsidP="000C0FB5">
      <w:pPr>
        <w:shd w:val="clear" w:color="auto" w:fill="FFFFFF" w:themeFill="background1"/>
        <w:spacing w:after="0" w:line="240" w:lineRule="auto"/>
        <w:jc w:val="both"/>
        <w:rPr>
          <w:rFonts w:ascii="Garamond" w:hAnsi="Garamond"/>
        </w:rPr>
      </w:pPr>
      <w:r>
        <w:rPr>
          <w:rFonts w:ascii="Garamond" w:hAnsi="Garamond"/>
        </w:rPr>
        <w:t>O</w:t>
      </w:r>
      <w:r w:rsidR="001A335A">
        <w:rPr>
          <w:rFonts w:ascii="Garamond" w:hAnsi="Garamond"/>
        </w:rPr>
        <w:t>ne</w:t>
      </w:r>
      <w:r w:rsidR="00BF0763" w:rsidRPr="000C0FB5">
        <w:rPr>
          <w:rFonts w:ascii="Garamond" w:hAnsi="Garamond"/>
        </w:rPr>
        <w:t xml:space="preserve"> independent consultant</w:t>
      </w:r>
      <w:r w:rsidR="001A335A">
        <w:rPr>
          <w:rFonts w:ascii="Garamond" w:hAnsi="Garamond"/>
        </w:rPr>
        <w:t xml:space="preserve"> will conduct the MTR </w:t>
      </w:r>
      <w:r w:rsidR="00BF0763" w:rsidRPr="000C0FB5">
        <w:rPr>
          <w:rFonts w:ascii="Garamond" w:hAnsi="Garamond"/>
        </w:rPr>
        <w:t>with experience and expos</w:t>
      </w:r>
      <w:r w:rsidR="001A335A" w:rsidRPr="000C0FB5">
        <w:rPr>
          <w:rFonts w:ascii="Garamond" w:hAnsi="Garamond"/>
        </w:rPr>
        <w:t>ure to projects and evaluations</w:t>
      </w:r>
      <w:r w:rsidR="00BF0763" w:rsidRPr="005D0221">
        <w:rPr>
          <w:rFonts w:ascii="Garamond" w:hAnsi="Garamond"/>
        </w:rPr>
        <w:t>.  The consultant should not have</w:t>
      </w:r>
      <w:r w:rsidR="00BF0763">
        <w:rPr>
          <w:rFonts w:ascii="Garamond" w:hAnsi="Garamond"/>
        </w:rPr>
        <w:t xml:space="preserve"> a</w:t>
      </w:r>
      <w:r w:rsidR="00BF0763" w:rsidRPr="005D0221">
        <w:rPr>
          <w:rFonts w:ascii="Garamond" w:hAnsi="Garamond"/>
        </w:rPr>
        <w:t xml:space="preserve"> conflict of interest with project’s related activities.  </w:t>
      </w:r>
    </w:p>
    <w:p w14:paraId="04EE57CF" w14:textId="77777777" w:rsidR="00BF0763" w:rsidRDefault="00BF0763" w:rsidP="000C0FB5">
      <w:pPr>
        <w:shd w:val="clear" w:color="auto" w:fill="FFFFFF" w:themeFill="background1"/>
        <w:spacing w:after="0" w:line="240" w:lineRule="auto"/>
        <w:jc w:val="both"/>
        <w:rPr>
          <w:rFonts w:ascii="Garamond" w:hAnsi="Garamond"/>
        </w:rPr>
      </w:pPr>
    </w:p>
    <w:p w14:paraId="46AB5B3E" w14:textId="31B42AB8" w:rsidR="00BF0763" w:rsidRPr="002D731C" w:rsidRDefault="00BF0763" w:rsidP="000C0FB5">
      <w:pPr>
        <w:shd w:val="clear" w:color="auto" w:fill="FFFFFF" w:themeFill="background1"/>
        <w:spacing w:line="240" w:lineRule="auto"/>
        <w:jc w:val="both"/>
        <w:rPr>
          <w:rFonts w:ascii="Garamond" w:hAnsi="Garamond"/>
        </w:rPr>
      </w:pPr>
      <w:r w:rsidRPr="002D731C">
        <w:rPr>
          <w:rFonts w:ascii="Garamond" w:hAnsi="Garamond"/>
        </w:rPr>
        <w:t xml:space="preserve">The selection of </w:t>
      </w:r>
      <w:r w:rsidR="00DC43F3">
        <w:rPr>
          <w:rFonts w:ascii="Garamond" w:hAnsi="Garamond"/>
        </w:rPr>
        <w:t xml:space="preserve">the </w:t>
      </w:r>
      <w:r w:rsidRPr="002D731C">
        <w:rPr>
          <w:rFonts w:ascii="Garamond" w:hAnsi="Garamond"/>
        </w:rPr>
        <w:t>consultant will be aimed at maximizing the qualities in the following areas:</w:t>
      </w:r>
      <w:r>
        <w:rPr>
          <w:rFonts w:ascii="Garamond" w:hAnsi="Garamond"/>
        </w:rPr>
        <w:t xml:space="preserve"> </w:t>
      </w:r>
    </w:p>
    <w:p w14:paraId="7F47F47F" w14:textId="77777777" w:rsidR="0058488F" w:rsidRPr="00820C0C" w:rsidRDefault="0058488F" w:rsidP="0058488F">
      <w:pPr>
        <w:pStyle w:val="Prrafodelista"/>
        <w:numPr>
          <w:ilvl w:val="0"/>
          <w:numId w:val="11"/>
        </w:numPr>
        <w:spacing w:before="0"/>
        <w:rPr>
          <w:rFonts w:ascii="Garamond" w:hAnsi="Garamond"/>
          <w:sz w:val="22"/>
          <w:szCs w:val="22"/>
        </w:rPr>
      </w:pPr>
      <w:r w:rsidRPr="00820C0C">
        <w:rPr>
          <w:rFonts w:ascii="Garamond" w:hAnsi="Garamond"/>
          <w:sz w:val="22"/>
          <w:szCs w:val="22"/>
        </w:rPr>
        <w:t xml:space="preserve">A Master’s degree in </w:t>
      </w:r>
      <w:r>
        <w:rPr>
          <w:rFonts w:ascii="Garamond" w:hAnsi="Garamond"/>
          <w:sz w:val="22"/>
          <w:szCs w:val="22"/>
        </w:rPr>
        <w:t>related Climate Change/Energy areas</w:t>
      </w:r>
      <w:r w:rsidRPr="00820C0C">
        <w:rPr>
          <w:rFonts w:ascii="Garamond" w:hAnsi="Garamond"/>
          <w:sz w:val="22"/>
          <w:szCs w:val="22"/>
        </w:rPr>
        <w:t>, or other closely related field.</w:t>
      </w:r>
    </w:p>
    <w:p w14:paraId="1FFABFAA" w14:textId="52D3C396" w:rsidR="00BF0763" w:rsidRPr="002D731C" w:rsidRDefault="00BF0763" w:rsidP="004A4E9F">
      <w:pPr>
        <w:pStyle w:val="Prrafodelista"/>
        <w:numPr>
          <w:ilvl w:val="0"/>
          <w:numId w:val="11"/>
        </w:numPr>
        <w:spacing w:before="0"/>
        <w:rPr>
          <w:rFonts w:ascii="Garamond" w:hAnsi="Garamond"/>
          <w:sz w:val="22"/>
          <w:szCs w:val="22"/>
        </w:rPr>
      </w:pPr>
      <w:r w:rsidRPr="0058488F">
        <w:rPr>
          <w:rFonts w:ascii="Garamond" w:hAnsi="Garamond"/>
        </w:rPr>
        <w:t xml:space="preserve">Recent experience with result-based management evaluation methodologies; </w:t>
      </w:r>
      <w:r w:rsidR="0058488F" w:rsidRPr="0058488F">
        <w:rPr>
          <w:rFonts w:ascii="Garamond" w:hAnsi="Garamond"/>
        </w:rPr>
        <w:t xml:space="preserve">Experience working with the GEF or GEF-evaluations is an asset, </w:t>
      </w:r>
      <w:r w:rsidRPr="002D731C">
        <w:rPr>
          <w:rFonts w:ascii="Garamond" w:hAnsi="Garamond"/>
          <w:sz w:val="22"/>
          <w:szCs w:val="22"/>
        </w:rPr>
        <w:t>Experience applying SMART indicators and reconstructing or validating baseline scenarios;</w:t>
      </w:r>
    </w:p>
    <w:p w14:paraId="7197AA75" w14:textId="43C45209" w:rsidR="00BF0763" w:rsidRPr="002D731C" w:rsidRDefault="00BF0763" w:rsidP="004A4E9F">
      <w:pPr>
        <w:pStyle w:val="Prrafodelista"/>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sidR="0026319B">
        <w:rPr>
          <w:rFonts w:ascii="Garamond" w:hAnsi="Garamond"/>
          <w:sz w:val="22"/>
          <w:szCs w:val="22"/>
        </w:rPr>
        <w:t>Climate Change/Energy</w:t>
      </w:r>
      <w:r w:rsidR="00963C1C">
        <w:rPr>
          <w:rFonts w:ascii="Garamond" w:hAnsi="Garamond"/>
          <w:sz w:val="22"/>
          <w:szCs w:val="22"/>
        </w:rPr>
        <w:t>/Waste management</w:t>
      </w:r>
      <w:r w:rsidRPr="002D731C">
        <w:rPr>
          <w:rFonts w:ascii="Garamond" w:hAnsi="Garamond"/>
          <w:sz w:val="22"/>
          <w:szCs w:val="22"/>
        </w:rPr>
        <w:t>;</w:t>
      </w:r>
    </w:p>
    <w:p w14:paraId="7859DDB6" w14:textId="77777777"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26319B">
        <w:rPr>
          <w:rFonts w:ascii="Garamond" w:hAnsi="Garamond"/>
        </w:rPr>
        <w:t>Latin America</w:t>
      </w:r>
      <w:r>
        <w:rPr>
          <w:rFonts w:ascii="Garamond" w:hAnsi="Garamond"/>
        </w:rPr>
        <w:t>;</w:t>
      </w:r>
    </w:p>
    <w:p w14:paraId="2A9B93BE" w14:textId="77777777" w:rsidR="00BF0763" w:rsidRPr="00BF76BF" w:rsidRDefault="00BF0763" w:rsidP="00BF76BF">
      <w:pPr>
        <w:pStyle w:val="Prrafodelista"/>
        <w:numPr>
          <w:ilvl w:val="0"/>
          <w:numId w:val="11"/>
        </w:numPr>
        <w:shd w:val="clear" w:color="auto" w:fill="FFFFFF" w:themeFill="background1"/>
        <w:spacing w:before="0"/>
        <w:rPr>
          <w:rFonts w:ascii="Garamond" w:hAnsi="Garamond"/>
          <w:sz w:val="22"/>
          <w:szCs w:val="22"/>
        </w:rPr>
      </w:pPr>
      <w:r w:rsidRPr="002D731C">
        <w:rPr>
          <w:rFonts w:ascii="Garamond" w:hAnsi="Garamond"/>
          <w:sz w:val="22"/>
          <w:szCs w:val="22"/>
        </w:rPr>
        <w:t xml:space="preserve">Work experience in relevant technical areas </w:t>
      </w:r>
      <w:r w:rsidRPr="00BF76BF">
        <w:rPr>
          <w:rFonts w:ascii="Garamond" w:hAnsi="Garamond"/>
          <w:sz w:val="22"/>
          <w:szCs w:val="22"/>
        </w:rPr>
        <w:t>for at least 10 years;</w:t>
      </w:r>
    </w:p>
    <w:p w14:paraId="2D7FA6FB" w14:textId="2103226B" w:rsidR="00BF0763" w:rsidRDefault="00BF0763" w:rsidP="00BF76BF">
      <w:pPr>
        <w:pStyle w:val="Prrafodelista"/>
        <w:numPr>
          <w:ilvl w:val="0"/>
          <w:numId w:val="11"/>
        </w:numPr>
        <w:shd w:val="clear" w:color="auto" w:fill="FFFFFF" w:themeFill="background1"/>
        <w:spacing w:before="0"/>
        <w:rPr>
          <w:rFonts w:ascii="Garamond" w:hAnsi="Garamond"/>
          <w:sz w:val="22"/>
          <w:szCs w:val="22"/>
        </w:rPr>
      </w:pPr>
      <w:r w:rsidRPr="00BF76BF">
        <w:rPr>
          <w:rFonts w:ascii="Garamond" w:hAnsi="Garamond"/>
          <w:sz w:val="22"/>
          <w:szCs w:val="22"/>
        </w:rPr>
        <w:t xml:space="preserve">Demonstrated understanding of issues related to gender and </w:t>
      </w:r>
      <w:r w:rsidR="0026319B" w:rsidRPr="00BF76BF">
        <w:rPr>
          <w:rFonts w:ascii="Garamond" w:hAnsi="Garamond"/>
          <w:sz w:val="22"/>
          <w:szCs w:val="22"/>
        </w:rPr>
        <w:t>Climate</w:t>
      </w:r>
      <w:r w:rsidR="0026319B">
        <w:rPr>
          <w:rFonts w:ascii="Garamond" w:hAnsi="Garamond"/>
          <w:sz w:val="22"/>
          <w:szCs w:val="22"/>
        </w:rPr>
        <w:t xml:space="preserve"> Change</w:t>
      </w:r>
      <w:r w:rsidR="0058488F">
        <w:rPr>
          <w:rFonts w:ascii="Garamond" w:hAnsi="Garamond"/>
          <w:sz w:val="22"/>
          <w:szCs w:val="22"/>
        </w:rPr>
        <w:t xml:space="preserve"> and/</w:t>
      </w:r>
      <w:proofErr w:type="spellStart"/>
      <w:r w:rsidR="0058488F">
        <w:rPr>
          <w:rFonts w:ascii="Garamond" w:hAnsi="Garamond"/>
          <w:sz w:val="22"/>
          <w:szCs w:val="22"/>
        </w:rPr>
        <w:t>orBio</w:t>
      </w:r>
      <w:r w:rsidR="0026319B">
        <w:rPr>
          <w:rFonts w:ascii="Garamond" w:hAnsi="Garamond"/>
          <w:sz w:val="22"/>
          <w:szCs w:val="22"/>
        </w:rPr>
        <w:t>Energy</w:t>
      </w:r>
      <w:proofErr w:type="spellEnd"/>
      <w:r w:rsidR="0026319B">
        <w:rPr>
          <w:rFonts w:ascii="Garamond" w:hAnsi="Garamond"/>
          <w:sz w:val="22"/>
          <w:szCs w:val="22"/>
        </w:rPr>
        <w:t xml:space="preserve"> and</w:t>
      </w:r>
      <w:r>
        <w:rPr>
          <w:rFonts w:ascii="Garamond" w:hAnsi="Garamond"/>
          <w:sz w:val="22"/>
          <w:szCs w:val="22"/>
        </w:rPr>
        <w:t xml:space="preserve"> experience in gender sensitive evaluation and analysis</w:t>
      </w:r>
      <w:r w:rsidR="0026319B">
        <w:rPr>
          <w:rFonts w:ascii="Garamond" w:hAnsi="Garamond"/>
          <w:sz w:val="22"/>
          <w:szCs w:val="22"/>
        </w:rPr>
        <w:t xml:space="preserve"> is an asset</w:t>
      </w:r>
      <w:r>
        <w:rPr>
          <w:rFonts w:ascii="Garamond" w:hAnsi="Garamond"/>
          <w:sz w:val="22"/>
          <w:szCs w:val="22"/>
        </w:rPr>
        <w:t>.</w:t>
      </w:r>
    </w:p>
    <w:p w14:paraId="1535C58D" w14:textId="52FF1A9F" w:rsidR="0026319B" w:rsidRPr="00FE2302" w:rsidRDefault="0026319B" w:rsidP="004A4E9F">
      <w:pPr>
        <w:pStyle w:val="Prrafodelista"/>
        <w:numPr>
          <w:ilvl w:val="0"/>
          <w:numId w:val="11"/>
        </w:numPr>
        <w:spacing w:before="0"/>
        <w:rPr>
          <w:rFonts w:ascii="Garamond" w:hAnsi="Garamond"/>
          <w:sz w:val="22"/>
          <w:szCs w:val="22"/>
        </w:rPr>
      </w:pPr>
      <w:r>
        <w:rPr>
          <w:rFonts w:ascii="Garamond" w:hAnsi="Garamond"/>
          <w:sz w:val="22"/>
          <w:szCs w:val="22"/>
        </w:rPr>
        <w:t xml:space="preserve">Working knowledge in </w:t>
      </w:r>
      <w:r w:rsidR="007A7AC5">
        <w:rPr>
          <w:rFonts w:ascii="Garamond" w:hAnsi="Garamond"/>
          <w:sz w:val="22"/>
          <w:szCs w:val="22"/>
        </w:rPr>
        <w:t>Spanish</w:t>
      </w:r>
      <w:r>
        <w:rPr>
          <w:rFonts w:ascii="Garamond" w:hAnsi="Garamond"/>
          <w:sz w:val="22"/>
          <w:szCs w:val="22"/>
        </w:rPr>
        <w:t>;</w:t>
      </w:r>
    </w:p>
    <w:p w14:paraId="4AE867F2" w14:textId="77777777" w:rsidR="00BF0763" w:rsidRDefault="00752381" w:rsidP="004A4E9F">
      <w:pPr>
        <w:pStyle w:val="Prrafodelista"/>
        <w:numPr>
          <w:ilvl w:val="0"/>
          <w:numId w:val="11"/>
        </w:numPr>
        <w:spacing w:before="0"/>
        <w:rPr>
          <w:rFonts w:ascii="Garamond" w:hAnsi="Garamond"/>
          <w:sz w:val="22"/>
          <w:szCs w:val="22"/>
        </w:rPr>
      </w:pPr>
      <w:r>
        <w:rPr>
          <w:rFonts w:ascii="Garamond" w:hAnsi="Garamond"/>
          <w:sz w:val="22"/>
          <w:szCs w:val="22"/>
        </w:rPr>
        <w:t>English is mandatory</w:t>
      </w:r>
      <w:r w:rsidR="00BF0763" w:rsidRPr="002D731C">
        <w:rPr>
          <w:rFonts w:ascii="Garamond" w:hAnsi="Garamond"/>
          <w:sz w:val="22"/>
          <w:szCs w:val="22"/>
        </w:rPr>
        <w:t>;</w:t>
      </w:r>
    </w:p>
    <w:p w14:paraId="50E891D2" w14:textId="77777777" w:rsidR="00BF0763" w:rsidRDefault="00BF0763" w:rsidP="004A4E9F">
      <w:pPr>
        <w:pStyle w:val="Prrafodelista"/>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p>
    <w:p w14:paraId="75A5762D" w14:textId="77777777" w:rsidR="00BF0763" w:rsidRPr="00CD0EFD" w:rsidRDefault="00BF0763" w:rsidP="00BF0763">
      <w:pPr>
        <w:spacing w:after="0" w:line="240" w:lineRule="auto"/>
        <w:ind w:left="360"/>
        <w:jc w:val="both"/>
        <w:rPr>
          <w:rFonts w:ascii="Garamond" w:hAnsi="Garamond"/>
        </w:rPr>
      </w:pPr>
    </w:p>
    <w:p w14:paraId="67B397E7"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6FD766FC"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3596CB3B"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74FF6FAC"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066C0024"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784E12DB" w14:textId="77777777" w:rsidR="00BF0763" w:rsidRDefault="00BF0763" w:rsidP="00BF0763">
      <w:pPr>
        <w:pStyle w:val="p28"/>
        <w:spacing w:line="240" w:lineRule="auto"/>
        <w:ind w:left="360" w:hanging="360"/>
        <w:jc w:val="both"/>
        <w:rPr>
          <w:rFonts w:ascii="Garamond" w:hAnsi="Garamond"/>
          <w:bCs/>
          <w:sz w:val="22"/>
          <w:szCs w:val="22"/>
        </w:rPr>
      </w:pPr>
    </w:p>
    <w:p w14:paraId="66365B16"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4E513AD3"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lastRenderedPageBreak/>
        <w:t>APPLICATION PROCESS</w:t>
      </w:r>
      <w:r>
        <w:rPr>
          <w:rStyle w:val="Refdenotaalpie"/>
          <w:rFonts w:ascii="Garamond" w:eastAsiaTheme="majorEastAsia" w:hAnsi="Garamond"/>
          <w:b/>
          <w:bCs/>
          <w:sz w:val="28"/>
          <w:szCs w:val="28"/>
        </w:rPr>
        <w:footnoteReference w:id="11"/>
      </w:r>
    </w:p>
    <w:p w14:paraId="1D4A96B5"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184605D"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E71BBFB" w14:textId="77777777" w:rsidR="00BF0763" w:rsidRPr="0008238E" w:rsidRDefault="00BF0763" w:rsidP="00BF0763">
      <w:pPr>
        <w:pStyle w:val="Prrafodelista"/>
        <w:autoSpaceDE w:val="0"/>
        <w:autoSpaceDN w:val="0"/>
        <w:adjustRightInd w:val="0"/>
        <w:spacing w:before="0"/>
        <w:ind w:left="360"/>
        <w:rPr>
          <w:rFonts w:ascii="Garamond" w:hAnsi="Garamond" w:cstheme="minorHAnsi"/>
          <w:sz w:val="22"/>
          <w:szCs w:val="22"/>
        </w:rPr>
      </w:pPr>
    </w:p>
    <w:p w14:paraId="4C45711D" w14:textId="77777777" w:rsidR="00BF0763" w:rsidRPr="00F17AE8" w:rsidRDefault="00BF0763" w:rsidP="004A4E9F">
      <w:pPr>
        <w:pStyle w:val="Prrafodelista"/>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2" w:history="1">
        <w:r w:rsidRPr="00F17AE8">
          <w:rPr>
            <w:rStyle w:val="Hipervnculo"/>
            <w:rFonts w:ascii="Garamond" w:eastAsiaTheme="minorEastAsia" w:hAnsi="Garamond" w:cstheme="minorHAnsi"/>
            <w:sz w:val="22"/>
            <w:szCs w:val="22"/>
          </w:rPr>
          <w:t>template</w:t>
        </w:r>
      </w:hyperlink>
      <w:r w:rsidRPr="00F17AE8">
        <w:rPr>
          <w:rStyle w:val="Refdenotaalpie"/>
          <w:rFonts w:ascii="Garamond" w:eastAsiaTheme="majorEastAsia" w:hAnsi="Garamond" w:cstheme="minorHAnsi"/>
          <w:sz w:val="22"/>
          <w:szCs w:val="22"/>
        </w:rPr>
        <w:footnoteReference w:id="12"/>
      </w:r>
      <w:r w:rsidRPr="00F17AE8">
        <w:rPr>
          <w:rFonts w:ascii="Garamond" w:hAnsi="Garamond" w:cstheme="minorHAnsi"/>
          <w:sz w:val="22"/>
          <w:szCs w:val="22"/>
        </w:rPr>
        <w:t xml:space="preserve"> provided by UNDP;</w:t>
      </w:r>
    </w:p>
    <w:p w14:paraId="1F1132B7" w14:textId="77777777" w:rsidR="00BF0763" w:rsidRPr="00F17AE8" w:rsidRDefault="00BF0763" w:rsidP="004A4E9F">
      <w:pPr>
        <w:pStyle w:val="Prrafodelista"/>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3" w:tgtFrame="_blank" w:history="1">
        <w:r w:rsidRPr="00F17AE8">
          <w:rPr>
            <w:rStyle w:val="Hipervnculo"/>
            <w:rFonts w:ascii="Garamond" w:eastAsiaTheme="minorEastAsia" w:hAnsi="Garamond"/>
            <w:sz w:val="22"/>
            <w:szCs w:val="22"/>
          </w:rPr>
          <w:t>P11 form</w:t>
        </w:r>
      </w:hyperlink>
      <w:r w:rsidRPr="00D9622A">
        <w:rPr>
          <w:rStyle w:val="Refdenotaalpie"/>
          <w:rFonts w:ascii="Garamond" w:eastAsiaTheme="majorEastAsia" w:hAnsi="Garamond"/>
          <w:sz w:val="22"/>
          <w:szCs w:val="22"/>
        </w:rPr>
        <w:footnoteReference w:id="13"/>
      </w:r>
      <w:r w:rsidRPr="00D9622A">
        <w:rPr>
          <w:rStyle w:val="Hipervnculo"/>
          <w:rFonts w:ascii="Garamond" w:eastAsiaTheme="minorEastAsia" w:hAnsi="Garamond"/>
          <w:color w:val="auto"/>
          <w:sz w:val="22"/>
          <w:szCs w:val="22"/>
          <w:u w:val="none"/>
        </w:rPr>
        <w:t>);</w:t>
      </w:r>
    </w:p>
    <w:p w14:paraId="71D34D66" w14:textId="77777777" w:rsidR="00BF0763" w:rsidRPr="00F17AE8" w:rsidRDefault="00BF0763" w:rsidP="004A4E9F">
      <w:pPr>
        <w:pStyle w:val="Prrafodelista"/>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524D47BA" w14:textId="77777777" w:rsidR="00BF0763" w:rsidRDefault="00BF0763" w:rsidP="004A4E9F">
      <w:pPr>
        <w:pStyle w:val="Prrafodelista"/>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proofErr w:type="spellStart"/>
      <w:r>
        <w:rPr>
          <w:rFonts w:ascii="Garamond" w:hAnsi="Garamond"/>
          <w:sz w:val="22"/>
          <w:szCs w:val="22"/>
        </w:rPr>
        <w:t>etc</w:t>
      </w:r>
      <w:proofErr w:type="spellEnd"/>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14" w:history="1">
        <w:r w:rsidRPr="006A767F">
          <w:rPr>
            <w:rStyle w:val="Hipervnculo"/>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79C58634" w14:textId="77777777" w:rsidR="00BF0763" w:rsidRPr="00F17AE8" w:rsidRDefault="00BF0763" w:rsidP="00BF0763">
      <w:pPr>
        <w:pStyle w:val="Prrafodelista"/>
        <w:autoSpaceDE w:val="0"/>
        <w:autoSpaceDN w:val="0"/>
        <w:adjustRightInd w:val="0"/>
        <w:spacing w:before="0"/>
        <w:ind w:left="360"/>
        <w:rPr>
          <w:rStyle w:val="atendertext1"/>
          <w:rFonts w:ascii="Garamond" w:hAnsi="Garamond" w:cstheme="minorHAnsi"/>
          <w:sz w:val="22"/>
          <w:szCs w:val="22"/>
        </w:rPr>
      </w:pPr>
    </w:p>
    <w:p w14:paraId="29BA7EB7" w14:textId="0A96DDCC" w:rsidR="00BF0763" w:rsidRPr="009C4D39" w:rsidRDefault="00BF0763" w:rsidP="00BF0763">
      <w:pPr>
        <w:autoSpaceDE w:val="0"/>
        <w:autoSpaceDN w:val="0"/>
        <w:adjustRightInd w:val="0"/>
        <w:spacing w:after="0" w:line="240" w:lineRule="auto"/>
        <w:jc w:val="both"/>
        <w:rPr>
          <w:rFonts w:ascii="Garamond" w:hAnsi="Garamond" w:cstheme="minorHAnsi"/>
        </w:rPr>
      </w:pPr>
      <w:r w:rsidRPr="00DC43F3">
        <w:rPr>
          <w:rStyle w:val="atendertext1"/>
          <w:rFonts w:ascii="Garamond" w:eastAsiaTheme="majorEastAsia" w:hAnsi="Garamond"/>
          <w:sz w:val="22"/>
          <w:szCs w:val="22"/>
          <w:highlight w:val="yellow"/>
        </w:rPr>
        <w:t xml:space="preserve">All application materials should be submitted by email at the following address ONLY: (fill email) </w:t>
      </w:r>
      <w:hyperlink r:id="rId15" w:history="1">
        <w:r w:rsidR="00A735A3" w:rsidRPr="00FD615B">
          <w:rPr>
            <w:rStyle w:val="Hipervnculo"/>
            <w:rFonts w:ascii="Garamond" w:eastAsiaTheme="majorEastAsia" w:hAnsi="Garamond" w:cs="Arial"/>
            <w:highlight w:val="yellow"/>
          </w:rPr>
          <w:t>adquisicionespnud@undp.org</w:t>
        </w:r>
      </w:hyperlink>
      <w:r w:rsidR="00A735A3">
        <w:rPr>
          <w:rStyle w:val="atendertext1"/>
          <w:rFonts w:ascii="Garamond" w:eastAsiaTheme="majorEastAsia" w:hAnsi="Garamond"/>
          <w:sz w:val="22"/>
          <w:szCs w:val="22"/>
          <w:highlight w:val="yellow"/>
        </w:rPr>
        <w:t xml:space="preserve"> </w:t>
      </w:r>
      <w:r w:rsidRPr="00DC43F3">
        <w:rPr>
          <w:rStyle w:val="atendertext1"/>
          <w:rFonts w:ascii="Garamond" w:eastAsiaTheme="majorEastAsia" w:hAnsi="Garamond"/>
          <w:vanish/>
          <w:sz w:val="22"/>
          <w:szCs w:val="22"/>
          <w:highlight w:val="yellow"/>
        </w:rPr>
        <w:t xml:space="preserve">This email address is being protected from spam bots, you need Javascript enabled to view it </w:t>
      </w:r>
      <w:r w:rsidRPr="00DC43F3">
        <w:rPr>
          <w:rStyle w:val="atendertext1"/>
          <w:rFonts w:ascii="Garamond" w:eastAsiaTheme="majorEastAsia" w:hAnsi="Garamond"/>
          <w:sz w:val="22"/>
          <w:szCs w:val="22"/>
          <w:highlight w:val="yellow"/>
        </w:rPr>
        <w:t xml:space="preserve">by </w:t>
      </w:r>
      <w:r w:rsidR="00844F89">
        <w:rPr>
          <w:rStyle w:val="Textoennegrita"/>
          <w:rFonts w:ascii="Garamond" w:hAnsi="Garamond"/>
          <w:i/>
          <w:highlight w:val="yellow"/>
        </w:rPr>
        <w:t>J</w:t>
      </w:r>
      <w:r w:rsidR="00921C60">
        <w:rPr>
          <w:rStyle w:val="Textoennegrita"/>
          <w:rFonts w:ascii="Garamond" w:hAnsi="Garamond"/>
          <w:i/>
          <w:highlight w:val="yellow"/>
        </w:rPr>
        <w:t xml:space="preserve">uly </w:t>
      </w:r>
      <w:r w:rsidR="000231DE">
        <w:rPr>
          <w:rStyle w:val="Textoennegrita"/>
          <w:rFonts w:ascii="Garamond" w:hAnsi="Garamond"/>
          <w:i/>
          <w:highlight w:val="yellow"/>
        </w:rPr>
        <w:t>1</w:t>
      </w:r>
      <w:r w:rsidR="00921C60">
        <w:rPr>
          <w:rStyle w:val="Textoennegrita"/>
          <w:rFonts w:ascii="Garamond" w:hAnsi="Garamond"/>
          <w:i/>
          <w:highlight w:val="yellow"/>
        </w:rPr>
        <w:t>8</w:t>
      </w:r>
      <w:r w:rsidR="000231DE" w:rsidRPr="000231DE">
        <w:rPr>
          <w:rStyle w:val="Textoennegrita"/>
          <w:rFonts w:ascii="Garamond" w:hAnsi="Garamond"/>
          <w:i/>
          <w:highlight w:val="yellow"/>
          <w:vertAlign w:val="superscript"/>
        </w:rPr>
        <w:t>th</w:t>
      </w:r>
      <w:r w:rsidR="000231DE">
        <w:rPr>
          <w:rStyle w:val="Textoennegrita"/>
          <w:rFonts w:ascii="Garamond" w:hAnsi="Garamond"/>
          <w:i/>
          <w:highlight w:val="yellow"/>
        </w:rPr>
        <w:t xml:space="preserve"> 2019.</w:t>
      </w:r>
      <w:r w:rsidRPr="00DC43F3">
        <w:rPr>
          <w:rStyle w:val="Textoennegrita"/>
          <w:rFonts w:ascii="Garamond" w:hAnsi="Garamond"/>
          <w:i/>
          <w:highlight w:val="yellow"/>
        </w:rPr>
        <w:t xml:space="preserve">. </w:t>
      </w:r>
      <w:r w:rsidRPr="00DC43F3">
        <w:rPr>
          <w:rStyle w:val="atendertext1"/>
          <w:rFonts w:ascii="Garamond" w:eastAsiaTheme="majorEastAsia" w:hAnsi="Garamond"/>
          <w:sz w:val="22"/>
          <w:szCs w:val="22"/>
          <w:highlight w:val="yellow"/>
        </w:rPr>
        <w:t>Incomplete applications will be excluded from further consideration.</w:t>
      </w:r>
    </w:p>
    <w:p w14:paraId="729BF5D7"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64331E42"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181CAC36" w14:textId="77777777" w:rsidR="00BF0763" w:rsidRDefault="00BF0763" w:rsidP="00BF0763">
      <w:pPr>
        <w:pStyle w:val="p28"/>
        <w:spacing w:line="240" w:lineRule="auto"/>
        <w:ind w:left="0" w:firstLine="0"/>
        <w:jc w:val="both"/>
        <w:rPr>
          <w:rFonts w:ascii="Garamond" w:hAnsi="Garamond"/>
          <w:sz w:val="22"/>
          <w:szCs w:val="22"/>
        </w:rPr>
      </w:pPr>
    </w:p>
    <w:p w14:paraId="4B3003AC" w14:textId="77777777" w:rsidR="003244B1" w:rsidRDefault="003244B1"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br w:type="page"/>
      </w:r>
    </w:p>
    <w:p w14:paraId="1F074C1E" w14:textId="61845CA5"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Pr>
          <w:rFonts w:ascii="Garamond" w:hAnsi="Garamond"/>
          <w:b/>
          <w:color w:val="808080" w:themeColor="background1" w:themeShade="80"/>
        </w:rPr>
        <w:t xml:space="preserve">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w:t>
      </w:r>
      <w:r w:rsidR="00921C60">
        <w:rPr>
          <w:rFonts w:ascii="Garamond" w:hAnsi="Garamond"/>
          <w:b/>
          <w:color w:val="808080" w:themeColor="background1" w:themeShade="80"/>
        </w:rPr>
        <w:t>Consultamt</w:t>
      </w:r>
    </w:p>
    <w:p w14:paraId="75FFCCB9"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15DCD64" w14:textId="77777777" w:rsidR="00BF0763" w:rsidRPr="00CD7059" w:rsidRDefault="00BF0763" w:rsidP="004A4E9F">
      <w:pPr>
        <w:pStyle w:val="Textoindependiente"/>
        <w:numPr>
          <w:ilvl w:val="0"/>
          <w:numId w:val="10"/>
        </w:numPr>
        <w:spacing w:before="0" w:after="0"/>
        <w:rPr>
          <w:rFonts w:ascii="Garamond" w:hAnsi="Garamond"/>
          <w:sz w:val="20"/>
          <w:szCs w:val="20"/>
        </w:rPr>
      </w:pPr>
      <w:r w:rsidRPr="00CD7059">
        <w:rPr>
          <w:rFonts w:ascii="Garamond" w:hAnsi="Garamond"/>
          <w:sz w:val="20"/>
          <w:szCs w:val="20"/>
        </w:rPr>
        <w:t>PIF</w:t>
      </w:r>
    </w:p>
    <w:p w14:paraId="369D5CA8" w14:textId="77777777" w:rsidR="00BF0763" w:rsidRPr="00CD7059" w:rsidRDefault="00BF0763" w:rsidP="004A4E9F">
      <w:pPr>
        <w:pStyle w:val="Textoindependiente"/>
        <w:numPr>
          <w:ilvl w:val="0"/>
          <w:numId w:val="10"/>
        </w:numPr>
        <w:spacing w:before="0" w:after="0"/>
        <w:rPr>
          <w:rFonts w:ascii="Garamond" w:hAnsi="Garamond"/>
          <w:sz w:val="20"/>
          <w:szCs w:val="20"/>
        </w:rPr>
      </w:pPr>
      <w:r w:rsidRPr="00CD7059">
        <w:rPr>
          <w:rFonts w:ascii="Garamond" w:hAnsi="Garamond"/>
          <w:sz w:val="20"/>
          <w:szCs w:val="20"/>
        </w:rPr>
        <w:t>UNDP Initiation Plan</w:t>
      </w:r>
    </w:p>
    <w:p w14:paraId="4DF85F17" w14:textId="0266E49C" w:rsidR="00BF0763" w:rsidRPr="00CD7059" w:rsidRDefault="00BF0763" w:rsidP="004A4E9F">
      <w:pPr>
        <w:pStyle w:val="Textoindependiente"/>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r w:rsidR="005F3EF0">
        <w:rPr>
          <w:rFonts w:ascii="Garamond" w:hAnsi="Garamond"/>
          <w:sz w:val="20"/>
          <w:szCs w:val="20"/>
        </w:rPr>
        <w:t>and Substantive Revision</w:t>
      </w:r>
    </w:p>
    <w:p w14:paraId="4C64C8D3" w14:textId="77777777" w:rsidR="00BF0763" w:rsidRPr="00CD7059" w:rsidRDefault="00BF0763" w:rsidP="004A4E9F">
      <w:pPr>
        <w:pStyle w:val="Textoindependiente"/>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51792DD4" w14:textId="77777777" w:rsidR="00BF0763" w:rsidRPr="00CD7059" w:rsidRDefault="00BF0763" w:rsidP="004A4E9F">
      <w:pPr>
        <w:pStyle w:val="Textoindependiente"/>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30DFFC6D" w14:textId="77777777" w:rsidR="00BF0763" w:rsidRPr="00CD7059" w:rsidRDefault="00BF0763" w:rsidP="004A4E9F">
      <w:pPr>
        <w:pStyle w:val="Textoindependiente"/>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1BE3B658" w14:textId="77777777" w:rsidR="00BF0763" w:rsidRPr="00CD7059" w:rsidRDefault="001E4504" w:rsidP="004A4E9F">
      <w:pPr>
        <w:pStyle w:val="Textoindependiente"/>
        <w:numPr>
          <w:ilvl w:val="0"/>
          <w:numId w:val="10"/>
        </w:numPr>
        <w:spacing w:before="0" w:after="0"/>
        <w:rPr>
          <w:rFonts w:ascii="Garamond" w:hAnsi="Garamond"/>
          <w:sz w:val="20"/>
          <w:szCs w:val="20"/>
        </w:rPr>
      </w:pPr>
      <w:r>
        <w:rPr>
          <w:rFonts w:ascii="Garamond" w:hAnsi="Garamond"/>
          <w:sz w:val="20"/>
          <w:szCs w:val="20"/>
        </w:rPr>
        <w:t>P</w:t>
      </w:r>
      <w:r w:rsidR="00BF0763" w:rsidRPr="00CD7059">
        <w:rPr>
          <w:rFonts w:ascii="Garamond" w:hAnsi="Garamond"/>
          <w:sz w:val="20"/>
          <w:szCs w:val="20"/>
        </w:rPr>
        <w:t>rogress reports and work plans of the various implementation task teams</w:t>
      </w:r>
    </w:p>
    <w:p w14:paraId="09D71228" w14:textId="77777777" w:rsidR="00BF0763" w:rsidRPr="00CD7059" w:rsidRDefault="00BF0763" w:rsidP="004A4E9F">
      <w:pPr>
        <w:pStyle w:val="Textoindependiente"/>
        <w:numPr>
          <w:ilvl w:val="0"/>
          <w:numId w:val="10"/>
        </w:numPr>
        <w:spacing w:before="0" w:after="0"/>
        <w:rPr>
          <w:rFonts w:ascii="Garamond" w:hAnsi="Garamond"/>
          <w:sz w:val="20"/>
          <w:szCs w:val="20"/>
        </w:rPr>
      </w:pPr>
      <w:r w:rsidRPr="00CD7059">
        <w:rPr>
          <w:rFonts w:ascii="Garamond" w:hAnsi="Garamond"/>
          <w:sz w:val="20"/>
          <w:szCs w:val="20"/>
        </w:rPr>
        <w:t>Audit reports</w:t>
      </w:r>
    </w:p>
    <w:p w14:paraId="1AE04740"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291A1700" w14:textId="77777777" w:rsidR="00BF0763" w:rsidRPr="00CD7059" w:rsidRDefault="00BF0763" w:rsidP="004A4E9F">
      <w:pPr>
        <w:pStyle w:val="Textoindependiente"/>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68F1300B" w14:textId="77777777" w:rsidR="00BF0763" w:rsidRPr="00CD7059" w:rsidRDefault="00BF0763" w:rsidP="004A4E9F">
      <w:pPr>
        <w:pStyle w:val="Textoindependiente"/>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07CCF60F" w14:textId="77777777" w:rsidR="00BF0763" w:rsidRPr="00CD7059" w:rsidRDefault="00BF0763" w:rsidP="00BF0763">
      <w:pPr>
        <w:pStyle w:val="Textoindependiente"/>
        <w:spacing w:before="0" w:after="0"/>
        <w:jc w:val="lowKashida"/>
        <w:rPr>
          <w:rFonts w:ascii="Garamond" w:hAnsi="Garamond"/>
          <w:sz w:val="20"/>
          <w:szCs w:val="20"/>
        </w:rPr>
      </w:pPr>
    </w:p>
    <w:p w14:paraId="5D084BAE" w14:textId="77777777" w:rsidR="00BF0763" w:rsidRPr="00CD7059" w:rsidRDefault="00BF0763" w:rsidP="00BF0763">
      <w:pPr>
        <w:pStyle w:val="Textoindependiente"/>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224C2ED3" w14:textId="77777777" w:rsidR="00BF0763" w:rsidRPr="00CD7059" w:rsidRDefault="00BF0763" w:rsidP="004A4E9F">
      <w:pPr>
        <w:pStyle w:val="Textoindependiente"/>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5FAD1B9C" w14:textId="77777777" w:rsidR="00BF0763" w:rsidRPr="00CD7059" w:rsidRDefault="00BF0763" w:rsidP="004A4E9F">
      <w:pPr>
        <w:pStyle w:val="Textoindependiente"/>
        <w:numPr>
          <w:ilvl w:val="0"/>
          <w:numId w:val="10"/>
        </w:numPr>
        <w:spacing w:before="0" w:after="0"/>
        <w:rPr>
          <w:rFonts w:ascii="Garamond" w:hAnsi="Garamond"/>
          <w:sz w:val="20"/>
          <w:szCs w:val="20"/>
        </w:rPr>
      </w:pPr>
      <w:r w:rsidRPr="00CD7059">
        <w:rPr>
          <w:rFonts w:ascii="Garamond" w:hAnsi="Garamond"/>
          <w:sz w:val="20"/>
          <w:szCs w:val="20"/>
        </w:rPr>
        <w:t xml:space="preserve">UNDP country/countries </w:t>
      </w:r>
      <w:proofErr w:type="spellStart"/>
      <w:r w:rsidRPr="00CD7059">
        <w:rPr>
          <w:rFonts w:ascii="Garamond" w:hAnsi="Garamond"/>
          <w:sz w:val="20"/>
          <w:szCs w:val="20"/>
        </w:rPr>
        <w:t>programme</w:t>
      </w:r>
      <w:proofErr w:type="spellEnd"/>
      <w:r w:rsidRPr="00CD7059">
        <w:rPr>
          <w:rFonts w:ascii="Garamond" w:hAnsi="Garamond"/>
          <w:sz w:val="20"/>
          <w:szCs w:val="20"/>
        </w:rPr>
        <w:t xml:space="preserve"> document(s)</w:t>
      </w:r>
    </w:p>
    <w:p w14:paraId="0F090A0A" w14:textId="77777777" w:rsidR="00BF0763" w:rsidRPr="00CD7059" w:rsidRDefault="00BF0763" w:rsidP="004A4E9F">
      <w:pPr>
        <w:pStyle w:val="Textoindependiente"/>
        <w:numPr>
          <w:ilvl w:val="0"/>
          <w:numId w:val="10"/>
        </w:numPr>
        <w:spacing w:before="0" w:after="0"/>
        <w:rPr>
          <w:rFonts w:ascii="Garamond" w:hAnsi="Garamond"/>
          <w:sz w:val="20"/>
          <w:szCs w:val="20"/>
        </w:rPr>
      </w:pPr>
      <w:r w:rsidRPr="00CD7059">
        <w:rPr>
          <w:rFonts w:ascii="Garamond" w:hAnsi="Garamond"/>
          <w:sz w:val="20"/>
          <w:szCs w:val="20"/>
        </w:rPr>
        <w:t xml:space="preserve">Minutes of the </w:t>
      </w:r>
      <w:r w:rsidR="00083B25">
        <w:rPr>
          <w:rFonts w:ascii="Garamond" w:hAnsi="Garamond"/>
          <w:i/>
          <w:sz w:val="20"/>
          <w:szCs w:val="20"/>
        </w:rPr>
        <w:t>Sugarcane Renewable Electricity</w:t>
      </w:r>
      <w:r w:rsidRPr="00CD7059">
        <w:rPr>
          <w:rFonts w:ascii="Garamond" w:hAnsi="Garamond"/>
          <w:sz w:val="20"/>
          <w:szCs w:val="20"/>
        </w:rPr>
        <w:t xml:space="preserve">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68D2D75B" w14:textId="77777777" w:rsidR="00BF0763" w:rsidRPr="00CD7059" w:rsidRDefault="00BF0763" w:rsidP="004A4E9F">
      <w:pPr>
        <w:pStyle w:val="Textoindependiente"/>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7B9CA0F6" w14:textId="77777777" w:rsidR="00BF0763" w:rsidRDefault="00BF0763" w:rsidP="00BF0763">
      <w:pPr>
        <w:spacing w:line="240" w:lineRule="auto"/>
        <w:rPr>
          <w:rFonts w:ascii="Garamond" w:hAnsi="Garamond"/>
          <w:b/>
        </w:rPr>
      </w:pPr>
    </w:p>
    <w:p w14:paraId="50347432" w14:textId="77777777" w:rsidR="003244B1" w:rsidRDefault="003244B1" w:rsidP="00BF0763">
      <w:pPr>
        <w:spacing w:line="240" w:lineRule="auto"/>
        <w:rPr>
          <w:rFonts w:ascii="Garamond" w:hAnsi="Garamond"/>
          <w:b/>
          <w:color w:val="808080" w:themeColor="background1" w:themeShade="80"/>
        </w:rPr>
      </w:pPr>
      <w:r>
        <w:rPr>
          <w:rFonts w:ascii="Garamond" w:hAnsi="Garamond"/>
          <w:b/>
          <w:color w:val="808080" w:themeColor="background1" w:themeShade="80"/>
        </w:rPr>
        <w:br w:type="page"/>
      </w:r>
    </w:p>
    <w:p w14:paraId="42D7F494" w14:textId="276B0891" w:rsidR="00BF0763" w:rsidRPr="00B20314"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Refdenotaalpie"/>
          <w:rFonts w:ascii="Garamond" w:hAnsi="Garamond"/>
          <w:color w:val="808080" w:themeColor="background1" w:themeShade="80"/>
        </w:rPr>
        <w:footnoteReference w:id="14"/>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7DFDC1EF" w14:textId="77777777" w:rsidTr="003917B8">
        <w:trPr>
          <w:gridAfter w:val="1"/>
          <w:wAfter w:w="612" w:type="dxa"/>
          <w:trHeight w:val="48"/>
        </w:trPr>
        <w:tc>
          <w:tcPr>
            <w:tcW w:w="480" w:type="dxa"/>
          </w:tcPr>
          <w:p w14:paraId="71CEAB4D" w14:textId="77777777" w:rsidR="00BF0763" w:rsidRPr="00CD7059" w:rsidRDefault="00BF0763" w:rsidP="003917B8">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208EAB80"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C56112A" w14:textId="72C6B502" w:rsidR="00BF0763" w:rsidRPr="00CD7059" w:rsidRDefault="00D509F4" w:rsidP="003917B8">
            <w:pPr>
              <w:numPr>
                <w:ilvl w:val="0"/>
                <w:numId w:val="3"/>
              </w:numPr>
              <w:spacing w:after="0" w:line="240" w:lineRule="auto"/>
              <w:ind w:left="720"/>
              <w:rPr>
                <w:rFonts w:ascii="Garamond" w:hAnsi="Garamond"/>
                <w:sz w:val="20"/>
                <w:szCs w:val="20"/>
              </w:rPr>
            </w:pPr>
            <w:r>
              <w:rPr>
                <w:rFonts w:ascii="Garamond" w:hAnsi="Garamond"/>
                <w:sz w:val="20"/>
                <w:szCs w:val="20"/>
              </w:rPr>
              <w:t xml:space="preserve">Title of </w:t>
            </w:r>
            <w:r w:rsidR="00BF0763" w:rsidRPr="00CD7059">
              <w:rPr>
                <w:rFonts w:ascii="Garamond" w:hAnsi="Garamond"/>
                <w:sz w:val="20"/>
                <w:szCs w:val="20"/>
              </w:rPr>
              <w:t xml:space="preserve">UNDP supported GEF financed project </w:t>
            </w:r>
          </w:p>
          <w:p w14:paraId="2CDD2C8F"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3C033B8C"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63103C47"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0E56882"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BE6E83D" w14:textId="77777777" w:rsidR="00BF0763" w:rsidRPr="00CD7059" w:rsidRDefault="00BF0763" w:rsidP="003917B8">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468620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13855AEC"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4217C814" w14:textId="77777777" w:rsidTr="003917B8">
        <w:trPr>
          <w:gridAfter w:val="1"/>
          <w:wAfter w:w="612" w:type="dxa"/>
          <w:trHeight w:val="188"/>
        </w:trPr>
        <w:tc>
          <w:tcPr>
            <w:tcW w:w="480" w:type="dxa"/>
          </w:tcPr>
          <w:p w14:paraId="0B05E27E"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BCEA834"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75850D42" w14:textId="77777777" w:rsidTr="003917B8">
        <w:trPr>
          <w:gridAfter w:val="1"/>
          <w:wAfter w:w="612" w:type="dxa"/>
          <w:trHeight w:val="207"/>
        </w:trPr>
        <w:tc>
          <w:tcPr>
            <w:tcW w:w="480" w:type="dxa"/>
          </w:tcPr>
          <w:p w14:paraId="25638467"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75DB34CA"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5FEDC3D3" w14:textId="77777777" w:rsidTr="003917B8">
        <w:trPr>
          <w:gridAfter w:val="1"/>
          <w:wAfter w:w="612" w:type="dxa"/>
          <w:trHeight w:val="48"/>
        </w:trPr>
        <w:tc>
          <w:tcPr>
            <w:tcW w:w="480" w:type="dxa"/>
          </w:tcPr>
          <w:p w14:paraId="0C5AA221"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0C0A76ED"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088118A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5B9B54C5"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710FF9CE"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0CEF57C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55078EEA"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1E027922"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10192321" w14:textId="77777777" w:rsidTr="003917B8">
        <w:trPr>
          <w:gridAfter w:val="1"/>
          <w:wAfter w:w="612" w:type="dxa"/>
          <w:trHeight w:val="48"/>
        </w:trPr>
        <w:tc>
          <w:tcPr>
            <w:tcW w:w="480" w:type="dxa"/>
          </w:tcPr>
          <w:p w14:paraId="3F7E5184"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6C0A02F3"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572027DA"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07A5AE8A"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7A259D86"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5ECCEB1A" w14:textId="77777777" w:rsidTr="003917B8">
        <w:trPr>
          <w:gridAfter w:val="1"/>
          <w:wAfter w:w="612" w:type="dxa"/>
          <w:trHeight w:val="1710"/>
        </w:trPr>
        <w:tc>
          <w:tcPr>
            <w:tcW w:w="480" w:type="dxa"/>
          </w:tcPr>
          <w:p w14:paraId="2F656FCC"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617EB189"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546DB919"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1062D63E"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3AC1BA0D"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350B6109"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09667B8"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7515C253"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4387734C" w14:textId="77777777" w:rsidTr="003917B8">
        <w:trPr>
          <w:gridAfter w:val="1"/>
          <w:wAfter w:w="612" w:type="dxa"/>
          <w:trHeight w:val="180"/>
        </w:trPr>
        <w:tc>
          <w:tcPr>
            <w:tcW w:w="480" w:type="dxa"/>
          </w:tcPr>
          <w:p w14:paraId="76643582"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7D65C019"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1B1DD1DB" w14:textId="77777777" w:rsidTr="003917B8">
        <w:trPr>
          <w:gridBefore w:val="2"/>
          <w:wBefore w:w="612" w:type="dxa"/>
          <w:trHeight w:val="819"/>
        </w:trPr>
        <w:tc>
          <w:tcPr>
            <w:tcW w:w="480" w:type="dxa"/>
          </w:tcPr>
          <w:p w14:paraId="3E5EF9F5"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4.1</w:t>
            </w:r>
          </w:p>
          <w:p w14:paraId="5CA8138E" w14:textId="77777777" w:rsidR="00BF0763" w:rsidRPr="00CD7059" w:rsidRDefault="00BF0763" w:rsidP="003917B8">
            <w:pPr>
              <w:spacing w:after="0" w:line="240" w:lineRule="auto"/>
              <w:rPr>
                <w:rFonts w:ascii="Garamond" w:hAnsi="Garamond"/>
                <w:b/>
                <w:bCs/>
                <w:sz w:val="20"/>
                <w:szCs w:val="20"/>
              </w:rPr>
            </w:pPr>
          </w:p>
          <w:p w14:paraId="3703097A" w14:textId="77777777" w:rsidR="00BF0763" w:rsidRPr="00CD7059" w:rsidRDefault="00BF0763" w:rsidP="003917B8">
            <w:pPr>
              <w:spacing w:after="0" w:line="240" w:lineRule="auto"/>
              <w:rPr>
                <w:rFonts w:ascii="Garamond" w:hAnsi="Garamond"/>
                <w:b/>
                <w:bCs/>
                <w:sz w:val="20"/>
                <w:szCs w:val="20"/>
              </w:rPr>
            </w:pPr>
          </w:p>
        </w:tc>
        <w:tc>
          <w:tcPr>
            <w:tcW w:w="9060" w:type="dxa"/>
            <w:gridSpan w:val="2"/>
          </w:tcPr>
          <w:p w14:paraId="0A8F4D76"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Project Strategy</w:t>
            </w:r>
          </w:p>
          <w:p w14:paraId="369B6DED" w14:textId="77777777" w:rsidR="00BF0763" w:rsidRPr="00CD7059" w:rsidRDefault="00BF0763" w:rsidP="004A4E9F">
            <w:pPr>
              <w:pStyle w:val="Prrafodelista"/>
              <w:numPr>
                <w:ilvl w:val="0"/>
                <w:numId w:val="13"/>
              </w:numPr>
              <w:spacing w:before="0"/>
              <w:rPr>
                <w:rFonts w:ascii="Garamond" w:hAnsi="Garamond"/>
                <w:sz w:val="20"/>
                <w:szCs w:val="20"/>
              </w:rPr>
            </w:pPr>
            <w:r w:rsidRPr="00CD7059">
              <w:rPr>
                <w:rFonts w:ascii="Garamond" w:hAnsi="Garamond"/>
                <w:sz w:val="20"/>
                <w:szCs w:val="20"/>
              </w:rPr>
              <w:t>Project Design</w:t>
            </w:r>
          </w:p>
          <w:p w14:paraId="03D4F092" w14:textId="77777777" w:rsidR="00BF0763" w:rsidRPr="00CD7059" w:rsidRDefault="00BF0763" w:rsidP="004A4E9F">
            <w:pPr>
              <w:pStyle w:val="Prrafodelista"/>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14:paraId="4114184C" w14:textId="77777777" w:rsidTr="003917B8">
        <w:trPr>
          <w:gridBefore w:val="2"/>
          <w:wBefore w:w="612" w:type="dxa"/>
          <w:trHeight w:val="381"/>
        </w:trPr>
        <w:tc>
          <w:tcPr>
            <w:tcW w:w="480" w:type="dxa"/>
          </w:tcPr>
          <w:p w14:paraId="6208769A"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79BAED0D" w14:textId="77777777" w:rsidR="00BF0763" w:rsidRPr="00CD7059" w:rsidRDefault="00BF0763" w:rsidP="003917B8">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1324F646" w14:textId="77777777" w:rsidR="00BF0763" w:rsidRPr="00CD7059" w:rsidRDefault="00BF0763" w:rsidP="004A4E9F">
            <w:pPr>
              <w:pStyle w:val="Prrafodelista"/>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0C089A4C" w14:textId="77777777" w:rsidR="00BF0763" w:rsidRPr="00CD7059" w:rsidRDefault="00BF0763" w:rsidP="004A4E9F">
            <w:pPr>
              <w:pStyle w:val="Prrafodelista"/>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47483AD9" w14:textId="77777777" w:rsidTr="003917B8">
        <w:trPr>
          <w:gridBefore w:val="2"/>
          <w:wBefore w:w="612" w:type="dxa"/>
          <w:trHeight w:val="48"/>
        </w:trPr>
        <w:tc>
          <w:tcPr>
            <w:tcW w:w="480" w:type="dxa"/>
          </w:tcPr>
          <w:p w14:paraId="3AF4E869"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6084E4F3"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65503231" w14:textId="77777777" w:rsidR="00BF0763" w:rsidRPr="00CD7059" w:rsidRDefault="00BF0763" w:rsidP="004A4E9F">
            <w:pPr>
              <w:pStyle w:val="Prrafodelista"/>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50A25B90" w14:textId="77777777" w:rsidR="00BF0763" w:rsidRPr="00CD7059" w:rsidRDefault="00BF0763" w:rsidP="004A4E9F">
            <w:pPr>
              <w:pStyle w:val="Prrafodelista"/>
              <w:numPr>
                <w:ilvl w:val="0"/>
                <w:numId w:val="14"/>
              </w:numPr>
              <w:spacing w:before="0"/>
              <w:rPr>
                <w:rFonts w:ascii="Garamond" w:hAnsi="Garamond"/>
                <w:sz w:val="20"/>
                <w:szCs w:val="20"/>
              </w:rPr>
            </w:pPr>
            <w:r w:rsidRPr="00CD7059">
              <w:rPr>
                <w:rFonts w:ascii="Garamond" w:hAnsi="Garamond"/>
                <w:sz w:val="20"/>
                <w:szCs w:val="20"/>
              </w:rPr>
              <w:t>Work planning</w:t>
            </w:r>
          </w:p>
          <w:p w14:paraId="7F9F9460" w14:textId="77777777" w:rsidR="00BF0763" w:rsidRPr="00CD7059" w:rsidRDefault="00BF0763" w:rsidP="004A4E9F">
            <w:pPr>
              <w:pStyle w:val="Prrafodelista"/>
              <w:numPr>
                <w:ilvl w:val="0"/>
                <w:numId w:val="14"/>
              </w:numPr>
              <w:spacing w:before="0"/>
              <w:rPr>
                <w:rFonts w:ascii="Garamond" w:hAnsi="Garamond"/>
                <w:sz w:val="20"/>
                <w:szCs w:val="20"/>
              </w:rPr>
            </w:pPr>
            <w:r w:rsidRPr="00CD7059">
              <w:rPr>
                <w:rFonts w:ascii="Garamond" w:hAnsi="Garamond"/>
                <w:sz w:val="20"/>
                <w:szCs w:val="20"/>
              </w:rPr>
              <w:t>Finance and co-finance</w:t>
            </w:r>
          </w:p>
          <w:p w14:paraId="280C2AC0" w14:textId="77777777" w:rsidR="00BF0763" w:rsidRPr="00CD7059" w:rsidRDefault="00BF0763" w:rsidP="004A4E9F">
            <w:pPr>
              <w:pStyle w:val="Prrafodelista"/>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75D0D599" w14:textId="77777777" w:rsidR="00BF0763" w:rsidRDefault="00BF0763" w:rsidP="004A4E9F">
            <w:pPr>
              <w:pStyle w:val="Prrafodelista"/>
              <w:numPr>
                <w:ilvl w:val="0"/>
                <w:numId w:val="14"/>
              </w:numPr>
              <w:spacing w:before="0"/>
              <w:rPr>
                <w:rFonts w:ascii="Garamond" w:hAnsi="Garamond"/>
                <w:sz w:val="20"/>
                <w:szCs w:val="20"/>
              </w:rPr>
            </w:pPr>
            <w:r>
              <w:rPr>
                <w:rFonts w:ascii="Garamond" w:hAnsi="Garamond"/>
                <w:sz w:val="20"/>
                <w:szCs w:val="20"/>
              </w:rPr>
              <w:t>Stakeholder engagement</w:t>
            </w:r>
          </w:p>
          <w:p w14:paraId="679F4438" w14:textId="77777777" w:rsidR="00BF0763" w:rsidRPr="00CD7059" w:rsidRDefault="00BF0763" w:rsidP="004A4E9F">
            <w:pPr>
              <w:pStyle w:val="Prrafodelista"/>
              <w:numPr>
                <w:ilvl w:val="0"/>
                <w:numId w:val="14"/>
              </w:numPr>
              <w:spacing w:before="0"/>
              <w:rPr>
                <w:rFonts w:ascii="Garamond" w:hAnsi="Garamond"/>
                <w:sz w:val="20"/>
                <w:szCs w:val="20"/>
              </w:rPr>
            </w:pPr>
            <w:r w:rsidRPr="00CD7059">
              <w:rPr>
                <w:rFonts w:ascii="Garamond" w:hAnsi="Garamond"/>
                <w:sz w:val="20"/>
                <w:szCs w:val="20"/>
              </w:rPr>
              <w:t>Reporting</w:t>
            </w:r>
          </w:p>
          <w:p w14:paraId="6408F913" w14:textId="77777777" w:rsidR="00BF0763" w:rsidRPr="00CD7059" w:rsidRDefault="00BF0763" w:rsidP="004A4E9F">
            <w:pPr>
              <w:pStyle w:val="Prrafodelista"/>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08BC5163" w14:textId="77777777" w:rsidTr="003917B8">
        <w:trPr>
          <w:gridBefore w:val="2"/>
          <w:wBefore w:w="612" w:type="dxa"/>
          <w:trHeight w:val="342"/>
        </w:trPr>
        <w:tc>
          <w:tcPr>
            <w:tcW w:w="480" w:type="dxa"/>
          </w:tcPr>
          <w:p w14:paraId="390674B8"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lastRenderedPageBreak/>
              <w:t>4.4</w:t>
            </w:r>
          </w:p>
        </w:tc>
        <w:tc>
          <w:tcPr>
            <w:tcW w:w="9060" w:type="dxa"/>
            <w:gridSpan w:val="2"/>
          </w:tcPr>
          <w:p w14:paraId="47B8812C"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Sustainability</w:t>
            </w:r>
          </w:p>
          <w:p w14:paraId="0C405605" w14:textId="77777777" w:rsidR="00BF0763" w:rsidRPr="00CD7059" w:rsidRDefault="00BF0763" w:rsidP="004A4E9F">
            <w:pPr>
              <w:pStyle w:val="Prrafodelista"/>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1B30B9E9" w14:textId="77777777" w:rsidR="00BF0763" w:rsidRPr="00CD7059" w:rsidRDefault="00BF0763" w:rsidP="004A4E9F">
            <w:pPr>
              <w:pStyle w:val="Prrafodelista"/>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3758ED0C" w14:textId="77777777" w:rsidR="00BF0763" w:rsidRPr="00CD7059" w:rsidRDefault="00BF0763" w:rsidP="004A4E9F">
            <w:pPr>
              <w:pStyle w:val="Prrafodelista"/>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698AB12F" w14:textId="77777777" w:rsidR="00BF0763" w:rsidRPr="00CD7059" w:rsidRDefault="00BF0763" w:rsidP="004A4E9F">
            <w:pPr>
              <w:pStyle w:val="Prrafodelista"/>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0DEA9A56" w14:textId="77777777" w:rsidTr="003917B8">
        <w:trPr>
          <w:gridAfter w:val="1"/>
          <w:wAfter w:w="612" w:type="dxa"/>
          <w:trHeight w:val="287"/>
        </w:trPr>
        <w:tc>
          <w:tcPr>
            <w:tcW w:w="480" w:type="dxa"/>
          </w:tcPr>
          <w:p w14:paraId="3B8AF95D" w14:textId="77777777" w:rsidR="00BF0763" w:rsidRPr="00CD7059" w:rsidRDefault="00BF0763" w:rsidP="003917B8">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5D8D39AD"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5BA49721" w14:textId="77777777" w:rsidTr="003917B8">
        <w:trPr>
          <w:gridAfter w:val="1"/>
          <w:wAfter w:w="612" w:type="dxa"/>
          <w:trHeight w:val="287"/>
        </w:trPr>
        <w:tc>
          <w:tcPr>
            <w:tcW w:w="480" w:type="dxa"/>
            <w:vMerge w:val="restart"/>
          </w:tcPr>
          <w:p w14:paraId="7C2F8BB6" w14:textId="77777777" w:rsidR="00BF0763" w:rsidRPr="00CD7059" w:rsidRDefault="00BF0763" w:rsidP="003917B8">
            <w:pPr>
              <w:spacing w:after="0" w:line="240" w:lineRule="auto"/>
              <w:rPr>
                <w:rFonts w:ascii="Garamond" w:hAnsi="Garamond"/>
                <w:b/>
                <w:bCs/>
                <w:sz w:val="20"/>
                <w:szCs w:val="20"/>
              </w:rPr>
            </w:pPr>
          </w:p>
        </w:tc>
        <w:tc>
          <w:tcPr>
            <w:tcW w:w="612" w:type="dxa"/>
            <w:gridSpan w:val="2"/>
          </w:tcPr>
          <w:p w14:paraId="470FC758" w14:textId="77777777" w:rsidR="00BF0763" w:rsidRPr="00CD7059" w:rsidRDefault="00BF0763" w:rsidP="003917B8">
            <w:pPr>
              <w:spacing w:after="0" w:line="240" w:lineRule="auto"/>
              <w:rPr>
                <w:rFonts w:ascii="Garamond" w:hAnsi="Garamond"/>
                <w:b/>
                <w:sz w:val="20"/>
                <w:szCs w:val="20"/>
              </w:rPr>
            </w:pPr>
            <w:r w:rsidRPr="00CD7059">
              <w:rPr>
                <w:rFonts w:ascii="Garamond" w:hAnsi="Garamond"/>
                <w:b/>
                <w:sz w:val="20"/>
                <w:szCs w:val="20"/>
              </w:rPr>
              <w:t xml:space="preserve">  5.1  </w:t>
            </w:r>
          </w:p>
          <w:p w14:paraId="435F491E" w14:textId="77777777" w:rsidR="00BF0763" w:rsidRPr="00CD7059" w:rsidRDefault="00BF0763" w:rsidP="003917B8">
            <w:pPr>
              <w:spacing w:after="0" w:line="240" w:lineRule="auto"/>
              <w:rPr>
                <w:rFonts w:ascii="Garamond" w:hAnsi="Garamond"/>
                <w:b/>
                <w:sz w:val="20"/>
                <w:szCs w:val="20"/>
              </w:rPr>
            </w:pPr>
            <w:r w:rsidRPr="00CD7059">
              <w:rPr>
                <w:rFonts w:ascii="Garamond" w:hAnsi="Garamond"/>
                <w:sz w:val="20"/>
                <w:szCs w:val="20"/>
              </w:rPr>
              <w:t xml:space="preserve">  </w:t>
            </w:r>
          </w:p>
          <w:p w14:paraId="3984EF0C" w14:textId="77777777" w:rsidR="00BF0763" w:rsidRPr="00CD7059" w:rsidRDefault="00BF0763" w:rsidP="003917B8">
            <w:pPr>
              <w:spacing w:after="0" w:line="240" w:lineRule="auto"/>
              <w:ind w:left="720"/>
              <w:rPr>
                <w:rFonts w:ascii="Garamond" w:hAnsi="Garamond"/>
                <w:b/>
                <w:sz w:val="20"/>
                <w:szCs w:val="20"/>
              </w:rPr>
            </w:pPr>
          </w:p>
        </w:tc>
        <w:tc>
          <w:tcPr>
            <w:tcW w:w="8448" w:type="dxa"/>
          </w:tcPr>
          <w:p w14:paraId="3BD36F75"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Conclusions </w:t>
            </w:r>
          </w:p>
          <w:p w14:paraId="3967BC03"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352FB484" w14:textId="77777777" w:rsidTr="003917B8">
        <w:trPr>
          <w:gridAfter w:val="1"/>
          <w:wAfter w:w="612" w:type="dxa"/>
          <w:trHeight w:val="665"/>
        </w:trPr>
        <w:tc>
          <w:tcPr>
            <w:tcW w:w="480" w:type="dxa"/>
            <w:vMerge/>
          </w:tcPr>
          <w:p w14:paraId="5446B73C" w14:textId="77777777" w:rsidR="00BF0763" w:rsidRPr="00CD7059" w:rsidRDefault="00BF0763" w:rsidP="003917B8">
            <w:pPr>
              <w:spacing w:line="240" w:lineRule="auto"/>
              <w:rPr>
                <w:rFonts w:ascii="Garamond" w:hAnsi="Garamond"/>
                <w:b/>
                <w:bCs/>
                <w:sz w:val="20"/>
                <w:szCs w:val="20"/>
              </w:rPr>
            </w:pPr>
          </w:p>
        </w:tc>
        <w:tc>
          <w:tcPr>
            <w:tcW w:w="612" w:type="dxa"/>
            <w:gridSpan w:val="2"/>
          </w:tcPr>
          <w:p w14:paraId="37F0685E" w14:textId="77777777" w:rsidR="00BF0763" w:rsidRPr="00CD7059" w:rsidRDefault="00BF0763" w:rsidP="003917B8">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1CE0A362"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 xml:space="preserve">Recommendations </w:t>
            </w:r>
          </w:p>
          <w:p w14:paraId="70E8BA2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2B3A0B96"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6CDB53EE"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1D195D54" w14:textId="77777777" w:rsidTr="003917B8">
        <w:trPr>
          <w:gridAfter w:val="1"/>
          <w:wAfter w:w="612" w:type="dxa"/>
          <w:trHeight w:val="1498"/>
        </w:trPr>
        <w:tc>
          <w:tcPr>
            <w:tcW w:w="480" w:type="dxa"/>
          </w:tcPr>
          <w:p w14:paraId="022D0AE4" w14:textId="77777777" w:rsidR="00BF0763" w:rsidRPr="00CD7059" w:rsidRDefault="00BF0763" w:rsidP="003917B8">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150785A0" w14:textId="77777777" w:rsidR="00BF0763" w:rsidRPr="00CD7059" w:rsidRDefault="00BF0763" w:rsidP="003917B8">
            <w:pPr>
              <w:spacing w:after="0" w:line="240" w:lineRule="auto"/>
              <w:rPr>
                <w:rFonts w:ascii="Garamond" w:hAnsi="Garamond"/>
                <w:sz w:val="20"/>
                <w:szCs w:val="20"/>
              </w:rPr>
            </w:pPr>
            <w:r w:rsidRPr="00CD7059">
              <w:rPr>
                <w:rFonts w:ascii="Garamond" w:hAnsi="Garamond"/>
                <w:sz w:val="20"/>
                <w:szCs w:val="20"/>
              </w:rPr>
              <w:t>Annexes</w:t>
            </w:r>
          </w:p>
          <w:p w14:paraId="5C9E18D4"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MTR </w:t>
            </w:r>
            <w:proofErr w:type="spellStart"/>
            <w:r w:rsidRPr="00CD7059">
              <w:rPr>
                <w:rFonts w:ascii="Garamond" w:hAnsi="Garamond"/>
                <w:sz w:val="20"/>
                <w:szCs w:val="20"/>
              </w:rPr>
              <w:t>ToR</w:t>
            </w:r>
            <w:proofErr w:type="spellEnd"/>
            <w:r w:rsidRPr="00CD7059">
              <w:rPr>
                <w:rFonts w:ascii="Garamond" w:hAnsi="Garamond"/>
                <w:sz w:val="20"/>
                <w:szCs w:val="20"/>
              </w:rPr>
              <w:t xml:space="preserve"> (excluding </w:t>
            </w:r>
            <w:proofErr w:type="spellStart"/>
            <w:r w:rsidRPr="00CD7059">
              <w:rPr>
                <w:rFonts w:ascii="Garamond" w:hAnsi="Garamond"/>
                <w:sz w:val="20"/>
                <w:szCs w:val="20"/>
              </w:rPr>
              <w:t>ToR</w:t>
            </w:r>
            <w:proofErr w:type="spellEnd"/>
            <w:r w:rsidRPr="00CD7059">
              <w:rPr>
                <w:rFonts w:ascii="Garamond" w:hAnsi="Garamond"/>
                <w:sz w:val="20"/>
                <w:szCs w:val="20"/>
              </w:rPr>
              <w:t xml:space="preserve"> annexes)</w:t>
            </w:r>
          </w:p>
          <w:p w14:paraId="382B555B"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717663D0"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5E02802"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636BC1E5"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37FA60FB"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1B676184"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6814C0BE"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7F333746" w14:textId="77777777" w:rsidR="00BF0763" w:rsidRPr="00CD7059" w:rsidRDefault="00BF0763" w:rsidP="003917B8">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6ADC7B1A"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276B8C42"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63F08489" w14:textId="77777777" w:rsidR="00BF0763" w:rsidRPr="00CD7059" w:rsidRDefault="00BF0763" w:rsidP="003917B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14:paraId="711E2605" w14:textId="77777777" w:rsidR="00BF0763" w:rsidRDefault="00BF0763" w:rsidP="00BF0763">
      <w:pPr>
        <w:spacing w:line="240" w:lineRule="auto"/>
        <w:rPr>
          <w:rFonts w:ascii="Garamond" w:hAnsi="Garamond"/>
          <w:b/>
        </w:rPr>
      </w:pPr>
    </w:p>
    <w:p w14:paraId="223DF2FC" w14:textId="77777777" w:rsidR="003244B1" w:rsidRDefault="003244B1" w:rsidP="00BF0763">
      <w:pPr>
        <w:spacing w:line="240" w:lineRule="auto"/>
        <w:rPr>
          <w:rFonts w:ascii="Garamond" w:hAnsi="Garamond"/>
          <w:b/>
          <w:color w:val="808080" w:themeColor="background1" w:themeShade="80"/>
        </w:rPr>
      </w:pPr>
      <w:r>
        <w:rPr>
          <w:rFonts w:ascii="Garamond" w:hAnsi="Garamond"/>
          <w:b/>
          <w:color w:val="808080" w:themeColor="background1" w:themeShade="80"/>
        </w:rPr>
        <w:br w:type="page"/>
      </w:r>
    </w:p>
    <w:p w14:paraId="2CA58B19" w14:textId="0EC121E4" w:rsidR="00BF0763" w:rsidRDefault="00BF0763" w:rsidP="00BF0763">
      <w:pPr>
        <w:spacing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p w14:paraId="65D60C88" w14:textId="77777777" w:rsidR="006D07E2" w:rsidRDefault="006D07E2" w:rsidP="006D07E2">
      <w:pPr>
        <w:spacing w:after="0" w:line="240" w:lineRule="auto"/>
        <w:rPr>
          <w:rFonts w:ascii="Garamond" w:hAnsi="Garamond"/>
          <w:i/>
          <w:sz w:val="20"/>
          <w:szCs w:val="20"/>
        </w:rPr>
      </w:pPr>
      <w:r>
        <w:rPr>
          <w:rFonts w:ascii="Garamond" w:hAnsi="Garamond"/>
          <w:i/>
          <w:sz w:val="20"/>
          <w:szCs w:val="20"/>
          <w:highlight w:val="lightGray"/>
        </w:rPr>
        <w:t>(Questions to be filled out by the Commissioning Unit</w:t>
      </w:r>
      <w:r w:rsidRPr="0041686D">
        <w:rPr>
          <w:rFonts w:ascii="Garamond" w:hAnsi="Garamond"/>
          <w:i/>
          <w:sz w:val="20"/>
          <w:szCs w:val="20"/>
          <w:highlight w:val="lightGray"/>
        </w:rPr>
        <w:t>)</w:t>
      </w:r>
    </w:p>
    <w:p w14:paraId="5FAB9E10" w14:textId="77777777" w:rsidR="006D07E2" w:rsidRDefault="006D07E2" w:rsidP="0043506E">
      <w:pPr>
        <w:spacing w:after="0" w:line="240" w:lineRule="auto"/>
        <w:rPr>
          <w:rFonts w:ascii="Garamond" w:hAnsi="Garamond"/>
        </w:rPr>
      </w:pPr>
    </w:p>
    <w:p w14:paraId="55DBB1CA" w14:textId="77777777" w:rsidR="0043506E" w:rsidRPr="0043506E" w:rsidRDefault="0043506E" w:rsidP="0043506E">
      <w:pPr>
        <w:spacing w:after="0" w:line="240" w:lineRule="auto"/>
        <w:rPr>
          <w:rFonts w:ascii="Garamond" w:hAnsi="Garamond"/>
        </w:rPr>
      </w:pPr>
      <w:r w:rsidRPr="0043506E">
        <w:rPr>
          <w:rFonts w:ascii="Garamond" w:hAnsi="Garamond"/>
        </w:rPr>
        <w:t xml:space="preserve">This </w:t>
      </w:r>
      <w:r>
        <w:rPr>
          <w:rFonts w:ascii="Garamond" w:hAnsi="Garamond"/>
        </w:rPr>
        <w:t xml:space="preserve">Midterm Review </w:t>
      </w:r>
      <w:r w:rsidRPr="0043506E">
        <w:rPr>
          <w:rFonts w:ascii="Garamond" w:hAnsi="Garamond"/>
        </w:rPr>
        <w:t>Evaluat</w:t>
      </w:r>
      <w:r>
        <w:rPr>
          <w:rFonts w:ascii="Garamond" w:hAnsi="Garamond"/>
        </w:rPr>
        <w:t>ive</w:t>
      </w:r>
      <w:r w:rsidRPr="0043506E">
        <w:rPr>
          <w:rFonts w:ascii="Garamond" w:hAnsi="Garamond"/>
        </w:rPr>
        <w:t xml:space="preserve"> Matrix must be fully completed/amended by the consultant and included </w:t>
      </w:r>
      <w:r>
        <w:rPr>
          <w:rFonts w:ascii="Garamond" w:hAnsi="Garamond"/>
        </w:rPr>
        <w:t xml:space="preserve">in the MTR </w:t>
      </w:r>
      <w:r w:rsidRPr="0043506E">
        <w:rPr>
          <w:rFonts w:ascii="Garamond" w:hAnsi="Garamond"/>
        </w:rPr>
        <w:t xml:space="preserve">inception report and </w:t>
      </w:r>
      <w:r>
        <w:rPr>
          <w:rFonts w:ascii="Garamond" w:hAnsi="Garamond"/>
        </w:rPr>
        <w:t>as an Annex to the MTR</w:t>
      </w:r>
      <w:r w:rsidRPr="0043506E">
        <w:rPr>
          <w:rFonts w:ascii="Garamond" w:hAnsi="Garamond"/>
        </w:rPr>
        <w:t xml:space="preserve"> report.</w:t>
      </w:r>
    </w:p>
    <w:p w14:paraId="68407463" w14:textId="77777777" w:rsidR="0043506E" w:rsidRPr="0043506E" w:rsidRDefault="0043506E" w:rsidP="0043506E">
      <w:pPr>
        <w:spacing w:after="0" w:line="240" w:lineRule="auto"/>
      </w:pPr>
    </w:p>
    <w:tbl>
      <w:tblPr>
        <w:tblStyle w:val="Tablaconcuadrcula"/>
        <w:tblW w:w="9198" w:type="dxa"/>
        <w:tblLook w:val="04A0" w:firstRow="1" w:lastRow="0" w:firstColumn="1" w:lastColumn="0" w:noHBand="0" w:noVBand="1"/>
      </w:tblPr>
      <w:tblGrid>
        <w:gridCol w:w="2358"/>
        <w:gridCol w:w="2340"/>
        <w:gridCol w:w="2340"/>
        <w:gridCol w:w="2160"/>
      </w:tblGrid>
      <w:tr w:rsidR="00BF0763" w14:paraId="0BC27E94" w14:textId="77777777" w:rsidTr="003917B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BBDEA49" w14:textId="77777777" w:rsidR="00BF0763" w:rsidRDefault="00BF0763" w:rsidP="003917B8">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FD1B0B7" w14:textId="77777777" w:rsidR="00BF0763" w:rsidRDefault="00BF0763" w:rsidP="003917B8">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A7506D0" w14:textId="77777777" w:rsidR="00BF0763" w:rsidRDefault="00BF0763" w:rsidP="003917B8">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934B73" w14:textId="77777777" w:rsidR="00BF0763" w:rsidRDefault="00BF0763" w:rsidP="003917B8">
            <w:pPr>
              <w:rPr>
                <w:rFonts w:ascii="Garamond" w:hAnsi="Garamond"/>
                <w:b/>
              </w:rPr>
            </w:pPr>
            <w:r>
              <w:rPr>
                <w:rFonts w:ascii="Garamond" w:hAnsi="Garamond"/>
                <w:b/>
              </w:rPr>
              <w:t>Methodology</w:t>
            </w:r>
          </w:p>
        </w:tc>
      </w:tr>
      <w:tr w:rsidR="00BF0763" w14:paraId="7BCE2591" w14:textId="77777777" w:rsidTr="003917B8">
        <w:tc>
          <w:tcPr>
            <w:tcW w:w="9198" w:type="dxa"/>
            <w:gridSpan w:val="4"/>
            <w:tcBorders>
              <w:top w:val="single" w:sz="4" w:space="0" w:color="FFFFFF" w:themeColor="background1"/>
            </w:tcBorders>
            <w:shd w:val="clear" w:color="auto" w:fill="D9D9D9" w:themeFill="background1" w:themeFillShade="D9"/>
          </w:tcPr>
          <w:p w14:paraId="3F7EBAB9" w14:textId="77777777" w:rsidR="00BF0763" w:rsidRPr="0043766B" w:rsidRDefault="00BF0763" w:rsidP="003917B8">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16A935BD" w14:textId="77777777" w:rsidTr="003917B8">
        <w:tc>
          <w:tcPr>
            <w:tcW w:w="2358" w:type="dxa"/>
          </w:tcPr>
          <w:p w14:paraId="2E842E21"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1FEA649C" w14:textId="77777777" w:rsidR="00BF0763" w:rsidRPr="00972E4C" w:rsidRDefault="00BF0763" w:rsidP="003917B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7E22661F"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08B4AEF9" w14:textId="77777777" w:rsidR="00BF0763" w:rsidRPr="00972E4C" w:rsidRDefault="00BF0763" w:rsidP="003917B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45EBE265" w14:textId="77777777" w:rsidTr="003917B8">
        <w:tc>
          <w:tcPr>
            <w:tcW w:w="2358" w:type="dxa"/>
          </w:tcPr>
          <w:p w14:paraId="747F5EBC" w14:textId="77777777" w:rsidR="00BF0763" w:rsidRPr="0043766B" w:rsidRDefault="00BF0763" w:rsidP="003917B8">
            <w:pPr>
              <w:rPr>
                <w:rFonts w:ascii="Garamond" w:hAnsi="Garamond"/>
                <w:b/>
                <w:sz w:val="20"/>
                <w:szCs w:val="20"/>
              </w:rPr>
            </w:pPr>
          </w:p>
        </w:tc>
        <w:tc>
          <w:tcPr>
            <w:tcW w:w="2340" w:type="dxa"/>
          </w:tcPr>
          <w:p w14:paraId="556252A6" w14:textId="369017E9" w:rsidR="00F76626" w:rsidRDefault="00F76626" w:rsidP="003917B8">
            <w:pPr>
              <w:rPr>
                <w:rFonts w:ascii="Garamond" w:hAnsi="Garamond"/>
                <w:b/>
              </w:rPr>
            </w:pPr>
          </w:p>
        </w:tc>
        <w:tc>
          <w:tcPr>
            <w:tcW w:w="2340" w:type="dxa"/>
          </w:tcPr>
          <w:p w14:paraId="380989FD" w14:textId="77777777" w:rsidR="00BF0763" w:rsidRDefault="00BF0763" w:rsidP="003917B8">
            <w:pPr>
              <w:rPr>
                <w:rFonts w:ascii="Garamond" w:hAnsi="Garamond"/>
                <w:b/>
              </w:rPr>
            </w:pPr>
          </w:p>
        </w:tc>
        <w:tc>
          <w:tcPr>
            <w:tcW w:w="2160" w:type="dxa"/>
          </w:tcPr>
          <w:p w14:paraId="60FF8706" w14:textId="77777777" w:rsidR="00BF0763" w:rsidRDefault="00BF0763" w:rsidP="003917B8">
            <w:pPr>
              <w:rPr>
                <w:rFonts w:ascii="Garamond" w:hAnsi="Garamond"/>
                <w:b/>
              </w:rPr>
            </w:pPr>
          </w:p>
        </w:tc>
      </w:tr>
      <w:tr w:rsidR="00BF0763" w14:paraId="40C61F72" w14:textId="77777777" w:rsidTr="003917B8">
        <w:tc>
          <w:tcPr>
            <w:tcW w:w="2358" w:type="dxa"/>
          </w:tcPr>
          <w:p w14:paraId="05592824" w14:textId="77777777" w:rsidR="00BF0763" w:rsidRPr="0043766B" w:rsidRDefault="00BF0763" w:rsidP="003917B8">
            <w:pPr>
              <w:rPr>
                <w:rFonts w:ascii="Garamond" w:hAnsi="Garamond"/>
                <w:b/>
                <w:sz w:val="20"/>
                <w:szCs w:val="20"/>
              </w:rPr>
            </w:pPr>
          </w:p>
        </w:tc>
        <w:tc>
          <w:tcPr>
            <w:tcW w:w="2340" w:type="dxa"/>
          </w:tcPr>
          <w:p w14:paraId="4865B2B0" w14:textId="77777777" w:rsidR="00BF0763" w:rsidRDefault="00BF0763" w:rsidP="003917B8">
            <w:pPr>
              <w:rPr>
                <w:rFonts w:ascii="Garamond" w:hAnsi="Garamond"/>
                <w:b/>
              </w:rPr>
            </w:pPr>
          </w:p>
        </w:tc>
        <w:tc>
          <w:tcPr>
            <w:tcW w:w="2340" w:type="dxa"/>
          </w:tcPr>
          <w:p w14:paraId="0084D9F7" w14:textId="77777777" w:rsidR="00BF0763" w:rsidRDefault="00BF0763" w:rsidP="003917B8">
            <w:pPr>
              <w:rPr>
                <w:rFonts w:ascii="Garamond" w:hAnsi="Garamond"/>
                <w:b/>
              </w:rPr>
            </w:pPr>
          </w:p>
        </w:tc>
        <w:tc>
          <w:tcPr>
            <w:tcW w:w="2160" w:type="dxa"/>
          </w:tcPr>
          <w:p w14:paraId="03AA8BE9" w14:textId="77777777" w:rsidR="00BF0763" w:rsidRDefault="00BF0763" w:rsidP="003917B8">
            <w:pPr>
              <w:rPr>
                <w:rFonts w:ascii="Garamond" w:hAnsi="Garamond"/>
                <w:b/>
              </w:rPr>
            </w:pPr>
          </w:p>
        </w:tc>
      </w:tr>
      <w:tr w:rsidR="00BF0763" w14:paraId="26422E02" w14:textId="77777777" w:rsidTr="003917B8">
        <w:tc>
          <w:tcPr>
            <w:tcW w:w="9198" w:type="dxa"/>
            <w:gridSpan w:val="4"/>
            <w:shd w:val="clear" w:color="auto" w:fill="D9D9D9" w:themeFill="background1" w:themeFillShade="D9"/>
          </w:tcPr>
          <w:p w14:paraId="0BB1276D" w14:textId="77777777" w:rsidR="00BF0763" w:rsidRDefault="00BF0763" w:rsidP="003917B8">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3672F32C" w14:textId="77777777" w:rsidTr="003917B8">
        <w:tc>
          <w:tcPr>
            <w:tcW w:w="2358" w:type="dxa"/>
          </w:tcPr>
          <w:p w14:paraId="53EBB90C" w14:textId="77777777" w:rsidR="00BF0763" w:rsidRPr="0043766B" w:rsidRDefault="00BF0763" w:rsidP="003917B8">
            <w:pPr>
              <w:rPr>
                <w:rFonts w:ascii="Garamond" w:hAnsi="Garamond"/>
                <w:b/>
                <w:sz w:val="20"/>
                <w:szCs w:val="20"/>
              </w:rPr>
            </w:pPr>
          </w:p>
        </w:tc>
        <w:tc>
          <w:tcPr>
            <w:tcW w:w="2340" w:type="dxa"/>
          </w:tcPr>
          <w:p w14:paraId="1526F5A7" w14:textId="77777777" w:rsidR="00BF0763" w:rsidRDefault="00BF0763" w:rsidP="003917B8">
            <w:pPr>
              <w:rPr>
                <w:rFonts w:ascii="Garamond" w:hAnsi="Garamond"/>
                <w:b/>
              </w:rPr>
            </w:pPr>
          </w:p>
        </w:tc>
        <w:tc>
          <w:tcPr>
            <w:tcW w:w="2340" w:type="dxa"/>
          </w:tcPr>
          <w:p w14:paraId="12AAB78D" w14:textId="77777777" w:rsidR="00BF0763" w:rsidRDefault="00BF0763" w:rsidP="003917B8">
            <w:pPr>
              <w:rPr>
                <w:rFonts w:ascii="Garamond" w:hAnsi="Garamond"/>
                <w:b/>
              </w:rPr>
            </w:pPr>
          </w:p>
        </w:tc>
        <w:tc>
          <w:tcPr>
            <w:tcW w:w="2160" w:type="dxa"/>
          </w:tcPr>
          <w:p w14:paraId="3A505252" w14:textId="77777777" w:rsidR="00BF0763" w:rsidRDefault="00BF0763" w:rsidP="003917B8">
            <w:pPr>
              <w:rPr>
                <w:rFonts w:ascii="Garamond" w:hAnsi="Garamond"/>
                <w:b/>
              </w:rPr>
            </w:pPr>
          </w:p>
        </w:tc>
      </w:tr>
      <w:tr w:rsidR="00BF0763" w14:paraId="6C87F005" w14:textId="77777777" w:rsidTr="003917B8">
        <w:tc>
          <w:tcPr>
            <w:tcW w:w="2358" w:type="dxa"/>
          </w:tcPr>
          <w:p w14:paraId="72E7C196" w14:textId="77777777" w:rsidR="00BF0763" w:rsidRPr="0043766B" w:rsidRDefault="00BF0763" w:rsidP="003917B8">
            <w:pPr>
              <w:rPr>
                <w:rFonts w:ascii="Garamond" w:hAnsi="Garamond"/>
                <w:b/>
                <w:sz w:val="20"/>
                <w:szCs w:val="20"/>
              </w:rPr>
            </w:pPr>
          </w:p>
        </w:tc>
        <w:tc>
          <w:tcPr>
            <w:tcW w:w="2340" w:type="dxa"/>
          </w:tcPr>
          <w:p w14:paraId="3FFA9932" w14:textId="77777777" w:rsidR="00BF0763" w:rsidRDefault="00BF0763" w:rsidP="003917B8">
            <w:pPr>
              <w:rPr>
                <w:rFonts w:ascii="Garamond" w:hAnsi="Garamond"/>
                <w:b/>
              </w:rPr>
            </w:pPr>
          </w:p>
        </w:tc>
        <w:tc>
          <w:tcPr>
            <w:tcW w:w="2340" w:type="dxa"/>
          </w:tcPr>
          <w:p w14:paraId="0BD3D6D4" w14:textId="77777777" w:rsidR="00BF0763" w:rsidRDefault="00BF0763" w:rsidP="003917B8">
            <w:pPr>
              <w:rPr>
                <w:rFonts w:ascii="Garamond" w:hAnsi="Garamond"/>
                <w:b/>
              </w:rPr>
            </w:pPr>
          </w:p>
        </w:tc>
        <w:tc>
          <w:tcPr>
            <w:tcW w:w="2160" w:type="dxa"/>
          </w:tcPr>
          <w:p w14:paraId="58E53750" w14:textId="77777777" w:rsidR="00BF0763" w:rsidRDefault="00BF0763" w:rsidP="003917B8">
            <w:pPr>
              <w:rPr>
                <w:rFonts w:ascii="Garamond" w:hAnsi="Garamond"/>
                <w:b/>
              </w:rPr>
            </w:pPr>
          </w:p>
        </w:tc>
      </w:tr>
      <w:tr w:rsidR="00BF0763" w14:paraId="17D5FC41" w14:textId="77777777" w:rsidTr="003917B8">
        <w:tc>
          <w:tcPr>
            <w:tcW w:w="2358" w:type="dxa"/>
          </w:tcPr>
          <w:p w14:paraId="360FE89A" w14:textId="77777777" w:rsidR="00BF0763" w:rsidRPr="0043766B" w:rsidRDefault="00BF0763" w:rsidP="003917B8">
            <w:pPr>
              <w:rPr>
                <w:rFonts w:ascii="Garamond" w:hAnsi="Garamond"/>
                <w:b/>
                <w:sz w:val="20"/>
                <w:szCs w:val="20"/>
              </w:rPr>
            </w:pPr>
          </w:p>
        </w:tc>
        <w:tc>
          <w:tcPr>
            <w:tcW w:w="2340" w:type="dxa"/>
          </w:tcPr>
          <w:p w14:paraId="1B5B2E4B" w14:textId="77777777" w:rsidR="00BF0763" w:rsidRDefault="00BF0763" w:rsidP="003917B8">
            <w:pPr>
              <w:rPr>
                <w:rFonts w:ascii="Garamond" w:hAnsi="Garamond"/>
                <w:b/>
              </w:rPr>
            </w:pPr>
          </w:p>
        </w:tc>
        <w:tc>
          <w:tcPr>
            <w:tcW w:w="2340" w:type="dxa"/>
          </w:tcPr>
          <w:p w14:paraId="140BBEA1" w14:textId="77777777" w:rsidR="00BF0763" w:rsidRDefault="00BF0763" w:rsidP="003917B8">
            <w:pPr>
              <w:rPr>
                <w:rFonts w:ascii="Garamond" w:hAnsi="Garamond"/>
                <w:b/>
              </w:rPr>
            </w:pPr>
          </w:p>
        </w:tc>
        <w:tc>
          <w:tcPr>
            <w:tcW w:w="2160" w:type="dxa"/>
          </w:tcPr>
          <w:p w14:paraId="219CCFA0" w14:textId="77777777" w:rsidR="00BF0763" w:rsidRDefault="00BF0763" w:rsidP="003917B8">
            <w:pPr>
              <w:rPr>
                <w:rFonts w:ascii="Garamond" w:hAnsi="Garamond"/>
                <w:b/>
              </w:rPr>
            </w:pPr>
          </w:p>
        </w:tc>
      </w:tr>
      <w:tr w:rsidR="00BF0763" w14:paraId="7BF83970" w14:textId="77777777" w:rsidTr="003917B8">
        <w:tc>
          <w:tcPr>
            <w:tcW w:w="9198" w:type="dxa"/>
            <w:gridSpan w:val="4"/>
            <w:shd w:val="clear" w:color="auto" w:fill="D9D9D9" w:themeFill="background1" w:themeFillShade="D9"/>
          </w:tcPr>
          <w:p w14:paraId="073AF5E6" w14:textId="77777777" w:rsidR="00BF0763" w:rsidRPr="0043766B" w:rsidRDefault="00BF0763" w:rsidP="003917B8">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102066" w14:paraId="6B2921A8" w14:textId="77777777" w:rsidTr="003917B8">
        <w:tc>
          <w:tcPr>
            <w:tcW w:w="9198" w:type="dxa"/>
            <w:gridSpan w:val="4"/>
            <w:shd w:val="clear" w:color="auto" w:fill="D9D9D9" w:themeFill="background1" w:themeFillShade="D9"/>
          </w:tcPr>
          <w:p w14:paraId="39BB8D51" w14:textId="23FD23F1" w:rsidR="00102066" w:rsidRPr="0043766B" w:rsidRDefault="00102066" w:rsidP="003917B8">
            <w:pPr>
              <w:rPr>
                <w:rFonts w:ascii="Garamond" w:hAnsi="Garamond"/>
                <w:b/>
                <w:sz w:val="20"/>
                <w:szCs w:val="20"/>
              </w:rPr>
            </w:pPr>
            <w:r>
              <w:rPr>
                <w:rFonts w:ascii="Garamond" w:hAnsi="Garamond"/>
                <w:b/>
                <w:sz w:val="20"/>
                <w:szCs w:val="20"/>
              </w:rPr>
              <w:t>ç</w:t>
            </w:r>
            <w:bookmarkStart w:id="2" w:name="_GoBack"/>
            <w:bookmarkEnd w:id="2"/>
          </w:p>
        </w:tc>
      </w:tr>
      <w:tr w:rsidR="00BF0763" w14:paraId="68F62642" w14:textId="77777777" w:rsidTr="003917B8">
        <w:tc>
          <w:tcPr>
            <w:tcW w:w="2358" w:type="dxa"/>
          </w:tcPr>
          <w:p w14:paraId="7CC0896D" w14:textId="77777777" w:rsidR="00BF0763" w:rsidRPr="0043766B" w:rsidRDefault="00BF0763" w:rsidP="003917B8">
            <w:pPr>
              <w:rPr>
                <w:rFonts w:ascii="Garamond" w:hAnsi="Garamond"/>
                <w:b/>
                <w:sz w:val="20"/>
                <w:szCs w:val="20"/>
              </w:rPr>
            </w:pPr>
          </w:p>
        </w:tc>
        <w:tc>
          <w:tcPr>
            <w:tcW w:w="2340" w:type="dxa"/>
          </w:tcPr>
          <w:p w14:paraId="016511AA" w14:textId="77777777" w:rsidR="00BF0763" w:rsidRDefault="00BF0763" w:rsidP="003917B8">
            <w:pPr>
              <w:rPr>
                <w:rFonts w:ascii="Garamond" w:hAnsi="Garamond"/>
                <w:b/>
              </w:rPr>
            </w:pPr>
          </w:p>
        </w:tc>
        <w:tc>
          <w:tcPr>
            <w:tcW w:w="2340" w:type="dxa"/>
          </w:tcPr>
          <w:p w14:paraId="1D634C00" w14:textId="77777777" w:rsidR="00BF0763" w:rsidRDefault="00BF0763" w:rsidP="003917B8">
            <w:pPr>
              <w:rPr>
                <w:rFonts w:ascii="Garamond" w:hAnsi="Garamond"/>
                <w:b/>
              </w:rPr>
            </w:pPr>
          </w:p>
        </w:tc>
        <w:tc>
          <w:tcPr>
            <w:tcW w:w="2160" w:type="dxa"/>
          </w:tcPr>
          <w:p w14:paraId="05675A0C" w14:textId="77777777" w:rsidR="00BF0763" w:rsidRDefault="00BF0763" w:rsidP="003917B8">
            <w:pPr>
              <w:rPr>
                <w:rFonts w:ascii="Garamond" w:hAnsi="Garamond"/>
                <w:b/>
              </w:rPr>
            </w:pPr>
          </w:p>
        </w:tc>
      </w:tr>
      <w:tr w:rsidR="00BF0763" w14:paraId="17F7B6FA" w14:textId="77777777" w:rsidTr="003917B8">
        <w:tc>
          <w:tcPr>
            <w:tcW w:w="2358" w:type="dxa"/>
          </w:tcPr>
          <w:p w14:paraId="46269465" w14:textId="77777777" w:rsidR="00BF0763" w:rsidRPr="0043766B" w:rsidRDefault="00BF0763" w:rsidP="003917B8">
            <w:pPr>
              <w:rPr>
                <w:rFonts w:ascii="Garamond" w:hAnsi="Garamond"/>
                <w:b/>
                <w:sz w:val="20"/>
                <w:szCs w:val="20"/>
              </w:rPr>
            </w:pPr>
          </w:p>
        </w:tc>
        <w:tc>
          <w:tcPr>
            <w:tcW w:w="2340" w:type="dxa"/>
          </w:tcPr>
          <w:p w14:paraId="5117C3C0" w14:textId="77777777" w:rsidR="00BF0763" w:rsidRDefault="00BF0763" w:rsidP="003917B8">
            <w:pPr>
              <w:rPr>
                <w:rFonts w:ascii="Garamond" w:hAnsi="Garamond"/>
                <w:b/>
              </w:rPr>
            </w:pPr>
          </w:p>
        </w:tc>
        <w:tc>
          <w:tcPr>
            <w:tcW w:w="2340" w:type="dxa"/>
          </w:tcPr>
          <w:p w14:paraId="17BD8D85" w14:textId="77777777" w:rsidR="00BF0763" w:rsidRDefault="00BF0763" w:rsidP="003917B8">
            <w:pPr>
              <w:rPr>
                <w:rFonts w:ascii="Garamond" w:hAnsi="Garamond"/>
                <w:b/>
              </w:rPr>
            </w:pPr>
          </w:p>
        </w:tc>
        <w:tc>
          <w:tcPr>
            <w:tcW w:w="2160" w:type="dxa"/>
          </w:tcPr>
          <w:p w14:paraId="5DEAE8F4" w14:textId="77777777" w:rsidR="00BF0763" w:rsidRDefault="00BF0763" w:rsidP="003917B8">
            <w:pPr>
              <w:rPr>
                <w:rFonts w:ascii="Garamond" w:hAnsi="Garamond"/>
                <w:b/>
              </w:rPr>
            </w:pPr>
          </w:p>
        </w:tc>
      </w:tr>
      <w:tr w:rsidR="00BF0763" w14:paraId="77503356" w14:textId="77777777" w:rsidTr="003917B8">
        <w:tc>
          <w:tcPr>
            <w:tcW w:w="2358" w:type="dxa"/>
          </w:tcPr>
          <w:p w14:paraId="15336299" w14:textId="77777777" w:rsidR="00BF0763" w:rsidRPr="0043766B" w:rsidRDefault="00BF0763" w:rsidP="003917B8">
            <w:pPr>
              <w:rPr>
                <w:rFonts w:ascii="Garamond" w:hAnsi="Garamond"/>
                <w:b/>
                <w:sz w:val="20"/>
                <w:szCs w:val="20"/>
              </w:rPr>
            </w:pPr>
          </w:p>
        </w:tc>
        <w:tc>
          <w:tcPr>
            <w:tcW w:w="2340" w:type="dxa"/>
          </w:tcPr>
          <w:p w14:paraId="6F5A4FE3" w14:textId="77777777" w:rsidR="00BF0763" w:rsidRDefault="00BF0763" w:rsidP="003917B8">
            <w:pPr>
              <w:rPr>
                <w:rFonts w:ascii="Garamond" w:hAnsi="Garamond"/>
                <w:b/>
              </w:rPr>
            </w:pPr>
          </w:p>
        </w:tc>
        <w:tc>
          <w:tcPr>
            <w:tcW w:w="2340" w:type="dxa"/>
          </w:tcPr>
          <w:p w14:paraId="76B79C2A" w14:textId="77777777" w:rsidR="00BF0763" w:rsidRDefault="00BF0763" w:rsidP="003917B8">
            <w:pPr>
              <w:rPr>
                <w:rFonts w:ascii="Garamond" w:hAnsi="Garamond"/>
                <w:b/>
              </w:rPr>
            </w:pPr>
          </w:p>
        </w:tc>
        <w:tc>
          <w:tcPr>
            <w:tcW w:w="2160" w:type="dxa"/>
          </w:tcPr>
          <w:p w14:paraId="7CEEFC41" w14:textId="77777777" w:rsidR="00BF0763" w:rsidRDefault="00BF0763" w:rsidP="003917B8">
            <w:pPr>
              <w:rPr>
                <w:rFonts w:ascii="Garamond" w:hAnsi="Garamond"/>
                <w:b/>
              </w:rPr>
            </w:pPr>
          </w:p>
        </w:tc>
      </w:tr>
      <w:tr w:rsidR="00BF0763" w14:paraId="37CB97B8" w14:textId="77777777" w:rsidTr="003917B8">
        <w:tc>
          <w:tcPr>
            <w:tcW w:w="9198" w:type="dxa"/>
            <w:gridSpan w:val="4"/>
            <w:shd w:val="clear" w:color="auto" w:fill="D9D9D9" w:themeFill="background1" w:themeFillShade="D9"/>
          </w:tcPr>
          <w:p w14:paraId="5ACE4F78" w14:textId="77777777" w:rsidR="00BF0763" w:rsidRPr="0043766B" w:rsidRDefault="00BF0763" w:rsidP="003917B8">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18EA18AF" w14:textId="77777777" w:rsidTr="003917B8">
        <w:tc>
          <w:tcPr>
            <w:tcW w:w="2358" w:type="dxa"/>
          </w:tcPr>
          <w:p w14:paraId="1888419E" w14:textId="77777777" w:rsidR="00BF0763" w:rsidRPr="0043766B" w:rsidRDefault="00BF0763" w:rsidP="003917B8">
            <w:pPr>
              <w:rPr>
                <w:rFonts w:ascii="Garamond" w:hAnsi="Garamond"/>
                <w:b/>
                <w:sz w:val="20"/>
                <w:szCs w:val="20"/>
              </w:rPr>
            </w:pPr>
          </w:p>
        </w:tc>
        <w:tc>
          <w:tcPr>
            <w:tcW w:w="2340" w:type="dxa"/>
          </w:tcPr>
          <w:p w14:paraId="3E4A00B9" w14:textId="77777777" w:rsidR="00BF0763" w:rsidRDefault="00BF0763" w:rsidP="003917B8">
            <w:pPr>
              <w:rPr>
                <w:rFonts w:ascii="Garamond" w:hAnsi="Garamond"/>
                <w:b/>
              </w:rPr>
            </w:pPr>
          </w:p>
        </w:tc>
        <w:tc>
          <w:tcPr>
            <w:tcW w:w="2340" w:type="dxa"/>
          </w:tcPr>
          <w:p w14:paraId="380A8722" w14:textId="77777777" w:rsidR="00BF0763" w:rsidRDefault="00BF0763" w:rsidP="003917B8">
            <w:pPr>
              <w:rPr>
                <w:rFonts w:ascii="Garamond" w:hAnsi="Garamond"/>
                <w:b/>
              </w:rPr>
            </w:pPr>
          </w:p>
        </w:tc>
        <w:tc>
          <w:tcPr>
            <w:tcW w:w="2160" w:type="dxa"/>
          </w:tcPr>
          <w:p w14:paraId="06EEF999" w14:textId="77777777" w:rsidR="00BF0763" w:rsidRDefault="00BF0763" w:rsidP="003917B8">
            <w:pPr>
              <w:rPr>
                <w:rFonts w:ascii="Garamond" w:hAnsi="Garamond"/>
                <w:b/>
              </w:rPr>
            </w:pPr>
          </w:p>
        </w:tc>
      </w:tr>
      <w:tr w:rsidR="00BF0763" w14:paraId="09728A9F" w14:textId="77777777" w:rsidTr="003917B8">
        <w:tc>
          <w:tcPr>
            <w:tcW w:w="2358" w:type="dxa"/>
          </w:tcPr>
          <w:p w14:paraId="67C1AA98" w14:textId="77777777" w:rsidR="00BF0763" w:rsidRPr="0043766B" w:rsidRDefault="00BF0763" w:rsidP="003917B8">
            <w:pPr>
              <w:rPr>
                <w:rFonts w:ascii="Garamond" w:hAnsi="Garamond"/>
                <w:b/>
                <w:sz w:val="20"/>
                <w:szCs w:val="20"/>
              </w:rPr>
            </w:pPr>
          </w:p>
        </w:tc>
        <w:tc>
          <w:tcPr>
            <w:tcW w:w="2340" w:type="dxa"/>
          </w:tcPr>
          <w:p w14:paraId="0BBA6BD4" w14:textId="77777777" w:rsidR="00BF0763" w:rsidRDefault="00BF0763" w:rsidP="003917B8">
            <w:pPr>
              <w:rPr>
                <w:rFonts w:ascii="Garamond" w:hAnsi="Garamond"/>
                <w:b/>
              </w:rPr>
            </w:pPr>
          </w:p>
        </w:tc>
        <w:tc>
          <w:tcPr>
            <w:tcW w:w="2340" w:type="dxa"/>
          </w:tcPr>
          <w:p w14:paraId="09C758FE" w14:textId="77777777" w:rsidR="00BF0763" w:rsidRDefault="00BF0763" w:rsidP="003917B8">
            <w:pPr>
              <w:rPr>
                <w:rFonts w:ascii="Garamond" w:hAnsi="Garamond"/>
                <w:b/>
              </w:rPr>
            </w:pPr>
          </w:p>
        </w:tc>
        <w:tc>
          <w:tcPr>
            <w:tcW w:w="2160" w:type="dxa"/>
          </w:tcPr>
          <w:p w14:paraId="3FADCBDC" w14:textId="77777777" w:rsidR="00BF0763" w:rsidRDefault="00BF0763" w:rsidP="003917B8">
            <w:pPr>
              <w:rPr>
                <w:rFonts w:ascii="Garamond" w:hAnsi="Garamond"/>
                <w:b/>
              </w:rPr>
            </w:pPr>
          </w:p>
        </w:tc>
      </w:tr>
      <w:tr w:rsidR="00BF0763" w14:paraId="7583BF47" w14:textId="77777777" w:rsidTr="003917B8">
        <w:tc>
          <w:tcPr>
            <w:tcW w:w="2358" w:type="dxa"/>
          </w:tcPr>
          <w:p w14:paraId="0A3CA51F" w14:textId="77777777" w:rsidR="00BF0763" w:rsidRDefault="00BF0763" w:rsidP="003917B8">
            <w:pPr>
              <w:rPr>
                <w:rFonts w:ascii="Garamond" w:hAnsi="Garamond"/>
                <w:b/>
              </w:rPr>
            </w:pPr>
          </w:p>
        </w:tc>
        <w:tc>
          <w:tcPr>
            <w:tcW w:w="2340" w:type="dxa"/>
          </w:tcPr>
          <w:p w14:paraId="539741F2" w14:textId="77777777" w:rsidR="00BF0763" w:rsidRDefault="00BF0763" w:rsidP="003917B8">
            <w:pPr>
              <w:rPr>
                <w:rFonts w:ascii="Garamond" w:hAnsi="Garamond"/>
                <w:b/>
              </w:rPr>
            </w:pPr>
          </w:p>
        </w:tc>
        <w:tc>
          <w:tcPr>
            <w:tcW w:w="2340" w:type="dxa"/>
          </w:tcPr>
          <w:p w14:paraId="6CC9B6C8" w14:textId="77777777" w:rsidR="00BF0763" w:rsidRDefault="00BF0763" w:rsidP="003917B8">
            <w:pPr>
              <w:rPr>
                <w:rFonts w:ascii="Garamond" w:hAnsi="Garamond"/>
                <w:b/>
              </w:rPr>
            </w:pPr>
          </w:p>
        </w:tc>
        <w:tc>
          <w:tcPr>
            <w:tcW w:w="2160" w:type="dxa"/>
          </w:tcPr>
          <w:p w14:paraId="1175F6A4" w14:textId="77777777" w:rsidR="00BF0763" w:rsidRDefault="00BF0763" w:rsidP="003917B8">
            <w:pPr>
              <w:rPr>
                <w:rFonts w:ascii="Garamond" w:hAnsi="Garamond"/>
                <w:b/>
              </w:rPr>
            </w:pPr>
          </w:p>
        </w:tc>
      </w:tr>
    </w:tbl>
    <w:p w14:paraId="5A4DEE7E"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7AC34098"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6"/>
          <w:footerReference w:type="default" r:id="rId17"/>
          <w:pgSz w:w="12240" w:h="15840"/>
          <w:pgMar w:top="1226" w:right="1620" w:bottom="458" w:left="1620" w:header="720" w:footer="720" w:gutter="0"/>
          <w:cols w:space="720" w:equalWidth="0">
            <w:col w:w="9000"/>
          </w:cols>
          <w:noEndnote/>
        </w:sectPr>
      </w:pPr>
    </w:p>
    <w:p w14:paraId="2F920BD8"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Refdenotaalpie"/>
          <w:rFonts w:ascii="Garamond" w:hAnsi="Garamond" w:cs="Arial"/>
          <w:b/>
          <w:bCs/>
          <w:color w:val="808080" w:themeColor="background1" w:themeShade="80"/>
          <w:szCs w:val="19"/>
        </w:rPr>
        <w:footnoteReference w:id="15"/>
      </w:r>
    </w:p>
    <w:p w14:paraId="10DD246E"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ECB43F7"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A85C812" wp14:editId="09594A1C">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2F840AA3" w14:textId="77777777" w:rsidR="008013B6" w:rsidRPr="0035593A" w:rsidRDefault="008013B6"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7798D62B" w14:textId="77777777" w:rsidR="008013B6" w:rsidRPr="0035593A" w:rsidRDefault="008013B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D5D3059" w14:textId="77777777" w:rsidR="008013B6" w:rsidRPr="0035593A" w:rsidRDefault="008013B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3B14A292" w14:textId="77777777" w:rsidR="008013B6" w:rsidRPr="0035593A" w:rsidRDefault="008013B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21AD8585" w14:textId="77777777" w:rsidR="008013B6" w:rsidRPr="0035593A" w:rsidRDefault="008013B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8E807ED" w14:textId="77777777" w:rsidR="008013B6" w:rsidRPr="0035593A" w:rsidRDefault="008013B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1884C2F3" w14:textId="77777777" w:rsidR="008013B6" w:rsidRPr="0035593A" w:rsidRDefault="008013B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837B26E" w14:textId="77777777" w:rsidR="008013B6" w:rsidRPr="0035593A" w:rsidRDefault="008013B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4BC4EABF" w14:textId="77777777" w:rsidR="008013B6" w:rsidRPr="0035593A" w:rsidRDefault="008013B6" w:rsidP="00BF0763">
                            <w:pPr>
                              <w:spacing w:after="0" w:line="240" w:lineRule="auto"/>
                              <w:rPr>
                                <w:rFonts w:ascii="Garamond" w:hAnsi="Garamond"/>
                                <w:b/>
                                <w:color w:val="FF0000"/>
                                <w:sz w:val="20"/>
                                <w:szCs w:val="20"/>
                              </w:rPr>
                            </w:pPr>
                          </w:p>
                          <w:p w14:paraId="5C6E717C" w14:textId="77777777" w:rsidR="008013B6" w:rsidRDefault="008013B6"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1404828F" w14:textId="77777777" w:rsidR="008013B6" w:rsidRPr="0035593A" w:rsidRDefault="008013B6" w:rsidP="00BF0763">
                            <w:pPr>
                              <w:spacing w:after="0" w:line="240" w:lineRule="auto"/>
                              <w:jc w:val="center"/>
                              <w:rPr>
                                <w:rFonts w:ascii="Garamond" w:hAnsi="Garamond"/>
                                <w:b/>
                                <w:sz w:val="20"/>
                                <w:szCs w:val="20"/>
                              </w:rPr>
                            </w:pPr>
                          </w:p>
                          <w:p w14:paraId="0C1159A1" w14:textId="77777777" w:rsidR="008013B6" w:rsidRPr="0035593A" w:rsidRDefault="008013B6"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10A83960" w14:textId="77777777" w:rsidR="008013B6" w:rsidRDefault="008013B6" w:rsidP="00BF0763">
                            <w:pPr>
                              <w:spacing w:after="0" w:line="240" w:lineRule="auto"/>
                              <w:rPr>
                                <w:rFonts w:ascii="Garamond" w:hAnsi="Garamond"/>
                                <w:sz w:val="20"/>
                                <w:szCs w:val="20"/>
                              </w:rPr>
                            </w:pPr>
                          </w:p>
                          <w:p w14:paraId="20ADE115" w14:textId="77777777" w:rsidR="008013B6" w:rsidRDefault="008013B6"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49A0A7DD" w14:textId="77777777" w:rsidR="008013B6" w:rsidRPr="0035593A" w:rsidRDefault="008013B6" w:rsidP="00BF0763">
                            <w:pPr>
                              <w:spacing w:after="0" w:line="240" w:lineRule="auto"/>
                              <w:rPr>
                                <w:rFonts w:ascii="Garamond" w:hAnsi="Garamond"/>
                                <w:sz w:val="20"/>
                                <w:szCs w:val="20"/>
                              </w:rPr>
                            </w:pPr>
                          </w:p>
                          <w:p w14:paraId="33549CD5" w14:textId="77777777" w:rsidR="008013B6" w:rsidRPr="0035593A" w:rsidRDefault="008013B6"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50115F29" w14:textId="77777777" w:rsidR="008013B6" w:rsidRPr="0035593A" w:rsidRDefault="008013B6" w:rsidP="00BF0763">
                            <w:pPr>
                              <w:spacing w:after="0" w:line="240" w:lineRule="auto"/>
                              <w:rPr>
                                <w:rFonts w:ascii="Garamond" w:hAnsi="Garamond"/>
                                <w:sz w:val="20"/>
                                <w:szCs w:val="20"/>
                              </w:rPr>
                            </w:pPr>
                          </w:p>
                          <w:p w14:paraId="457C822F" w14:textId="77777777" w:rsidR="008013B6" w:rsidRDefault="008013B6"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49B1A31" w14:textId="77777777" w:rsidR="008013B6" w:rsidRPr="0035593A" w:rsidRDefault="008013B6" w:rsidP="00BF0763">
                            <w:pPr>
                              <w:spacing w:after="0" w:line="240" w:lineRule="auto"/>
                              <w:rPr>
                                <w:rFonts w:ascii="Garamond" w:hAnsi="Garamond"/>
                                <w:b/>
                                <w:sz w:val="20"/>
                                <w:szCs w:val="20"/>
                              </w:rPr>
                            </w:pPr>
                          </w:p>
                          <w:p w14:paraId="5D48B0D3" w14:textId="77777777" w:rsidR="008013B6" w:rsidRDefault="008013B6"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48B4857D" w14:textId="77777777" w:rsidR="008013B6" w:rsidRPr="0035593A" w:rsidRDefault="008013B6" w:rsidP="00BF0763">
                            <w:pPr>
                              <w:spacing w:after="0" w:line="240" w:lineRule="auto"/>
                              <w:rPr>
                                <w:rFonts w:ascii="Garamond" w:hAnsi="Garamond"/>
                                <w:sz w:val="20"/>
                                <w:szCs w:val="20"/>
                              </w:rPr>
                            </w:pPr>
                          </w:p>
                          <w:p w14:paraId="5071E965" w14:textId="77777777" w:rsidR="008013B6" w:rsidRPr="0035593A" w:rsidRDefault="008013B6"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A85C81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2F840AA3" w14:textId="77777777" w:rsidR="008013B6" w:rsidRPr="0035593A" w:rsidRDefault="008013B6"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7798D62B" w14:textId="77777777" w:rsidR="008013B6" w:rsidRPr="0035593A" w:rsidRDefault="008013B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D5D3059" w14:textId="77777777" w:rsidR="008013B6" w:rsidRPr="0035593A" w:rsidRDefault="008013B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3B14A292" w14:textId="77777777" w:rsidR="008013B6" w:rsidRPr="0035593A" w:rsidRDefault="008013B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21AD8585" w14:textId="77777777" w:rsidR="008013B6" w:rsidRPr="0035593A" w:rsidRDefault="008013B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8E807ED" w14:textId="77777777" w:rsidR="008013B6" w:rsidRPr="0035593A" w:rsidRDefault="008013B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1884C2F3" w14:textId="77777777" w:rsidR="008013B6" w:rsidRPr="0035593A" w:rsidRDefault="008013B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837B26E" w14:textId="77777777" w:rsidR="008013B6" w:rsidRPr="0035593A" w:rsidRDefault="008013B6"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4BC4EABF" w14:textId="77777777" w:rsidR="008013B6" w:rsidRPr="0035593A" w:rsidRDefault="008013B6" w:rsidP="00BF0763">
                      <w:pPr>
                        <w:spacing w:after="0" w:line="240" w:lineRule="auto"/>
                        <w:rPr>
                          <w:rFonts w:ascii="Garamond" w:hAnsi="Garamond"/>
                          <w:b/>
                          <w:color w:val="FF0000"/>
                          <w:sz w:val="20"/>
                          <w:szCs w:val="20"/>
                        </w:rPr>
                      </w:pPr>
                    </w:p>
                    <w:p w14:paraId="5C6E717C" w14:textId="77777777" w:rsidR="008013B6" w:rsidRDefault="008013B6"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1404828F" w14:textId="77777777" w:rsidR="008013B6" w:rsidRPr="0035593A" w:rsidRDefault="008013B6" w:rsidP="00BF0763">
                      <w:pPr>
                        <w:spacing w:after="0" w:line="240" w:lineRule="auto"/>
                        <w:jc w:val="center"/>
                        <w:rPr>
                          <w:rFonts w:ascii="Garamond" w:hAnsi="Garamond"/>
                          <w:b/>
                          <w:sz w:val="20"/>
                          <w:szCs w:val="20"/>
                        </w:rPr>
                      </w:pPr>
                    </w:p>
                    <w:p w14:paraId="0C1159A1" w14:textId="77777777" w:rsidR="008013B6" w:rsidRPr="0035593A" w:rsidRDefault="008013B6"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10A83960" w14:textId="77777777" w:rsidR="008013B6" w:rsidRDefault="008013B6" w:rsidP="00BF0763">
                      <w:pPr>
                        <w:spacing w:after="0" w:line="240" w:lineRule="auto"/>
                        <w:rPr>
                          <w:rFonts w:ascii="Garamond" w:hAnsi="Garamond"/>
                          <w:sz w:val="20"/>
                          <w:szCs w:val="20"/>
                        </w:rPr>
                      </w:pPr>
                    </w:p>
                    <w:p w14:paraId="20ADE115" w14:textId="77777777" w:rsidR="008013B6" w:rsidRDefault="008013B6"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49A0A7DD" w14:textId="77777777" w:rsidR="008013B6" w:rsidRPr="0035593A" w:rsidRDefault="008013B6" w:rsidP="00BF0763">
                      <w:pPr>
                        <w:spacing w:after="0" w:line="240" w:lineRule="auto"/>
                        <w:rPr>
                          <w:rFonts w:ascii="Garamond" w:hAnsi="Garamond"/>
                          <w:sz w:val="20"/>
                          <w:szCs w:val="20"/>
                        </w:rPr>
                      </w:pPr>
                    </w:p>
                    <w:p w14:paraId="33549CD5" w14:textId="77777777" w:rsidR="008013B6" w:rsidRPr="0035593A" w:rsidRDefault="008013B6"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50115F29" w14:textId="77777777" w:rsidR="008013B6" w:rsidRPr="0035593A" w:rsidRDefault="008013B6" w:rsidP="00BF0763">
                      <w:pPr>
                        <w:spacing w:after="0" w:line="240" w:lineRule="auto"/>
                        <w:rPr>
                          <w:rFonts w:ascii="Garamond" w:hAnsi="Garamond"/>
                          <w:sz w:val="20"/>
                          <w:szCs w:val="20"/>
                        </w:rPr>
                      </w:pPr>
                    </w:p>
                    <w:p w14:paraId="457C822F" w14:textId="77777777" w:rsidR="008013B6" w:rsidRDefault="008013B6"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549B1A31" w14:textId="77777777" w:rsidR="008013B6" w:rsidRPr="0035593A" w:rsidRDefault="008013B6" w:rsidP="00BF0763">
                      <w:pPr>
                        <w:spacing w:after="0" w:line="240" w:lineRule="auto"/>
                        <w:rPr>
                          <w:rFonts w:ascii="Garamond" w:hAnsi="Garamond"/>
                          <w:b/>
                          <w:sz w:val="20"/>
                          <w:szCs w:val="20"/>
                        </w:rPr>
                      </w:pPr>
                    </w:p>
                    <w:p w14:paraId="5D48B0D3" w14:textId="77777777" w:rsidR="008013B6" w:rsidRDefault="008013B6"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48B4857D" w14:textId="77777777" w:rsidR="008013B6" w:rsidRPr="0035593A" w:rsidRDefault="008013B6" w:rsidP="00BF0763">
                      <w:pPr>
                        <w:spacing w:after="0" w:line="240" w:lineRule="auto"/>
                        <w:rPr>
                          <w:rFonts w:ascii="Garamond" w:hAnsi="Garamond"/>
                          <w:sz w:val="20"/>
                          <w:szCs w:val="20"/>
                        </w:rPr>
                      </w:pPr>
                    </w:p>
                    <w:p w14:paraId="5071E965" w14:textId="77777777" w:rsidR="008013B6" w:rsidRPr="0035593A" w:rsidRDefault="008013B6"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26FB1075" w14:textId="77777777" w:rsidR="00BF0763" w:rsidRDefault="00BF0763" w:rsidP="00BF0763">
      <w:pPr>
        <w:spacing w:after="0" w:line="240" w:lineRule="auto"/>
        <w:rPr>
          <w:rFonts w:ascii="Garamond" w:hAnsi="Garamond"/>
          <w:b/>
          <w:color w:val="808080" w:themeColor="background1" w:themeShade="80"/>
        </w:rPr>
      </w:pPr>
    </w:p>
    <w:p w14:paraId="08B3150D" w14:textId="77777777" w:rsidR="00BF0763" w:rsidRDefault="00BF0763" w:rsidP="00BF0763">
      <w:pPr>
        <w:spacing w:after="0" w:line="240" w:lineRule="auto"/>
        <w:rPr>
          <w:rFonts w:ascii="Garamond" w:hAnsi="Garamond"/>
          <w:b/>
          <w:color w:val="808080" w:themeColor="background1" w:themeShade="80"/>
        </w:rPr>
      </w:pPr>
    </w:p>
    <w:p w14:paraId="593B3E35" w14:textId="77777777" w:rsidR="00BF0763" w:rsidRDefault="00BF0763" w:rsidP="00BF0763">
      <w:pPr>
        <w:spacing w:after="0" w:line="240" w:lineRule="auto"/>
        <w:rPr>
          <w:rFonts w:ascii="Garamond" w:hAnsi="Garamond"/>
          <w:b/>
          <w:color w:val="808080" w:themeColor="background1" w:themeShade="80"/>
        </w:rPr>
      </w:pPr>
    </w:p>
    <w:p w14:paraId="50CE50B8" w14:textId="77777777" w:rsidR="00BF0763" w:rsidRDefault="00BF0763" w:rsidP="00BF0763">
      <w:pPr>
        <w:spacing w:after="0" w:line="240" w:lineRule="auto"/>
        <w:rPr>
          <w:rFonts w:ascii="Garamond" w:hAnsi="Garamond"/>
          <w:b/>
          <w:color w:val="808080" w:themeColor="background1" w:themeShade="80"/>
        </w:rPr>
      </w:pPr>
    </w:p>
    <w:p w14:paraId="15FB780A" w14:textId="77777777" w:rsidR="00BF0763" w:rsidRDefault="00BF0763" w:rsidP="00BF0763">
      <w:pPr>
        <w:spacing w:after="0" w:line="240" w:lineRule="auto"/>
        <w:rPr>
          <w:rFonts w:ascii="Garamond" w:hAnsi="Garamond"/>
          <w:b/>
          <w:color w:val="808080" w:themeColor="background1" w:themeShade="80"/>
        </w:rPr>
      </w:pPr>
    </w:p>
    <w:p w14:paraId="6B38DF43" w14:textId="77777777" w:rsidR="00BF0763" w:rsidRDefault="00BF0763" w:rsidP="00BF0763">
      <w:pPr>
        <w:spacing w:after="0" w:line="240" w:lineRule="auto"/>
        <w:rPr>
          <w:rFonts w:ascii="Garamond" w:hAnsi="Garamond"/>
          <w:b/>
          <w:color w:val="808080" w:themeColor="background1" w:themeShade="80"/>
        </w:rPr>
      </w:pPr>
    </w:p>
    <w:p w14:paraId="7FDA000D" w14:textId="77777777" w:rsidR="00BF0763" w:rsidRDefault="00BF0763" w:rsidP="00BF0763">
      <w:pPr>
        <w:spacing w:after="0" w:line="240" w:lineRule="auto"/>
        <w:rPr>
          <w:rFonts w:ascii="Garamond" w:hAnsi="Garamond"/>
          <w:b/>
          <w:color w:val="808080" w:themeColor="background1" w:themeShade="80"/>
        </w:rPr>
      </w:pPr>
    </w:p>
    <w:p w14:paraId="6940F685" w14:textId="77777777" w:rsidR="00BF0763" w:rsidRDefault="00BF0763" w:rsidP="00BF0763">
      <w:pPr>
        <w:spacing w:after="0" w:line="240" w:lineRule="auto"/>
        <w:rPr>
          <w:rFonts w:ascii="Garamond" w:hAnsi="Garamond"/>
          <w:b/>
          <w:color w:val="808080" w:themeColor="background1" w:themeShade="80"/>
        </w:rPr>
      </w:pPr>
    </w:p>
    <w:p w14:paraId="7C3E39A2" w14:textId="77777777" w:rsidR="00BF0763" w:rsidRDefault="00BF0763" w:rsidP="00BF0763">
      <w:pPr>
        <w:spacing w:after="0" w:line="240" w:lineRule="auto"/>
        <w:rPr>
          <w:rFonts w:ascii="Garamond" w:hAnsi="Garamond"/>
          <w:b/>
          <w:color w:val="808080" w:themeColor="background1" w:themeShade="80"/>
        </w:rPr>
      </w:pPr>
    </w:p>
    <w:p w14:paraId="7A35FC93" w14:textId="77777777" w:rsidR="00BF0763" w:rsidRDefault="00BF0763" w:rsidP="00BF0763">
      <w:pPr>
        <w:spacing w:after="0" w:line="240" w:lineRule="auto"/>
        <w:rPr>
          <w:rFonts w:ascii="Garamond" w:hAnsi="Garamond"/>
          <w:b/>
          <w:color w:val="808080" w:themeColor="background1" w:themeShade="80"/>
        </w:rPr>
      </w:pPr>
    </w:p>
    <w:p w14:paraId="57A876F4" w14:textId="77777777" w:rsidR="003244B1" w:rsidRDefault="003244B1"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br w:type="page"/>
      </w:r>
    </w:p>
    <w:p w14:paraId="04279602" w14:textId="2C190A2F" w:rsidR="00BF0763" w:rsidRPr="00B20314"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DB26EEA" w14:textId="77777777" w:rsidR="00BF0763" w:rsidRPr="00CD7059" w:rsidRDefault="00BF0763" w:rsidP="00BF0763">
      <w:pPr>
        <w:spacing w:after="0" w:line="240" w:lineRule="auto"/>
        <w:rPr>
          <w:rFonts w:ascii="Garamond" w:hAnsi="Garamond"/>
          <w:b/>
          <w:sz w:val="18"/>
          <w:szCs w:val="18"/>
        </w:rPr>
      </w:pPr>
    </w:p>
    <w:tbl>
      <w:tblPr>
        <w:tblStyle w:val="Tablaconcuadrcula"/>
        <w:tblW w:w="0" w:type="auto"/>
        <w:tblLook w:val="04A0" w:firstRow="1" w:lastRow="0" w:firstColumn="1" w:lastColumn="0" w:noHBand="0" w:noVBand="1"/>
      </w:tblPr>
      <w:tblGrid>
        <w:gridCol w:w="310"/>
        <w:gridCol w:w="1849"/>
        <w:gridCol w:w="7191"/>
      </w:tblGrid>
      <w:tr w:rsidR="00BF0763" w:rsidRPr="001335BB" w14:paraId="1AD5A629" w14:textId="77777777" w:rsidTr="003917B8">
        <w:tc>
          <w:tcPr>
            <w:tcW w:w="9576" w:type="dxa"/>
            <w:gridSpan w:val="3"/>
            <w:shd w:val="clear" w:color="auto" w:fill="D9D9D9" w:themeFill="background1" w:themeFillShade="D9"/>
          </w:tcPr>
          <w:p w14:paraId="4155FCF2"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72882A8D" w14:textId="77777777" w:rsidTr="003917B8">
        <w:tc>
          <w:tcPr>
            <w:tcW w:w="310" w:type="dxa"/>
            <w:vAlign w:val="center"/>
          </w:tcPr>
          <w:p w14:paraId="115428FF"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64B577A8"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20BC4AA4" w14:textId="77777777" w:rsidR="00BF0763" w:rsidRPr="001335BB" w:rsidRDefault="00BF0763" w:rsidP="003917B8">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43E2FC29" w14:textId="77777777" w:rsidTr="003917B8">
        <w:tc>
          <w:tcPr>
            <w:tcW w:w="310" w:type="dxa"/>
            <w:vAlign w:val="center"/>
          </w:tcPr>
          <w:p w14:paraId="6CD54D2B"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4DFE64D4"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336EFCBF"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76001D66" w14:textId="77777777" w:rsidTr="003917B8">
        <w:tc>
          <w:tcPr>
            <w:tcW w:w="310" w:type="dxa"/>
            <w:vAlign w:val="center"/>
          </w:tcPr>
          <w:p w14:paraId="75F08363"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26ED6CA5"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7D6DBD32"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745D4A87" w14:textId="77777777" w:rsidTr="003917B8">
        <w:tc>
          <w:tcPr>
            <w:tcW w:w="310" w:type="dxa"/>
            <w:vAlign w:val="center"/>
          </w:tcPr>
          <w:p w14:paraId="7D74C42B"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0396980A"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43537932"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76A63A3A" w14:textId="77777777" w:rsidTr="003917B8">
        <w:tc>
          <w:tcPr>
            <w:tcW w:w="310" w:type="dxa"/>
            <w:vAlign w:val="center"/>
          </w:tcPr>
          <w:p w14:paraId="3A01154E"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569B1957"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17280DCD" w14:textId="77777777" w:rsidR="00BF0763" w:rsidRPr="001335BB" w:rsidRDefault="00BF0763" w:rsidP="003917B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6DB1FEA8" w14:textId="77777777" w:rsidTr="003917B8">
        <w:tc>
          <w:tcPr>
            <w:tcW w:w="310" w:type="dxa"/>
            <w:vAlign w:val="center"/>
          </w:tcPr>
          <w:p w14:paraId="6214AB38"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4DF96FC4"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54185AC" w14:textId="77777777" w:rsidR="00BF0763" w:rsidRPr="001335BB" w:rsidRDefault="00BF0763" w:rsidP="003917B8">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w:t>
            </w:r>
            <w:proofErr w:type="gramStart"/>
            <w:r>
              <w:rPr>
                <w:rFonts w:ascii="Garamond" w:hAnsi="Garamond"/>
                <w:bCs/>
                <w:sz w:val="18"/>
                <w:szCs w:val="18"/>
              </w:rPr>
              <w:t>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proofErr w:type="gramEnd"/>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608377E1" w14:textId="77777777" w:rsidR="00BF0763" w:rsidRDefault="00BF0763" w:rsidP="00BF0763">
      <w:pPr>
        <w:spacing w:after="0" w:line="240" w:lineRule="auto"/>
        <w:rPr>
          <w:rFonts w:ascii="Garamond" w:hAnsi="Garamond" w:cs="Arial"/>
          <w:b/>
          <w:sz w:val="20"/>
          <w:szCs w:val="20"/>
        </w:rPr>
      </w:pPr>
    </w:p>
    <w:tbl>
      <w:tblPr>
        <w:tblStyle w:val="Tablaconcuadrcula"/>
        <w:tblW w:w="0" w:type="auto"/>
        <w:tblLook w:val="04A0" w:firstRow="1" w:lastRow="0" w:firstColumn="1" w:lastColumn="0" w:noHBand="0" w:noVBand="1"/>
      </w:tblPr>
      <w:tblGrid>
        <w:gridCol w:w="310"/>
        <w:gridCol w:w="1850"/>
        <w:gridCol w:w="7190"/>
      </w:tblGrid>
      <w:tr w:rsidR="00BF0763" w:rsidRPr="001335BB" w14:paraId="03F1D814" w14:textId="77777777" w:rsidTr="003917B8">
        <w:tc>
          <w:tcPr>
            <w:tcW w:w="9576" w:type="dxa"/>
            <w:gridSpan w:val="3"/>
            <w:shd w:val="clear" w:color="auto" w:fill="D9D9D9" w:themeFill="background1" w:themeFillShade="D9"/>
          </w:tcPr>
          <w:p w14:paraId="2E9ACE87" w14:textId="77777777" w:rsidR="00BF0763" w:rsidRPr="001335BB" w:rsidRDefault="00BF0763" w:rsidP="003917B8">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BE89555" w14:textId="77777777" w:rsidTr="003917B8">
        <w:tc>
          <w:tcPr>
            <w:tcW w:w="310" w:type="dxa"/>
            <w:vAlign w:val="center"/>
          </w:tcPr>
          <w:p w14:paraId="6FFB323B" w14:textId="77777777" w:rsidR="00BF0763" w:rsidRPr="001335BB" w:rsidRDefault="00BF0763" w:rsidP="003917B8">
            <w:pPr>
              <w:rPr>
                <w:rFonts w:ascii="Garamond" w:hAnsi="Garamond" w:cs="Arial"/>
                <w:sz w:val="20"/>
                <w:szCs w:val="20"/>
              </w:rPr>
            </w:pPr>
            <w:r>
              <w:rPr>
                <w:rFonts w:ascii="Garamond" w:hAnsi="Garamond" w:cs="Arial"/>
                <w:sz w:val="20"/>
                <w:szCs w:val="20"/>
              </w:rPr>
              <w:t>6</w:t>
            </w:r>
          </w:p>
        </w:tc>
        <w:tc>
          <w:tcPr>
            <w:tcW w:w="1868" w:type="dxa"/>
            <w:vAlign w:val="center"/>
          </w:tcPr>
          <w:p w14:paraId="12C2FFC4" w14:textId="77777777" w:rsidR="00BF0763" w:rsidRPr="001335BB" w:rsidRDefault="00BF0763" w:rsidP="003917B8">
            <w:pPr>
              <w:rPr>
                <w:rFonts w:ascii="Garamond" w:hAnsi="Garamond" w:cs="Arial"/>
                <w:sz w:val="20"/>
                <w:szCs w:val="20"/>
              </w:rPr>
            </w:pPr>
            <w:r>
              <w:rPr>
                <w:rFonts w:ascii="Garamond" w:hAnsi="Garamond" w:cs="Arial"/>
                <w:sz w:val="20"/>
                <w:szCs w:val="20"/>
              </w:rPr>
              <w:t>Highly Satisfactory (HS)</w:t>
            </w:r>
          </w:p>
        </w:tc>
        <w:tc>
          <w:tcPr>
            <w:tcW w:w="7398" w:type="dxa"/>
          </w:tcPr>
          <w:p w14:paraId="5DDABF45"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3BA7631E" w14:textId="77777777" w:rsidTr="003917B8">
        <w:tc>
          <w:tcPr>
            <w:tcW w:w="310" w:type="dxa"/>
            <w:vAlign w:val="center"/>
          </w:tcPr>
          <w:p w14:paraId="14B59A80" w14:textId="77777777" w:rsidR="00BF0763" w:rsidRPr="001335BB" w:rsidRDefault="00BF0763" w:rsidP="003917B8">
            <w:pPr>
              <w:rPr>
                <w:rFonts w:ascii="Garamond" w:hAnsi="Garamond" w:cs="Arial"/>
                <w:sz w:val="20"/>
                <w:szCs w:val="20"/>
              </w:rPr>
            </w:pPr>
            <w:r>
              <w:rPr>
                <w:rFonts w:ascii="Garamond" w:hAnsi="Garamond" w:cs="Arial"/>
                <w:sz w:val="20"/>
                <w:szCs w:val="20"/>
              </w:rPr>
              <w:t>5</w:t>
            </w:r>
          </w:p>
        </w:tc>
        <w:tc>
          <w:tcPr>
            <w:tcW w:w="1868" w:type="dxa"/>
            <w:vAlign w:val="center"/>
          </w:tcPr>
          <w:p w14:paraId="15F4D1F5" w14:textId="77777777" w:rsidR="00BF0763" w:rsidRPr="001335BB" w:rsidRDefault="00BF0763" w:rsidP="003917B8">
            <w:pPr>
              <w:rPr>
                <w:rFonts w:ascii="Garamond" w:hAnsi="Garamond" w:cs="Arial"/>
                <w:sz w:val="20"/>
                <w:szCs w:val="20"/>
              </w:rPr>
            </w:pPr>
            <w:r>
              <w:rPr>
                <w:rFonts w:ascii="Garamond" w:hAnsi="Garamond" w:cs="Arial"/>
                <w:sz w:val="20"/>
                <w:szCs w:val="20"/>
              </w:rPr>
              <w:t>Satisfactory (S)</w:t>
            </w:r>
          </w:p>
        </w:tc>
        <w:tc>
          <w:tcPr>
            <w:tcW w:w="7398" w:type="dxa"/>
          </w:tcPr>
          <w:p w14:paraId="6C2752FB"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214137E6" w14:textId="77777777" w:rsidTr="003917B8">
        <w:tc>
          <w:tcPr>
            <w:tcW w:w="310" w:type="dxa"/>
            <w:vAlign w:val="center"/>
          </w:tcPr>
          <w:p w14:paraId="1F923A29"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47CDFC94" w14:textId="77777777" w:rsidR="00BF0763" w:rsidRPr="001335BB" w:rsidRDefault="00BF0763" w:rsidP="003917B8">
            <w:pPr>
              <w:rPr>
                <w:rFonts w:ascii="Garamond" w:hAnsi="Garamond" w:cs="Arial"/>
                <w:sz w:val="20"/>
                <w:szCs w:val="20"/>
              </w:rPr>
            </w:pPr>
            <w:r>
              <w:rPr>
                <w:rFonts w:ascii="Garamond" w:hAnsi="Garamond" w:cs="Arial"/>
                <w:sz w:val="20"/>
                <w:szCs w:val="20"/>
              </w:rPr>
              <w:t>Moderately Satisfactory (MS)</w:t>
            </w:r>
          </w:p>
        </w:tc>
        <w:tc>
          <w:tcPr>
            <w:tcW w:w="7398" w:type="dxa"/>
          </w:tcPr>
          <w:p w14:paraId="445F90C2"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4969810E" w14:textId="77777777" w:rsidTr="003917B8">
        <w:tc>
          <w:tcPr>
            <w:tcW w:w="310" w:type="dxa"/>
            <w:vAlign w:val="center"/>
          </w:tcPr>
          <w:p w14:paraId="5E0A28BA"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46C94DEC"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33BF3538"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0CBBD51D" w14:textId="77777777" w:rsidTr="003917B8">
        <w:tc>
          <w:tcPr>
            <w:tcW w:w="310" w:type="dxa"/>
            <w:vAlign w:val="center"/>
          </w:tcPr>
          <w:p w14:paraId="6F88DC83"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7080730A" w14:textId="77777777" w:rsidR="00BF0763" w:rsidRPr="001335BB" w:rsidRDefault="00BF0763" w:rsidP="003917B8">
            <w:pPr>
              <w:rPr>
                <w:rFonts w:ascii="Garamond" w:hAnsi="Garamond" w:cs="Arial"/>
                <w:sz w:val="20"/>
                <w:szCs w:val="20"/>
              </w:rPr>
            </w:pPr>
            <w:r>
              <w:rPr>
                <w:rFonts w:ascii="Garamond" w:hAnsi="Garamond" w:cs="Arial"/>
                <w:sz w:val="20"/>
                <w:szCs w:val="20"/>
              </w:rPr>
              <w:t>Unsatisfactory (U)</w:t>
            </w:r>
          </w:p>
        </w:tc>
        <w:tc>
          <w:tcPr>
            <w:tcW w:w="7398" w:type="dxa"/>
          </w:tcPr>
          <w:p w14:paraId="0ACA44BE" w14:textId="77777777" w:rsidR="00BF0763" w:rsidRPr="009D4915" w:rsidRDefault="00BF0763" w:rsidP="003917B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7D8A371B" w14:textId="77777777" w:rsidTr="003917B8">
        <w:tc>
          <w:tcPr>
            <w:tcW w:w="310" w:type="dxa"/>
            <w:vAlign w:val="center"/>
          </w:tcPr>
          <w:p w14:paraId="1CEB73D5"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0FC771FF"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16CFF47" w14:textId="77777777" w:rsidR="00BF0763" w:rsidRPr="009D4915" w:rsidRDefault="00BF0763" w:rsidP="003917B8">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3A7111CD" w14:textId="77777777" w:rsidR="00BF0763" w:rsidRDefault="00BF0763" w:rsidP="00BF0763">
      <w:pPr>
        <w:spacing w:after="0" w:line="240" w:lineRule="auto"/>
        <w:rPr>
          <w:rFonts w:ascii="Garamond" w:hAnsi="Garamond" w:cs="Arial"/>
          <w:b/>
          <w:sz w:val="20"/>
          <w:szCs w:val="20"/>
        </w:rPr>
      </w:pPr>
    </w:p>
    <w:tbl>
      <w:tblPr>
        <w:tblStyle w:val="Tablaconcuadrcula"/>
        <w:tblW w:w="9576" w:type="dxa"/>
        <w:tblLook w:val="04A0" w:firstRow="1" w:lastRow="0" w:firstColumn="1" w:lastColumn="0" w:noHBand="0" w:noVBand="1"/>
      </w:tblPr>
      <w:tblGrid>
        <w:gridCol w:w="310"/>
        <w:gridCol w:w="1868"/>
        <w:gridCol w:w="7398"/>
      </w:tblGrid>
      <w:tr w:rsidR="00BF0763" w:rsidRPr="001335BB" w14:paraId="7C9BB55A" w14:textId="77777777" w:rsidTr="003917B8">
        <w:tc>
          <w:tcPr>
            <w:tcW w:w="9576" w:type="dxa"/>
            <w:gridSpan w:val="3"/>
            <w:shd w:val="clear" w:color="auto" w:fill="D9D9D9" w:themeFill="background1" w:themeFillShade="D9"/>
          </w:tcPr>
          <w:p w14:paraId="1EC4BD37" w14:textId="77777777" w:rsidR="00BF0763" w:rsidRPr="0056426D" w:rsidRDefault="00BF0763" w:rsidP="003917B8">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3179CA73" w14:textId="77777777" w:rsidTr="003917B8">
        <w:tc>
          <w:tcPr>
            <w:tcW w:w="310" w:type="dxa"/>
            <w:vAlign w:val="center"/>
          </w:tcPr>
          <w:p w14:paraId="7C893DBF" w14:textId="77777777" w:rsidR="00BF0763" w:rsidRPr="001335BB" w:rsidRDefault="00BF0763" w:rsidP="003917B8">
            <w:pPr>
              <w:rPr>
                <w:rFonts w:ascii="Garamond" w:hAnsi="Garamond" w:cs="Arial"/>
                <w:sz w:val="20"/>
                <w:szCs w:val="20"/>
              </w:rPr>
            </w:pPr>
            <w:r w:rsidRPr="001335BB">
              <w:rPr>
                <w:rFonts w:ascii="Garamond" w:hAnsi="Garamond" w:cs="Arial"/>
                <w:sz w:val="20"/>
                <w:szCs w:val="20"/>
              </w:rPr>
              <w:t>4</w:t>
            </w:r>
          </w:p>
        </w:tc>
        <w:tc>
          <w:tcPr>
            <w:tcW w:w="1868" w:type="dxa"/>
            <w:vAlign w:val="center"/>
          </w:tcPr>
          <w:p w14:paraId="3812B290" w14:textId="77777777" w:rsidR="00BF0763" w:rsidRPr="001335BB" w:rsidRDefault="00BF0763" w:rsidP="003917B8">
            <w:pPr>
              <w:rPr>
                <w:rFonts w:ascii="Garamond" w:hAnsi="Garamond" w:cs="Arial"/>
                <w:sz w:val="20"/>
                <w:szCs w:val="20"/>
              </w:rPr>
            </w:pPr>
            <w:r>
              <w:rPr>
                <w:rFonts w:ascii="Garamond" w:hAnsi="Garamond"/>
                <w:sz w:val="20"/>
                <w:szCs w:val="20"/>
              </w:rPr>
              <w:t>Likely (L)</w:t>
            </w:r>
          </w:p>
        </w:tc>
        <w:tc>
          <w:tcPr>
            <w:tcW w:w="7398" w:type="dxa"/>
          </w:tcPr>
          <w:p w14:paraId="405900A0"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61A7E47C" w14:textId="77777777" w:rsidTr="003917B8">
        <w:tc>
          <w:tcPr>
            <w:tcW w:w="310" w:type="dxa"/>
            <w:vAlign w:val="center"/>
          </w:tcPr>
          <w:p w14:paraId="28586CD4"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3</w:t>
            </w:r>
          </w:p>
        </w:tc>
        <w:tc>
          <w:tcPr>
            <w:tcW w:w="1868" w:type="dxa"/>
            <w:vAlign w:val="center"/>
          </w:tcPr>
          <w:p w14:paraId="6353CCB1" w14:textId="77777777" w:rsidR="00BF0763" w:rsidRPr="001335BB" w:rsidRDefault="00BF0763" w:rsidP="003917B8">
            <w:pPr>
              <w:rPr>
                <w:rFonts w:ascii="Garamond" w:hAnsi="Garamond" w:cs="Calibri"/>
                <w:sz w:val="20"/>
                <w:szCs w:val="20"/>
                <w:lang w:val="en-GB"/>
              </w:rPr>
            </w:pPr>
            <w:r>
              <w:rPr>
                <w:rFonts w:ascii="Garamond" w:hAnsi="Garamond"/>
                <w:sz w:val="20"/>
                <w:szCs w:val="20"/>
              </w:rPr>
              <w:t>Moderately Likely (ML)</w:t>
            </w:r>
          </w:p>
        </w:tc>
        <w:tc>
          <w:tcPr>
            <w:tcW w:w="7398" w:type="dxa"/>
          </w:tcPr>
          <w:p w14:paraId="20E08DAD"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5A4A85E7" w14:textId="77777777" w:rsidTr="003917B8">
        <w:tc>
          <w:tcPr>
            <w:tcW w:w="310" w:type="dxa"/>
            <w:vAlign w:val="center"/>
          </w:tcPr>
          <w:p w14:paraId="00F5638F" w14:textId="77777777" w:rsidR="00BF0763" w:rsidRPr="001335BB" w:rsidRDefault="00BF0763" w:rsidP="003917B8">
            <w:pPr>
              <w:rPr>
                <w:rFonts w:ascii="Garamond" w:hAnsi="Garamond" w:cs="Arial"/>
                <w:sz w:val="20"/>
                <w:szCs w:val="20"/>
              </w:rPr>
            </w:pPr>
            <w:r>
              <w:rPr>
                <w:rFonts w:ascii="Garamond" w:hAnsi="Garamond" w:cs="Arial"/>
                <w:sz w:val="20"/>
                <w:szCs w:val="20"/>
              </w:rPr>
              <w:t>2</w:t>
            </w:r>
          </w:p>
        </w:tc>
        <w:tc>
          <w:tcPr>
            <w:tcW w:w="1868" w:type="dxa"/>
            <w:vAlign w:val="center"/>
          </w:tcPr>
          <w:p w14:paraId="60F917C0" w14:textId="77777777" w:rsidR="00BF0763" w:rsidRPr="001335BB" w:rsidRDefault="00BF0763" w:rsidP="003917B8">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4F11006F" w14:textId="77777777" w:rsidR="00BF0763" w:rsidRPr="00486F2A" w:rsidRDefault="00BF0763" w:rsidP="003917B8">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708D0D4" w14:textId="77777777" w:rsidTr="003917B8">
        <w:tc>
          <w:tcPr>
            <w:tcW w:w="310" w:type="dxa"/>
            <w:vAlign w:val="center"/>
          </w:tcPr>
          <w:p w14:paraId="77FFD81D" w14:textId="77777777" w:rsidR="00BF0763" w:rsidRPr="001335BB" w:rsidRDefault="00BF0763" w:rsidP="003917B8">
            <w:pPr>
              <w:rPr>
                <w:rFonts w:ascii="Garamond" w:hAnsi="Garamond" w:cs="Calibri"/>
                <w:sz w:val="20"/>
                <w:szCs w:val="20"/>
                <w:lang w:val="en-GB"/>
              </w:rPr>
            </w:pPr>
            <w:r>
              <w:rPr>
                <w:rFonts w:ascii="Garamond" w:hAnsi="Garamond" w:cs="Arial"/>
                <w:sz w:val="20"/>
                <w:szCs w:val="20"/>
              </w:rPr>
              <w:t>1</w:t>
            </w:r>
          </w:p>
        </w:tc>
        <w:tc>
          <w:tcPr>
            <w:tcW w:w="1868" w:type="dxa"/>
            <w:vAlign w:val="center"/>
          </w:tcPr>
          <w:p w14:paraId="2D12D1A3" w14:textId="77777777" w:rsidR="00BF0763" w:rsidRPr="001335BB" w:rsidRDefault="00BF0763" w:rsidP="003917B8">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460132DB" w14:textId="77777777" w:rsidR="00BF0763" w:rsidRPr="00486F2A" w:rsidRDefault="00BF0763" w:rsidP="003917B8">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6840239D" w14:textId="77777777" w:rsidR="00BF0763" w:rsidRPr="00CD7059" w:rsidRDefault="00BF0763" w:rsidP="00BF0763">
      <w:pPr>
        <w:spacing w:after="0" w:line="240" w:lineRule="auto"/>
        <w:rPr>
          <w:rFonts w:ascii="Arial" w:hAnsi="Arial" w:cs="Arial"/>
          <w:b/>
          <w:sz w:val="18"/>
          <w:szCs w:val="18"/>
        </w:rPr>
      </w:pPr>
    </w:p>
    <w:p w14:paraId="6F1B5DE0" w14:textId="77777777" w:rsidR="00DC43F3" w:rsidRDefault="00DC43F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br w:type="page"/>
      </w:r>
    </w:p>
    <w:p w14:paraId="7FA32CA0" w14:textId="72F2FE86" w:rsidR="00BF0763" w:rsidRPr="001932B0" w:rsidRDefault="00BF0763" w:rsidP="00BF0763">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MTR Report Clearance Form</w:t>
      </w:r>
    </w:p>
    <w:p w14:paraId="31F3FA3A" w14:textId="77777777" w:rsidR="004A3809" w:rsidRDefault="00BF0763" w:rsidP="001E6992">
      <w:pPr>
        <w:spacing w:after="0" w:line="240" w:lineRule="auto"/>
        <w:sectPr w:rsidR="004A3809">
          <w:footerReference w:type="default" r:id="rId18"/>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417CD968" wp14:editId="6DAD3E53">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378CF488" w14:textId="77777777" w:rsidR="008013B6" w:rsidRDefault="008013B6"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358DE35E" w14:textId="77777777" w:rsidR="008013B6" w:rsidRPr="0041686D" w:rsidRDefault="008013B6" w:rsidP="00BF0763">
                            <w:pPr>
                              <w:spacing w:after="0" w:line="240" w:lineRule="auto"/>
                              <w:rPr>
                                <w:rFonts w:ascii="Garamond" w:hAnsi="Garamond"/>
                                <w:b/>
                                <w:sz w:val="20"/>
                                <w:szCs w:val="20"/>
                              </w:rPr>
                            </w:pPr>
                          </w:p>
                          <w:p w14:paraId="1F585E73" w14:textId="77777777" w:rsidR="008013B6" w:rsidRDefault="008013B6" w:rsidP="00BF0763">
                            <w:pPr>
                              <w:spacing w:after="0" w:line="240" w:lineRule="auto"/>
                              <w:rPr>
                                <w:rFonts w:ascii="Garamond" w:hAnsi="Garamond"/>
                                <w:b/>
                                <w:sz w:val="20"/>
                                <w:szCs w:val="20"/>
                              </w:rPr>
                            </w:pPr>
                            <w:r>
                              <w:rPr>
                                <w:rFonts w:ascii="Garamond" w:hAnsi="Garamond"/>
                                <w:b/>
                                <w:sz w:val="20"/>
                                <w:szCs w:val="20"/>
                              </w:rPr>
                              <w:t>Commissioning Unit</w:t>
                            </w:r>
                          </w:p>
                          <w:p w14:paraId="1C2C1854" w14:textId="77777777" w:rsidR="008013B6" w:rsidRPr="00D2682B" w:rsidRDefault="008013B6" w:rsidP="00BF0763">
                            <w:pPr>
                              <w:spacing w:after="0" w:line="240" w:lineRule="auto"/>
                              <w:rPr>
                                <w:rFonts w:ascii="Garamond" w:hAnsi="Garamond"/>
                                <w:b/>
                                <w:sz w:val="20"/>
                                <w:szCs w:val="20"/>
                              </w:rPr>
                            </w:pPr>
                          </w:p>
                          <w:p w14:paraId="62AE0AFB" w14:textId="77777777" w:rsidR="008013B6" w:rsidRDefault="008013B6"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49E82F6D" w14:textId="77777777" w:rsidR="008013B6" w:rsidRDefault="008013B6" w:rsidP="00BF0763">
                            <w:pPr>
                              <w:spacing w:after="0" w:line="240" w:lineRule="auto"/>
                              <w:rPr>
                                <w:rFonts w:ascii="Garamond" w:hAnsi="Garamond"/>
                                <w:sz w:val="20"/>
                                <w:szCs w:val="20"/>
                              </w:rPr>
                            </w:pPr>
                          </w:p>
                          <w:p w14:paraId="6B70462E" w14:textId="77777777" w:rsidR="008013B6" w:rsidRDefault="008013B6"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4D414DE4" w14:textId="77777777" w:rsidR="008013B6" w:rsidRDefault="008013B6" w:rsidP="00BF0763">
                            <w:pPr>
                              <w:spacing w:after="0" w:line="240" w:lineRule="auto"/>
                              <w:rPr>
                                <w:rFonts w:ascii="Garamond" w:hAnsi="Garamond"/>
                                <w:sz w:val="20"/>
                                <w:szCs w:val="20"/>
                              </w:rPr>
                            </w:pPr>
                          </w:p>
                          <w:p w14:paraId="5D561558" w14:textId="77777777" w:rsidR="008013B6" w:rsidRDefault="008013B6"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4A7DB1ED" w14:textId="77777777" w:rsidR="008013B6" w:rsidRPr="00D2682B" w:rsidRDefault="008013B6" w:rsidP="00BF0763">
                            <w:pPr>
                              <w:spacing w:after="0" w:line="240" w:lineRule="auto"/>
                              <w:rPr>
                                <w:rFonts w:ascii="Garamond" w:hAnsi="Garamond"/>
                                <w:b/>
                                <w:sz w:val="20"/>
                                <w:szCs w:val="20"/>
                              </w:rPr>
                            </w:pPr>
                          </w:p>
                          <w:p w14:paraId="531FAC96" w14:textId="77777777" w:rsidR="008013B6" w:rsidRDefault="008013B6"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012CC805" w14:textId="77777777" w:rsidR="008013B6" w:rsidRDefault="008013B6" w:rsidP="00BF0763">
                            <w:pPr>
                              <w:spacing w:after="0" w:line="240" w:lineRule="auto"/>
                              <w:rPr>
                                <w:rFonts w:ascii="Garamond" w:hAnsi="Garamond"/>
                                <w:sz w:val="20"/>
                                <w:szCs w:val="20"/>
                              </w:rPr>
                            </w:pPr>
                          </w:p>
                          <w:p w14:paraId="2E020CE8" w14:textId="77777777" w:rsidR="008013B6" w:rsidRPr="00006C92" w:rsidRDefault="008013B6"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17CD968"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378CF488" w14:textId="77777777" w:rsidR="008013B6" w:rsidRDefault="008013B6"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358DE35E" w14:textId="77777777" w:rsidR="008013B6" w:rsidRPr="0041686D" w:rsidRDefault="008013B6" w:rsidP="00BF0763">
                      <w:pPr>
                        <w:spacing w:after="0" w:line="240" w:lineRule="auto"/>
                        <w:rPr>
                          <w:rFonts w:ascii="Garamond" w:hAnsi="Garamond"/>
                          <w:b/>
                          <w:sz w:val="20"/>
                          <w:szCs w:val="20"/>
                        </w:rPr>
                      </w:pPr>
                    </w:p>
                    <w:p w14:paraId="1F585E73" w14:textId="77777777" w:rsidR="008013B6" w:rsidRDefault="008013B6" w:rsidP="00BF0763">
                      <w:pPr>
                        <w:spacing w:after="0" w:line="240" w:lineRule="auto"/>
                        <w:rPr>
                          <w:rFonts w:ascii="Garamond" w:hAnsi="Garamond"/>
                          <w:b/>
                          <w:sz w:val="20"/>
                          <w:szCs w:val="20"/>
                        </w:rPr>
                      </w:pPr>
                      <w:r>
                        <w:rPr>
                          <w:rFonts w:ascii="Garamond" w:hAnsi="Garamond"/>
                          <w:b/>
                          <w:sz w:val="20"/>
                          <w:szCs w:val="20"/>
                        </w:rPr>
                        <w:t>Commissioning Unit</w:t>
                      </w:r>
                    </w:p>
                    <w:p w14:paraId="1C2C1854" w14:textId="77777777" w:rsidR="008013B6" w:rsidRPr="00D2682B" w:rsidRDefault="008013B6" w:rsidP="00BF0763">
                      <w:pPr>
                        <w:spacing w:after="0" w:line="240" w:lineRule="auto"/>
                        <w:rPr>
                          <w:rFonts w:ascii="Garamond" w:hAnsi="Garamond"/>
                          <w:b/>
                          <w:sz w:val="20"/>
                          <w:szCs w:val="20"/>
                        </w:rPr>
                      </w:pPr>
                    </w:p>
                    <w:p w14:paraId="62AE0AFB" w14:textId="77777777" w:rsidR="008013B6" w:rsidRDefault="008013B6"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49E82F6D" w14:textId="77777777" w:rsidR="008013B6" w:rsidRDefault="008013B6" w:rsidP="00BF0763">
                      <w:pPr>
                        <w:spacing w:after="0" w:line="240" w:lineRule="auto"/>
                        <w:rPr>
                          <w:rFonts w:ascii="Garamond" w:hAnsi="Garamond"/>
                          <w:sz w:val="20"/>
                          <w:szCs w:val="20"/>
                        </w:rPr>
                      </w:pPr>
                    </w:p>
                    <w:p w14:paraId="6B70462E" w14:textId="77777777" w:rsidR="008013B6" w:rsidRDefault="008013B6"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4D414DE4" w14:textId="77777777" w:rsidR="008013B6" w:rsidRDefault="008013B6" w:rsidP="00BF0763">
                      <w:pPr>
                        <w:spacing w:after="0" w:line="240" w:lineRule="auto"/>
                        <w:rPr>
                          <w:rFonts w:ascii="Garamond" w:hAnsi="Garamond"/>
                          <w:sz w:val="20"/>
                          <w:szCs w:val="20"/>
                        </w:rPr>
                      </w:pPr>
                    </w:p>
                    <w:p w14:paraId="5D561558" w14:textId="77777777" w:rsidR="008013B6" w:rsidRDefault="008013B6"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4A7DB1ED" w14:textId="77777777" w:rsidR="008013B6" w:rsidRPr="00D2682B" w:rsidRDefault="008013B6" w:rsidP="00BF0763">
                      <w:pPr>
                        <w:spacing w:after="0" w:line="240" w:lineRule="auto"/>
                        <w:rPr>
                          <w:rFonts w:ascii="Garamond" w:hAnsi="Garamond"/>
                          <w:b/>
                          <w:sz w:val="20"/>
                          <w:szCs w:val="20"/>
                        </w:rPr>
                      </w:pPr>
                    </w:p>
                    <w:p w14:paraId="531FAC96" w14:textId="77777777" w:rsidR="008013B6" w:rsidRDefault="008013B6"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012CC805" w14:textId="77777777" w:rsidR="008013B6" w:rsidRDefault="008013B6" w:rsidP="00BF0763">
                      <w:pPr>
                        <w:spacing w:after="0" w:line="240" w:lineRule="auto"/>
                        <w:rPr>
                          <w:rFonts w:ascii="Garamond" w:hAnsi="Garamond"/>
                          <w:sz w:val="20"/>
                          <w:szCs w:val="20"/>
                        </w:rPr>
                      </w:pPr>
                    </w:p>
                    <w:p w14:paraId="2E020CE8" w14:textId="77777777" w:rsidR="008013B6" w:rsidRPr="00006C92" w:rsidRDefault="008013B6"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r w:rsidR="001E6992">
        <w:t xml:space="preserve"> </w:t>
      </w:r>
    </w:p>
    <w:p w14:paraId="77D33F89" w14:textId="77777777" w:rsidR="004A3809" w:rsidRPr="001932B0" w:rsidRDefault="004A3809" w:rsidP="004A3809">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lastRenderedPageBreak/>
        <w:t>ToR</w:t>
      </w:r>
      <w:proofErr w:type="spellEnd"/>
      <w:r>
        <w:rPr>
          <w:rFonts w:ascii="Garamond" w:hAnsi="Garamond"/>
          <w:b/>
          <w:color w:val="808080" w:themeColor="background1" w:themeShade="80"/>
        </w:rPr>
        <w:t xml:space="preserve">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7E395B02" w14:textId="77777777" w:rsidR="004A3809" w:rsidRDefault="004A3809" w:rsidP="004A3809">
      <w:pPr>
        <w:autoSpaceDE w:val="0"/>
        <w:autoSpaceDN w:val="0"/>
        <w:adjustRightInd w:val="0"/>
        <w:spacing w:after="0" w:line="240" w:lineRule="auto"/>
        <w:rPr>
          <w:rFonts w:ascii="Garamond" w:hAnsi="Garamond" w:cs="Calibri"/>
          <w:i/>
        </w:rPr>
      </w:pPr>
    </w:p>
    <w:p w14:paraId="79655FD2" w14:textId="77777777" w:rsidR="004A3809" w:rsidRDefault="004A3809" w:rsidP="004A3809">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411A047C" w14:textId="77777777" w:rsidR="004A3809" w:rsidRDefault="004A3809" w:rsidP="004A3809">
      <w:pPr>
        <w:autoSpaceDE w:val="0"/>
        <w:autoSpaceDN w:val="0"/>
        <w:adjustRightInd w:val="0"/>
        <w:spacing w:after="0" w:line="240" w:lineRule="auto"/>
        <w:jc w:val="both"/>
        <w:rPr>
          <w:rFonts w:ascii="Garamond" w:hAnsi="Garamond"/>
        </w:rPr>
      </w:pPr>
    </w:p>
    <w:p w14:paraId="1E2AD301" w14:textId="77777777" w:rsidR="004A3809" w:rsidRDefault="004A3809" w:rsidP="004A3809">
      <w:pPr>
        <w:autoSpaceDE w:val="0"/>
        <w:autoSpaceDN w:val="0"/>
        <w:adjustRightInd w:val="0"/>
        <w:spacing w:after="0" w:line="240" w:lineRule="auto"/>
        <w:jc w:val="both"/>
        <w:rPr>
          <w:rFonts w:ascii="Garamond" w:hAnsi="Garamond"/>
        </w:rPr>
      </w:pPr>
    </w:p>
    <w:p w14:paraId="6BED8B8D" w14:textId="77777777" w:rsidR="004A3809" w:rsidRPr="003B280A" w:rsidRDefault="004A3809" w:rsidP="004A3809">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130F9749" w14:textId="77777777" w:rsidR="004A3809" w:rsidRPr="003B280A" w:rsidRDefault="004A3809" w:rsidP="004A3809">
      <w:pPr>
        <w:spacing w:after="0" w:line="240" w:lineRule="auto"/>
        <w:jc w:val="both"/>
        <w:rPr>
          <w:rFonts w:ascii="Garamond" w:hAnsi="Garamond"/>
          <w:b/>
        </w:rPr>
      </w:pPr>
    </w:p>
    <w:p w14:paraId="582B971F" w14:textId="77777777" w:rsidR="004A3809" w:rsidRPr="003B280A" w:rsidRDefault="004A3809" w:rsidP="004A3809">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1B5164AB" w14:textId="77777777" w:rsidR="004A3809" w:rsidRPr="003B280A" w:rsidRDefault="004A3809" w:rsidP="004A3809">
      <w:pPr>
        <w:spacing w:after="0" w:line="240" w:lineRule="auto"/>
        <w:jc w:val="center"/>
        <w:rPr>
          <w:rFonts w:ascii="Garamond" w:hAnsi="Garamond"/>
          <w:b/>
        </w:rPr>
      </w:pPr>
    </w:p>
    <w:tbl>
      <w:tblPr>
        <w:tblStyle w:val="Tablaconcuadrcula"/>
        <w:tblW w:w="9540" w:type="dxa"/>
        <w:tblInd w:w="108" w:type="dxa"/>
        <w:tblLook w:val="04A0" w:firstRow="1" w:lastRow="0" w:firstColumn="1" w:lastColumn="0" w:noHBand="0" w:noVBand="1"/>
      </w:tblPr>
      <w:tblGrid>
        <w:gridCol w:w="901"/>
        <w:gridCol w:w="644"/>
        <w:gridCol w:w="1605"/>
        <w:gridCol w:w="3780"/>
        <w:gridCol w:w="2610"/>
      </w:tblGrid>
      <w:tr w:rsidR="004A3809" w:rsidRPr="003B280A" w14:paraId="410CD5B2" w14:textId="77777777" w:rsidTr="003917B8">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C8FB6E2" w14:textId="77777777" w:rsidR="004A3809" w:rsidRPr="003B280A" w:rsidRDefault="004A3809" w:rsidP="003917B8">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67CFDF" w14:textId="77777777" w:rsidR="004A3809" w:rsidRPr="003B280A" w:rsidRDefault="004A3809" w:rsidP="003917B8">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99E7AB3" w14:textId="77777777" w:rsidR="004A3809" w:rsidRPr="003B280A" w:rsidRDefault="004A3809" w:rsidP="003917B8">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FD5F2F5" w14:textId="77777777" w:rsidR="004A3809" w:rsidRPr="003B280A" w:rsidRDefault="004A3809" w:rsidP="003917B8">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D650E3" w14:textId="77777777" w:rsidR="004A3809" w:rsidRDefault="004A3809" w:rsidP="003917B8">
            <w:pPr>
              <w:jc w:val="center"/>
              <w:rPr>
                <w:rFonts w:ascii="Garamond" w:hAnsi="Garamond"/>
                <w:b/>
              </w:rPr>
            </w:pPr>
            <w:r>
              <w:rPr>
                <w:rFonts w:ascii="Garamond" w:hAnsi="Garamond"/>
                <w:b/>
              </w:rPr>
              <w:t>MTR team</w:t>
            </w:r>
          </w:p>
          <w:p w14:paraId="41E9CA90" w14:textId="77777777" w:rsidR="004A3809" w:rsidRPr="003B280A" w:rsidRDefault="004A3809" w:rsidP="003917B8">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4A3809" w:rsidRPr="003B280A" w14:paraId="3B78775B" w14:textId="77777777" w:rsidTr="003917B8">
        <w:trPr>
          <w:trHeight w:val="261"/>
        </w:trPr>
        <w:tc>
          <w:tcPr>
            <w:tcW w:w="901" w:type="dxa"/>
            <w:tcBorders>
              <w:top w:val="single" w:sz="4" w:space="0" w:color="FFFFFF" w:themeColor="background1"/>
            </w:tcBorders>
          </w:tcPr>
          <w:p w14:paraId="246EF046" w14:textId="77777777" w:rsidR="004A3809" w:rsidRPr="003B280A" w:rsidRDefault="004A3809" w:rsidP="003917B8">
            <w:pPr>
              <w:jc w:val="center"/>
              <w:rPr>
                <w:rFonts w:ascii="Garamond" w:hAnsi="Garamond"/>
              </w:rPr>
            </w:pPr>
          </w:p>
        </w:tc>
        <w:tc>
          <w:tcPr>
            <w:tcW w:w="644" w:type="dxa"/>
            <w:tcBorders>
              <w:top w:val="single" w:sz="4" w:space="0" w:color="FFFFFF" w:themeColor="background1"/>
            </w:tcBorders>
          </w:tcPr>
          <w:p w14:paraId="4F046267" w14:textId="77777777" w:rsidR="004A3809" w:rsidRPr="003B280A" w:rsidRDefault="004A3809" w:rsidP="003917B8">
            <w:pPr>
              <w:jc w:val="center"/>
              <w:rPr>
                <w:rFonts w:ascii="Garamond" w:hAnsi="Garamond"/>
              </w:rPr>
            </w:pPr>
          </w:p>
        </w:tc>
        <w:tc>
          <w:tcPr>
            <w:tcW w:w="1605" w:type="dxa"/>
            <w:tcBorders>
              <w:top w:val="single" w:sz="4" w:space="0" w:color="FFFFFF" w:themeColor="background1"/>
            </w:tcBorders>
          </w:tcPr>
          <w:p w14:paraId="763FF35D" w14:textId="77777777" w:rsidR="004A3809" w:rsidRPr="003B280A" w:rsidRDefault="004A3809" w:rsidP="003917B8">
            <w:pPr>
              <w:jc w:val="center"/>
              <w:rPr>
                <w:rFonts w:ascii="Garamond" w:hAnsi="Garamond"/>
              </w:rPr>
            </w:pPr>
          </w:p>
        </w:tc>
        <w:tc>
          <w:tcPr>
            <w:tcW w:w="3780" w:type="dxa"/>
            <w:tcBorders>
              <w:top w:val="single" w:sz="4" w:space="0" w:color="FFFFFF" w:themeColor="background1"/>
            </w:tcBorders>
          </w:tcPr>
          <w:p w14:paraId="0E6830D9" w14:textId="77777777" w:rsidR="004A3809" w:rsidRPr="003B280A" w:rsidRDefault="004A3809" w:rsidP="003917B8">
            <w:pPr>
              <w:pStyle w:val="Textocomentario"/>
              <w:rPr>
                <w:rFonts w:ascii="Garamond" w:hAnsi="Garamond"/>
                <w:sz w:val="22"/>
                <w:szCs w:val="22"/>
              </w:rPr>
            </w:pPr>
          </w:p>
        </w:tc>
        <w:tc>
          <w:tcPr>
            <w:tcW w:w="2610" w:type="dxa"/>
            <w:tcBorders>
              <w:top w:val="single" w:sz="4" w:space="0" w:color="FFFFFF" w:themeColor="background1"/>
            </w:tcBorders>
          </w:tcPr>
          <w:p w14:paraId="4E26A443" w14:textId="77777777" w:rsidR="004A3809" w:rsidRPr="003B280A" w:rsidRDefault="004A3809" w:rsidP="003917B8">
            <w:pPr>
              <w:rPr>
                <w:rFonts w:ascii="Garamond" w:hAnsi="Garamond"/>
              </w:rPr>
            </w:pPr>
          </w:p>
        </w:tc>
      </w:tr>
      <w:tr w:rsidR="004A3809" w:rsidRPr="003B280A" w14:paraId="2A3DE30A" w14:textId="77777777" w:rsidTr="003917B8">
        <w:trPr>
          <w:trHeight w:val="261"/>
        </w:trPr>
        <w:tc>
          <w:tcPr>
            <w:tcW w:w="901" w:type="dxa"/>
          </w:tcPr>
          <w:p w14:paraId="1787AFCF" w14:textId="77777777" w:rsidR="004A3809" w:rsidRPr="003B280A" w:rsidRDefault="004A3809" w:rsidP="003917B8">
            <w:pPr>
              <w:jc w:val="center"/>
              <w:rPr>
                <w:rFonts w:ascii="Garamond" w:hAnsi="Garamond"/>
              </w:rPr>
            </w:pPr>
          </w:p>
        </w:tc>
        <w:tc>
          <w:tcPr>
            <w:tcW w:w="644" w:type="dxa"/>
          </w:tcPr>
          <w:p w14:paraId="4B705231" w14:textId="77777777" w:rsidR="004A3809" w:rsidRPr="003B280A" w:rsidRDefault="004A3809" w:rsidP="003917B8">
            <w:pPr>
              <w:jc w:val="center"/>
              <w:rPr>
                <w:rFonts w:ascii="Garamond" w:hAnsi="Garamond"/>
              </w:rPr>
            </w:pPr>
          </w:p>
        </w:tc>
        <w:tc>
          <w:tcPr>
            <w:tcW w:w="1605" w:type="dxa"/>
          </w:tcPr>
          <w:p w14:paraId="2F0E1245" w14:textId="77777777" w:rsidR="004A3809" w:rsidRPr="003B280A" w:rsidRDefault="004A3809" w:rsidP="003917B8">
            <w:pPr>
              <w:jc w:val="center"/>
              <w:rPr>
                <w:rFonts w:ascii="Garamond" w:hAnsi="Garamond"/>
              </w:rPr>
            </w:pPr>
          </w:p>
        </w:tc>
        <w:tc>
          <w:tcPr>
            <w:tcW w:w="3780" w:type="dxa"/>
          </w:tcPr>
          <w:p w14:paraId="49DFAD31" w14:textId="77777777" w:rsidR="004A3809" w:rsidRPr="003B280A" w:rsidRDefault="004A3809" w:rsidP="003917B8">
            <w:pPr>
              <w:pStyle w:val="Textocomentario"/>
              <w:rPr>
                <w:rFonts w:ascii="Garamond" w:hAnsi="Garamond"/>
                <w:sz w:val="22"/>
                <w:szCs w:val="22"/>
              </w:rPr>
            </w:pPr>
          </w:p>
        </w:tc>
        <w:tc>
          <w:tcPr>
            <w:tcW w:w="2610" w:type="dxa"/>
          </w:tcPr>
          <w:p w14:paraId="25041F9F" w14:textId="77777777" w:rsidR="004A3809" w:rsidRPr="003B280A" w:rsidRDefault="004A3809" w:rsidP="003917B8">
            <w:pPr>
              <w:rPr>
                <w:rFonts w:ascii="Garamond" w:hAnsi="Garamond"/>
              </w:rPr>
            </w:pPr>
          </w:p>
        </w:tc>
      </w:tr>
      <w:tr w:rsidR="004A3809" w:rsidRPr="003B280A" w14:paraId="51B2CB54" w14:textId="77777777" w:rsidTr="003917B8">
        <w:trPr>
          <w:trHeight w:val="248"/>
        </w:trPr>
        <w:tc>
          <w:tcPr>
            <w:tcW w:w="901" w:type="dxa"/>
          </w:tcPr>
          <w:p w14:paraId="233BCD07" w14:textId="77777777" w:rsidR="004A3809" w:rsidRPr="003B280A" w:rsidRDefault="004A3809" w:rsidP="003917B8">
            <w:pPr>
              <w:jc w:val="center"/>
              <w:rPr>
                <w:rFonts w:ascii="Garamond" w:hAnsi="Garamond"/>
              </w:rPr>
            </w:pPr>
          </w:p>
        </w:tc>
        <w:tc>
          <w:tcPr>
            <w:tcW w:w="644" w:type="dxa"/>
          </w:tcPr>
          <w:p w14:paraId="48354994" w14:textId="77777777" w:rsidR="004A3809" w:rsidRPr="003B280A" w:rsidRDefault="004A3809" w:rsidP="003917B8">
            <w:pPr>
              <w:jc w:val="center"/>
              <w:rPr>
                <w:rFonts w:ascii="Garamond" w:hAnsi="Garamond"/>
              </w:rPr>
            </w:pPr>
          </w:p>
        </w:tc>
        <w:tc>
          <w:tcPr>
            <w:tcW w:w="1605" w:type="dxa"/>
          </w:tcPr>
          <w:p w14:paraId="3F5489E8" w14:textId="77777777" w:rsidR="004A3809" w:rsidRPr="003B280A" w:rsidRDefault="004A3809" w:rsidP="003917B8">
            <w:pPr>
              <w:jc w:val="center"/>
              <w:rPr>
                <w:rFonts w:ascii="Garamond" w:hAnsi="Garamond"/>
              </w:rPr>
            </w:pPr>
          </w:p>
        </w:tc>
        <w:tc>
          <w:tcPr>
            <w:tcW w:w="3780" w:type="dxa"/>
          </w:tcPr>
          <w:p w14:paraId="293B6CA3" w14:textId="77777777" w:rsidR="004A3809" w:rsidRPr="003B280A" w:rsidRDefault="004A3809" w:rsidP="003917B8">
            <w:pPr>
              <w:rPr>
                <w:rFonts w:ascii="Garamond" w:hAnsi="Garamond"/>
              </w:rPr>
            </w:pPr>
          </w:p>
        </w:tc>
        <w:tc>
          <w:tcPr>
            <w:tcW w:w="2610" w:type="dxa"/>
          </w:tcPr>
          <w:p w14:paraId="67C37D82" w14:textId="77777777" w:rsidR="004A3809" w:rsidRPr="003B280A" w:rsidRDefault="004A3809" w:rsidP="003917B8">
            <w:pPr>
              <w:rPr>
                <w:rFonts w:ascii="Garamond" w:hAnsi="Garamond"/>
              </w:rPr>
            </w:pPr>
          </w:p>
        </w:tc>
      </w:tr>
      <w:tr w:rsidR="004A3809" w:rsidRPr="003B280A" w14:paraId="44E3433F" w14:textId="77777777" w:rsidTr="003917B8">
        <w:trPr>
          <w:trHeight w:val="248"/>
        </w:trPr>
        <w:tc>
          <w:tcPr>
            <w:tcW w:w="901" w:type="dxa"/>
          </w:tcPr>
          <w:p w14:paraId="532F2CF5" w14:textId="77777777" w:rsidR="004A3809" w:rsidRPr="003B280A" w:rsidRDefault="004A3809" w:rsidP="003917B8">
            <w:pPr>
              <w:jc w:val="center"/>
              <w:rPr>
                <w:rFonts w:ascii="Garamond" w:hAnsi="Garamond"/>
              </w:rPr>
            </w:pPr>
          </w:p>
        </w:tc>
        <w:tc>
          <w:tcPr>
            <w:tcW w:w="644" w:type="dxa"/>
          </w:tcPr>
          <w:p w14:paraId="53DC8BDE" w14:textId="77777777" w:rsidR="004A3809" w:rsidRPr="003B280A" w:rsidRDefault="004A3809" w:rsidP="003917B8">
            <w:pPr>
              <w:jc w:val="center"/>
              <w:rPr>
                <w:rFonts w:ascii="Garamond" w:hAnsi="Garamond"/>
              </w:rPr>
            </w:pPr>
          </w:p>
        </w:tc>
        <w:tc>
          <w:tcPr>
            <w:tcW w:w="1605" w:type="dxa"/>
          </w:tcPr>
          <w:p w14:paraId="4EEEADD2" w14:textId="77777777" w:rsidR="004A3809" w:rsidRPr="003B280A" w:rsidRDefault="004A3809" w:rsidP="003917B8">
            <w:pPr>
              <w:jc w:val="center"/>
              <w:rPr>
                <w:rFonts w:ascii="Garamond" w:hAnsi="Garamond"/>
              </w:rPr>
            </w:pPr>
          </w:p>
        </w:tc>
        <w:tc>
          <w:tcPr>
            <w:tcW w:w="3780" w:type="dxa"/>
          </w:tcPr>
          <w:p w14:paraId="358F39E4" w14:textId="77777777" w:rsidR="004A3809" w:rsidRPr="003B280A" w:rsidRDefault="004A3809" w:rsidP="003917B8">
            <w:pPr>
              <w:rPr>
                <w:rFonts w:ascii="Garamond" w:hAnsi="Garamond"/>
              </w:rPr>
            </w:pPr>
          </w:p>
        </w:tc>
        <w:tc>
          <w:tcPr>
            <w:tcW w:w="2610" w:type="dxa"/>
          </w:tcPr>
          <w:p w14:paraId="52ACA92F" w14:textId="77777777" w:rsidR="004A3809" w:rsidRPr="003B280A" w:rsidRDefault="004A3809" w:rsidP="003917B8">
            <w:pPr>
              <w:rPr>
                <w:rFonts w:ascii="Garamond" w:hAnsi="Garamond"/>
              </w:rPr>
            </w:pPr>
          </w:p>
        </w:tc>
      </w:tr>
      <w:tr w:rsidR="004A3809" w:rsidRPr="003B280A" w14:paraId="26745218" w14:textId="77777777" w:rsidTr="003917B8">
        <w:trPr>
          <w:trHeight w:val="261"/>
        </w:trPr>
        <w:tc>
          <w:tcPr>
            <w:tcW w:w="901" w:type="dxa"/>
          </w:tcPr>
          <w:p w14:paraId="5D979330" w14:textId="77777777" w:rsidR="004A3809" w:rsidRPr="003B280A" w:rsidRDefault="004A3809" w:rsidP="003917B8">
            <w:pPr>
              <w:jc w:val="center"/>
              <w:rPr>
                <w:rFonts w:ascii="Garamond" w:hAnsi="Garamond"/>
              </w:rPr>
            </w:pPr>
          </w:p>
        </w:tc>
        <w:tc>
          <w:tcPr>
            <w:tcW w:w="644" w:type="dxa"/>
          </w:tcPr>
          <w:p w14:paraId="1AF68755" w14:textId="77777777" w:rsidR="004A3809" w:rsidRPr="003B280A" w:rsidRDefault="004A3809" w:rsidP="003917B8">
            <w:pPr>
              <w:jc w:val="center"/>
              <w:rPr>
                <w:rFonts w:ascii="Garamond" w:hAnsi="Garamond"/>
              </w:rPr>
            </w:pPr>
          </w:p>
        </w:tc>
        <w:tc>
          <w:tcPr>
            <w:tcW w:w="1605" w:type="dxa"/>
          </w:tcPr>
          <w:p w14:paraId="7EB29B1F" w14:textId="77777777" w:rsidR="004A3809" w:rsidRPr="003B280A" w:rsidRDefault="004A3809" w:rsidP="003917B8">
            <w:pPr>
              <w:jc w:val="center"/>
              <w:rPr>
                <w:rFonts w:ascii="Garamond" w:hAnsi="Garamond"/>
              </w:rPr>
            </w:pPr>
          </w:p>
        </w:tc>
        <w:tc>
          <w:tcPr>
            <w:tcW w:w="3780" w:type="dxa"/>
          </w:tcPr>
          <w:p w14:paraId="24F5ECE6" w14:textId="77777777" w:rsidR="004A3809" w:rsidRPr="003B280A" w:rsidRDefault="004A3809" w:rsidP="003917B8">
            <w:pPr>
              <w:rPr>
                <w:rFonts w:ascii="Garamond" w:hAnsi="Garamond"/>
              </w:rPr>
            </w:pPr>
          </w:p>
        </w:tc>
        <w:tc>
          <w:tcPr>
            <w:tcW w:w="2610" w:type="dxa"/>
          </w:tcPr>
          <w:p w14:paraId="098DF81E" w14:textId="77777777" w:rsidR="004A3809" w:rsidRPr="003B280A" w:rsidRDefault="004A3809" w:rsidP="003917B8">
            <w:pPr>
              <w:rPr>
                <w:rFonts w:ascii="Garamond" w:hAnsi="Garamond"/>
              </w:rPr>
            </w:pPr>
          </w:p>
        </w:tc>
      </w:tr>
      <w:tr w:rsidR="004A3809" w:rsidRPr="003B280A" w14:paraId="12D59B9C" w14:textId="77777777" w:rsidTr="003917B8">
        <w:trPr>
          <w:trHeight w:val="261"/>
        </w:trPr>
        <w:tc>
          <w:tcPr>
            <w:tcW w:w="901" w:type="dxa"/>
          </w:tcPr>
          <w:p w14:paraId="577E293A" w14:textId="77777777" w:rsidR="004A3809" w:rsidRPr="003B280A" w:rsidRDefault="004A3809" w:rsidP="003917B8">
            <w:pPr>
              <w:jc w:val="center"/>
              <w:rPr>
                <w:rFonts w:ascii="Garamond" w:hAnsi="Garamond"/>
              </w:rPr>
            </w:pPr>
          </w:p>
        </w:tc>
        <w:tc>
          <w:tcPr>
            <w:tcW w:w="644" w:type="dxa"/>
          </w:tcPr>
          <w:p w14:paraId="1E006CFD" w14:textId="77777777" w:rsidR="004A3809" w:rsidRPr="003B280A" w:rsidRDefault="004A3809" w:rsidP="003917B8">
            <w:pPr>
              <w:jc w:val="center"/>
              <w:rPr>
                <w:rFonts w:ascii="Garamond" w:hAnsi="Garamond"/>
              </w:rPr>
            </w:pPr>
          </w:p>
        </w:tc>
        <w:tc>
          <w:tcPr>
            <w:tcW w:w="1605" w:type="dxa"/>
          </w:tcPr>
          <w:p w14:paraId="1161F45D" w14:textId="77777777" w:rsidR="004A3809" w:rsidRPr="003B280A" w:rsidRDefault="004A3809" w:rsidP="003917B8">
            <w:pPr>
              <w:jc w:val="center"/>
              <w:rPr>
                <w:rFonts w:ascii="Garamond" w:hAnsi="Garamond"/>
              </w:rPr>
            </w:pPr>
          </w:p>
        </w:tc>
        <w:tc>
          <w:tcPr>
            <w:tcW w:w="3780" w:type="dxa"/>
          </w:tcPr>
          <w:p w14:paraId="75E84E14" w14:textId="77777777" w:rsidR="004A3809" w:rsidRPr="003B280A" w:rsidRDefault="004A3809" w:rsidP="003917B8">
            <w:pPr>
              <w:pStyle w:val="Textocomentario"/>
              <w:rPr>
                <w:rFonts w:ascii="Garamond" w:hAnsi="Garamond"/>
                <w:sz w:val="22"/>
                <w:szCs w:val="22"/>
              </w:rPr>
            </w:pPr>
          </w:p>
        </w:tc>
        <w:tc>
          <w:tcPr>
            <w:tcW w:w="2610" w:type="dxa"/>
          </w:tcPr>
          <w:p w14:paraId="6C083B3E" w14:textId="77777777" w:rsidR="004A3809" w:rsidRPr="003B280A" w:rsidRDefault="004A3809" w:rsidP="003917B8">
            <w:pPr>
              <w:rPr>
                <w:rFonts w:ascii="Garamond" w:hAnsi="Garamond"/>
              </w:rPr>
            </w:pPr>
          </w:p>
        </w:tc>
      </w:tr>
      <w:tr w:rsidR="004A3809" w:rsidRPr="003B280A" w14:paraId="4F523A1D" w14:textId="77777777" w:rsidTr="003917B8">
        <w:trPr>
          <w:trHeight w:val="261"/>
        </w:trPr>
        <w:tc>
          <w:tcPr>
            <w:tcW w:w="901" w:type="dxa"/>
          </w:tcPr>
          <w:p w14:paraId="27BF5A4F" w14:textId="77777777" w:rsidR="004A3809" w:rsidRPr="003B280A" w:rsidRDefault="004A3809" w:rsidP="003917B8">
            <w:pPr>
              <w:jc w:val="center"/>
              <w:rPr>
                <w:rFonts w:ascii="Garamond" w:hAnsi="Garamond"/>
              </w:rPr>
            </w:pPr>
          </w:p>
        </w:tc>
        <w:tc>
          <w:tcPr>
            <w:tcW w:w="644" w:type="dxa"/>
          </w:tcPr>
          <w:p w14:paraId="72F849BC" w14:textId="77777777" w:rsidR="004A3809" w:rsidRPr="003B280A" w:rsidRDefault="004A3809" w:rsidP="003917B8">
            <w:pPr>
              <w:jc w:val="center"/>
              <w:rPr>
                <w:rFonts w:ascii="Garamond" w:hAnsi="Garamond"/>
              </w:rPr>
            </w:pPr>
          </w:p>
        </w:tc>
        <w:tc>
          <w:tcPr>
            <w:tcW w:w="1605" w:type="dxa"/>
          </w:tcPr>
          <w:p w14:paraId="3A31A49D" w14:textId="77777777" w:rsidR="004A3809" w:rsidRPr="003B280A" w:rsidRDefault="004A3809" w:rsidP="003917B8">
            <w:pPr>
              <w:jc w:val="center"/>
              <w:rPr>
                <w:rFonts w:ascii="Garamond" w:hAnsi="Garamond"/>
              </w:rPr>
            </w:pPr>
          </w:p>
        </w:tc>
        <w:tc>
          <w:tcPr>
            <w:tcW w:w="3780" w:type="dxa"/>
          </w:tcPr>
          <w:p w14:paraId="1D84E37E" w14:textId="77777777" w:rsidR="004A3809" w:rsidRPr="003B280A" w:rsidRDefault="004A3809" w:rsidP="003917B8">
            <w:pPr>
              <w:pStyle w:val="Textocomentario"/>
              <w:rPr>
                <w:rFonts w:ascii="Garamond" w:hAnsi="Garamond"/>
                <w:sz w:val="22"/>
                <w:szCs w:val="22"/>
              </w:rPr>
            </w:pPr>
          </w:p>
        </w:tc>
        <w:tc>
          <w:tcPr>
            <w:tcW w:w="2610" w:type="dxa"/>
          </w:tcPr>
          <w:p w14:paraId="0E18250E" w14:textId="77777777" w:rsidR="004A3809" w:rsidRPr="003B280A" w:rsidRDefault="004A3809" w:rsidP="003917B8">
            <w:pPr>
              <w:rPr>
                <w:rFonts w:ascii="Garamond" w:hAnsi="Garamond"/>
              </w:rPr>
            </w:pPr>
          </w:p>
        </w:tc>
      </w:tr>
      <w:tr w:rsidR="004A3809" w:rsidRPr="003B280A" w14:paraId="5AF58434" w14:textId="77777777" w:rsidTr="003917B8">
        <w:trPr>
          <w:trHeight w:val="248"/>
        </w:trPr>
        <w:tc>
          <w:tcPr>
            <w:tcW w:w="901" w:type="dxa"/>
          </w:tcPr>
          <w:p w14:paraId="208C54F0" w14:textId="77777777" w:rsidR="004A3809" w:rsidRPr="003B280A" w:rsidRDefault="004A3809" w:rsidP="003917B8">
            <w:pPr>
              <w:jc w:val="center"/>
              <w:rPr>
                <w:rFonts w:ascii="Garamond" w:hAnsi="Garamond"/>
              </w:rPr>
            </w:pPr>
          </w:p>
        </w:tc>
        <w:tc>
          <w:tcPr>
            <w:tcW w:w="644" w:type="dxa"/>
          </w:tcPr>
          <w:p w14:paraId="42A32BF7" w14:textId="77777777" w:rsidR="004A3809" w:rsidRPr="003B280A" w:rsidRDefault="004A3809" w:rsidP="003917B8">
            <w:pPr>
              <w:jc w:val="center"/>
              <w:rPr>
                <w:rFonts w:ascii="Garamond" w:hAnsi="Garamond"/>
              </w:rPr>
            </w:pPr>
          </w:p>
        </w:tc>
        <w:tc>
          <w:tcPr>
            <w:tcW w:w="1605" w:type="dxa"/>
          </w:tcPr>
          <w:p w14:paraId="08DA8617" w14:textId="77777777" w:rsidR="004A3809" w:rsidRPr="003B280A" w:rsidRDefault="004A3809" w:rsidP="003917B8">
            <w:pPr>
              <w:jc w:val="center"/>
              <w:rPr>
                <w:rFonts w:ascii="Garamond" w:hAnsi="Garamond"/>
              </w:rPr>
            </w:pPr>
          </w:p>
        </w:tc>
        <w:tc>
          <w:tcPr>
            <w:tcW w:w="3780" w:type="dxa"/>
          </w:tcPr>
          <w:p w14:paraId="4256CE49" w14:textId="77777777" w:rsidR="004A3809" w:rsidRPr="003B280A" w:rsidRDefault="004A3809" w:rsidP="003917B8">
            <w:pPr>
              <w:rPr>
                <w:rFonts w:ascii="Garamond" w:hAnsi="Garamond"/>
              </w:rPr>
            </w:pPr>
          </w:p>
        </w:tc>
        <w:tc>
          <w:tcPr>
            <w:tcW w:w="2610" w:type="dxa"/>
          </w:tcPr>
          <w:p w14:paraId="1734ADA0" w14:textId="77777777" w:rsidR="004A3809" w:rsidRPr="003B280A" w:rsidRDefault="004A3809" w:rsidP="003917B8">
            <w:pPr>
              <w:rPr>
                <w:rFonts w:ascii="Garamond" w:hAnsi="Garamond"/>
              </w:rPr>
            </w:pPr>
          </w:p>
        </w:tc>
      </w:tr>
      <w:tr w:rsidR="004A3809" w:rsidRPr="003B280A" w14:paraId="4E944857" w14:textId="77777777" w:rsidTr="003917B8">
        <w:trPr>
          <w:trHeight w:val="248"/>
        </w:trPr>
        <w:tc>
          <w:tcPr>
            <w:tcW w:w="901" w:type="dxa"/>
          </w:tcPr>
          <w:p w14:paraId="17DD97C2" w14:textId="77777777" w:rsidR="004A3809" w:rsidRPr="003B280A" w:rsidRDefault="004A3809" w:rsidP="003917B8">
            <w:pPr>
              <w:jc w:val="center"/>
              <w:rPr>
                <w:rFonts w:ascii="Garamond" w:hAnsi="Garamond"/>
              </w:rPr>
            </w:pPr>
          </w:p>
        </w:tc>
        <w:tc>
          <w:tcPr>
            <w:tcW w:w="644" w:type="dxa"/>
          </w:tcPr>
          <w:p w14:paraId="2B13B14A" w14:textId="77777777" w:rsidR="004A3809" w:rsidRPr="003B280A" w:rsidRDefault="004A3809" w:rsidP="003917B8">
            <w:pPr>
              <w:jc w:val="center"/>
              <w:rPr>
                <w:rFonts w:ascii="Garamond" w:hAnsi="Garamond"/>
              </w:rPr>
            </w:pPr>
          </w:p>
        </w:tc>
        <w:tc>
          <w:tcPr>
            <w:tcW w:w="1605" w:type="dxa"/>
          </w:tcPr>
          <w:p w14:paraId="2D85261F" w14:textId="77777777" w:rsidR="004A3809" w:rsidRPr="003B280A" w:rsidRDefault="004A3809" w:rsidP="003917B8">
            <w:pPr>
              <w:jc w:val="center"/>
              <w:rPr>
                <w:rFonts w:ascii="Garamond" w:hAnsi="Garamond"/>
              </w:rPr>
            </w:pPr>
          </w:p>
        </w:tc>
        <w:tc>
          <w:tcPr>
            <w:tcW w:w="3780" w:type="dxa"/>
          </w:tcPr>
          <w:p w14:paraId="68143C9D" w14:textId="77777777" w:rsidR="004A3809" w:rsidRPr="003B280A" w:rsidRDefault="004A3809" w:rsidP="003917B8">
            <w:pPr>
              <w:rPr>
                <w:rFonts w:ascii="Garamond" w:hAnsi="Garamond"/>
              </w:rPr>
            </w:pPr>
          </w:p>
        </w:tc>
        <w:tc>
          <w:tcPr>
            <w:tcW w:w="2610" w:type="dxa"/>
          </w:tcPr>
          <w:p w14:paraId="6B664C91" w14:textId="77777777" w:rsidR="004A3809" w:rsidRPr="003B280A" w:rsidRDefault="004A3809" w:rsidP="003917B8">
            <w:pPr>
              <w:rPr>
                <w:rFonts w:ascii="Garamond" w:hAnsi="Garamond"/>
              </w:rPr>
            </w:pPr>
          </w:p>
        </w:tc>
      </w:tr>
      <w:tr w:rsidR="004A3809" w:rsidRPr="003B280A" w14:paraId="5077F929" w14:textId="77777777" w:rsidTr="003917B8">
        <w:trPr>
          <w:trHeight w:val="261"/>
        </w:trPr>
        <w:tc>
          <w:tcPr>
            <w:tcW w:w="901" w:type="dxa"/>
          </w:tcPr>
          <w:p w14:paraId="29A82093" w14:textId="77777777" w:rsidR="004A3809" w:rsidRPr="003B280A" w:rsidRDefault="004A3809" w:rsidP="003917B8">
            <w:pPr>
              <w:jc w:val="center"/>
              <w:rPr>
                <w:rFonts w:ascii="Garamond" w:hAnsi="Garamond"/>
              </w:rPr>
            </w:pPr>
          </w:p>
        </w:tc>
        <w:tc>
          <w:tcPr>
            <w:tcW w:w="644" w:type="dxa"/>
          </w:tcPr>
          <w:p w14:paraId="31F6819E" w14:textId="77777777" w:rsidR="004A3809" w:rsidRPr="003B280A" w:rsidRDefault="004A3809" w:rsidP="003917B8">
            <w:pPr>
              <w:jc w:val="center"/>
              <w:rPr>
                <w:rFonts w:ascii="Garamond" w:hAnsi="Garamond"/>
              </w:rPr>
            </w:pPr>
          </w:p>
        </w:tc>
        <w:tc>
          <w:tcPr>
            <w:tcW w:w="1605" w:type="dxa"/>
          </w:tcPr>
          <w:p w14:paraId="58D7588C" w14:textId="77777777" w:rsidR="004A3809" w:rsidRPr="003B280A" w:rsidRDefault="004A3809" w:rsidP="003917B8">
            <w:pPr>
              <w:jc w:val="center"/>
              <w:rPr>
                <w:rFonts w:ascii="Garamond" w:hAnsi="Garamond"/>
              </w:rPr>
            </w:pPr>
          </w:p>
        </w:tc>
        <w:tc>
          <w:tcPr>
            <w:tcW w:w="3780" w:type="dxa"/>
          </w:tcPr>
          <w:p w14:paraId="586CDE01" w14:textId="77777777" w:rsidR="004A3809" w:rsidRPr="003B280A" w:rsidRDefault="004A3809" w:rsidP="003917B8">
            <w:pPr>
              <w:rPr>
                <w:rFonts w:ascii="Garamond" w:hAnsi="Garamond"/>
              </w:rPr>
            </w:pPr>
          </w:p>
        </w:tc>
        <w:tc>
          <w:tcPr>
            <w:tcW w:w="2610" w:type="dxa"/>
          </w:tcPr>
          <w:p w14:paraId="638DC2D3" w14:textId="77777777" w:rsidR="004A3809" w:rsidRPr="003B280A" w:rsidRDefault="004A3809" w:rsidP="003917B8">
            <w:pPr>
              <w:rPr>
                <w:rFonts w:ascii="Garamond" w:hAnsi="Garamond"/>
              </w:rPr>
            </w:pPr>
          </w:p>
        </w:tc>
      </w:tr>
    </w:tbl>
    <w:p w14:paraId="259E71F0" w14:textId="77777777" w:rsidR="003917B8" w:rsidRDefault="003917B8" w:rsidP="001E6992">
      <w:pPr>
        <w:spacing w:after="0" w:line="240" w:lineRule="auto"/>
      </w:pPr>
    </w:p>
    <w:sectPr w:rsidR="00391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65972" w14:textId="77777777" w:rsidR="009D76E5" w:rsidRDefault="009D76E5" w:rsidP="00BF0763">
      <w:pPr>
        <w:spacing w:after="0" w:line="240" w:lineRule="auto"/>
      </w:pPr>
      <w:r>
        <w:separator/>
      </w:r>
    </w:p>
  </w:endnote>
  <w:endnote w:type="continuationSeparator" w:id="0">
    <w:p w14:paraId="7E38D382" w14:textId="77777777" w:rsidR="009D76E5" w:rsidRDefault="009D76E5"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57DC3468" w14:textId="77777777" w:rsidR="008013B6" w:rsidRDefault="008013B6">
        <w:pPr>
          <w:pStyle w:val="Piedepgina"/>
        </w:pPr>
      </w:p>
      <w:p w14:paraId="35D3605C" w14:textId="77777777" w:rsidR="008013B6" w:rsidRDefault="008013B6">
        <w:pPr>
          <w:pStyle w:val="Piedepgina"/>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09247674" w14:textId="77777777" w:rsidR="008013B6" w:rsidRDefault="008013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0D5C582E" w14:textId="77777777" w:rsidR="008013B6" w:rsidRDefault="008013B6" w:rsidP="003917B8">
        <w:pPr>
          <w:pStyle w:val="Piedepgina"/>
        </w:pPr>
      </w:p>
      <w:p w14:paraId="2AAF913D" w14:textId="77777777" w:rsidR="008013B6" w:rsidRDefault="008013B6" w:rsidP="003917B8">
        <w:pPr>
          <w:pStyle w:val="Piedepgina"/>
        </w:pPr>
      </w:p>
      <w:p w14:paraId="2C63914D" w14:textId="77777777" w:rsidR="008013B6" w:rsidRPr="001F635D" w:rsidRDefault="008013B6" w:rsidP="003917B8">
        <w:pPr>
          <w:pStyle w:val="Piedepgina"/>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6</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9FCEF61" w14:textId="77777777" w:rsidR="008013B6" w:rsidRDefault="008013B6" w:rsidP="003917B8">
        <w:pPr>
          <w:pStyle w:val="Piedepgina"/>
        </w:pPr>
      </w:p>
      <w:p w14:paraId="17781D0E" w14:textId="77777777" w:rsidR="008013B6" w:rsidRDefault="008013B6" w:rsidP="003917B8">
        <w:pPr>
          <w:pStyle w:val="Piedepgina"/>
        </w:pPr>
      </w:p>
      <w:p w14:paraId="75FF7122" w14:textId="77777777" w:rsidR="008013B6" w:rsidRPr="001F635D" w:rsidRDefault="008013B6" w:rsidP="003917B8">
        <w:pPr>
          <w:pStyle w:val="Piedepgina"/>
        </w:pPr>
        <w:r>
          <w:rPr>
            <w:rFonts w:ascii="Garamond" w:hAnsi="Garamond"/>
          </w:rPr>
          <w:t xml:space="preserve">UNDP-GEF MTR </w:t>
        </w:r>
        <w:proofErr w:type="spellStart"/>
        <w:r>
          <w:rPr>
            <w:rFonts w:ascii="Garamond" w:hAnsi="Garamond"/>
          </w:rPr>
          <w:t>ToR</w:t>
        </w:r>
        <w:proofErr w:type="spellEnd"/>
        <w:r>
          <w:rPr>
            <w:rFonts w:ascii="Garamond" w:hAnsi="Garamond"/>
          </w:rPr>
          <w:t xml:space="preserve"> Standard Template 2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97B26" w14:textId="77777777" w:rsidR="009D76E5" w:rsidRDefault="009D76E5" w:rsidP="00BF0763">
      <w:pPr>
        <w:spacing w:after="0" w:line="240" w:lineRule="auto"/>
      </w:pPr>
      <w:r>
        <w:separator/>
      </w:r>
    </w:p>
  </w:footnote>
  <w:footnote w:type="continuationSeparator" w:id="0">
    <w:p w14:paraId="080D647D" w14:textId="77777777" w:rsidR="009D76E5" w:rsidRDefault="009D76E5" w:rsidP="00BF0763">
      <w:pPr>
        <w:spacing w:after="0" w:line="240" w:lineRule="auto"/>
      </w:pPr>
      <w:r>
        <w:continuationSeparator/>
      </w:r>
    </w:p>
  </w:footnote>
  <w:footnote w:id="1">
    <w:p w14:paraId="406257FA" w14:textId="77777777" w:rsidR="008013B6" w:rsidRPr="00B01097" w:rsidRDefault="008013B6" w:rsidP="00CC451B">
      <w:pPr>
        <w:pStyle w:val="Textonotapie"/>
        <w:rPr>
          <w:lang w:val="es-PA"/>
        </w:rPr>
      </w:pPr>
      <w:r>
        <w:rPr>
          <w:rStyle w:val="Refdenotaalpie"/>
        </w:rPr>
        <w:footnoteRef/>
      </w:r>
      <w:r w:rsidRPr="00B01097">
        <w:rPr>
          <w:lang w:val="es-PA"/>
        </w:rPr>
        <w:t xml:space="preserve"> Second NC, Section 7.3 (p.124).</w:t>
      </w:r>
    </w:p>
  </w:footnote>
  <w:footnote w:id="2">
    <w:p w14:paraId="52D02B52" w14:textId="577F3FCF" w:rsidR="008013B6" w:rsidRPr="00A30B48" w:rsidRDefault="008013B6">
      <w:pPr>
        <w:pStyle w:val="Textonotapie"/>
        <w:rPr>
          <w:lang w:val="es-AR"/>
        </w:rPr>
      </w:pPr>
      <w:r>
        <w:rPr>
          <w:rStyle w:val="Refdenotaalpie"/>
        </w:rPr>
        <w:footnoteRef/>
      </w:r>
      <w:r w:rsidRPr="00A30B48">
        <w:rPr>
          <w:lang w:val="es-AR"/>
        </w:rPr>
        <w:t xml:space="preserve"> Plan de acción Nacional d</w:t>
      </w:r>
      <w:r>
        <w:rPr>
          <w:lang w:val="es-AR"/>
        </w:rPr>
        <w:t>e Energía y Cambio Climático</w:t>
      </w:r>
    </w:p>
  </w:footnote>
  <w:footnote w:id="3">
    <w:p w14:paraId="226B71C6" w14:textId="77777777" w:rsidR="008013B6" w:rsidRPr="00AA1246" w:rsidRDefault="008013B6" w:rsidP="00BF0763">
      <w:pPr>
        <w:pStyle w:val="Textonotapie"/>
        <w:spacing w:before="0"/>
        <w:rPr>
          <w:rFonts w:ascii="Garamond" w:hAnsi="Garamond"/>
          <w:sz w:val="18"/>
          <w:szCs w:val="18"/>
        </w:rPr>
      </w:pPr>
      <w:r w:rsidRPr="00AA1246">
        <w:rPr>
          <w:rStyle w:val="Refdenotaalpi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ipervnculo"/>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4">
    <w:p w14:paraId="0EF884D6" w14:textId="77777777" w:rsidR="008013B6" w:rsidRPr="00CE0D94" w:rsidRDefault="008013B6" w:rsidP="00BF0763">
      <w:pPr>
        <w:pStyle w:val="Textonotapie"/>
        <w:spacing w:before="0"/>
        <w:rPr>
          <w:rFonts w:ascii="Garamond" w:hAnsi="Garamond"/>
          <w:sz w:val="18"/>
          <w:szCs w:val="18"/>
        </w:rPr>
      </w:pPr>
      <w:r w:rsidRPr="00CE0D94">
        <w:rPr>
          <w:rStyle w:val="Refdenotaalpi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ipervnculo"/>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5">
    <w:p w14:paraId="199AB06A" w14:textId="77777777" w:rsidR="008013B6" w:rsidRPr="000C498C" w:rsidRDefault="008013B6" w:rsidP="00E1102A">
      <w:pPr>
        <w:pStyle w:val="Textonotapie"/>
        <w:rPr>
          <w:sz w:val="16"/>
          <w:szCs w:val="16"/>
        </w:rPr>
      </w:pPr>
      <w:r w:rsidRPr="000C498C">
        <w:rPr>
          <w:rStyle w:val="Refdenotaalpie"/>
          <w:rFonts w:asciiTheme="minorHAnsi" w:hAnsiTheme="minorHAnsi"/>
          <w:sz w:val="16"/>
          <w:szCs w:val="16"/>
        </w:rPr>
        <w:footnoteRef/>
      </w:r>
      <w:r w:rsidRPr="000C498C">
        <w:rPr>
          <w:sz w:val="16"/>
          <w:szCs w:val="16"/>
        </w:rPr>
        <w:t xml:space="preserve"> Baseline, mid-term and end of project levels must be expressed in the same neutral unit of analysis as the corresponding indicator.</w:t>
      </w:r>
    </w:p>
  </w:footnote>
  <w:footnote w:id="6">
    <w:p w14:paraId="5E6EA201" w14:textId="77777777" w:rsidR="008013B6" w:rsidRDefault="008013B6" w:rsidP="00E1102A">
      <w:pPr>
        <w:pStyle w:val="Textonotapie"/>
        <w:spacing w:before="0"/>
      </w:pPr>
      <w:r w:rsidRPr="00EB5784">
        <w:rPr>
          <w:rStyle w:val="Refdenotaalpi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5549F5DA" w14:textId="77777777" w:rsidR="008013B6" w:rsidRPr="00EA2B17" w:rsidRDefault="008013B6" w:rsidP="00E1102A">
      <w:pPr>
        <w:pStyle w:val="Textonotapie"/>
        <w:rPr>
          <w:rFonts w:ascii="Calibri" w:hAnsi="Calibri"/>
        </w:rPr>
      </w:pPr>
      <w:r w:rsidRPr="00EA2B17">
        <w:rPr>
          <w:rStyle w:val="Refdenotaalpie"/>
          <w:rFonts w:ascii="Calibri" w:hAnsi="Calibri"/>
          <w:sz w:val="16"/>
        </w:rPr>
        <w:footnoteRef/>
      </w:r>
      <w:r w:rsidRPr="00EA2B17">
        <w:rPr>
          <w:rFonts w:ascii="Calibri" w:hAnsi="Calibri"/>
          <w:sz w:val="16"/>
        </w:rPr>
        <w:t xml:space="preserve"> Indicator is aligned with the GEF CC TT tem</w:t>
      </w:r>
      <w:r>
        <w:rPr>
          <w:rFonts w:ascii="Calibri" w:hAnsi="Calibri"/>
          <w:sz w:val="16"/>
        </w:rPr>
        <w:t xml:space="preserve">plate, using a rating scale </w:t>
      </w:r>
      <w:proofErr w:type="gramStart"/>
      <w:r>
        <w:rPr>
          <w:rFonts w:ascii="Calibri" w:hAnsi="Calibri"/>
          <w:sz w:val="16"/>
        </w:rPr>
        <w:t>0..</w:t>
      </w:r>
      <w:proofErr w:type="gramEnd"/>
      <w:r>
        <w:rPr>
          <w:rFonts w:ascii="Calibri" w:hAnsi="Calibri"/>
          <w:sz w:val="16"/>
        </w:rPr>
        <w:t>5</w:t>
      </w:r>
      <w:r w:rsidRPr="00EA2B17">
        <w:rPr>
          <w:rFonts w:ascii="Calibri" w:hAnsi="Calibri"/>
          <w:sz w:val="16"/>
        </w:rPr>
        <w:t>.</w:t>
      </w:r>
    </w:p>
  </w:footnote>
  <w:footnote w:id="8">
    <w:p w14:paraId="11697ED8" w14:textId="77777777" w:rsidR="008013B6" w:rsidRPr="001E6403" w:rsidRDefault="008013B6" w:rsidP="00E1102A">
      <w:pPr>
        <w:pStyle w:val="Textonotapie"/>
      </w:pPr>
      <w:r w:rsidRPr="001E6403">
        <w:rPr>
          <w:rStyle w:val="Refdenotaalpie"/>
          <w:rFonts w:asciiTheme="minorHAnsi" w:hAnsiTheme="minorHAnsi"/>
          <w:sz w:val="16"/>
        </w:rPr>
        <w:footnoteRef/>
      </w:r>
      <w:r w:rsidRPr="001E6403">
        <w:rPr>
          <w:sz w:val="16"/>
        </w:rPr>
        <w:t xml:space="preserve"> This indicator reflects the number of people receiving grid electricity from the newly installed renewable energy systems. The targets are estimated based on the following assumptions: average household electricity consumption (outside Buenos Aires Metropolitan Area): 2,000 kWh/</w:t>
      </w:r>
      <w:proofErr w:type="spellStart"/>
      <w:r w:rsidRPr="001E6403">
        <w:rPr>
          <w:sz w:val="16"/>
        </w:rPr>
        <w:t>yr</w:t>
      </w:r>
      <w:proofErr w:type="spellEnd"/>
      <w:r w:rsidRPr="001E6403">
        <w:rPr>
          <w:sz w:val="16"/>
        </w:rPr>
        <w:t xml:space="preserve"> and number of persons per household: 3.5. A gender ratio of 50% is assumed. It is suggested to revise these assumptions for each municipality selected.</w:t>
      </w:r>
    </w:p>
  </w:footnote>
  <w:footnote w:id="9">
    <w:p w14:paraId="1733E55C" w14:textId="77777777" w:rsidR="008013B6" w:rsidRPr="00BA35E3" w:rsidRDefault="008013B6" w:rsidP="00E1102A">
      <w:pPr>
        <w:pStyle w:val="Textonotapie"/>
        <w:rPr>
          <w:sz w:val="16"/>
        </w:rPr>
      </w:pPr>
      <w:r w:rsidRPr="00BA35E3">
        <w:rPr>
          <w:rStyle w:val="Refdenotaalpie"/>
          <w:rFonts w:asciiTheme="minorHAnsi" w:hAnsiTheme="minorHAnsi"/>
          <w:sz w:val="16"/>
        </w:rPr>
        <w:footnoteRef/>
      </w:r>
      <w:r w:rsidRPr="00BA35E3">
        <w:rPr>
          <w:sz w:val="16"/>
        </w:rPr>
        <w:t xml:space="preserve"> Tentatively: GIRSU, electricity sector, climate change policy, environmental protection.</w:t>
      </w:r>
    </w:p>
  </w:footnote>
  <w:footnote w:id="10">
    <w:p w14:paraId="0A9996E8" w14:textId="77777777" w:rsidR="008013B6" w:rsidRPr="006534C7" w:rsidRDefault="008013B6" w:rsidP="005A0E07">
      <w:pPr>
        <w:pStyle w:val="Textonotapie"/>
        <w:spacing w:before="0"/>
        <w:rPr>
          <w:rFonts w:ascii="Garamond" w:hAnsi="Garamond"/>
          <w:sz w:val="18"/>
          <w:szCs w:val="18"/>
        </w:rPr>
      </w:pPr>
      <w:r w:rsidRPr="006534C7">
        <w:rPr>
          <w:rStyle w:val="Refdenotaalpi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11">
    <w:p w14:paraId="413F0677" w14:textId="77777777" w:rsidR="008013B6" w:rsidRPr="00DA4CDF" w:rsidRDefault="008013B6" w:rsidP="00BF0763">
      <w:pPr>
        <w:pStyle w:val="Textonotapie"/>
        <w:spacing w:before="0"/>
        <w:rPr>
          <w:rFonts w:ascii="Garamond" w:hAnsi="Garamond"/>
          <w:sz w:val="18"/>
          <w:szCs w:val="18"/>
        </w:rPr>
      </w:pPr>
      <w:r w:rsidRPr="00DA4CDF">
        <w:rPr>
          <w:rStyle w:val="Refdenotaalpi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ipervnculo"/>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2">
    <w:p w14:paraId="29E7E84F" w14:textId="77777777" w:rsidR="008013B6" w:rsidRPr="00F17AE8" w:rsidRDefault="008013B6" w:rsidP="00BF0763">
      <w:pPr>
        <w:pStyle w:val="Textonotapie"/>
        <w:spacing w:before="0"/>
        <w:rPr>
          <w:rFonts w:ascii="Garamond" w:hAnsi="Garamond"/>
          <w:sz w:val="18"/>
          <w:szCs w:val="18"/>
        </w:rPr>
      </w:pPr>
      <w:r w:rsidRPr="00F17AE8">
        <w:rPr>
          <w:rStyle w:val="Refdenotaalpi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ipervnculo"/>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3">
    <w:p w14:paraId="40C7F9D0" w14:textId="77777777" w:rsidR="008013B6" w:rsidRPr="00CC5905" w:rsidRDefault="008013B6" w:rsidP="00BF0763">
      <w:pPr>
        <w:pStyle w:val="p28"/>
        <w:tabs>
          <w:tab w:val="clear" w:pos="680"/>
          <w:tab w:val="clear" w:pos="1060"/>
        </w:tabs>
        <w:spacing w:line="240" w:lineRule="auto"/>
        <w:ind w:left="0" w:firstLine="0"/>
        <w:jc w:val="both"/>
        <w:rPr>
          <w:rFonts w:ascii="Garamond" w:hAnsi="Garamond"/>
          <w:sz w:val="18"/>
          <w:szCs w:val="18"/>
        </w:rPr>
      </w:pPr>
      <w:r w:rsidRPr="00491095">
        <w:rPr>
          <w:rStyle w:val="Refdenotaalpie"/>
          <w:rFonts w:eastAsiaTheme="majorEastAsia"/>
          <w:sz w:val="18"/>
          <w:szCs w:val="18"/>
        </w:rPr>
        <w:footnoteRef/>
      </w:r>
      <w:r>
        <w:t xml:space="preserve"> </w:t>
      </w:r>
      <w:hyperlink r:id="rId5" w:history="1">
        <w:r w:rsidRPr="00A93123">
          <w:rPr>
            <w:rStyle w:val="Hipervnculo"/>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4">
    <w:p w14:paraId="52C7759B" w14:textId="77777777" w:rsidR="008013B6" w:rsidRPr="001B28C5" w:rsidRDefault="008013B6" w:rsidP="00BF0763">
      <w:pPr>
        <w:pStyle w:val="Textonotapie"/>
        <w:rPr>
          <w:rFonts w:ascii="Garamond" w:hAnsi="Garamond"/>
        </w:rPr>
      </w:pPr>
      <w:r w:rsidRPr="001B28C5">
        <w:rPr>
          <w:rStyle w:val="Refdenotaalpi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5">
    <w:p w14:paraId="48F79B5E" w14:textId="77777777" w:rsidR="008013B6" w:rsidRDefault="008013B6" w:rsidP="00BF0763">
      <w:pPr>
        <w:pStyle w:val="Textonotapie"/>
      </w:pPr>
      <w:r>
        <w:rPr>
          <w:rStyle w:val="Refdenotaalpie"/>
          <w:rFonts w:eastAsiaTheme="majorEastAsia"/>
        </w:rPr>
        <w:footnoteRef/>
      </w:r>
      <w:r>
        <w:t xml:space="preserve"> </w:t>
      </w:r>
      <w:hyperlink r:id="rId6" w:history="1">
        <w:r w:rsidRPr="0081326C">
          <w:rPr>
            <w:rStyle w:val="Hipervnculo"/>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D031F"/>
    <w:multiLevelType w:val="multilevel"/>
    <w:tmpl w:val="D53C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95C11"/>
    <w:multiLevelType w:val="hybridMultilevel"/>
    <w:tmpl w:val="B38C700A"/>
    <w:lvl w:ilvl="0" w:tplc="96FCB5D2">
      <w:start w:val="1"/>
      <w:numFmt w:val="decimal"/>
      <w:lvlText w:val="%1."/>
      <w:lvlJc w:val="left"/>
      <w:pPr>
        <w:ind w:left="720" w:hanging="360"/>
      </w:pPr>
      <w:rPr>
        <w:b w:val="0"/>
        <w:i w:val="0"/>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0"/>
  </w:num>
  <w:num w:numId="3">
    <w:abstractNumId w:val="3"/>
  </w:num>
  <w:num w:numId="4">
    <w:abstractNumId w:val="1"/>
  </w:num>
  <w:num w:numId="5">
    <w:abstractNumId w:val="5"/>
  </w:num>
  <w:num w:numId="6">
    <w:abstractNumId w:val="6"/>
  </w:num>
  <w:num w:numId="7">
    <w:abstractNumId w:val="14"/>
  </w:num>
  <w:num w:numId="8">
    <w:abstractNumId w:val="17"/>
  </w:num>
  <w:num w:numId="9">
    <w:abstractNumId w:val="0"/>
  </w:num>
  <w:num w:numId="10">
    <w:abstractNumId w:val="15"/>
  </w:num>
  <w:num w:numId="11">
    <w:abstractNumId w:val="21"/>
  </w:num>
  <w:num w:numId="12">
    <w:abstractNumId w:val="31"/>
  </w:num>
  <w:num w:numId="13">
    <w:abstractNumId w:val="18"/>
  </w:num>
  <w:num w:numId="14">
    <w:abstractNumId w:val="19"/>
  </w:num>
  <w:num w:numId="15">
    <w:abstractNumId w:val="24"/>
  </w:num>
  <w:num w:numId="16">
    <w:abstractNumId w:val="12"/>
  </w:num>
  <w:num w:numId="17">
    <w:abstractNumId w:val="28"/>
  </w:num>
  <w:num w:numId="18">
    <w:abstractNumId w:val="2"/>
  </w:num>
  <w:num w:numId="19">
    <w:abstractNumId w:val="36"/>
  </w:num>
  <w:num w:numId="20">
    <w:abstractNumId w:val="37"/>
  </w:num>
  <w:num w:numId="21">
    <w:abstractNumId w:val="32"/>
  </w:num>
  <w:num w:numId="22">
    <w:abstractNumId w:val="26"/>
  </w:num>
  <w:num w:numId="23">
    <w:abstractNumId w:val="10"/>
  </w:num>
  <w:num w:numId="24">
    <w:abstractNumId w:val="8"/>
  </w:num>
  <w:num w:numId="25">
    <w:abstractNumId w:val="7"/>
  </w:num>
  <w:num w:numId="26">
    <w:abstractNumId w:val="22"/>
  </w:num>
  <w:num w:numId="27">
    <w:abstractNumId w:val="11"/>
  </w:num>
  <w:num w:numId="28">
    <w:abstractNumId w:val="9"/>
  </w:num>
  <w:num w:numId="29">
    <w:abstractNumId w:val="33"/>
  </w:num>
  <w:num w:numId="30">
    <w:abstractNumId w:val="34"/>
  </w:num>
  <w:num w:numId="31">
    <w:abstractNumId w:val="35"/>
  </w:num>
  <w:num w:numId="32">
    <w:abstractNumId w:val="16"/>
  </w:num>
  <w:num w:numId="33">
    <w:abstractNumId w:val="23"/>
  </w:num>
  <w:num w:numId="34">
    <w:abstractNumId w:val="4"/>
  </w:num>
  <w:num w:numId="35">
    <w:abstractNumId w:val="30"/>
  </w:num>
  <w:num w:numId="36">
    <w:abstractNumId w:val="25"/>
  </w:num>
  <w:num w:numId="37">
    <w:abstractNumId w:val="29"/>
  </w:num>
  <w:num w:numId="3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208F3"/>
    <w:rsid w:val="000215A8"/>
    <w:rsid w:val="000231DE"/>
    <w:rsid w:val="000709CE"/>
    <w:rsid w:val="00083B25"/>
    <w:rsid w:val="00093095"/>
    <w:rsid w:val="000A0F13"/>
    <w:rsid w:val="000C0FB5"/>
    <w:rsid w:val="000D7CEF"/>
    <w:rsid w:val="000E1742"/>
    <w:rsid w:val="00100517"/>
    <w:rsid w:val="00102066"/>
    <w:rsid w:val="0015159D"/>
    <w:rsid w:val="00156B1F"/>
    <w:rsid w:val="00184512"/>
    <w:rsid w:val="001A15C7"/>
    <w:rsid w:val="001A18A4"/>
    <w:rsid w:val="001A335A"/>
    <w:rsid w:val="001E4504"/>
    <w:rsid w:val="001E6992"/>
    <w:rsid w:val="001F6772"/>
    <w:rsid w:val="00200A39"/>
    <w:rsid w:val="00243B53"/>
    <w:rsid w:val="0026319B"/>
    <w:rsid w:val="002715AA"/>
    <w:rsid w:val="002810FE"/>
    <w:rsid w:val="002D3E64"/>
    <w:rsid w:val="002F3D47"/>
    <w:rsid w:val="00301775"/>
    <w:rsid w:val="003244B1"/>
    <w:rsid w:val="003255AE"/>
    <w:rsid w:val="0036634C"/>
    <w:rsid w:val="00377259"/>
    <w:rsid w:val="00377B0A"/>
    <w:rsid w:val="0038765D"/>
    <w:rsid w:val="00390393"/>
    <w:rsid w:val="003917B8"/>
    <w:rsid w:val="00391CC8"/>
    <w:rsid w:val="00395A51"/>
    <w:rsid w:val="003A3C8F"/>
    <w:rsid w:val="003E3DF1"/>
    <w:rsid w:val="003E592C"/>
    <w:rsid w:val="00421EA8"/>
    <w:rsid w:val="0043506E"/>
    <w:rsid w:val="00451072"/>
    <w:rsid w:val="0049209B"/>
    <w:rsid w:val="0049254A"/>
    <w:rsid w:val="004A3809"/>
    <w:rsid w:val="004A4E9F"/>
    <w:rsid w:val="004B0BD4"/>
    <w:rsid w:val="004D7AF9"/>
    <w:rsid w:val="004E56EB"/>
    <w:rsid w:val="00525F2D"/>
    <w:rsid w:val="00533FAF"/>
    <w:rsid w:val="00574C52"/>
    <w:rsid w:val="0058488F"/>
    <w:rsid w:val="005970B3"/>
    <w:rsid w:val="005A0E07"/>
    <w:rsid w:val="005A3461"/>
    <w:rsid w:val="005B06A6"/>
    <w:rsid w:val="005D1FBA"/>
    <w:rsid w:val="005F3EF0"/>
    <w:rsid w:val="006066A4"/>
    <w:rsid w:val="00657395"/>
    <w:rsid w:val="00692284"/>
    <w:rsid w:val="006A767F"/>
    <w:rsid w:val="006B64DF"/>
    <w:rsid w:val="006D07E2"/>
    <w:rsid w:val="006E2BE7"/>
    <w:rsid w:val="006F40E5"/>
    <w:rsid w:val="00727EDC"/>
    <w:rsid w:val="00752381"/>
    <w:rsid w:val="0079364A"/>
    <w:rsid w:val="007A7AC5"/>
    <w:rsid w:val="007B0B79"/>
    <w:rsid w:val="007F1168"/>
    <w:rsid w:val="007F53C9"/>
    <w:rsid w:val="007F5F53"/>
    <w:rsid w:val="008013B6"/>
    <w:rsid w:val="0081326C"/>
    <w:rsid w:val="00820FFD"/>
    <w:rsid w:val="00844F89"/>
    <w:rsid w:val="008620B2"/>
    <w:rsid w:val="00871A6E"/>
    <w:rsid w:val="00882A07"/>
    <w:rsid w:val="0088497B"/>
    <w:rsid w:val="008A1920"/>
    <w:rsid w:val="008B5A31"/>
    <w:rsid w:val="008F5832"/>
    <w:rsid w:val="00921C60"/>
    <w:rsid w:val="009525B6"/>
    <w:rsid w:val="00963C1C"/>
    <w:rsid w:val="00973EB0"/>
    <w:rsid w:val="009825DD"/>
    <w:rsid w:val="00984ECB"/>
    <w:rsid w:val="009B5D42"/>
    <w:rsid w:val="009C4D39"/>
    <w:rsid w:val="009D76E5"/>
    <w:rsid w:val="009E1802"/>
    <w:rsid w:val="009E3220"/>
    <w:rsid w:val="009E5289"/>
    <w:rsid w:val="009E5760"/>
    <w:rsid w:val="00A16BE5"/>
    <w:rsid w:val="00A30B48"/>
    <w:rsid w:val="00A31AFE"/>
    <w:rsid w:val="00A735A3"/>
    <w:rsid w:val="00A756C9"/>
    <w:rsid w:val="00A936A6"/>
    <w:rsid w:val="00AA08AF"/>
    <w:rsid w:val="00AA2C58"/>
    <w:rsid w:val="00AB2838"/>
    <w:rsid w:val="00AE271D"/>
    <w:rsid w:val="00AE2A35"/>
    <w:rsid w:val="00B01097"/>
    <w:rsid w:val="00B1152B"/>
    <w:rsid w:val="00B15FF3"/>
    <w:rsid w:val="00B434F4"/>
    <w:rsid w:val="00B50CAB"/>
    <w:rsid w:val="00B832EE"/>
    <w:rsid w:val="00BB2824"/>
    <w:rsid w:val="00BC2F52"/>
    <w:rsid w:val="00BC6B87"/>
    <w:rsid w:val="00BF0763"/>
    <w:rsid w:val="00BF76BF"/>
    <w:rsid w:val="00C01891"/>
    <w:rsid w:val="00C121F2"/>
    <w:rsid w:val="00C71B89"/>
    <w:rsid w:val="00C90B5A"/>
    <w:rsid w:val="00CA3277"/>
    <w:rsid w:val="00CC451B"/>
    <w:rsid w:val="00CD0B99"/>
    <w:rsid w:val="00CE346A"/>
    <w:rsid w:val="00CE5C7F"/>
    <w:rsid w:val="00CF1599"/>
    <w:rsid w:val="00D1352C"/>
    <w:rsid w:val="00D43DC1"/>
    <w:rsid w:val="00D509F4"/>
    <w:rsid w:val="00D53C6A"/>
    <w:rsid w:val="00D87B03"/>
    <w:rsid w:val="00D9622A"/>
    <w:rsid w:val="00DA55A2"/>
    <w:rsid w:val="00DC43F3"/>
    <w:rsid w:val="00DD05B6"/>
    <w:rsid w:val="00DE54DC"/>
    <w:rsid w:val="00DF36D1"/>
    <w:rsid w:val="00DF4B46"/>
    <w:rsid w:val="00DF6D59"/>
    <w:rsid w:val="00E1102A"/>
    <w:rsid w:val="00E26D82"/>
    <w:rsid w:val="00E82DE4"/>
    <w:rsid w:val="00ED4E49"/>
    <w:rsid w:val="00EF65B7"/>
    <w:rsid w:val="00EF7636"/>
    <w:rsid w:val="00F00075"/>
    <w:rsid w:val="00F10306"/>
    <w:rsid w:val="00F121E1"/>
    <w:rsid w:val="00F27C75"/>
    <w:rsid w:val="00F61B4D"/>
    <w:rsid w:val="00F76626"/>
    <w:rsid w:val="00F92BA4"/>
    <w:rsid w:val="00FA2AC6"/>
    <w:rsid w:val="00FA573F"/>
    <w:rsid w:val="00FC4C78"/>
    <w:rsid w:val="00FD19EB"/>
    <w:rsid w:val="00FE2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EBB4C"/>
  <w15:docId w15:val="{AAE8FA22-6936-42CF-A2A9-0B172EE0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Ttulo1">
    <w:name w:val="heading 1"/>
    <w:basedOn w:val="Normal"/>
    <w:next w:val="Normal"/>
    <w:link w:val="Ttulo1C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rsid w:val="00BF0763"/>
    <w:pPr>
      <w:keepNext/>
      <w:keepLines/>
      <w:spacing w:after="0" w:line="240" w:lineRule="auto"/>
      <w:outlineLvl w:val="1"/>
    </w:pPr>
    <w:rPr>
      <w:rFonts w:ascii="Garamond" w:eastAsiaTheme="majorEastAsia" w:hAnsi="Garamond" w:cstheme="majorBidi"/>
      <w:b/>
      <w:bCs/>
      <w:sz w:val="26"/>
      <w:szCs w:val="26"/>
    </w:rPr>
  </w:style>
  <w:style w:type="paragraph" w:styleId="Ttulo3">
    <w:name w:val="heading 3"/>
    <w:basedOn w:val="Normal"/>
    <w:next w:val="Normal"/>
    <w:link w:val="Ttulo3C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Ttulo5">
    <w:name w:val="heading 5"/>
    <w:basedOn w:val="Normal"/>
    <w:next w:val="Normal"/>
    <w:link w:val="Ttulo5C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BF0763"/>
    <w:rPr>
      <w:rFonts w:ascii="Garamond" w:eastAsiaTheme="majorEastAsia" w:hAnsi="Garamond" w:cstheme="majorBidi"/>
      <w:b/>
      <w:bCs/>
      <w:sz w:val="26"/>
      <w:szCs w:val="26"/>
    </w:rPr>
  </w:style>
  <w:style w:type="character" w:customStyle="1" w:styleId="Ttulo3Car">
    <w:name w:val="Título 3 Car"/>
    <w:basedOn w:val="Fuentedeprrafopredeter"/>
    <w:link w:val="Ttulo3"/>
    <w:uiPriority w:val="9"/>
    <w:rsid w:val="00BF0763"/>
    <w:rPr>
      <w:rFonts w:ascii="Garamond" w:eastAsia="Times New Roman" w:hAnsi="Garamond" w:cs="Times New Roman"/>
      <w:b/>
      <w:bCs/>
      <w:sz w:val="26"/>
      <w:szCs w:val="26"/>
    </w:rPr>
  </w:style>
  <w:style w:type="character" w:customStyle="1" w:styleId="Ttulo5Car">
    <w:name w:val="Título 5 Car"/>
    <w:basedOn w:val="Fuentedeprrafopredeter"/>
    <w:link w:val="Ttulo5"/>
    <w:rsid w:val="00BF0763"/>
    <w:rPr>
      <w:rFonts w:asciiTheme="majorHAnsi" w:eastAsiaTheme="majorEastAsia" w:hAnsiTheme="majorHAnsi" w:cstheme="majorBidi"/>
      <w:color w:val="243F60" w:themeColor="accent1" w:themeShade="7F"/>
    </w:rPr>
  </w:style>
  <w:style w:type="character" w:customStyle="1" w:styleId="Ttulo9Car">
    <w:name w:val="Título 9 Car"/>
    <w:basedOn w:val="Fuentedeprrafopredeter"/>
    <w:link w:val="Ttulo9"/>
    <w:rsid w:val="00BF0763"/>
    <w:rPr>
      <w:rFonts w:asciiTheme="majorHAnsi" w:eastAsiaTheme="majorEastAsia" w:hAnsiTheme="majorHAnsi" w:cstheme="majorBidi"/>
      <w:i/>
      <w:iCs/>
      <w:color w:val="404040" w:themeColor="text1" w:themeTint="BF"/>
      <w:sz w:val="20"/>
      <w:szCs w:val="20"/>
    </w:rPr>
  </w:style>
  <w:style w:type="paragraph" w:styleId="Prrafodelista">
    <w:name w:val="List Paragraph"/>
    <w:aliases w:val="Bullets,List Paragraph1"/>
    <w:basedOn w:val="Normal"/>
    <w:link w:val="PrrafodelistaC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BF0763"/>
    <w:rPr>
      <w:rFonts w:ascii="Times New Roman" w:eastAsia="Times New Roman" w:hAnsi="Times New Roman" w:cs="Times New Roman"/>
      <w:sz w:val="24"/>
      <w:szCs w:val="24"/>
    </w:rPr>
  </w:style>
  <w:style w:type="character" w:styleId="Refdenotaalpie">
    <w:name w:val="footnote reference"/>
    <w:aliases w:val="16 Point,Superscript 6 Point,Superscript 6 Point + 11 pt,ftref,fr,Footnote Ref in FtNote,Style 24,o,SUPERS,Footnote Reference1"/>
    <w:rsid w:val="00BF0763"/>
    <w:rPr>
      <w:vertAlign w:val="superscript"/>
    </w:r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footnote text"/>
    <w:basedOn w:val="Normal"/>
    <w:link w:val="TextonotapieCar"/>
    <w:qFormat/>
    <w:rsid w:val="00BF0763"/>
    <w:pPr>
      <w:spacing w:before="120" w:after="0" w:line="240" w:lineRule="auto"/>
      <w:jc w:val="both"/>
    </w:pPr>
    <w:rPr>
      <w:rFonts w:ascii="Times New Roman" w:eastAsia="Times New Roman" w:hAnsi="Times New Roman" w:cs="Times New Roman"/>
      <w:sz w:val="20"/>
      <w:szCs w:val="20"/>
    </w:rPr>
  </w:style>
  <w:style w:type="character" w:customStyle="1" w:styleId="TextonotapieCar">
    <w:name w:val="Texto nota pie Car"/>
    <w:aliases w:val="Geneva 9 Car,Font: Geneva 9 Car,Boston 10 Car,f Car,single space Car,Footnote Car,otnote Text Car,ft Car,Footnote Text Char Char Char Car,Footnote Text Char Char Char Char Car,Footnote Text Char Char Car,footnote text Car"/>
    <w:basedOn w:val="Fuentedeprrafopredeter"/>
    <w:link w:val="Textonotapie"/>
    <w:uiPriority w:val="99"/>
    <w:rsid w:val="00BF0763"/>
    <w:rPr>
      <w:rFonts w:ascii="Times New Roman" w:eastAsia="Times New Roman" w:hAnsi="Times New Roman" w:cs="Times New Roman"/>
      <w:sz w:val="20"/>
      <w:szCs w:val="20"/>
    </w:rPr>
  </w:style>
  <w:style w:type="paragraph" w:styleId="Encabezado">
    <w:name w:val="header"/>
    <w:basedOn w:val="Normal"/>
    <w:link w:val="Encabezado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EncabezadoCar">
    <w:name w:val="Encabezado Car"/>
    <w:basedOn w:val="Fuentedeprrafopredeter"/>
    <w:link w:val="Encabezado"/>
    <w:uiPriority w:val="99"/>
    <w:rsid w:val="00BF0763"/>
    <w:rPr>
      <w:rFonts w:eastAsiaTheme="minorEastAsia" w:cs="Times New Roman"/>
    </w:rPr>
  </w:style>
  <w:style w:type="paragraph" w:styleId="Piedepgina">
    <w:name w:val="footer"/>
    <w:basedOn w:val="Normal"/>
    <w:link w:val="Piedepgina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PiedepginaCar">
    <w:name w:val="Pie de página Car"/>
    <w:basedOn w:val="Fuentedeprrafopredeter"/>
    <w:link w:val="Piedepgina"/>
    <w:uiPriority w:val="99"/>
    <w:rsid w:val="00BF0763"/>
    <w:rPr>
      <w:rFonts w:eastAsiaTheme="minorEastAsia" w:cs="Times New Roman"/>
    </w:rPr>
  </w:style>
  <w:style w:type="paragraph" w:styleId="Textoindependiente3">
    <w:name w:val="Body Text 3"/>
    <w:basedOn w:val="Normal"/>
    <w:link w:val="Textoindependiente3C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rsid w:val="00BF0763"/>
    <w:rPr>
      <w:rFonts w:ascii="Times New Roman" w:eastAsia="Times New Roman" w:hAnsi="Times New Roman" w:cs="Times New Roman"/>
      <w:sz w:val="16"/>
      <w:szCs w:val="16"/>
    </w:rPr>
  </w:style>
  <w:style w:type="character" w:styleId="Nmerodepgina">
    <w:name w:val="page number"/>
    <w:basedOn w:val="Fuentedeprrafopredeter"/>
    <w:uiPriority w:val="99"/>
    <w:rsid w:val="00BF0763"/>
  </w:style>
  <w:style w:type="character" w:styleId="Hipervnculo">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Textoennegrita">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Textodeglobo">
    <w:name w:val="Balloon Text"/>
    <w:basedOn w:val="Normal"/>
    <w:link w:val="TextodegloboCar"/>
    <w:uiPriority w:val="99"/>
    <w:semiHidden/>
    <w:unhideWhenUsed/>
    <w:rsid w:val="00BF07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763"/>
    <w:rPr>
      <w:rFonts w:ascii="Tahoma" w:hAnsi="Tahoma" w:cs="Tahoma"/>
      <w:sz w:val="16"/>
      <w:szCs w:val="16"/>
    </w:rPr>
  </w:style>
  <w:style w:type="table" w:styleId="Tablaconcuadrcula">
    <w:name w:val="Table Grid"/>
    <w:basedOn w:val="Tabla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Sinespaciado">
    <w:name w:val="No Spacing"/>
    <w:uiPriority w:val="1"/>
    <w:qFormat/>
    <w:rsid w:val="00BF0763"/>
    <w:pPr>
      <w:spacing w:after="0" w:line="240" w:lineRule="auto"/>
    </w:pPr>
    <w:rPr>
      <w:rFonts w:eastAsiaTheme="minorEastAsia" w:cs="Times New Roman"/>
    </w:rPr>
  </w:style>
  <w:style w:type="character" w:customStyle="1" w:styleId="Date1">
    <w:name w:val="Date1"/>
    <w:basedOn w:val="Fuentedeprrafopredeter"/>
    <w:rsid w:val="00BF0763"/>
  </w:style>
  <w:style w:type="character" w:styleId="Refdecomentario">
    <w:name w:val="annotation reference"/>
    <w:basedOn w:val="Fuentedeprrafopredeter"/>
    <w:rsid w:val="00BF0763"/>
    <w:rPr>
      <w:sz w:val="16"/>
      <w:szCs w:val="16"/>
    </w:rPr>
  </w:style>
  <w:style w:type="paragraph" w:styleId="Textocomentario">
    <w:name w:val="annotation text"/>
    <w:basedOn w:val="Normal"/>
    <w:link w:val="TextocomentarioCar"/>
    <w:rsid w:val="00BF0763"/>
    <w:pPr>
      <w:spacing w:line="240" w:lineRule="auto"/>
    </w:pPr>
    <w:rPr>
      <w:sz w:val="20"/>
      <w:szCs w:val="20"/>
    </w:rPr>
  </w:style>
  <w:style w:type="character" w:customStyle="1" w:styleId="TextocomentarioCar">
    <w:name w:val="Texto comentario Car"/>
    <w:basedOn w:val="Fuentedeprrafopredeter"/>
    <w:link w:val="Textocomentario"/>
    <w:rsid w:val="00BF0763"/>
    <w:rPr>
      <w:sz w:val="20"/>
      <w:szCs w:val="20"/>
    </w:rPr>
  </w:style>
  <w:style w:type="paragraph" w:styleId="Asuntodelcomentario">
    <w:name w:val="annotation subject"/>
    <w:basedOn w:val="Textocomentario"/>
    <w:next w:val="Textocomentario"/>
    <w:link w:val="AsuntodelcomentarioCar"/>
    <w:rsid w:val="00BF0763"/>
    <w:rPr>
      <w:b/>
      <w:bCs/>
    </w:rPr>
  </w:style>
  <w:style w:type="character" w:customStyle="1" w:styleId="AsuntodelcomentarioCar">
    <w:name w:val="Asunto del comentario Car"/>
    <w:basedOn w:val="TextocomentarioCar"/>
    <w:link w:val="Asuntodelcomentario"/>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Hipervnculovisitado">
    <w:name w:val="FollowedHyperlink"/>
    <w:basedOn w:val="Fuentedeprrafopredeter"/>
    <w:rsid w:val="00BF0763"/>
    <w:rPr>
      <w:color w:val="800080" w:themeColor="followedHyperlink"/>
      <w:u w:val="single"/>
    </w:rPr>
  </w:style>
  <w:style w:type="paragraph" w:styleId="Ttulo">
    <w:name w:val="Title"/>
    <w:basedOn w:val="Normal"/>
    <w:next w:val="Normal"/>
    <w:link w:val="TtuloC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tuloCar">
    <w:name w:val="Título Car"/>
    <w:basedOn w:val="Fuentedeprrafopredeter"/>
    <w:link w:val="Ttulo"/>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tulo">
    <w:name w:val="Subtitle"/>
    <w:basedOn w:val="Normal"/>
    <w:next w:val="Normal"/>
    <w:link w:val="SubttuloC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tuloCar">
    <w:name w:val="Subtítulo Car"/>
    <w:basedOn w:val="Fuentedeprrafopredeter"/>
    <w:link w:val="Subttulo"/>
    <w:uiPriority w:val="11"/>
    <w:rsid w:val="00BF0763"/>
    <w:rPr>
      <w:rFonts w:ascii="Garamond" w:eastAsiaTheme="majorEastAsia" w:hAnsi="Garamond" w:cstheme="majorBidi"/>
      <w:i/>
      <w:iCs/>
      <w:spacing w:val="15"/>
      <w:szCs w:val="24"/>
      <w:lang w:eastAsia="ja-JP"/>
    </w:rPr>
  </w:style>
  <w:style w:type="paragraph" w:styleId="Revisin">
    <w:name w:val="Revision"/>
    <w:hidden/>
    <w:rsid w:val="00BF0763"/>
    <w:pPr>
      <w:spacing w:after="0" w:line="240" w:lineRule="auto"/>
    </w:pPr>
  </w:style>
  <w:style w:type="paragraph" w:styleId="Textonotaalfinal">
    <w:name w:val="endnote text"/>
    <w:basedOn w:val="Normal"/>
    <w:link w:val="TextonotaalfinalCar"/>
    <w:rsid w:val="00BF0763"/>
    <w:pPr>
      <w:spacing w:after="0" w:line="240" w:lineRule="auto"/>
    </w:pPr>
    <w:rPr>
      <w:sz w:val="20"/>
      <w:szCs w:val="20"/>
    </w:rPr>
  </w:style>
  <w:style w:type="character" w:customStyle="1" w:styleId="TextonotaalfinalCar">
    <w:name w:val="Texto nota al final Car"/>
    <w:basedOn w:val="Fuentedeprrafopredeter"/>
    <w:link w:val="Textonotaalfinal"/>
    <w:rsid w:val="00BF0763"/>
    <w:rPr>
      <w:sz w:val="20"/>
      <w:szCs w:val="20"/>
    </w:rPr>
  </w:style>
  <w:style w:type="character" w:styleId="Refdenotaalfinal">
    <w:name w:val="endnote reference"/>
    <w:basedOn w:val="Fuentedeprrafopredeter"/>
    <w:rsid w:val="00BF0763"/>
    <w:rPr>
      <w:vertAlign w:val="superscript"/>
    </w:rPr>
  </w:style>
  <w:style w:type="character" w:styleId="CitaHTML">
    <w:name w:val="HTML Cite"/>
    <w:basedOn w:val="Fuentedeprrafopredeter"/>
    <w:uiPriority w:val="99"/>
    <w:semiHidden/>
    <w:unhideWhenUsed/>
    <w:rsid w:val="00BF0763"/>
    <w:rPr>
      <w:i/>
      <w:iCs/>
    </w:rPr>
  </w:style>
  <w:style w:type="character" w:customStyle="1" w:styleId="apple-converted-space">
    <w:name w:val="apple-converted-space"/>
    <w:basedOn w:val="Fuentedeprrafopredeter"/>
    <w:rsid w:val="00BF0763"/>
  </w:style>
  <w:style w:type="paragraph" w:styleId="TtuloTDC">
    <w:name w:val="TOC Heading"/>
    <w:basedOn w:val="Ttulo1"/>
    <w:next w:val="Normal"/>
    <w:uiPriority w:val="39"/>
    <w:unhideWhenUsed/>
    <w:qFormat/>
    <w:rsid w:val="00BF0763"/>
    <w:pPr>
      <w:outlineLvl w:val="9"/>
    </w:pPr>
    <w:rPr>
      <w:lang w:eastAsia="ja-JP"/>
    </w:rPr>
  </w:style>
  <w:style w:type="paragraph" w:styleId="TD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DC2">
    <w:name w:val="toc 2"/>
    <w:basedOn w:val="Normal"/>
    <w:next w:val="Normal"/>
    <w:autoRedefine/>
    <w:uiPriority w:val="39"/>
    <w:unhideWhenUsed/>
    <w:qFormat/>
    <w:rsid w:val="00BF0763"/>
    <w:pPr>
      <w:spacing w:after="100"/>
      <w:ind w:left="220"/>
    </w:pPr>
  </w:style>
  <w:style w:type="paragraph" w:styleId="TDC3">
    <w:name w:val="toc 3"/>
    <w:basedOn w:val="Normal"/>
    <w:next w:val="Normal"/>
    <w:autoRedefine/>
    <w:uiPriority w:val="39"/>
    <w:unhideWhenUsed/>
    <w:qFormat/>
    <w:rsid w:val="00BF0763"/>
    <w:pPr>
      <w:spacing w:after="100"/>
      <w:ind w:left="440"/>
    </w:pPr>
  </w:style>
  <w:style w:type="character" w:styleId="Textodelmarcadordeposicin">
    <w:name w:val="Placeholder Text"/>
    <w:basedOn w:val="Fuentedeprrafopredeter"/>
    <w:rsid w:val="00BF0763"/>
    <w:rPr>
      <w:color w:val="808080"/>
    </w:rPr>
  </w:style>
  <w:style w:type="character" w:customStyle="1" w:styleId="Style1">
    <w:name w:val="Style1"/>
    <w:basedOn w:val="Fuentedeprrafopredeter"/>
    <w:uiPriority w:val="1"/>
    <w:rsid w:val="00BF0763"/>
    <w:rPr>
      <w:rFonts w:ascii="Garamond" w:hAnsi="Garamond"/>
      <w:sz w:val="22"/>
    </w:rPr>
  </w:style>
  <w:style w:type="character" w:customStyle="1" w:styleId="GaramondStyle2">
    <w:name w:val="Garamond Style 2"/>
    <w:basedOn w:val="Fuentedeprrafopredeter"/>
    <w:uiPriority w:val="1"/>
    <w:qFormat/>
    <w:rsid w:val="00BF0763"/>
    <w:rPr>
      <w:rFonts w:ascii="Garamond" w:hAnsi="Garamond"/>
      <w:sz w:val="22"/>
    </w:rPr>
  </w:style>
  <w:style w:type="character" w:customStyle="1" w:styleId="PrrafodelistaCar">
    <w:name w:val="Párrafo de lista Car"/>
    <w:aliases w:val="Bullets Car,List Paragraph1 Car"/>
    <w:link w:val="Prrafodelista"/>
    <w:uiPriority w:val="34"/>
    <w:rsid w:val="00BF0763"/>
    <w:rPr>
      <w:rFonts w:ascii="Times New Roman" w:eastAsia="Times New Roman" w:hAnsi="Times New Roman" w:cs="Times New Roman"/>
      <w:sz w:val="24"/>
      <w:szCs w:val="24"/>
    </w:rPr>
  </w:style>
  <w:style w:type="paragraph" w:styleId="Descripcin">
    <w:name w:val="caption"/>
    <w:basedOn w:val="Normal"/>
    <w:next w:val="Normal"/>
    <w:unhideWhenUsed/>
    <w:qFormat/>
    <w:rsid w:val="00BF0763"/>
    <w:pPr>
      <w:spacing w:line="240" w:lineRule="auto"/>
    </w:pPr>
    <w:rPr>
      <w:rFonts w:ascii="Garamond" w:hAnsi="Garamond"/>
      <w:b/>
      <w:bCs/>
      <w:szCs w:val="18"/>
    </w:rPr>
  </w:style>
  <w:style w:type="paragraph" w:styleId="Tabladeilustraciones">
    <w:name w:val="table of figures"/>
    <w:basedOn w:val="Normal"/>
    <w:next w:val="Normal"/>
    <w:uiPriority w:val="99"/>
    <w:unhideWhenUsed/>
    <w:rsid w:val="00BF0763"/>
    <w:pPr>
      <w:spacing w:after="0"/>
    </w:pPr>
  </w:style>
  <w:style w:type="character" w:styleId="nfasis">
    <w:name w:val="Emphasis"/>
    <w:basedOn w:val="Fuentedeprrafopredeter"/>
    <w:uiPriority w:val="20"/>
    <w:qFormat/>
    <w:rsid w:val="00BF0763"/>
    <w:rPr>
      <w:i/>
      <w:iCs/>
    </w:rPr>
  </w:style>
  <w:style w:type="character" w:styleId="Mencinsinresolver">
    <w:name w:val="Unresolved Mention"/>
    <w:basedOn w:val="Fuentedeprrafopredeter"/>
    <w:uiPriority w:val="99"/>
    <w:semiHidden/>
    <w:unhideWhenUsed/>
    <w:rsid w:val="00A73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842958">
      <w:bodyDiv w:val="1"/>
      <w:marLeft w:val="0"/>
      <w:marRight w:val="0"/>
      <w:marTop w:val="0"/>
      <w:marBottom w:val="0"/>
      <w:divBdr>
        <w:top w:val="none" w:sz="0" w:space="0" w:color="auto"/>
        <w:left w:val="none" w:sz="0" w:space="0" w:color="auto"/>
        <w:bottom w:val="none" w:sz="0" w:space="0" w:color="auto"/>
        <w:right w:val="none" w:sz="0" w:space="0" w:color="auto"/>
      </w:divBdr>
    </w:div>
    <w:div w:id="841548974">
      <w:bodyDiv w:val="1"/>
      <w:marLeft w:val="0"/>
      <w:marRight w:val="0"/>
      <w:marTop w:val="0"/>
      <w:marBottom w:val="0"/>
      <w:divBdr>
        <w:top w:val="none" w:sz="0" w:space="0" w:color="auto"/>
        <w:left w:val="none" w:sz="0" w:space="0" w:color="auto"/>
        <w:bottom w:val="none" w:sz="0" w:space="0" w:color="auto"/>
        <w:right w:val="none" w:sz="0" w:space="0" w:color="auto"/>
      </w:divBdr>
    </w:div>
    <w:div w:id="1105807819">
      <w:bodyDiv w:val="1"/>
      <w:marLeft w:val="0"/>
      <w:marRight w:val="0"/>
      <w:marTop w:val="0"/>
      <w:marBottom w:val="0"/>
      <w:divBdr>
        <w:top w:val="none" w:sz="0" w:space="0" w:color="auto"/>
        <w:left w:val="none" w:sz="0" w:space="0" w:color="auto"/>
        <w:bottom w:val="none" w:sz="0" w:space="0" w:color="auto"/>
        <w:right w:val="none" w:sz="0" w:space="0" w:color="auto"/>
      </w:divBdr>
    </w:div>
    <w:div w:id="1223558288">
      <w:bodyDiv w:val="1"/>
      <w:marLeft w:val="0"/>
      <w:marRight w:val="0"/>
      <w:marTop w:val="0"/>
      <w:marBottom w:val="0"/>
      <w:divBdr>
        <w:top w:val="none" w:sz="0" w:space="0" w:color="auto"/>
        <w:left w:val="none" w:sz="0" w:space="0" w:color="auto"/>
        <w:bottom w:val="none" w:sz="0" w:space="0" w:color="auto"/>
        <w:right w:val="none" w:sz="0" w:space="0" w:color="auto"/>
      </w:divBdr>
    </w:div>
    <w:div w:id="19844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dam/undp/library/corporate/Careers/P11_Personal_history_form.doc"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om/pso/Support%20documents%20on%20IC%20Guidelines/Template%20for%20Confirmation%20of%20Interest%20and%20Submission%20of%20Financial%20Proposal.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curement-notices.undp.org/" TargetMode="External"/><Relationship Id="rId5" Type="http://schemas.openxmlformats.org/officeDocument/2006/relationships/numbering" Target="numbering.xml"/><Relationship Id="rId15" Type="http://schemas.openxmlformats.org/officeDocument/2006/relationships/hyperlink" Target="mailto:adquisicionespnud@undp.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ocurement-notices.undp.org/view_file.cfm?doc_id=299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DEA23E720C8040BB9F8BC4F759921D" ma:contentTypeVersion="12" ma:contentTypeDescription="Crear nuevo documento." ma:contentTypeScope="" ma:versionID="530283cc4deb77e540d181fbb969eda5">
  <xsd:schema xmlns:xsd="http://www.w3.org/2001/XMLSchema" xmlns:xs="http://www.w3.org/2001/XMLSchema" xmlns:p="http://schemas.microsoft.com/office/2006/metadata/properties" xmlns:ns2="69729d78-896d-40e7-bd34-ba4c321c1243" xmlns:ns3="ad0d438f-e724-4e96-b52a-9b9e20ac6ad7" targetNamespace="http://schemas.microsoft.com/office/2006/metadata/properties" ma:root="true" ma:fieldsID="56140c87cc21a950b1bfabdb790ee388" ns2:_="" ns3:_="">
    <xsd:import namespace="69729d78-896d-40e7-bd34-ba4c321c1243"/>
    <xsd:import namespace="ad0d438f-e724-4e96-b52a-9b9e20ac6a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29d78-896d-40e7-bd34-ba4c321c1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d438f-e724-4e96-b52a-9b9e20ac6ad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5833B-1845-44C8-BD3C-A553AF02A3E9}"/>
</file>

<file path=customXml/itemProps2.xml><?xml version="1.0" encoding="utf-8"?>
<ds:datastoreItem xmlns:ds="http://schemas.openxmlformats.org/officeDocument/2006/customXml" ds:itemID="{066EECF6-5794-4EF7-BDF4-90B64C1383B5}">
  <ds:schemaRefs>
    <ds:schemaRef ds:uri="http://schemas.microsoft.com/sharepoint/v3/contenttype/forms"/>
  </ds:schemaRefs>
</ds:datastoreItem>
</file>

<file path=customXml/itemProps3.xml><?xml version="1.0" encoding="utf-8"?>
<ds:datastoreItem xmlns:ds="http://schemas.openxmlformats.org/officeDocument/2006/customXml" ds:itemID="{D630D5DF-70E5-4DAA-8B92-1DB217ECA3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B532E4-D6EC-41A2-B6A4-51028C86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5691</Words>
  <Characters>31302</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Thayse Ap. Dourado Hernandes</dc:creator>
  <cp:lastModifiedBy>Carolina Robles</cp:lastModifiedBy>
  <cp:revision>5</cp:revision>
  <dcterms:created xsi:type="dcterms:W3CDTF">2019-07-10T15:10:00Z</dcterms:created>
  <dcterms:modified xsi:type="dcterms:W3CDTF">2019-09-11T19:17:00Z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0x010100EADEA23E720C8040BB9F8BC4F759921D</vt:lpwstr>
  </property>
</Properties>
</file>