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bookmarkStart w:id="2" w:name="_GoBack"/>
      <w:bookmarkEnd w:id="2"/>
      <w:r w:rsidRPr="00D6638C">
        <w:rPr>
          <w:rFonts w:ascii="Calibri" w:eastAsia="Times New Roman" w:hAnsi="Calibri" w:cs="Times New Roman"/>
          <w:caps/>
          <w:spacing w:val="15"/>
        </w:rPr>
        <w:t>Terminal Evaluation Terms of Reference</w:t>
      </w:r>
      <w:bookmarkEnd w:id="0"/>
      <w:bookmarkEnd w:id="1"/>
    </w:p>
    <w:p w:rsidR="006C1964" w:rsidRDefault="00B913F1" w:rsidP="00F05366">
      <w:pPr>
        <w:pStyle w:val="Heading51"/>
      </w:pPr>
      <w:bookmarkStart w:id="3" w:name="_Toc299126613"/>
      <w:r>
        <w:t>INTRODUCTION</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00B76255">
        <w:rPr>
          <w:rFonts w:ascii="Calibri" w:eastAsia="Times New Roman" w:hAnsi="Calibri" w:cs="Times New Roman"/>
          <w:sz w:val="20"/>
          <w:szCs w:val="20"/>
        </w:rPr>
        <w:t xml:space="preserve"> Promoting Climate Resilient Community–Based Regeneration of Indigenous Forest in Zambia’s Central </w:t>
      </w:r>
      <w:proofErr w:type="gramStart"/>
      <w:r w:rsidR="00B76255">
        <w:rPr>
          <w:rFonts w:ascii="Calibri" w:eastAsia="Times New Roman" w:hAnsi="Calibri" w:cs="Times New Roman"/>
          <w:sz w:val="20"/>
          <w:szCs w:val="20"/>
        </w:rPr>
        <w:t>Province</w:t>
      </w:r>
      <w:r w:rsidR="00C3693B">
        <w:rPr>
          <w:rFonts w:ascii="Calibri" w:eastAsia="Times New Roman" w:hAnsi="Calibri" w:cs="Times New Roman"/>
          <w:i/>
          <w:sz w:val="20"/>
          <w:szCs w:val="20"/>
          <w:highlight w:val="lightGray"/>
        </w:rPr>
        <w:t xml:space="preserve"> </w:t>
      </w:r>
      <w:r w:rsidR="00F93CEE">
        <w:rPr>
          <w:rFonts w:ascii="Calibri" w:eastAsia="Times New Roman" w:hAnsi="Calibri" w:cs="Times New Roman"/>
          <w:i/>
          <w:sz w:val="20"/>
          <w:szCs w:val="20"/>
        </w:rPr>
        <w:t xml:space="preserve"> </w:t>
      </w:r>
      <w:r w:rsidR="00C3693B" w:rsidRPr="00D6638C">
        <w:rPr>
          <w:rFonts w:ascii="Calibri" w:eastAsia="Times New Roman" w:hAnsi="Calibri" w:cs="Times New Roman"/>
          <w:sz w:val="20"/>
          <w:szCs w:val="20"/>
        </w:rPr>
        <w:t>(</w:t>
      </w:r>
      <w:proofErr w:type="gramEnd"/>
      <w:r w:rsidR="0069504E">
        <w:rPr>
          <w:rFonts w:ascii="Calibri" w:eastAsia="Times New Roman" w:hAnsi="Calibri" w:cs="Times New Roman"/>
          <w:sz w:val="20"/>
          <w:szCs w:val="20"/>
        </w:rPr>
        <w:t>PIMS #4712)</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w:t>
      </w:r>
      <w:r w:rsidR="00B76255">
        <w:rPr>
          <w:rFonts w:ascii="Calibri" w:eastAsia="Times New Roman" w:hAnsi="Calibri" w:cs="Times New Roman"/>
          <w:sz w:val="20"/>
          <w:szCs w:val="20"/>
        </w:rPr>
        <w:t>o be evaluated are as follows: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227"/>
        <w:gridCol w:w="927"/>
        <w:gridCol w:w="2410"/>
        <w:gridCol w:w="3377"/>
        <w:gridCol w:w="84"/>
        <w:gridCol w:w="2811"/>
        <w:gridCol w:w="2641"/>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9" o:title=""/>
                </v:shape>
                <w:control r:id="rId10" w:name="TextBox10" w:shapeid="_x0000_i1027"/>
              </w:object>
            </w:r>
          </w:p>
        </w:tc>
      </w:tr>
      <w:tr w:rsidR="00D6638C" w:rsidRPr="00D6638C" w:rsidTr="0093330D">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894"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bookmarkStart w:id="5" w:name="Text1"/>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bookmarkEnd w:id="5"/>
            <w:r w:rsidR="00C3693B">
              <w:rPr>
                <w:rFonts w:ascii="Calibri" w:eastAsia="Times New Roman" w:hAnsi="Calibri" w:cs="Times New Roman"/>
                <w:sz w:val="20"/>
                <w:szCs w:val="20"/>
              </w:rPr>
              <w:t>00093441</w:t>
            </w:r>
          </w:p>
        </w:tc>
        <w:tc>
          <w:tcPr>
            <w:tcW w:w="1253"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0"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93330D">
        <w:trPr>
          <w:trHeight w:val="278"/>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894" w:type="pct"/>
            <w:vAlign w:val="center"/>
          </w:tcPr>
          <w:p w:rsidR="00D6638C" w:rsidRPr="00D6638C" w:rsidRDefault="00D6638C" w:rsidP="00D6638C">
            <w:pPr>
              <w:tabs>
                <w:tab w:val="right" w:pos="0"/>
              </w:tabs>
              <w:spacing w:after="0"/>
              <w:rPr>
                <w:rFonts w:ascii="Calibri" w:eastAsia="Times New Roman" w:hAnsi="Calibri" w:cs="Times New Roman"/>
                <w:bCs/>
                <w:color w:val="000000"/>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r w:rsidR="008074FC">
              <w:rPr>
                <w:rFonts w:ascii="Calibri" w:eastAsia="Times New Roman" w:hAnsi="Calibri" w:cs="Times New Roman"/>
                <w:sz w:val="20"/>
                <w:szCs w:val="20"/>
              </w:rPr>
              <w:t>00086025</w:t>
            </w:r>
          </w:p>
        </w:tc>
        <w:tc>
          <w:tcPr>
            <w:tcW w:w="125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r w:rsidR="00B76255">
              <w:rPr>
                <w:rFonts w:ascii="Calibri" w:eastAsia="Times New Roman" w:hAnsi="Calibri" w:cs="Times New Roman"/>
                <w:sz w:val="20"/>
                <w:szCs w:val="20"/>
              </w:rPr>
              <w:t>3,885,000</w:t>
            </w:r>
          </w:p>
        </w:tc>
        <w:tc>
          <w:tcPr>
            <w:tcW w:w="980"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93330D">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894" w:type="pct"/>
            <w:vAlign w:val="center"/>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r w:rsidR="008074FC">
              <w:rPr>
                <w:rFonts w:ascii="Calibri" w:eastAsia="Times New Roman" w:hAnsi="Calibri" w:cs="Times New Roman"/>
                <w:sz w:val="20"/>
                <w:szCs w:val="20"/>
              </w:rPr>
              <w:t>Zambia</w:t>
            </w:r>
          </w:p>
        </w:tc>
        <w:tc>
          <w:tcPr>
            <w:tcW w:w="1253" w:type="pct"/>
          </w:tcPr>
          <w:p w:rsidR="00D6638C" w:rsidRPr="00D6638C" w:rsidRDefault="0002374C" w:rsidP="00D6638C">
            <w:pPr>
              <w:spacing w:after="0"/>
              <w:jc w:val="right"/>
              <w:rPr>
                <w:rFonts w:ascii="Calibri" w:eastAsia="Times New Roman" w:hAnsi="Calibri" w:cs="Times New Roman"/>
                <w:color w:val="000000"/>
                <w:sz w:val="20"/>
                <w:szCs w:val="20"/>
              </w:rPr>
            </w:pPr>
            <w:r>
              <w:rPr>
                <w:rFonts w:ascii="Calibri" w:eastAsia="Times New Roman" w:hAnsi="Calibri" w:cs="Times New Roman"/>
                <w:bCs/>
                <w:sz w:val="20"/>
                <w:szCs w:val="20"/>
              </w:rPr>
              <w:t>UNDP</w:t>
            </w:r>
            <w:r w:rsidR="00D6638C" w:rsidRPr="00D6638C">
              <w:rPr>
                <w:rFonts w:ascii="Calibri" w:eastAsia="Times New Roman" w:hAnsi="Calibri" w:cs="Times New Roman"/>
                <w:bCs/>
                <w:sz w:val="20"/>
                <w:szCs w:val="20"/>
              </w:rPr>
              <w:t>:</w:t>
            </w:r>
          </w:p>
        </w:tc>
        <w:tc>
          <w:tcPr>
            <w:tcW w:w="1074" w:type="pct"/>
            <w:gridSpan w:val="2"/>
            <w:vAlign w:val="center"/>
          </w:tcPr>
          <w:p w:rsidR="00D6638C" w:rsidRPr="00D6638C" w:rsidRDefault="0002374C" w:rsidP="00D6638C">
            <w:pPr>
              <w:spacing w:after="0"/>
              <w:rPr>
                <w:rFonts w:ascii="Calibri" w:eastAsia="Arial Unicode MS" w:hAnsi="Calibri" w:cs="Times New Roman"/>
                <w:sz w:val="20"/>
                <w:szCs w:val="20"/>
              </w:rPr>
            </w:pPr>
            <w:r w:rsidRPr="001B2816">
              <w:rPr>
                <w:rFonts w:ascii="Arial Narrow" w:hAnsi="Arial Narrow"/>
                <w:sz w:val="20"/>
              </w:rPr>
              <w:t>100,000</w:t>
            </w:r>
          </w:p>
        </w:tc>
        <w:tc>
          <w:tcPr>
            <w:tcW w:w="980"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93330D">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894" w:type="pct"/>
            <w:vAlign w:val="center"/>
          </w:tcPr>
          <w:p w:rsidR="00D6638C" w:rsidRPr="00D6638C" w:rsidRDefault="00D6638C" w:rsidP="00D6638C">
            <w:pPr>
              <w:tabs>
                <w:tab w:val="right" w:pos="0"/>
              </w:tabs>
              <w:spacing w:after="0"/>
              <w:rPr>
                <w:rFonts w:ascii="Calibri" w:eastAsia="Times New Roman" w:hAnsi="Calibri" w:cs="Times New Roman"/>
                <w:sz w:val="20"/>
                <w:szCs w:val="20"/>
                <w:lang w:val="es-ES_tradnl"/>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r w:rsidR="00E31BB7">
              <w:rPr>
                <w:rFonts w:ascii="Calibri" w:eastAsia="Times New Roman" w:hAnsi="Calibri" w:cs="Times New Roman"/>
                <w:sz w:val="20"/>
                <w:szCs w:val="20"/>
              </w:rPr>
              <w:t>Southern Africa</w:t>
            </w:r>
          </w:p>
        </w:tc>
        <w:tc>
          <w:tcPr>
            <w:tcW w:w="125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rsidR="00D6638C" w:rsidRPr="0093330D" w:rsidRDefault="00E572AF" w:rsidP="00D6638C">
            <w:pPr>
              <w:spacing w:after="0"/>
              <w:rPr>
                <w:rFonts w:ascii="Calibri" w:eastAsia="Arial Unicode MS" w:hAnsi="Calibri" w:cs="Times New Roman"/>
                <w:sz w:val="20"/>
                <w:szCs w:val="20"/>
                <w:highlight w:val="yellow"/>
              </w:rPr>
            </w:pPr>
            <w:r>
              <w:rPr>
                <w:bCs/>
                <w:color w:val="000000"/>
                <w:sz w:val="18"/>
                <w:szCs w:val="18"/>
              </w:rPr>
              <w:t>11,420,000</w:t>
            </w:r>
          </w:p>
        </w:tc>
        <w:tc>
          <w:tcPr>
            <w:tcW w:w="980"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93330D">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894"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r w:rsidR="007A15E4">
              <w:rPr>
                <w:rFonts w:ascii="Calibri" w:eastAsia="Times New Roman" w:hAnsi="Calibri" w:cs="Times New Roman"/>
                <w:sz w:val="20"/>
                <w:szCs w:val="20"/>
              </w:rPr>
              <w:t>Climate Change</w:t>
            </w:r>
          </w:p>
        </w:tc>
        <w:tc>
          <w:tcPr>
            <w:tcW w:w="125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rsidR="00D6638C" w:rsidRPr="0093330D" w:rsidRDefault="00E572AF" w:rsidP="00D6638C">
            <w:pPr>
              <w:spacing w:after="0"/>
              <w:rPr>
                <w:rFonts w:ascii="Calibri" w:eastAsia="Times New Roman" w:hAnsi="Calibri" w:cs="Times New Roman"/>
                <w:sz w:val="20"/>
                <w:szCs w:val="20"/>
                <w:highlight w:val="yellow"/>
              </w:rPr>
            </w:pPr>
            <w:r>
              <w:rPr>
                <w:rFonts w:ascii="Arial Narrow" w:hAnsi="Arial Narrow"/>
                <w:sz w:val="20"/>
              </w:rPr>
              <w:t>17,610090</w:t>
            </w:r>
          </w:p>
        </w:tc>
        <w:tc>
          <w:tcPr>
            <w:tcW w:w="980"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93330D">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894"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r w:rsidR="007A15E4">
              <w:rPr>
                <w:rFonts w:ascii="Calibri" w:eastAsia="Times New Roman" w:hAnsi="Calibri" w:cs="Times New Roman"/>
                <w:sz w:val="20"/>
                <w:szCs w:val="20"/>
              </w:rPr>
              <w:t xml:space="preserve">Sustainable environment </w:t>
            </w:r>
          </w:p>
        </w:tc>
        <w:tc>
          <w:tcPr>
            <w:tcW w:w="125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r w:rsidR="00B76255">
              <w:rPr>
                <w:rFonts w:ascii="Calibri" w:eastAsia="Times New Roman" w:hAnsi="Calibri" w:cs="Times New Roman"/>
                <w:sz w:val="20"/>
                <w:szCs w:val="20"/>
              </w:rPr>
              <w:t>28,930,090</w:t>
            </w:r>
          </w:p>
        </w:tc>
        <w:tc>
          <w:tcPr>
            <w:tcW w:w="980"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93330D">
        <w:trPr>
          <w:trHeight w:val="341"/>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894"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r w:rsidR="008074FC">
              <w:rPr>
                <w:rFonts w:ascii="Calibri" w:eastAsia="Times New Roman" w:hAnsi="Calibri" w:cs="Times New Roman"/>
                <w:sz w:val="20"/>
                <w:szCs w:val="20"/>
              </w:rPr>
              <w:t xml:space="preserve">Forestry Department </w:t>
            </w:r>
          </w:p>
        </w:tc>
        <w:tc>
          <w:tcPr>
            <w:tcW w:w="125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r w:rsidR="00B76255">
              <w:rPr>
                <w:rFonts w:ascii="Calibri" w:eastAsia="Times New Roman" w:hAnsi="Calibri" w:cs="Times New Roman"/>
                <w:sz w:val="20"/>
                <w:szCs w:val="20"/>
              </w:rPr>
              <w:t>32,915,090</w:t>
            </w:r>
          </w:p>
        </w:tc>
        <w:tc>
          <w:tcPr>
            <w:tcW w:w="980"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93330D">
        <w:trPr>
          <w:trHeight w:val="368"/>
        </w:trPr>
        <w:tc>
          <w:tcPr>
            <w:tcW w:w="79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894" w:type="pct"/>
            <w:vMerge w:val="restart"/>
            <w:vAlign w:val="center"/>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r w:rsidR="008074FC">
              <w:rPr>
                <w:rFonts w:ascii="Calibri" w:eastAsia="Times New Roman" w:hAnsi="Calibri" w:cs="Times New Roman"/>
                <w:sz w:val="20"/>
                <w:szCs w:val="20"/>
              </w:rPr>
              <w:t>ZEMA,</w:t>
            </w:r>
            <w:r w:rsidR="00F93CEE">
              <w:rPr>
                <w:rFonts w:ascii="Calibri" w:eastAsia="Times New Roman" w:hAnsi="Calibri" w:cs="Times New Roman"/>
                <w:sz w:val="20"/>
                <w:szCs w:val="20"/>
              </w:rPr>
              <w:t xml:space="preserve"> </w:t>
            </w:r>
            <w:r w:rsidR="008074FC">
              <w:rPr>
                <w:rFonts w:ascii="Calibri" w:eastAsia="Times New Roman" w:hAnsi="Calibri" w:cs="Times New Roman"/>
                <w:sz w:val="20"/>
                <w:szCs w:val="20"/>
              </w:rPr>
              <w:t>Energy</w:t>
            </w:r>
            <w:r w:rsidR="00F168C7">
              <w:rPr>
                <w:rFonts w:ascii="Calibri" w:eastAsia="Times New Roman" w:hAnsi="Calibri" w:cs="Times New Roman"/>
                <w:sz w:val="20"/>
                <w:szCs w:val="20"/>
              </w:rPr>
              <w:t xml:space="preserve"> dep</w:t>
            </w:r>
            <w:r w:rsidR="00F93CEE">
              <w:rPr>
                <w:rFonts w:ascii="Calibri" w:eastAsia="Times New Roman" w:hAnsi="Calibri" w:cs="Times New Roman"/>
                <w:sz w:val="20"/>
                <w:szCs w:val="20"/>
              </w:rPr>
              <w:t>artment</w:t>
            </w:r>
            <w:r w:rsidR="008074FC">
              <w:rPr>
                <w:rFonts w:ascii="Calibri" w:eastAsia="Times New Roman" w:hAnsi="Calibri" w:cs="Times New Roman"/>
                <w:sz w:val="20"/>
                <w:szCs w:val="20"/>
              </w:rPr>
              <w:t>,</w:t>
            </w:r>
            <w:r w:rsidR="00F168C7">
              <w:rPr>
                <w:rFonts w:ascii="Calibri" w:eastAsia="Times New Roman" w:hAnsi="Calibri" w:cs="Times New Roman"/>
                <w:sz w:val="20"/>
                <w:szCs w:val="20"/>
              </w:rPr>
              <w:t xml:space="preserve"> </w:t>
            </w:r>
            <w:proofErr w:type="spellStart"/>
            <w:r w:rsidR="008074FC">
              <w:rPr>
                <w:rFonts w:ascii="Calibri" w:eastAsia="Times New Roman" w:hAnsi="Calibri" w:cs="Times New Roman"/>
                <w:sz w:val="20"/>
                <w:szCs w:val="20"/>
              </w:rPr>
              <w:t>Comaco</w:t>
            </w:r>
            <w:proofErr w:type="spellEnd"/>
            <w:r w:rsidR="00E31BB7">
              <w:rPr>
                <w:rFonts w:ascii="Calibri" w:eastAsia="Times New Roman" w:hAnsi="Calibri" w:cs="Times New Roman"/>
                <w:sz w:val="20"/>
                <w:szCs w:val="20"/>
              </w:rPr>
              <w:t>,</w:t>
            </w:r>
            <w:r w:rsidR="00F93CEE">
              <w:rPr>
                <w:rFonts w:ascii="Calibri" w:eastAsia="Times New Roman" w:hAnsi="Calibri" w:cs="Times New Roman"/>
                <w:sz w:val="20"/>
                <w:szCs w:val="20"/>
              </w:rPr>
              <w:t xml:space="preserve"> </w:t>
            </w:r>
            <w:proofErr w:type="spellStart"/>
            <w:r w:rsidR="00E31BB7">
              <w:rPr>
                <w:rFonts w:ascii="Calibri" w:eastAsia="Times New Roman" w:hAnsi="Calibri" w:cs="Times New Roman"/>
                <w:sz w:val="20"/>
                <w:szCs w:val="20"/>
              </w:rPr>
              <w:t>Kasanka</w:t>
            </w:r>
            <w:proofErr w:type="spellEnd"/>
            <w:r w:rsidR="00E31BB7">
              <w:rPr>
                <w:rFonts w:ascii="Calibri" w:eastAsia="Times New Roman" w:hAnsi="Calibri" w:cs="Times New Roman"/>
                <w:sz w:val="20"/>
                <w:szCs w:val="20"/>
              </w:rPr>
              <w:t>, ZCCN</w:t>
            </w:r>
          </w:p>
        </w:tc>
        <w:tc>
          <w:tcPr>
            <w:tcW w:w="2327" w:type="pct"/>
            <w:gridSpan w:val="3"/>
          </w:tcPr>
          <w:p w:rsidR="00D6638C" w:rsidRPr="00D6638C" w:rsidRDefault="00D6638C" w:rsidP="00B76255">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t>Pro</w:t>
            </w:r>
            <w:r w:rsidR="00B76255">
              <w:rPr>
                <w:rFonts w:ascii="Calibri" w:eastAsia="Times New Roman" w:hAnsi="Calibri" w:cs="Times New Roman"/>
                <w:color w:val="000000"/>
                <w:sz w:val="20"/>
                <w:szCs w:val="20"/>
              </w:rPr>
              <w:t>Doc</w:t>
            </w:r>
            <w:proofErr w:type="spellEnd"/>
            <w:r w:rsidR="00B76255">
              <w:rPr>
                <w:rFonts w:ascii="Calibri" w:eastAsia="Times New Roman" w:hAnsi="Calibri" w:cs="Times New Roman"/>
                <w:color w:val="000000"/>
                <w:sz w:val="20"/>
                <w:szCs w:val="20"/>
              </w:rPr>
              <w:t xml:space="preserve"> Signature </w:t>
            </w:r>
            <w:r w:rsidRPr="00D6638C">
              <w:rPr>
                <w:rFonts w:ascii="Calibri" w:eastAsia="Times New Roman" w:hAnsi="Calibri" w:cs="Times New Roman"/>
                <w:color w:val="000000"/>
                <w:sz w:val="20"/>
                <w:szCs w:val="20"/>
              </w:rPr>
              <w:t xml:space="preserve">: </w:t>
            </w:r>
          </w:p>
        </w:tc>
        <w:tc>
          <w:tcPr>
            <w:tcW w:w="980"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r w:rsidR="0002374C">
              <w:rPr>
                <w:rFonts w:ascii="Calibri" w:eastAsia="Times New Roman" w:hAnsi="Calibri" w:cs="Times New Roman"/>
                <w:color w:val="000000"/>
                <w:sz w:val="20"/>
                <w:szCs w:val="20"/>
              </w:rPr>
              <w:t>23</w:t>
            </w:r>
            <w:r w:rsidR="0002374C" w:rsidRPr="00B76255">
              <w:rPr>
                <w:rFonts w:ascii="Calibri" w:eastAsia="Times New Roman" w:hAnsi="Calibri" w:cs="Times New Roman"/>
                <w:color w:val="000000"/>
                <w:sz w:val="20"/>
                <w:szCs w:val="20"/>
                <w:vertAlign w:val="superscript"/>
              </w:rPr>
              <w:t>rd</w:t>
            </w:r>
            <w:r w:rsidR="0002374C">
              <w:rPr>
                <w:rFonts w:ascii="Calibri" w:eastAsia="Times New Roman" w:hAnsi="Calibri" w:cs="Times New Roman"/>
                <w:color w:val="000000"/>
                <w:sz w:val="20"/>
                <w:szCs w:val="20"/>
              </w:rPr>
              <w:t xml:space="preserve"> July 2015</w:t>
            </w:r>
          </w:p>
        </w:tc>
      </w:tr>
      <w:tr w:rsidR="00D6638C" w:rsidRPr="00D6638C" w:rsidTr="0093330D">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894"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284"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104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F168C7"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23</w:t>
            </w:r>
            <w:r w:rsidRPr="00F168C7">
              <w:rPr>
                <w:rFonts w:ascii="Calibri" w:eastAsia="Times New Roman" w:hAnsi="Calibri" w:cs="Times New Roman"/>
                <w:sz w:val="20"/>
                <w:szCs w:val="20"/>
                <w:vertAlign w:val="superscript"/>
              </w:rPr>
              <w:t>rd</w:t>
            </w:r>
            <w:r>
              <w:rPr>
                <w:rFonts w:ascii="Calibri" w:eastAsia="Times New Roman" w:hAnsi="Calibri" w:cs="Times New Roman"/>
                <w:sz w:val="20"/>
                <w:szCs w:val="20"/>
              </w:rPr>
              <w:t xml:space="preserve"> July</w:t>
            </w:r>
            <w:r w:rsidR="00B76255">
              <w:rPr>
                <w:rFonts w:ascii="Calibri" w:eastAsia="Times New Roman" w:hAnsi="Calibri" w:cs="Times New Roman"/>
                <w:sz w:val="20"/>
                <w:szCs w:val="20"/>
              </w:rPr>
              <w:t xml:space="preserve"> 2020</w:t>
            </w:r>
          </w:p>
        </w:tc>
        <w:tc>
          <w:tcPr>
            <w:tcW w:w="980"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r w:rsidR="0002374C">
              <w:rPr>
                <w:rFonts w:ascii="Calibri" w:eastAsia="Times New Roman" w:hAnsi="Calibri" w:cs="Times New Roman"/>
                <w:color w:val="000000"/>
                <w:sz w:val="20"/>
                <w:szCs w:val="20"/>
              </w:rPr>
              <w:t>23</w:t>
            </w:r>
            <w:r w:rsidR="0002374C" w:rsidRPr="00B76255">
              <w:rPr>
                <w:rFonts w:ascii="Calibri" w:eastAsia="Times New Roman" w:hAnsi="Calibri" w:cs="Times New Roman"/>
                <w:color w:val="000000"/>
                <w:sz w:val="20"/>
                <w:szCs w:val="20"/>
                <w:vertAlign w:val="superscript"/>
              </w:rPr>
              <w:t>rd</w:t>
            </w:r>
            <w:r w:rsidR="0002374C">
              <w:rPr>
                <w:rFonts w:ascii="Calibri" w:eastAsia="Times New Roman" w:hAnsi="Calibri" w:cs="Times New Roman"/>
                <w:color w:val="000000"/>
                <w:sz w:val="20"/>
                <w:szCs w:val="20"/>
              </w:rPr>
              <w:t xml:space="preserve"> July 2020</w:t>
            </w:r>
          </w:p>
        </w:tc>
      </w:tr>
    </w:tbl>
    <w:p w:rsidR="00CB7A51" w:rsidRDefault="00CB7A51" w:rsidP="00CB7A51">
      <w:pPr>
        <w:pStyle w:val="Heading51"/>
        <w:pBdr>
          <w:bottom w:val="single" w:sz="6" w:space="2" w:color="4F81BD"/>
        </w:pBdr>
      </w:pPr>
      <w:bookmarkStart w:id="6" w:name="_Toc321341549"/>
    </w:p>
    <w:p w:rsidR="00CB7A51" w:rsidRDefault="00CB7A51" w:rsidP="00CB7A51">
      <w:pPr>
        <w:pStyle w:val="Heading51"/>
        <w:pBdr>
          <w:bottom w:val="single" w:sz="6" w:space="2" w:color="4F81BD"/>
        </w:pBdr>
      </w:pPr>
    </w:p>
    <w:p w:rsidR="00CB7A51" w:rsidRPr="00CB7A51" w:rsidRDefault="00CB7A51" w:rsidP="00CB7A51">
      <w:pPr>
        <w:pStyle w:val="Heading51"/>
        <w:pBdr>
          <w:bottom w:val="single" w:sz="6" w:space="2" w:color="4F81BD"/>
        </w:pBdr>
      </w:pPr>
    </w:p>
    <w:p w:rsidR="00CB7A51" w:rsidRPr="00CB7A51" w:rsidRDefault="00CB7A51" w:rsidP="00CB7A51"/>
    <w:p w:rsidR="00CB7A51" w:rsidRDefault="00CB7A51" w:rsidP="00CB7A51"/>
    <w:p w:rsidR="00CB7A51" w:rsidRPr="00CB7A51" w:rsidRDefault="00CB7A51" w:rsidP="00CB7A51"/>
    <w:p w:rsidR="00CB7A51" w:rsidRDefault="00D6638C" w:rsidP="00CB7A51">
      <w:pPr>
        <w:pStyle w:val="Heading51"/>
        <w:numPr>
          <w:ilvl w:val="0"/>
          <w:numId w:val="33"/>
        </w:numPr>
      </w:pPr>
      <w:r w:rsidRPr="00B913F1">
        <w:t>Objective and Scope</w:t>
      </w:r>
      <w:bookmarkEnd w:id="6"/>
    </w:p>
    <w:p w:rsidR="00CB7A51" w:rsidRPr="00CB7A51" w:rsidRDefault="00CB7A51" w:rsidP="00CB7A51"/>
    <w:p w:rsidR="00D6638C" w:rsidRDefault="002634F4" w:rsidP="00CB7A51">
      <w:pPr>
        <w:spacing w:before="200"/>
        <w:jc w:val="both"/>
        <w:rPr>
          <w:rFonts w:ascii="Calibri" w:eastAsia="Times New Roman" w:hAnsi="Calibri" w:cs="Times New Roman"/>
          <w:sz w:val="20"/>
          <w:szCs w:val="20"/>
        </w:rPr>
      </w:pPr>
      <w:r>
        <w:rPr>
          <w:rFonts w:ascii="Calibri" w:eastAsia="Times New Roman" w:hAnsi="Calibri" w:cs="Times New Roman"/>
          <w:sz w:val="20"/>
          <w:szCs w:val="20"/>
        </w:rPr>
        <w:t>The project was designed to: promote climate resilient, community based regeneration of indigenous forest</w:t>
      </w:r>
      <w:r w:rsidR="00F93CEE">
        <w:rPr>
          <w:rFonts w:ascii="Calibri" w:eastAsia="Times New Roman" w:hAnsi="Calibri" w:cs="Times New Roman"/>
          <w:sz w:val="20"/>
          <w:szCs w:val="20"/>
        </w:rPr>
        <w:t>s</w:t>
      </w:r>
      <w:r>
        <w:rPr>
          <w:rFonts w:ascii="Calibri" w:eastAsia="Times New Roman" w:hAnsi="Calibri" w:cs="Times New Roman"/>
          <w:sz w:val="20"/>
          <w:szCs w:val="20"/>
        </w:rPr>
        <w:t xml:space="preserve"> in Zambia’s central province, thereby securing </w:t>
      </w:r>
      <w:r w:rsidR="00D20A72">
        <w:rPr>
          <w:rFonts w:ascii="Calibri" w:eastAsia="Times New Roman" w:hAnsi="Calibri" w:cs="Times New Roman"/>
          <w:sz w:val="20"/>
          <w:szCs w:val="20"/>
        </w:rPr>
        <w:t>ecosystems</w:t>
      </w:r>
      <w:r>
        <w:rPr>
          <w:rFonts w:ascii="Calibri" w:eastAsia="Times New Roman" w:hAnsi="Calibri" w:cs="Times New Roman"/>
          <w:sz w:val="20"/>
          <w:szCs w:val="20"/>
        </w:rPr>
        <w:t xml:space="preserve"> goods and services and enhancing the </w:t>
      </w:r>
      <w:r w:rsidR="002448B1">
        <w:rPr>
          <w:rFonts w:ascii="Calibri" w:eastAsia="Times New Roman" w:hAnsi="Calibri" w:cs="Times New Roman"/>
          <w:sz w:val="20"/>
          <w:szCs w:val="20"/>
        </w:rPr>
        <w:t>adaptive</w:t>
      </w:r>
      <w:r>
        <w:rPr>
          <w:rFonts w:ascii="Calibri" w:eastAsia="Times New Roman" w:hAnsi="Calibri" w:cs="Times New Roman"/>
          <w:sz w:val="20"/>
          <w:szCs w:val="20"/>
        </w:rPr>
        <w:t xml:space="preserve"> capacity of the local communities. The project is being implemented through three components:</w:t>
      </w:r>
    </w:p>
    <w:p w:rsidR="009E358D" w:rsidRDefault="002634F4" w:rsidP="00CB7A51">
      <w:pPr>
        <w:spacing w:before="200"/>
        <w:jc w:val="both"/>
        <w:rPr>
          <w:rFonts w:ascii="Calibri" w:eastAsia="Times New Roman" w:hAnsi="Calibri" w:cs="Times New Roman"/>
          <w:sz w:val="20"/>
          <w:szCs w:val="20"/>
        </w:rPr>
      </w:pPr>
      <w:r w:rsidRPr="000B4CFE">
        <w:rPr>
          <w:rFonts w:ascii="Calibri" w:eastAsia="Times New Roman" w:hAnsi="Calibri" w:cs="Times New Roman"/>
          <w:b/>
          <w:sz w:val="20"/>
          <w:szCs w:val="20"/>
        </w:rPr>
        <w:t>Component 1</w:t>
      </w:r>
      <w:r>
        <w:rPr>
          <w:rFonts w:ascii="Calibri" w:eastAsia="Times New Roman" w:hAnsi="Calibri" w:cs="Times New Roman"/>
          <w:sz w:val="20"/>
          <w:szCs w:val="20"/>
        </w:rPr>
        <w:t>: strengthened technical and institutional capacity of for</w:t>
      </w:r>
      <w:r w:rsidR="009E358D">
        <w:rPr>
          <w:rFonts w:ascii="Calibri" w:eastAsia="Times New Roman" w:hAnsi="Calibri" w:cs="Times New Roman"/>
          <w:sz w:val="20"/>
          <w:szCs w:val="20"/>
        </w:rPr>
        <w:t>esters and communities in central province to implement appropriate climate resilient agro- forest</w:t>
      </w:r>
      <w:r w:rsidR="00272103">
        <w:rPr>
          <w:rFonts w:ascii="Calibri" w:eastAsia="Times New Roman" w:hAnsi="Calibri" w:cs="Times New Roman"/>
          <w:sz w:val="20"/>
          <w:szCs w:val="20"/>
        </w:rPr>
        <w:t>ry</w:t>
      </w:r>
      <w:r w:rsidR="009E358D">
        <w:rPr>
          <w:rFonts w:ascii="Calibri" w:eastAsia="Times New Roman" w:hAnsi="Calibri" w:cs="Times New Roman"/>
          <w:sz w:val="20"/>
          <w:szCs w:val="20"/>
        </w:rPr>
        <w:t xml:space="preserve"> and </w:t>
      </w:r>
      <w:r w:rsidR="00272103">
        <w:rPr>
          <w:rFonts w:ascii="Calibri" w:eastAsia="Times New Roman" w:hAnsi="Calibri" w:cs="Times New Roman"/>
          <w:sz w:val="20"/>
          <w:szCs w:val="20"/>
        </w:rPr>
        <w:t xml:space="preserve">assisted </w:t>
      </w:r>
      <w:r w:rsidR="009E358D">
        <w:rPr>
          <w:rFonts w:ascii="Calibri" w:eastAsia="Times New Roman" w:hAnsi="Calibri" w:cs="Times New Roman"/>
          <w:sz w:val="20"/>
          <w:szCs w:val="20"/>
        </w:rPr>
        <w:t>natural regeneration practices in designated areas.</w:t>
      </w:r>
    </w:p>
    <w:p w:rsidR="009E358D" w:rsidRDefault="009E358D" w:rsidP="00CB7A51">
      <w:pPr>
        <w:spacing w:before="200"/>
        <w:jc w:val="both"/>
        <w:rPr>
          <w:rFonts w:ascii="Calibri" w:eastAsia="Times New Roman" w:hAnsi="Calibri" w:cs="Times New Roman"/>
          <w:sz w:val="20"/>
          <w:szCs w:val="20"/>
        </w:rPr>
      </w:pPr>
      <w:r w:rsidRPr="000B4CFE">
        <w:rPr>
          <w:rFonts w:ascii="Calibri" w:eastAsia="Times New Roman" w:hAnsi="Calibri" w:cs="Times New Roman"/>
          <w:b/>
          <w:sz w:val="20"/>
          <w:szCs w:val="20"/>
        </w:rPr>
        <w:t>Component 2</w:t>
      </w:r>
      <w:r>
        <w:rPr>
          <w:rFonts w:ascii="Calibri" w:eastAsia="Times New Roman" w:hAnsi="Calibri" w:cs="Times New Roman"/>
          <w:sz w:val="20"/>
          <w:szCs w:val="20"/>
        </w:rPr>
        <w:t>: Robust fire monitoring and management protection plans and measures in place to maintain desired regeneration targets and reduce fire frequency by 25-30% annually across the province, within a four year cycle.</w:t>
      </w:r>
    </w:p>
    <w:p w:rsidR="002634F4" w:rsidRDefault="009E358D" w:rsidP="00D6638C">
      <w:pPr>
        <w:spacing w:before="200"/>
        <w:rPr>
          <w:rFonts w:ascii="Calibri" w:eastAsia="Times New Roman" w:hAnsi="Calibri" w:cs="Times New Roman"/>
          <w:sz w:val="20"/>
          <w:szCs w:val="20"/>
        </w:rPr>
      </w:pPr>
      <w:r w:rsidRPr="000B4CFE">
        <w:rPr>
          <w:rFonts w:ascii="Calibri" w:eastAsia="Times New Roman" w:hAnsi="Calibri" w:cs="Times New Roman"/>
          <w:b/>
          <w:sz w:val="20"/>
          <w:szCs w:val="20"/>
        </w:rPr>
        <w:t>Component 3</w:t>
      </w:r>
      <w:r>
        <w:rPr>
          <w:rFonts w:ascii="Calibri" w:eastAsia="Times New Roman" w:hAnsi="Calibri" w:cs="Times New Roman"/>
          <w:sz w:val="20"/>
          <w:szCs w:val="20"/>
        </w:rPr>
        <w:t xml:space="preserve">: Energy efficient   </w:t>
      </w:r>
      <w:r w:rsidR="002634F4">
        <w:rPr>
          <w:rFonts w:ascii="Calibri" w:eastAsia="Times New Roman" w:hAnsi="Calibri" w:cs="Times New Roman"/>
          <w:sz w:val="20"/>
          <w:szCs w:val="20"/>
        </w:rPr>
        <w:t xml:space="preserve"> </w:t>
      </w:r>
      <w:r>
        <w:rPr>
          <w:rFonts w:ascii="Calibri" w:eastAsia="Times New Roman" w:hAnsi="Calibri" w:cs="Times New Roman"/>
          <w:sz w:val="20"/>
          <w:szCs w:val="20"/>
        </w:rPr>
        <w:t xml:space="preserve">charcoal production and wood-saving technologies have </w:t>
      </w:r>
      <w:r w:rsidR="00D20A72">
        <w:rPr>
          <w:rFonts w:ascii="Calibri" w:eastAsia="Times New Roman" w:hAnsi="Calibri" w:cs="Times New Roman"/>
          <w:sz w:val="20"/>
          <w:szCs w:val="20"/>
        </w:rPr>
        <w:t>successfully</w:t>
      </w:r>
      <w:r>
        <w:rPr>
          <w:rFonts w:ascii="Calibri" w:eastAsia="Times New Roman" w:hAnsi="Calibri" w:cs="Times New Roman"/>
          <w:sz w:val="20"/>
          <w:szCs w:val="20"/>
        </w:rPr>
        <w:t xml:space="preserve"> replaced inefficient system</w:t>
      </w:r>
      <w:r w:rsidR="00272103">
        <w:rPr>
          <w:rFonts w:ascii="Calibri" w:eastAsia="Times New Roman" w:hAnsi="Calibri" w:cs="Times New Roman"/>
          <w:sz w:val="20"/>
          <w:szCs w:val="20"/>
        </w:rPr>
        <w:t>s</w:t>
      </w:r>
      <w:r>
        <w:rPr>
          <w:rFonts w:ascii="Calibri" w:eastAsia="Times New Roman" w:hAnsi="Calibri" w:cs="Times New Roman"/>
          <w:sz w:val="20"/>
          <w:szCs w:val="20"/>
        </w:rPr>
        <w:t xml:space="preserve"> in the targeted </w:t>
      </w:r>
      <w:r w:rsidR="00D20A72">
        <w:rPr>
          <w:rFonts w:ascii="Calibri" w:eastAsia="Times New Roman" w:hAnsi="Calibri" w:cs="Times New Roman"/>
          <w:sz w:val="20"/>
          <w:szCs w:val="20"/>
        </w:rPr>
        <w:t>areas</w:t>
      </w:r>
      <w:r>
        <w:rPr>
          <w:rFonts w:ascii="Calibri" w:eastAsia="Times New Roman" w:hAnsi="Calibri" w:cs="Times New Roman"/>
          <w:sz w:val="20"/>
          <w:szCs w:val="20"/>
        </w:rPr>
        <w:t xml:space="preserve"> of central province, helping offset pressure on the forest as the climate changes.</w:t>
      </w:r>
    </w:p>
    <w:p w:rsidR="00D20A72" w:rsidRPr="00B4132C" w:rsidRDefault="00D20A72" w:rsidP="00D20A72">
      <w:pPr>
        <w:jc w:val="both"/>
        <w:rPr>
          <w:rFonts w:cs="Arial"/>
          <w:sz w:val="20"/>
          <w:szCs w:val="20"/>
        </w:rPr>
      </w:pPr>
      <w:r w:rsidRPr="00B4132C">
        <w:rPr>
          <w:rFonts w:cs="Arial"/>
          <w:sz w:val="20"/>
          <w:szCs w:val="20"/>
        </w:rPr>
        <w:t xml:space="preserve">The project is focused on Central Province with the view of undertaking a landscape-based approach in the interventions. The province was chosen because of the high rates of degradation and deforestation resulting from increased conversion of forest into agricultural expansion and the production of charcoal. In addition late fires affect the regeneration of forests and often result in tree mortality. Central Province has a total of 371,000 ha of National Forests and 594,000 ha of Local Forests. </w:t>
      </w:r>
      <w:proofErr w:type="spellStart"/>
      <w:r w:rsidRPr="00B4132C">
        <w:rPr>
          <w:rFonts w:cs="Arial"/>
          <w:sz w:val="20"/>
          <w:szCs w:val="20"/>
        </w:rPr>
        <w:t>Serenje</w:t>
      </w:r>
      <w:proofErr w:type="spellEnd"/>
      <w:r w:rsidRPr="00B4132C">
        <w:rPr>
          <w:rFonts w:cs="Arial"/>
          <w:sz w:val="20"/>
          <w:szCs w:val="20"/>
        </w:rPr>
        <w:t xml:space="preserve"> and </w:t>
      </w:r>
      <w:proofErr w:type="spellStart"/>
      <w:r w:rsidRPr="00B4132C">
        <w:rPr>
          <w:rFonts w:cs="Arial"/>
          <w:sz w:val="20"/>
          <w:szCs w:val="20"/>
        </w:rPr>
        <w:t>Chitambo</w:t>
      </w:r>
      <w:proofErr w:type="spellEnd"/>
      <w:r w:rsidRPr="00B4132C">
        <w:rPr>
          <w:rFonts w:cs="Arial"/>
          <w:sz w:val="20"/>
          <w:szCs w:val="20"/>
        </w:rPr>
        <w:t xml:space="preserve"> districts were chosen within which on-the ground activities under component 1, 2 and 3 can be undertaken. The selection followed a comprehensive stakeholder consultative process. </w:t>
      </w:r>
    </w:p>
    <w:p w:rsidR="00D20A72" w:rsidRPr="00B4132C" w:rsidRDefault="00D20A72" w:rsidP="00D20A72">
      <w:pPr>
        <w:jc w:val="both"/>
        <w:rPr>
          <w:rFonts w:cs="Arial"/>
          <w:sz w:val="20"/>
          <w:szCs w:val="20"/>
        </w:rPr>
      </w:pPr>
      <w:r w:rsidRPr="00B4132C">
        <w:rPr>
          <w:rFonts w:cs="Arial"/>
          <w:sz w:val="20"/>
          <w:szCs w:val="20"/>
        </w:rPr>
        <w:t xml:space="preserve">In terms of management arrangements, the execution modality follows the UNDPs National Implementation Modality (NIM). The Implementing Partner (IP) for the project is the Ministry of Lands and Natural Resources (MLNR) through the Department of Forestry as the lead agency. Other Stakeholders involved in the implementation to provide technical support and training include Ministry of Agriculture, Ministry of Chiefs and Traditional Affairs, Ministry of Energy, Ministry of Community Development, Zambia Environmental Management Agency (ZEMA), Regional government stakeholders and community-based organizations. The Project Implementation Unit (PIU), headed by the Project Manager is responsible for project management and coordination. The Project Steering Committee is responsible for approving reports and activities. It also provides guidance for proper implementation of the project. It draws membership from UNDP, MLNR, representatives of </w:t>
      </w:r>
      <w:r w:rsidRPr="00B4132C">
        <w:rPr>
          <w:rFonts w:cs="Arial"/>
          <w:sz w:val="20"/>
          <w:szCs w:val="20"/>
        </w:rPr>
        <w:lastRenderedPageBreak/>
        <w:t xml:space="preserve">Town Councils, Ministry of Agriculture, Ministry of Energy, Ministry of Chiefs and Traditional Affairs, ZEMA, Zambia Climate Change Network (ZCCN) and others.  In close collaboration with the PIU, the PSC plays a critical role in project monitoring and evaluation by quality assuring processes and products and using evaluations performance improvement, accountability and learning </w:t>
      </w:r>
    </w:p>
    <w:p w:rsidR="00D20A72" w:rsidRPr="00D20A72" w:rsidRDefault="00D20A72" w:rsidP="00D20A72">
      <w:pPr>
        <w:rPr>
          <w:rFonts w:cs="Arial"/>
          <w:sz w:val="20"/>
          <w:szCs w:val="20"/>
        </w:rPr>
      </w:pPr>
      <w:r w:rsidRPr="00B4132C">
        <w:rPr>
          <w:rFonts w:cs="Arial"/>
          <w:sz w:val="20"/>
          <w:szCs w:val="20"/>
        </w:rPr>
        <w:t xml:space="preserve">The total budget for the project is </w:t>
      </w:r>
      <w:r w:rsidRPr="00B4132C">
        <w:rPr>
          <w:rFonts w:cs="Arial"/>
          <w:b/>
          <w:sz w:val="20"/>
          <w:szCs w:val="20"/>
          <w:u w:val="single"/>
        </w:rPr>
        <w:t>US$ 32,915,090, while planned co-financing</w:t>
      </w:r>
      <w:r w:rsidRPr="00D20A72">
        <w:rPr>
          <w:rFonts w:cs="Arial"/>
          <w:b/>
          <w:sz w:val="20"/>
          <w:szCs w:val="20"/>
          <w:u w:val="single"/>
        </w:rPr>
        <w:t xml:space="preserve"> is at US$ 28,930,090</w:t>
      </w:r>
    </w:p>
    <w:p w:rsidR="000B4CFE" w:rsidRDefault="00D20A72" w:rsidP="00B4132C">
      <w:pPr>
        <w:jc w:val="both"/>
        <w:rPr>
          <w:rFonts w:cs="Arial"/>
          <w:sz w:val="20"/>
          <w:szCs w:val="20"/>
        </w:rPr>
      </w:pPr>
      <w:r w:rsidRPr="00D20A72">
        <w:rPr>
          <w:rFonts w:cs="Arial"/>
          <w:sz w:val="20"/>
          <w:szCs w:val="20"/>
        </w:rPr>
        <w:t>The time frame for the project is July 23, 2015 to July 22, 2020</w:t>
      </w:r>
      <w:r w:rsidR="00B4132C">
        <w:rPr>
          <w:rFonts w:cs="Arial"/>
          <w:sz w:val="20"/>
          <w:szCs w:val="20"/>
        </w:rPr>
        <w:t xml:space="preserve">. </w:t>
      </w:r>
    </w:p>
    <w:p w:rsidR="000B4CFE" w:rsidRDefault="000B4CFE" w:rsidP="00B4132C">
      <w:pPr>
        <w:jc w:val="both"/>
        <w:rPr>
          <w:rFonts w:cs="Arial"/>
          <w:sz w:val="20"/>
          <w:szCs w:val="20"/>
        </w:rPr>
      </w:pPr>
    </w:p>
    <w:p w:rsidR="00B4132C" w:rsidRPr="00E8715B" w:rsidRDefault="00B4132C" w:rsidP="00B4132C">
      <w:pPr>
        <w:pStyle w:val="ListParagraph"/>
        <w:numPr>
          <w:ilvl w:val="0"/>
          <w:numId w:val="33"/>
        </w:numPr>
        <w:jc w:val="both"/>
        <w:rPr>
          <w:rFonts w:cs="Arial"/>
          <w:b/>
          <w:sz w:val="22"/>
          <w:szCs w:val="22"/>
        </w:rPr>
      </w:pPr>
      <w:r w:rsidRPr="00E8715B">
        <w:rPr>
          <w:rFonts w:cs="Arial"/>
          <w:b/>
          <w:sz w:val="22"/>
          <w:szCs w:val="22"/>
        </w:rPr>
        <w:t>OBJECTIVE</w:t>
      </w:r>
      <w:r w:rsidR="009E12E0" w:rsidRPr="00E8715B">
        <w:rPr>
          <w:rFonts w:cs="Arial"/>
          <w:b/>
          <w:sz w:val="22"/>
          <w:szCs w:val="22"/>
        </w:rPr>
        <w:t xml:space="preserve"> OF THE TR</w:t>
      </w:r>
    </w:p>
    <w:p w:rsidR="00B4132C" w:rsidRPr="00B4132C" w:rsidRDefault="00B4132C" w:rsidP="00B4132C">
      <w:pPr>
        <w:spacing w:after="0" w:line="240" w:lineRule="auto"/>
        <w:jc w:val="both"/>
        <w:rPr>
          <w:rFonts w:cs="Calibri"/>
          <w:sz w:val="20"/>
          <w:szCs w:val="20"/>
          <w:u w:val="single"/>
          <w:lang w:eastAsia="ja-JP"/>
        </w:rPr>
      </w:pPr>
      <w:r w:rsidRPr="00B4132C">
        <w:rPr>
          <w:sz w:val="20"/>
          <w:szCs w:val="20"/>
        </w:rPr>
        <w:t xml:space="preserve">The </w:t>
      </w:r>
      <w:r w:rsidRPr="00B4132C">
        <w:rPr>
          <w:rFonts w:cs="Calibri"/>
          <w:sz w:val="20"/>
          <w:szCs w:val="20"/>
          <w:lang w:eastAsia="ja-JP"/>
        </w:rPr>
        <w:t>objectives of the evaluation are to assess the achievement of project results, and to draw lessons that can both improve the sustainability of benefits from this project, and aid in the overall enhancement of UNDP programming.</w:t>
      </w:r>
      <w:r w:rsidRPr="00B4132C">
        <w:rPr>
          <w:rFonts w:eastAsia="Times New Roman"/>
          <w:sz w:val="20"/>
          <w:szCs w:val="20"/>
        </w:rPr>
        <w:t xml:space="preserve"> </w:t>
      </w:r>
      <w:r w:rsidRPr="00B4132C">
        <w:rPr>
          <w:rFonts w:cs="Calibri"/>
          <w:sz w:val="20"/>
          <w:szCs w:val="20"/>
        </w:rPr>
        <w:t>The evaluator is expected to frame the evaluation effort using the criteria of</w:t>
      </w:r>
      <w:r w:rsidRPr="00B4132C">
        <w:rPr>
          <w:rFonts w:eastAsia="Times New Roman"/>
          <w:sz w:val="20"/>
          <w:szCs w:val="20"/>
        </w:rPr>
        <w:t xml:space="preserve"> </w:t>
      </w:r>
      <w:r w:rsidRPr="00B4132C">
        <w:rPr>
          <w:rFonts w:cs="Calibri"/>
          <w:b/>
          <w:sz w:val="20"/>
          <w:szCs w:val="20"/>
        </w:rPr>
        <w:t>relevance, effectiveness, efficiency, sustainability, and impact</w:t>
      </w:r>
      <w:r w:rsidRPr="00B4132C">
        <w:rPr>
          <w:rFonts w:cs="Calibri"/>
          <w:sz w:val="20"/>
          <w:szCs w:val="20"/>
        </w:rPr>
        <w:t xml:space="preserve">, as defined and explained in the UNDP Guidance for Conducting Terminal Evaluations of UNDP-supported, GEF-financed Projects.    </w:t>
      </w:r>
    </w:p>
    <w:p w:rsidR="00B4132C" w:rsidRPr="00B4132C" w:rsidRDefault="00B4132C" w:rsidP="00B4132C">
      <w:pPr>
        <w:pStyle w:val="NoSpacing"/>
        <w:jc w:val="both"/>
        <w:rPr>
          <w:rFonts w:cs="Calibri"/>
        </w:rPr>
      </w:pPr>
    </w:p>
    <w:p w:rsidR="00B4132C" w:rsidRPr="00B4132C" w:rsidRDefault="00B4132C" w:rsidP="00B4132C">
      <w:pPr>
        <w:pStyle w:val="NoSpacing"/>
        <w:jc w:val="both"/>
        <w:rPr>
          <w:rFonts w:cs="Calibri"/>
        </w:rPr>
      </w:pPr>
      <w:r w:rsidRPr="00B4132C">
        <w:rPr>
          <w:rFonts w:cs="Calibri"/>
        </w:rPr>
        <w:t xml:space="preserve">The evaluator will first review all relevant sources of information, such as the project document, project reports – including Annual PIR, project budget revisions, midterm review, progress reports, </w:t>
      </w:r>
      <w:proofErr w:type="gramStart"/>
      <w:r w:rsidRPr="00B4132C">
        <w:rPr>
          <w:rFonts w:cs="Calibri"/>
        </w:rPr>
        <w:t>GEF</w:t>
      </w:r>
      <w:proofErr w:type="gramEnd"/>
      <w:r w:rsidRPr="00B4132C">
        <w:rPr>
          <w:rFonts w:cs="Calibri"/>
        </w:rPr>
        <w:t xml:space="preserve"> focal area tracking tools, project files, national strategic and legal documents, and any other materials that the evaluator considers useful for this evidence-based assessment. </w:t>
      </w:r>
      <w:proofErr w:type="gramStart"/>
      <w:r w:rsidRPr="00B4132C">
        <w:rPr>
          <w:rFonts w:cs="Calibri"/>
        </w:rPr>
        <w:t>A list of documents that the project team will be provided to the evaluator for review.</w:t>
      </w:r>
      <w:proofErr w:type="gramEnd"/>
      <w:r w:rsidRPr="00B4132C">
        <w:rPr>
          <w:rFonts w:cs="Calibri"/>
        </w:rPr>
        <w:t xml:space="preserve"> The TE mission will then consist of field mission to </w:t>
      </w:r>
      <w:proofErr w:type="spellStart"/>
      <w:r w:rsidRPr="00B4132C">
        <w:rPr>
          <w:rFonts w:cs="Calibri"/>
        </w:rPr>
        <w:t>Serenje</w:t>
      </w:r>
      <w:proofErr w:type="spellEnd"/>
      <w:r w:rsidRPr="00B4132C">
        <w:rPr>
          <w:rFonts w:cs="Calibri"/>
        </w:rPr>
        <w:t xml:space="preserve"> and </w:t>
      </w:r>
      <w:proofErr w:type="spellStart"/>
      <w:proofErr w:type="gramStart"/>
      <w:r w:rsidR="00E8715B" w:rsidRPr="00B4132C">
        <w:rPr>
          <w:rFonts w:cs="Calibri"/>
        </w:rPr>
        <w:t>Chitambo</w:t>
      </w:r>
      <w:proofErr w:type="spellEnd"/>
      <w:r w:rsidR="00E8715B">
        <w:rPr>
          <w:rFonts w:cs="Calibri"/>
        </w:rPr>
        <w:t xml:space="preserve"> </w:t>
      </w:r>
      <w:r w:rsidR="00E8715B" w:rsidRPr="00B4132C">
        <w:rPr>
          <w:rFonts w:cs="Calibri"/>
        </w:rPr>
        <w:t>Districts</w:t>
      </w:r>
      <w:proofErr w:type="gramEnd"/>
      <w:r w:rsidRPr="00B4132C">
        <w:rPr>
          <w:rFonts w:cs="Calibri"/>
        </w:rPr>
        <w:t xml:space="preserve"> project sites and interviews will be held with respective institutions that are part of the implementation team, chiefs, private sector and NGOs</w:t>
      </w:r>
    </w:p>
    <w:p w:rsidR="00B4132C" w:rsidRPr="00B4132C" w:rsidRDefault="00B4132C" w:rsidP="00B4132C">
      <w:pPr>
        <w:pStyle w:val="NoSpacing"/>
        <w:jc w:val="both"/>
        <w:rPr>
          <w:rFonts w:cs="Calibri"/>
        </w:rPr>
      </w:pPr>
    </w:p>
    <w:p w:rsidR="00B4132C" w:rsidRPr="00B4132C" w:rsidRDefault="00B4132C" w:rsidP="00B4132C">
      <w:pPr>
        <w:pStyle w:val="NoSpacing"/>
        <w:jc w:val="both"/>
        <w:rPr>
          <w:rFonts w:cs="Calibri"/>
        </w:rPr>
      </w:pPr>
      <w:r w:rsidRPr="00B4132C">
        <w:rPr>
          <w:rFonts w:cs="Calibri"/>
        </w:rPr>
        <w:t xml:space="preserve">The evaluators will assess the extent to which the project is achieving impacts or progressing towards the achievement of impacts. Key findings that should be brought out in the evaluation include whether the project has demonstrated: a) verifiable improvements in ecological status, b) verifiable reductions in stress on ecological systems, and/or c) demonstrated progress towards these impact achievements.  </w:t>
      </w:r>
    </w:p>
    <w:p w:rsidR="00B4132C" w:rsidRPr="00B4132C" w:rsidRDefault="00B4132C" w:rsidP="00B4132C">
      <w:pPr>
        <w:pStyle w:val="NoSpacing"/>
        <w:jc w:val="both"/>
        <w:rPr>
          <w:rFonts w:cs="Calibri"/>
        </w:rPr>
      </w:pPr>
    </w:p>
    <w:p w:rsidR="00B4132C" w:rsidRDefault="00B4132C" w:rsidP="00B4132C">
      <w:pPr>
        <w:pStyle w:val="NoSpacing"/>
        <w:jc w:val="both"/>
        <w:rPr>
          <w:rFonts w:cs="Calibri"/>
        </w:rPr>
      </w:pPr>
      <w:r w:rsidRPr="00B4132C">
        <w:rPr>
          <w:rFonts w:cs="Calibri"/>
        </w:rPr>
        <w:t xml:space="preserve">The TE consultant will include a section in the TE report setting out the TE’s evidence-based conclusions, in light of the findings. The TE consultant will also rate the projects’ progress towards achieving the development objective taking into account the project’s strategy and risks to sustainability. Additionally, the TE consultant is expected to make recommendations to the Project Team. Recommendations should be succinct suggestions for critical intervention that are specific, measurable, achievable, and relevant. A recommendation table should be put in the report’s executive summary. The TE consultant should make no more than 15 recommendations </w:t>
      </w:r>
      <w:r w:rsidR="00272103">
        <w:rPr>
          <w:rFonts w:cs="Calibri"/>
        </w:rPr>
        <w:t xml:space="preserve">in </w:t>
      </w:r>
      <w:r w:rsidRPr="00B4132C">
        <w:rPr>
          <w:rFonts w:cs="Calibri"/>
        </w:rPr>
        <w:t>total.</w:t>
      </w:r>
    </w:p>
    <w:p w:rsidR="00B4132C" w:rsidRPr="00B4132C" w:rsidRDefault="00B4132C" w:rsidP="00B4132C">
      <w:pPr>
        <w:pStyle w:val="NoSpacing"/>
        <w:jc w:val="both"/>
        <w:rPr>
          <w:rFonts w:cs="Calibri"/>
        </w:rPr>
      </w:pPr>
    </w:p>
    <w:p w:rsidR="00B4132C" w:rsidRPr="00E8715B" w:rsidRDefault="00B4132C" w:rsidP="00B4132C">
      <w:pPr>
        <w:pStyle w:val="ListParagraph"/>
        <w:numPr>
          <w:ilvl w:val="0"/>
          <w:numId w:val="33"/>
        </w:numPr>
        <w:spacing w:line="240" w:lineRule="auto"/>
        <w:jc w:val="both"/>
        <w:rPr>
          <w:b/>
          <w:sz w:val="22"/>
          <w:szCs w:val="22"/>
        </w:rPr>
      </w:pPr>
      <w:r w:rsidRPr="00E8715B">
        <w:rPr>
          <w:b/>
          <w:sz w:val="22"/>
          <w:szCs w:val="22"/>
        </w:rPr>
        <w:t xml:space="preserve"> TR APPROACH &amp; METHODOLOGY</w:t>
      </w:r>
    </w:p>
    <w:p w:rsidR="00B4132C" w:rsidRPr="00B4132C" w:rsidRDefault="00B4132C" w:rsidP="00B4132C">
      <w:pPr>
        <w:spacing w:line="240" w:lineRule="auto"/>
        <w:jc w:val="both"/>
        <w:rPr>
          <w:sz w:val="20"/>
          <w:szCs w:val="20"/>
        </w:rPr>
      </w:pPr>
      <w:r w:rsidRPr="00B4132C">
        <w:rPr>
          <w:sz w:val="20"/>
          <w:szCs w:val="20"/>
          <w:lang w:val="en-GB"/>
        </w:rPr>
        <w:t xml:space="preserve">The TR must provide evidence-based information that is credible, reliable and useful. </w:t>
      </w:r>
      <w:r w:rsidRPr="00B4132C">
        <w:rPr>
          <w:sz w:val="20"/>
          <w:szCs w:val="20"/>
        </w:rPr>
        <w:t xml:space="preserve">The TR team will review all relevant sources of information including documents prepared during the preparation phase (i.e. PIF, UNDP Initiation Plan, UNDP Environmental &amp; Social Safeguard Policy, the Project Document, project reports including </w:t>
      </w:r>
      <w:r w:rsidRPr="00B4132C">
        <w:rPr>
          <w:sz w:val="20"/>
          <w:szCs w:val="20"/>
        </w:rPr>
        <w:lastRenderedPageBreak/>
        <w:t xml:space="preserve">Annual Project Review/PIRs, project budget revisions, lesson learned reports, national strategic and legal documents, MTR, and any other materials that the team considers useful for this evidence-based review). The TR team will review the baseline GEF focal area Tracking Tool submitted to the GEF at CEO endorsement, and the midterm GEF focal area Tracking Tool that must be completed before the TR field mission begins. </w:t>
      </w:r>
    </w:p>
    <w:p w:rsidR="00B4132C" w:rsidRPr="00B4132C" w:rsidRDefault="00B4132C" w:rsidP="00B4132C">
      <w:pPr>
        <w:keepLines/>
        <w:widowControl w:val="0"/>
        <w:overflowPunct w:val="0"/>
        <w:autoSpaceDE w:val="0"/>
        <w:autoSpaceDN w:val="0"/>
        <w:adjustRightInd w:val="0"/>
        <w:spacing w:line="240" w:lineRule="auto"/>
        <w:jc w:val="both"/>
        <w:rPr>
          <w:sz w:val="20"/>
          <w:szCs w:val="20"/>
        </w:rPr>
      </w:pPr>
      <w:r w:rsidRPr="00B4132C">
        <w:rPr>
          <w:sz w:val="20"/>
          <w:szCs w:val="20"/>
          <w:lang w:val="en-GB"/>
        </w:rPr>
        <w:t xml:space="preserve">The TR team is expected to follow a collaborative and participatory </w:t>
      </w:r>
      <w:r w:rsidRPr="00B4132C">
        <w:rPr>
          <w:sz w:val="20"/>
          <w:szCs w:val="20"/>
        </w:rPr>
        <w:t>approach</w:t>
      </w:r>
      <w:r w:rsidRPr="00B4132C">
        <w:rPr>
          <w:rStyle w:val="FootnoteReference"/>
          <w:sz w:val="20"/>
          <w:szCs w:val="20"/>
        </w:rPr>
        <w:footnoteReference w:id="1"/>
      </w:r>
      <w:r w:rsidRPr="00B4132C">
        <w:rPr>
          <w:sz w:val="20"/>
          <w:szCs w:val="20"/>
        </w:rPr>
        <w:t xml:space="preserve"> ensuring close engagement with the Project Team, government counterparts (the GEF Operational Focal Point), the UNDP Country Office(s), UNDP-GEF Regional Technical Advisers, and other key stakeholders. </w:t>
      </w:r>
    </w:p>
    <w:p w:rsidR="00B4132C" w:rsidRPr="00B4132C" w:rsidRDefault="00B4132C" w:rsidP="00B4132C">
      <w:pPr>
        <w:spacing w:line="240" w:lineRule="auto"/>
        <w:jc w:val="both"/>
        <w:rPr>
          <w:sz w:val="20"/>
          <w:szCs w:val="20"/>
        </w:rPr>
      </w:pPr>
      <w:r w:rsidRPr="00B4132C">
        <w:rPr>
          <w:sz w:val="20"/>
          <w:szCs w:val="20"/>
          <w:lang w:val="en-GB"/>
        </w:rPr>
        <w:t>Engagement of stakeholders is vital to a successful TR.</w:t>
      </w:r>
      <w:r w:rsidRPr="00B4132C">
        <w:rPr>
          <w:rStyle w:val="FootnoteReference"/>
          <w:sz w:val="20"/>
          <w:szCs w:val="20"/>
          <w:lang w:val="en-GB"/>
        </w:rPr>
        <w:footnoteReference w:id="2"/>
      </w:r>
      <w:r w:rsidRPr="00B4132C">
        <w:rPr>
          <w:sz w:val="20"/>
          <w:szCs w:val="20"/>
          <w:lang w:val="en-GB"/>
        </w:rPr>
        <w:t xml:space="preserve"> </w:t>
      </w:r>
      <w:r w:rsidRPr="00B4132C">
        <w:rPr>
          <w:sz w:val="20"/>
          <w:szCs w:val="20"/>
        </w:rPr>
        <w:t xml:space="preserve">Stakeholder involvement should include interviews with stakeholders who have project responsibilities, including but not limited to: Forestry Department, senior officials and task team/ component leaders, key experts and consultants in the subject area, Project Steering Committee, project stakeholders, academia, local government and CSOs, etc. Additionally, the TR team is expected to conduct field missions to: </w:t>
      </w:r>
      <w:proofErr w:type="spellStart"/>
      <w:r w:rsidRPr="00B4132C">
        <w:rPr>
          <w:i/>
          <w:sz w:val="20"/>
          <w:szCs w:val="20"/>
          <w:shd w:val="clear" w:color="auto" w:fill="FFFFFF"/>
        </w:rPr>
        <w:t>Serenje</w:t>
      </w:r>
      <w:proofErr w:type="spellEnd"/>
      <w:r w:rsidRPr="00B4132C">
        <w:rPr>
          <w:i/>
          <w:sz w:val="20"/>
          <w:szCs w:val="20"/>
          <w:shd w:val="clear" w:color="auto" w:fill="FFFFFF"/>
        </w:rPr>
        <w:t xml:space="preserve"> and </w:t>
      </w:r>
      <w:proofErr w:type="spellStart"/>
      <w:r w:rsidRPr="00B4132C">
        <w:rPr>
          <w:i/>
          <w:sz w:val="20"/>
          <w:szCs w:val="20"/>
          <w:shd w:val="clear" w:color="auto" w:fill="FFFFFF"/>
        </w:rPr>
        <w:t>Chitambo</w:t>
      </w:r>
      <w:proofErr w:type="spellEnd"/>
      <w:r w:rsidRPr="00B4132C">
        <w:rPr>
          <w:i/>
          <w:sz w:val="20"/>
          <w:szCs w:val="20"/>
          <w:shd w:val="clear" w:color="auto" w:fill="FFFFFF"/>
        </w:rPr>
        <w:t xml:space="preserve"> District project sites</w:t>
      </w:r>
    </w:p>
    <w:p w:rsidR="00B4132C" w:rsidRPr="00B4132C" w:rsidRDefault="00B4132C" w:rsidP="00B4132C">
      <w:pPr>
        <w:pStyle w:val="BodyText"/>
        <w:spacing w:after="0"/>
        <w:rPr>
          <w:rFonts w:asciiTheme="minorHAnsi" w:hAnsiTheme="minorHAnsi"/>
          <w:sz w:val="20"/>
          <w:szCs w:val="20"/>
        </w:rPr>
      </w:pPr>
      <w:r w:rsidRPr="00B4132C">
        <w:rPr>
          <w:rFonts w:asciiTheme="minorHAnsi" w:hAnsiTheme="minorHAnsi"/>
          <w:sz w:val="20"/>
          <w:szCs w:val="20"/>
          <w:lang w:val="en-GB"/>
        </w:rPr>
        <w:t>The</w:t>
      </w:r>
      <w:r w:rsidRPr="00B4132C">
        <w:rPr>
          <w:rFonts w:asciiTheme="minorHAnsi" w:hAnsiTheme="minorHAnsi"/>
          <w:sz w:val="20"/>
          <w:szCs w:val="20"/>
        </w:rPr>
        <w:t xml:space="preserve"> final TR report should describe the full TR approach taken and the rationale for the approach making explicit the underlying assumptions, challenges, strengths and weaknesses about the methods and approach of the review.</w:t>
      </w:r>
    </w:p>
    <w:p w:rsidR="00B4132C" w:rsidRPr="00B4132C" w:rsidRDefault="00B4132C" w:rsidP="00B4132C">
      <w:pPr>
        <w:pStyle w:val="BodyText"/>
        <w:spacing w:after="0"/>
        <w:rPr>
          <w:rFonts w:asciiTheme="minorHAnsi" w:hAnsiTheme="minorHAnsi"/>
          <w:sz w:val="20"/>
          <w:szCs w:val="20"/>
        </w:rPr>
      </w:pPr>
    </w:p>
    <w:p w:rsidR="00B4132C" w:rsidRPr="00511A78" w:rsidRDefault="00B4132C" w:rsidP="00B4132C">
      <w:pPr>
        <w:pStyle w:val="ListParagraph"/>
        <w:numPr>
          <w:ilvl w:val="0"/>
          <w:numId w:val="33"/>
        </w:numPr>
        <w:spacing w:line="240" w:lineRule="auto"/>
        <w:jc w:val="both"/>
        <w:rPr>
          <w:b/>
          <w:sz w:val="22"/>
          <w:szCs w:val="22"/>
        </w:rPr>
      </w:pPr>
      <w:r w:rsidRPr="00B4132C">
        <w:rPr>
          <w:b/>
        </w:rPr>
        <w:t xml:space="preserve">  </w:t>
      </w:r>
      <w:r w:rsidRPr="00511A78">
        <w:rPr>
          <w:b/>
          <w:sz w:val="22"/>
          <w:szCs w:val="22"/>
        </w:rPr>
        <w:t>DETAILED SCOPE OF THE TR</w:t>
      </w:r>
    </w:p>
    <w:p w:rsidR="00B4132C" w:rsidRPr="00B4132C" w:rsidRDefault="00B4132C" w:rsidP="00B4132C">
      <w:pPr>
        <w:spacing w:after="0" w:line="240" w:lineRule="auto"/>
        <w:jc w:val="both"/>
        <w:rPr>
          <w:sz w:val="20"/>
          <w:szCs w:val="20"/>
        </w:rPr>
      </w:pPr>
      <w:r w:rsidRPr="00B4132C">
        <w:rPr>
          <w:sz w:val="20"/>
          <w:szCs w:val="20"/>
        </w:rPr>
        <w:t xml:space="preserve">The TR team will assess the following four categories of project progress. See the </w:t>
      </w:r>
      <w:r w:rsidRPr="00B4132C">
        <w:rPr>
          <w:i/>
          <w:sz w:val="20"/>
          <w:szCs w:val="20"/>
          <w:lang w:val="en-GB"/>
        </w:rPr>
        <w:t>Guidance For Conducting Terminal Reviews of UNDP-Supported, GEF-Financed Projects</w:t>
      </w:r>
      <w:r w:rsidRPr="00B4132C">
        <w:rPr>
          <w:sz w:val="20"/>
          <w:szCs w:val="20"/>
          <w:lang w:val="en-GB"/>
        </w:rPr>
        <w:t xml:space="preserve"> for extended descriptions. </w:t>
      </w:r>
    </w:p>
    <w:p w:rsidR="00B4132C" w:rsidRPr="00B4132C" w:rsidRDefault="00B4132C" w:rsidP="00B4132C">
      <w:pPr>
        <w:spacing w:after="0" w:line="240" w:lineRule="auto"/>
        <w:jc w:val="both"/>
        <w:rPr>
          <w:sz w:val="20"/>
          <w:szCs w:val="20"/>
        </w:rPr>
      </w:pPr>
    </w:p>
    <w:p w:rsidR="00B4132C" w:rsidRPr="00B4132C" w:rsidRDefault="00B4132C" w:rsidP="00B4132C">
      <w:pPr>
        <w:jc w:val="both"/>
        <w:rPr>
          <w:b/>
          <w:color w:val="000000"/>
          <w:sz w:val="20"/>
          <w:szCs w:val="20"/>
          <w:lang w:val="en-GB"/>
        </w:rPr>
      </w:pPr>
      <w:proofErr w:type="spellStart"/>
      <w:r w:rsidRPr="00B4132C">
        <w:rPr>
          <w:b/>
          <w:color w:val="000000"/>
          <w:sz w:val="20"/>
          <w:szCs w:val="20"/>
          <w:lang w:val="en-GB"/>
        </w:rPr>
        <w:t>i</w:t>
      </w:r>
      <w:proofErr w:type="spellEnd"/>
      <w:r w:rsidRPr="00B4132C">
        <w:rPr>
          <w:b/>
          <w:color w:val="000000"/>
          <w:sz w:val="20"/>
          <w:szCs w:val="20"/>
          <w:lang w:val="en-GB"/>
        </w:rPr>
        <w:t>. Project Strategy</w:t>
      </w:r>
    </w:p>
    <w:p w:rsidR="00B4132C" w:rsidRPr="00B4132C" w:rsidRDefault="00B4132C" w:rsidP="00B4132C">
      <w:pPr>
        <w:spacing w:after="0" w:line="240" w:lineRule="auto"/>
        <w:jc w:val="both"/>
        <w:rPr>
          <w:sz w:val="20"/>
          <w:szCs w:val="20"/>
          <w:lang w:val="en-GB"/>
        </w:rPr>
      </w:pPr>
      <w:r w:rsidRPr="00B4132C">
        <w:rPr>
          <w:sz w:val="20"/>
          <w:szCs w:val="20"/>
          <w:u w:val="single"/>
          <w:lang w:val="en-GB"/>
        </w:rPr>
        <w:t>Project design</w:t>
      </w:r>
      <w:r w:rsidRPr="00B4132C">
        <w:rPr>
          <w:sz w:val="20"/>
          <w:szCs w:val="20"/>
          <w:lang w:val="en-GB"/>
        </w:rPr>
        <w:t xml:space="preserve">: </w:t>
      </w:r>
    </w:p>
    <w:p w:rsidR="00B4132C" w:rsidRPr="00B4132C" w:rsidRDefault="00B4132C" w:rsidP="00B4132C">
      <w:pPr>
        <w:pStyle w:val="ListParagraph"/>
        <w:numPr>
          <w:ilvl w:val="0"/>
          <w:numId w:val="32"/>
        </w:numPr>
        <w:spacing w:before="0" w:after="0" w:line="240" w:lineRule="auto"/>
        <w:contextualSpacing w:val="0"/>
        <w:jc w:val="both"/>
        <w:rPr>
          <w:color w:val="000000"/>
          <w:lang w:val="en-GB"/>
        </w:rPr>
      </w:pPr>
      <w:r w:rsidRPr="00B4132C">
        <w:rPr>
          <w:lang w:val="en-GB"/>
        </w:rPr>
        <w:t xml:space="preserve">Review the problem addressed by the project and </w:t>
      </w:r>
      <w:r w:rsidRPr="00B4132C">
        <w:rPr>
          <w:color w:val="000000"/>
          <w:lang w:val="en-GB"/>
        </w:rPr>
        <w:t>the underlying assumptions.  Review the effect of any incorrect assumptions or changes to the context to achieving the project results as outlined in the Project Document.</w:t>
      </w:r>
    </w:p>
    <w:p w:rsidR="00B4132C" w:rsidRPr="00B4132C" w:rsidRDefault="00B4132C" w:rsidP="00B4132C">
      <w:pPr>
        <w:pStyle w:val="ListParagraph"/>
        <w:numPr>
          <w:ilvl w:val="0"/>
          <w:numId w:val="32"/>
        </w:numPr>
        <w:spacing w:before="0" w:after="0" w:line="240" w:lineRule="auto"/>
        <w:contextualSpacing w:val="0"/>
        <w:jc w:val="both"/>
      </w:pPr>
      <w:r w:rsidRPr="00B4132C">
        <w:rPr>
          <w:lang w:val="en-GB"/>
        </w:rPr>
        <w:t xml:space="preserve">Review the relevance of the project strategy and </w:t>
      </w:r>
      <w:r w:rsidRPr="00B4132C">
        <w:rPr>
          <w:color w:val="000000"/>
          <w:lang w:val="en-GB"/>
        </w:rPr>
        <w:t xml:space="preserve">assess whether it provides the most effective route towards expected/intended results.  </w:t>
      </w:r>
      <w:r w:rsidRPr="00B4132C">
        <w:rPr>
          <w:rFonts w:eastAsia="Calibri" w:cs="ArialMT"/>
        </w:rPr>
        <w:t>Were lessons from other relevant projects properly incor</w:t>
      </w:r>
      <w:r w:rsidR="00511A78">
        <w:rPr>
          <w:rFonts w:eastAsia="Calibri" w:cs="ArialMT"/>
        </w:rPr>
        <w:t xml:space="preserve">porated into the project </w:t>
      </w:r>
      <w:proofErr w:type="gramStart"/>
      <w:r w:rsidR="00511A78">
        <w:rPr>
          <w:rFonts w:eastAsia="Calibri" w:cs="ArialMT"/>
        </w:rPr>
        <w:t>design.</w:t>
      </w:r>
      <w:proofErr w:type="gramEnd"/>
    </w:p>
    <w:p w:rsidR="00B4132C" w:rsidRPr="00B4132C" w:rsidRDefault="00B4132C" w:rsidP="00B4132C">
      <w:pPr>
        <w:pStyle w:val="ListParagraph"/>
        <w:numPr>
          <w:ilvl w:val="0"/>
          <w:numId w:val="32"/>
        </w:numPr>
        <w:spacing w:before="0" w:after="0" w:line="240" w:lineRule="auto"/>
        <w:contextualSpacing w:val="0"/>
        <w:jc w:val="both"/>
      </w:pPr>
      <w:r w:rsidRPr="00B4132C">
        <w:rPr>
          <w:lang w:val="en-GB"/>
        </w:rPr>
        <w:t xml:space="preserve">Review how the project addresses country priorities. Review country ownership. </w:t>
      </w:r>
      <w:r w:rsidRPr="00B4132C">
        <w:rPr>
          <w:rFonts w:eastAsia="Calibri" w:cs="ArialMT"/>
        </w:rPr>
        <w:t>Was the project concept in line with the national sector development priorities and plans of the country (or of participating countries in the case of multi-country projects)?</w:t>
      </w:r>
    </w:p>
    <w:p w:rsidR="00B4132C" w:rsidRPr="00B4132C" w:rsidRDefault="00B4132C" w:rsidP="00B4132C">
      <w:pPr>
        <w:pStyle w:val="ListParagraph"/>
        <w:numPr>
          <w:ilvl w:val="0"/>
          <w:numId w:val="32"/>
        </w:numPr>
        <w:spacing w:before="0" w:after="0" w:line="240" w:lineRule="auto"/>
        <w:contextualSpacing w:val="0"/>
        <w:jc w:val="both"/>
        <w:rPr>
          <w:b/>
          <w:lang w:val="en-GB"/>
        </w:rPr>
      </w:pPr>
      <w:r w:rsidRPr="00B4132C">
        <w:rPr>
          <w:lang w:val="en-GB"/>
        </w:rPr>
        <w:t xml:space="preserve">Review decision-making processes: </w:t>
      </w:r>
      <w:r w:rsidRPr="00B4132C">
        <w:rPr>
          <w:rFonts w:eastAsia="Calibri" w:cs="ArialMT"/>
        </w:rPr>
        <w:t>were perspectives of those who would be affected by project decisions, those who could affect the outcomes, and those who could contribute information or other resources to the process, taken into account during project design processes?</w:t>
      </w:r>
    </w:p>
    <w:p w:rsidR="00B4132C" w:rsidRPr="00B4132C" w:rsidRDefault="00B4132C" w:rsidP="00B4132C">
      <w:pPr>
        <w:pStyle w:val="ListParagraph"/>
        <w:numPr>
          <w:ilvl w:val="0"/>
          <w:numId w:val="32"/>
        </w:numPr>
        <w:spacing w:before="0" w:after="0" w:line="240" w:lineRule="auto"/>
        <w:contextualSpacing w:val="0"/>
        <w:jc w:val="both"/>
        <w:rPr>
          <w:noProof/>
        </w:rPr>
      </w:pPr>
      <w:r w:rsidRPr="00B4132C">
        <w:rPr>
          <w:lang w:val="en-GB"/>
        </w:rPr>
        <w:t xml:space="preserve">Review the extent to which relevant gender issues were raised in the project design. </w:t>
      </w:r>
    </w:p>
    <w:p w:rsidR="00224F9C" w:rsidRDefault="00224F9C" w:rsidP="00224F9C">
      <w:bookmarkStart w:id="7" w:name="_Toc299133043"/>
      <w:bookmarkStart w:id="8" w:name="_Toc321341550"/>
    </w:p>
    <w:p w:rsidR="00D6638C" w:rsidRPr="00D6638C" w:rsidRDefault="00D6638C" w:rsidP="00F05366">
      <w:pPr>
        <w:pStyle w:val="Heading51"/>
      </w:pPr>
      <w:r w:rsidRPr="00D6638C">
        <w:lastRenderedPageBreak/>
        <w:t>Evaluation approach and method</w:t>
      </w:r>
      <w:bookmarkEnd w:id="7"/>
      <w:bookmarkEnd w:id="8"/>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3"/>
      </w:r>
      <w:r w:rsidRPr="00D6638C">
        <w:rPr>
          <w:rFonts w:ascii="Calibri" w:eastAsia="Times New Roman" w:hAnsi="Calibri" w:cs="Times New Roman"/>
          <w:sz w:val="20"/>
          <w:szCs w:val="20"/>
        </w:rPr>
        <w:t xml:space="preserve"> for conducting project terminal evaluations of UNDP supported GEF </w:t>
      </w:r>
      <w:proofErr w:type="gramStart"/>
      <w:r w:rsidRPr="00D6638C">
        <w:rPr>
          <w:rFonts w:ascii="Calibri" w:eastAsia="Times New Roman" w:hAnsi="Calibri" w:cs="Times New Roman"/>
          <w:sz w:val="20"/>
          <w:szCs w:val="20"/>
        </w:rPr>
        <w:t>financed projects has</w:t>
      </w:r>
      <w:proofErr w:type="gramEnd"/>
      <w:r w:rsidRPr="00D6638C">
        <w:rPr>
          <w:rFonts w:ascii="Calibri" w:eastAsia="Times New Roman" w:hAnsi="Calibri" w:cs="Times New Roman"/>
          <w:sz w:val="20"/>
          <w:szCs w:val="20"/>
        </w:rPr>
        <w:t xml:space="preserve">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w:t>
      </w:r>
      <w:r w:rsidR="00326B73">
        <w:rPr>
          <w:rFonts w:ascii="Calibri" w:eastAsia="Times New Roman" w:hAnsi="Calibri" w:cs="Times New Roman"/>
          <w:sz w:val="20"/>
          <w:szCs w:val="20"/>
        </w:rPr>
        <w:t xml:space="preserve"> </w:t>
      </w:r>
      <w:proofErr w:type="spellStart"/>
      <w:r w:rsidR="00326B73">
        <w:rPr>
          <w:rFonts w:ascii="Calibri" w:eastAsia="Times New Roman" w:hAnsi="Calibri" w:cs="Times New Roman"/>
          <w:sz w:val="20"/>
          <w:szCs w:val="20"/>
        </w:rPr>
        <w:t>Serenje</w:t>
      </w:r>
      <w:proofErr w:type="spellEnd"/>
      <w:r w:rsidR="00326B73">
        <w:rPr>
          <w:rFonts w:ascii="Calibri" w:eastAsia="Times New Roman" w:hAnsi="Calibri" w:cs="Times New Roman"/>
          <w:sz w:val="20"/>
          <w:szCs w:val="20"/>
        </w:rPr>
        <w:t xml:space="preserve"> and </w:t>
      </w:r>
      <w:proofErr w:type="spellStart"/>
      <w:r w:rsidR="00E807D5">
        <w:rPr>
          <w:rFonts w:ascii="Calibri" w:eastAsia="Times New Roman" w:hAnsi="Calibri" w:cs="Times New Roman"/>
          <w:sz w:val="20"/>
          <w:szCs w:val="20"/>
        </w:rPr>
        <w:t>Chitambo</w:t>
      </w:r>
      <w:proofErr w:type="spellEnd"/>
      <w:r w:rsidR="00E807D5">
        <w:rPr>
          <w:rFonts w:ascii="Calibri" w:eastAsia="Times New Roman" w:hAnsi="Calibri" w:cs="Times New Roman"/>
          <w:sz w:val="20"/>
          <w:szCs w:val="20"/>
        </w:rPr>
        <w:t xml:space="preserve"> </w:t>
      </w:r>
      <w:r w:rsidR="00E807D5" w:rsidRPr="00D6638C">
        <w:rPr>
          <w:rFonts w:ascii="Calibri" w:eastAsia="Times New Roman" w:hAnsi="Calibri" w:cs="Times New Roman"/>
          <w:sz w:val="20"/>
          <w:szCs w:val="20"/>
        </w:rPr>
        <w:t>including</w:t>
      </w:r>
      <w:r w:rsidRPr="00D6638C">
        <w:rPr>
          <w:rFonts w:ascii="Calibri" w:eastAsia="Times New Roman" w:hAnsi="Calibri" w:cs="Times New Roman"/>
          <w:sz w:val="20"/>
          <w:szCs w:val="20"/>
        </w:rPr>
        <w:t xml:space="preserve"> the following project </w:t>
      </w:r>
      <w:r w:rsidR="00326B73">
        <w:rPr>
          <w:rFonts w:ascii="Calibri" w:eastAsia="Times New Roman" w:hAnsi="Calibri" w:cs="Times New Roman"/>
          <w:sz w:val="20"/>
          <w:szCs w:val="20"/>
          <w:shd w:val="clear" w:color="auto" w:fill="FFFFFF"/>
        </w:rPr>
        <w:t xml:space="preserve">sites; </w:t>
      </w:r>
      <w:proofErr w:type="spellStart"/>
      <w:r w:rsidR="00326B73">
        <w:rPr>
          <w:rFonts w:ascii="Calibri" w:eastAsia="Times New Roman" w:hAnsi="Calibri" w:cs="Times New Roman"/>
          <w:sz w:val="20"/>
          <w:szCs w:val="20"/>
          <w:shd w:val="clear" w:color="auto" w:fill="FFFFFF"/>
        </w:rPr>
        <w:t>Teta</w:t>
      </w:r>
      <w:proofErr w:type="spellEnd"/>
      <w:r w:rsidR="00326B73">
        <w:rPr>
          <w:rFonts w:ascii="Calibri" w:eastAsia="Times New Roman" w:hAnsi="Calibri" w:cs="Times New Roman"/>
          <w:sz w:val="20"/>
          <w:szCs w:val="20"/>
          <w:shd w:val="clear" w:color="auto" w:fill="FFFFFF"/>
        </w:rPr>
        <w:t xml:space="preserve">, </w:t>
      </w:r>
      <w:proofErr w:type="spellStart"/>
      <w:r w:rsidR="00326B73">
        <w:rPr>
          <w:rFonts w:ascii="Calibri" w:eastAsia="Times New Roman" w:hAnsi="Calibri" w:cs="Times New Roman"/>
          <w:sz w:val="20"/>
          <w:szCs w:val="20"/>
          <w:shd w:val="clear" w:color="auto" w:fill="FFFFFF"/>
        </w:rPr>
        <w:t>Musola</w:t>
      </w:r>
      <w:proofErr w:type="spellEnd"/>
      <w:r w:rsidR="00326B73">
        <w:rPr>
          <w:rFonts w:ascii="Calibri" w:eastAsia="Times New Roman" w:hAnsi="Calibri" w:cs="Times New Roman"/>
          <w:sz w:val="20"/>
          <w:szCs w:val="20"/>
          <w:shd w:val="clear" w:color="auto" w:fill="FFFFFF"/>
        </w:rPr>
        <w:t xml:space="preserve">, </w:t>
      </w:r>
      <w:proofErr w:type="spellStart"/>
      <w:r w:rsidR="00326B73">
        <w:rPr>
          <w:rFonts w:ascii="Calibri" w:eastAsia="Times New Roman" w:hAnsi="Calibri" w:cs="Times New Roman"/>
          <w:sz w:val="20"/>
          <w:szCs w:val="20"/>
          <w:shd w:val="clear" w:color="auto" w:fill="FFFFFF"/>
        </w:rPr>
        <w:t>Musangashi</w:t>
      </w:r>
      <w:proofErr w:type="spellEnd"/>
      <w:r w:rsidR="00326B73">
        <w:rPr>
          <w:rFonts w:ascii="Calibri" w:eastAsia="Times New Roman" w:hAnsi="Calibri" w:cs="Times New Roman"/>
          <w:sz w:val="20"/>
          <w:szCs w:val="20"/>
          <w:shd w:val="clear" w:color="auto" w:fill="FFFFFF"/>
        </w:rPr>
        <w:t xml:space="preserve">, </w:t>
      </w:r>
      <w:proofErr w:type="spellStart"/>
      <w:r w:rsidR="00326B73">
        <w:rPr>
          <w:rFonts w:ascii="Calibri" w:eastAsia="Times New Roman" w:hAnsi="Calibri" w:cs="Times New Roman"/>
          <w:sz w:val="20"/>
          <w:szCs w:val="20"/>
          <w:shd w:val="clear" w:color="auto" w:fill="FFFFFF"/>
        </w:rPr>
        <w:t>Nakatambo</w:t>
      </w:r>
      <w:proofErr w:type="spellEnd"/>
      <w:r w:rsidR="00326B73">
        <w:rPr>
          <w:rFonts w:ascii="Calibri" w:eastAsia="Times New Roman" w:hAnsi="Calibri" w:cs="Times New Roman"/>
          <w:sz w:val="20"/>
          <w:szCs w:val="20"/>
          <w:shd w:val="clear" w:color="auto" w:fill="FFFFFF"/>
        </w:rPr>
        <w:t xml:space="preserve"> and </w:t>
      </w:r>
      <w:proofErr w:type="spellStart"/>
      <w:r w:rsidR="00326B73">
        <w:rPr>
          <w:rFonts w:ascii="Calibri" w:eastAsia="Times New Roman" w:hAnsi="Calibri" w:cs="Times New Roman"/>
          <w:sz w:val="20"/>
          <w:szCs w:val="20"/>
          <w:shd w:val="clear" w:color="auto" w:fill="FFFFFF"/>
        </w:rPr>
        <w:t>Bweshe</w:t>
      </w:r>
      <w:proofErr w:type="spellEnd"/>
      <w:r w:rsidR="00326B73">
        <w:rPr>
          <w:rFonts w:ascii="Calibri" w:eastAsia="Times New Roman" w:hAnsi="Calibri" w:cs="Times New Roman"/>
          <w:sz w:val="20"/>
          <w:szCs w:val="20"/>
          <w:shd w:val="clear" w:color="auto" w:fill="FFFFFF"/>
        </w:rPr>
        <w:t xml:space="preserve"> </w:t>
      </w:r>
      <w:proofErr w:type="spellStart"/>
      <w:r w:rsidR="00326B73">
        <w:rPr>
          <w:rFonts w:ascii="Calibri" w:eastAsia="Times New Roman" w:hAnsi="Calibri" w:cs="Times New Roman"/>
          <w:sz w:val="20"/>
          <w:szCs w:val="20"/>
          <w:shd w:val="clear" w:color="auto" w:fill="FFFFFF"/>
        </w:rPr>
        <w:t>Mutelele</w:t>
      </w:r>
      <w:proofErr w:type="spellEnd"/>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w:t>
      </w:r>
      <w:r w:rsidR="00326B73">
        <w:rPr>
          <w:rFonts w:ascii="Calibri" w:eastAsia="Times New Roman" w:hAnsi="Calibri" w:cs="Times New Roman"/>
          <w:sz w:val="20"/>
          <w:szCs w:val="20"/>
        </w:rPr>
        <w:t xml:space="preserve">s and individuals at a minimum: Forestry Department, Department of Energy, Zambia Environmental Management Agency, Community Markets for Conservation, Ministry of Agriculture, University of Zambia School of Engineering (Technology Development and Advisory Unit), </w:t>
      </w:r>
      <w:proofErr w:type="spellStart"/>
      <w:r w:rsidR="00326B73">
        <w:rPr>
          <w:rFonts w:ascii="Calibri" w:eastAsia="Times New Roman" w:hAnsi="Calibri" w:cs="Times New Roman"/>
          <w:sz w:val="20"/>
          <w:szCs w:val="20"/>
        </w:rPr>
        <w:t>Serenje</w:t>
      </w:r>
      <w:proofErr w:type="spellEnd"/>
      <w:r w:rsidR="00326B73">
        <w:rPr>
          <w:rFonts w:ascii="Calibri" w:eastAsia="Times New Roman" w:hAnsi="Calibri" w:cs="Times New Roman"/>
          <w:sz w:val="20"/>
          <w:szCs w:val="20"/>
        </w:rPr>
        <w:t xml:space="preserve"> and </w:t>
      </w:r>
      <w:proofErr w:type="spellStart"/>
      <w:r w:rsidR="00326B73">
        <w:rPr>
          <w:rFonts w:ascii="Calibri" w:eastAsia="Times New Roman" w:hAnsi="Calibri" w:cs="Times New Roman"/>
          <w:sz w:val="20"/>
          <w:szCs w:val="20"/>
        </w:rPr>
        <w:t>Chitambo</w:t>
      </w:r>
      <w:proofErr w:type="spellEnd"/>
      <w:r w:rsidR="00326B73">
        <w:rPr>
          <w:rFonts w:ascii="Calibri" w:eastAsia="Times New Roman" w:hAnsi="Calibri" w:cs="Times New Roman"/>
          <w:sz w:val="20"/>
          <w:szCs w:val="20"/>
        </w:rPr>
        <w:t xml:space="preserve"> Town Councils, Ministry of Community Development, Ministry of Chiefs and Traditional Affairs, Project Technical Committee and Project Steering Committee.</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w:t>
      </w:r>
      <w:proofErr w:type="gramStart"/>
      <w:r w:rsidRPr="00D6638C">
        <w:rPr>
          <w:rFonts w:ascii="Calibri" w:eastAsia="Times New Roman" w:hAnsi="Calibri" w:cs="Times New Roman"/>
          <w:sz w:val="20"/>
          <w:szCs w:val="20"/>
        </w:rPr>
        <w:t>GEF</w:t>
      </w:r>
      <w:proofErr w:type="gramEnd"/>
      <w:r w:rsidRPr="00D6638C">
        <w:rPr>
          <w:rFonts w:ascii="Calibri" w:eastAsia="Times New Roman" w:hAnsi="Calibri" w:cs="Times New Roman"/>
          <w:sz w:val="20"/>
          <w:szCs w:val="20"/>
        </w:rPr>
        <w:t xml:space="preserve">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9" w:name="_Toc321341551"/>
      <w:r w:rsidRPr="00D6638C">
        <w:t>Evaluation Criteria &amp; Ratings</w:t>
      </w:r>
      <w:bookmarkEnd w:id="9"/>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1005"/>
        <w:gridCol w:w="6964"/>
        <w:gridCol w:w="1005"/>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10"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11" w:name="_Toc321341552"/>
      <w:bookmarkStart w:id="12" w:name="_Toc277677977"/>
      <w:bookmarkStart w:id="13" w:name="_Toc299122831"/>
      <w:bookmarkStart w:id="14" w:name="_Toc299122853"/>
      <w:bookmarkStart w:id="15" w:name="_Toc299122832"/>
      <w:bookmarkStart w:id="16" w:name="_Toc299122854"/>
      <w:bookmarkStart w:id="17" w:name="_Toc299126619"/>
      <w:bookmarkEnd w:id="3"/>
      <w:bookmarkEnd w:id="10"/>
      <w:r w:rsidRPr="00D6638C">
        <w:t>Project finance / cofinance</w:t>
      </w:r>
      <w:bookmarkEnd w:id="11"/>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305"/>
        <w:gridCol w:w="963"/>
        <w:gridCol w:w="1134"/>
        <w:gridCol w:w="1134"/>
        <w:gridCol w:w="1134"/>
        <w:gridCol w:w="1134"/>
        <w:gridCol w:w="855"/>
        <w:gridCol w:w="1080"/>
      </w:tblGrid>
      <w:tr w:rsidR="00D6638C" w:rsidRPr="00D6638C" w:rsidTr="00F36DEF">
        <w:tc>
          <w:tcPr>
            <w:tcW w:w="1809"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2268"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268"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68"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935"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F36DEF">
        <w:trPr>
          <w:trHeight w:val="143"/>
        </w:trPr>
        <w:tc>
          <w:tcPr>
            <w:tcW w:w="1809" w:type="dxa"/>
            <w:vMerge/>
          </w:tcPr>
          <w:p w:rsidR="00D6638C" w:rsidRPr="00D6638C" w:rsidRDefault="00D6638C" w:rsidP="00D6638C">
            <w:pPr>
              <w:spacing w:after="0"/>
              <w:rPr>
                <w:rFonts w:ascii="Calibri" w:eastAsia="Times New Roman" w:hAnsi="Calibri" w:cs="Times New Roman"/>
                <w:sz w:val="20"/>
                <w:szCs w:val="20"/>
              </w:rPr>
            </w:pPr>
          </w:p>
        </w:tc>
        <w:tc>
          <w:tcPr>
            <w:tcW w:w="1305"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6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134"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134"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34"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134"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855"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E807D5" w:rsidTr="00F36DEF">
        <w:tc>
          <w:tcPr>
            <w:tcW w:w="1809" w:type="dxa"/>
          </w:tcPr>
          <w:p w:rsidR="00D6638C" w:rsidRPr="00E807D5" w:rsidRDefault="00D6638C" w:rsidP="00D6638C">
            <w:pPr>
              <w:spacing w:after="0"/>
              <w:rPr>
                <w:rFonts w:eastAsia="Times New Roman" w:cstheme="minorHAnsi"/>
                <w:sz w:val="20"/>
                <w:szCs w:val="20"/>
              </w:rPr>
            </w:pPr>
            <w:r w:rsidRPr="00E807D5">
              <w:rPr>
                <w:rFonts w:eastAsia="Times New Roman" w:cstheme="minorHAnsi"/>
                <w:sz w:val="20"/>
                <w:szCs w:val="20"/>
              </w:rPr>
              <w:t xml:space="preserve">Grants </w:t>
            </w:r>
          </w:p>
        </w:tc>
        <w:tc>
          <w:tcPr>
            <w:tcW w:w="1305" w:type="dxa"/>
          </w:tcPr>
          <w:p w:rsidR="00D6638C" w:rsidRPr="00E807D5" w:rsidRDefault="00050203" w:rsidP="00D6638C">
            <w:pPr>
              <w:spacing w:after="0"/>
              <w:rPr>
                <w:rFonts w:eastAsia="Times New Roman" w:cstheme="minorHAnsi"/>
                <w:sz w:val="20"/>
                <w:szCs w:val="20"/>
              </w:rPr>
            </w:pPr>
            <w:r w:rsidRPr="00E807D5">
              <w:rPr>
                <w:rFonts w:eastAsia="Times New Roman" w:cstheme="minorHAnsi"/>
                <w:sz w:val="20"/>
                <w:szCs w:val="20"/>
              </w:rPr>
              <w:t>3,888,500</w:t>
            </w:r>
          </w:p>
        </w:tc>
        <w:tc>
          <w:tcPr>
            <w:tcW w:w="963" w:type="dxa"/>
          </w:tcPr>
          <w:p w:rsidR="00D6638C" w:rsidRPr="00E807D5" w:rsidRDefault="00E572AF" w:rsidP="00D6638C">
            <w:pPr>
              <w:spacing w:after="0"/>
              <w:rPr>
                <w:rFonts w:eastAsia="Times New Roman" w:cstheme="minorHAnsi"/>
                <w:sz w:val="20"/>
                <w:szCs w:val="20"/>
              </w:rPr>
            </w:pPr>
            <w:r w:rsidRPr="00E807D5">
              <w:rPr>
                <w:rFonts w:eastAsia="Times New Roman" w:cstheme="minorHAnsi"/>
                <w:sz w:val="20"/>
                <w:szCs w:val="20"/>
              </w:rPr>
              <w:t>3,600,000</w:t>
            </w:r>
          </w:p>
        </w:tc>
        <w:tc>
          <w:tcPr>
            <w:tcW w:w="1134" w:type="dxa"/>
          </w:tcPr>
          <w:p w:rsidR="00D6638C" w:rsidRPr="00E807D5" w:rsidRDefault="00D6638C" w:rsidP="00D6638C">
            <w:pPr>
              <w:spacing w:after="0"/>
              <w:rPr>
                <w:rFonts w:eastAsia="Times New Roman" w:cstheme="minorHAnsi"/>
                <w:sz w:val="20"/>
                <w:szCs w:val="20"/>
              </w:rPr>
            </w:pPr>
          </w:p>
        </w:tc>
        <w:tc>
          <w:tcPr>
            <w:tcW w:w="1134" w:type="dxa"/>
          </w:tcPr>
          <w:p w:rsidR="00D6638C" w:rsidRPr="00E807D5" w:rsidRDefault="00D6638C" w:rsidP="00D6638C">
            <w:pPr>
              <w:spacing w:after="0"/>
              <w:rPr>
                <w:rFonts w:eastAsia="Times New Roman" w:cstheme="minorHAnsi"/>
                <w:sz w:val="20"/>
                <w:szCs w:val="20"/>
              </w:rPr>
            </w:pPr>
          </w:p>
        </w:tc>
        <w:tc>
          <w:tcPr>
            <w:tcW w:w="1134" w:type="dxa"/>
          </w:tcPr>
          <w:p w:rsidR="00D6638C" w:rsidRPr="00E807D5" w:rsidRDefault="00D6638C" w:rsidP="00D6638C">
            <w:pPr>
              <w:spacing w:after="0"/>
              <w:rPr>
                <w:rFonts w:eastAsia="Times New Roman" w:cstheme="minorHAnsi"/>
                <w:sz w:val="20"/>
                <w:szCs w:val="20"/>
              </w:rPr>
            </w:pPr>
          </w:p>
        </w:tc>
        <w:tc>
          <w:tcPr>
            <w:tcW w:w="1134" w:type="dxa"/>
          </w:tcPr>
          <w:p w:rsidR="00D6638C" w:rsidRPr="00E807D5" w:rsidRDefault="00D6638C" w:rsidP="00D6638C">
            <w:pPr>
              <w:spacing w:after="0"/>
              <w:rPr>
                <w:rFonts w:eastAsia="Times New Roman" w:cstheme="minorHAnsi"/>
                <w:sz w:val="20"/>
                <w:szCs w:val="20"/>
              </w:rPr>
            </w:pPr>
          </w:p>
        </w:tc>
        <w:tc>
          <w:tcPr>
            <w:tcW w:w="855" w:type="dxa"/>
          </w:tcPr>
          <w:p w:rsidR="00D6638C" w:rsidRPr="00E807D5" w:rsidRDefault="00D6638C" w:rsidP="00D6638C">
            <w:pPr>
              <w:spacing w:after="0"/>
              <w:rPr>
                <w:rFonts w:eastAsia="Times New Roman" w:cstheme="minorHAnsi"/>
                <w:sz w:val="20"/>
                <w:szCs w:val="20"/>
              </w:rPr>
            </w:pPr>
          </w:p>
        </w:tc>
        <w:tc>
          <w:tcPr>
            <w:tcW w:w="1080" w:type="dxa"/>
          </w:tcPr>
          <w:p w:rsidR="00D6638C" w:rsidRPr="00E807D5" w:rsidRDefault="00D6638C" w:rsidP="00D6638C">
            <w:pPr>
              <w:spacing w:after="0"/>
              <w:rPr>
                <w:rFonts w:eastAsia="Times New Roman" w:cstheme="minorHAnsi"/>
                <w:sz w:val="20"/>
                <w:szCs w:val="20"/>
              </w:rPr>
            </w:pPr>
          </w:p>
        </w:tc>
      </w:tr>
      <w:tr w:rsidR="00D6638C" w:rsidRPr="00E807D5" w:rsidTr="00F36DEF">
        <w:trPr>
          <w:trHeight w:val="332"/>
        </w:trPr>
        <w:tc>
          <w:tcPr>
            <w:tcW w:w="1809" w:type="dxa"/>
          </w:tcPr>
          <w:p w:rsidR="00D6638C" w:rsidRPr="00E807D5" w:rsidRDefault="00D6638C" w:rsidP="00D6638C">
            <w:pPr>
              <w:spacing w:after="0"/>
              <w:rPr>
                <w:rFonts w:eastAsia="Times New Roman" w:cstheme="minorHAnsi"/>
                <w:sz w:val="20"/>
                <w:szCs w:val="20"/>
              </w:rPr>
            </w:pPr>
            <w:r w:rsidRPr="00E807D5">
              <w:rPr>
                <w:rFonts w:eastAsia="Times New Roman" w:cstheme="minorHAnsi"/>
                <w:sz w:val="20"/>
                <w:szCs w:val="20"/>
              </w:rPr>
              <w:t xml:space="preserve">Loans/Concessions </w:t>
            </w:r>
          </w:p>
        </w:tc>
        <w:tc>
          <w:tcPr>
            <w:tcW w:w="1305" w:type="dxa"/>
          </w:tcPr>
          <w:p w:rsidR="00D6638C" w:rsidRPr="00E807D5" w:rsidRDefault="00D6638C" w:rsidP="00D6638C">
            <w:pPr>
              <w:spacing w:after="0"/>
              <w:rPr>
                <w:rFonts w:eastAsia="Times New Roman" w:cstheme="minorHAnsi"/>
                <w:sz w:val="20"/>
                <w:szCs w:val="20"/>
              </w:rPr>
            </w:pPr>
          </w:p>
        </w:tc>
        <w:tc>
          <w:tcPr>
            <w:tcW w:w="963" w:type="dxa"/>
          </w:tcPr>
          <w:p w:rsidR="00D6638C" w:rsidRPr="00E807D5" w:rsidRDefault="00D6638C" w:rsidP="00D6638C">
            <w:pPr>
              <w:spacing w:after="0"/>
              <w:rPr>
                <w:rFonts w:eastAsia="Times New Roman" w:cstheme="minorHAnsi"/>
                <w:sz w:val="20"/>
                <w:szCs w:val="20"/>
              </w:rPr>
            </w:pPr>
          </w:p>
        </w:tc>
        <w:tc>
          <w:tcPr>
            <w:tcW w:w="1134" w:type="dxa"/>
          </w:tcPr>
          <w:p w:rsidR="00D6638C" w:rsidRPr="00E807D5" w:rsidRDefault="00D6638C" w:rsidP="00D6638C">
            <w:pPr>
              <w:spacing w:after="0"/>
              <w:rPr>
                <w:rFonts w:eastAsia="Times New Roman" w:cstheme="minorHAnsi"/>
                <w:sz w:val="20"/>
                <w:szCs w:val="20"/>
              </w:rPr>
            </w:pPr>
          </w:p>
        </w:tc>
        <w:tc>
          <w:tcPr>
            <w:tcW w:w="1134" w:type="dxa"/>
          </w:tcPr>
          <w:p w:rsidR="00D6638C" w:rsidRPr="00E807D5" w:rsidRDefault="00D6638C" w:rsidP="00D6638C">
            <w:pPr>
              <w:spacing w:after="0"/>
              <w:rPr>
                <w:rFonts w:eastAsia="Times New Roman" w:cstheme="minorHAnsi"/>
                <w:sz w:val="20"/>
                <w:szCs w:val="20"/>
              </w:rPr>
            </w:pPr>
          </w:p>
        </w:tc>
        <w:tc>
          <w:tcPr>
            <w:tcW w:w="1134" w:type="dxa"/>
          </w:tcPr>
          <w:p w:rsidR="00D6638C" w:rsidRPr="00E807D5" w:rsidRDefault="00D6638C" w:rsidP="00D6638C">
            <w:pPr>
              <w:spacing w:after="0"/>
              <w:rPr>
                <w:rFonts w:eastAsia="Times New Roman" w:cstheme="minorHAnsi"/>
                <w:sz w:val="20"/>
                <w:szCs w:val="20"/>
              </w:rPr>
            </w:pPr>
          </w:p>
        </w:tc>
        <w:tc>
          <w:tcPr>
            <w:tcW w:w="1134" w:type="dxa"/>
          </w:tcPr>
          <w:p w:rsidR="00D6638C" w:rsidRPr="00E807D5" w:rsidRDefault="00D6638C" w:rsidP="00D6638C">
            <w:pPr>
              <w:spacing w:after="0"/>
              <w:rPr>
                <w:rFonts w:eastAsia="Times New Roman" w:cstheme="minorHAnsi"/>
                <w:sz w:val="20"/>
                <w:szCs w:val="20"/>
              </w:rPr>
            </w:pPr>
          </w:p>
        </w:tc>
        <w:tc>
          <w:tcPr>
            <w:tcW w:w="855" w:type="dxa"/>
          </w:tcPr>
          <w:p w:rsidR="00D6638C" w:rsidRPr="00E807D5" w:rsidRDefault="00D6638C" w:rsidP="00D6638C">
            <w:pPr>
              <w:spacing w:after="0"/>
              <w:rPr>
                <w:rFonts w:eastAsia="Times New Roman" w:cstheme="minorHAnsi"/>
                <w:sz w:val="20"/>
                <w:szCs w:val="20"/>
              </w:rPr>
            </w:pPr>
          </w:p>
        </w:tc>
        <w:tc>
          <w:tcPr>
            <w:tcW w:w="1080" w:type="dxa"/>
          </w:tcPr>
          <w:p w:rsidR="00D6638C" w:rsidRPr="00E807D5" w:rsidRDefault="00D6638C" w:rsidP="00D6638C">
            <w:pPr>
              <w:spacing w:after="0"/>
              <w:rPr>
                <w:rFonts w:eastAsia="Times New Roman" w:cstheme="minorHAnsi"/>
                <w:sz w:val="20"/>
                <w:szCs w:val="20"/>
              </w:rPr>
            </w:pPr>
          </w:p>
        </w:tc>
      </w:tr>
      <w:tr w:rsidR="00D6638C" w:rsidRPr="00E807D5" w:rsidTr="00F36DEF">
        <w:tc>
          <w:tcPr>
            <w:tcW w:w="1809" w:type="dxa"/>
          </w:tcPr>
          <w:p w:rsidR="00D6638C" w:rsidRPr="00E807D5" w:rsidRDefault="00D6638C" w:rsidP="00D6638C">
            <w:pPr>
              <w:numPr>
                <w:ilvl w:val="0"/>
                <w:numId w:val="17"/>
              </w:numPr>
              <w:spacing w:before="60" w:after="60" w:line="240" w:lineRule="auto"/>
              <w:rPr>
                <w:rFonts w:eastAsia="Times New Roman" w:cstheme="minorHAnsi"/>
                <w:sz w:val="20"/>
                <w:szCs w:val="20"/>
              </w:rPr>
            </w:pPr>
            <w:r w:rsidRPr="00E807D5">
              <w:rPr>
                <w:rFonts w:eastAsia="Times New Roman" w:cstheme="minorHAnsi"/>
                <w:sz w:val="20"/>
                <w:szCs w:val="20"/>
              </w:rPr>
              <w:t>In-kind support</w:t>
            </w:r>
          </w:p>
        </w:tc>
        <w:tc>
          <w:tcPr>
            <w:tcW w:w="1305" w:type="dxa"/>
          </w:tcPr>
          <w:p w:rsidR="00D6638C" w:rsidRPr="00E807D5" w:rsidRDefault="00D6638C" w:rsidP="00D6638C">
            <w:pPr>
              <w:spacing w:after="0"/>
              <w:rPr>
                <w:rFonts w:eastAsia="Times New Roman" w:cstheme="minorHAnsi"/>
                <w:sz w:val="20"/>
                <w:szCs w:val="20"/>
              </w:rPr>
            </w:pPr>
          </w:p>
        </w:tc>
        <w:tc>
          <w:tcPr>
            <w:tcW w:w="963" w:type="dxa"/>
          </w:tcPr>
          <w:p w:rsidR="00D6638C" w:rsidRPr="00E807D5" w:rsidRDefault="00D6638C" w:rsidP="00D6638C">
            <w:pPr>
              <w:spacing w:after="0"/>
              <w:rPr>
                <w:rFonts w:eastAsia="Times New Roman" w:cstheme="minorHAnsi"/>
                <w:sz w:val="20"/>
                <w:szCs w:val="20"/>
              </w:rPr>
            </w:pPr>
          </w:p>
        </w:tc>
        <w:tc>
          <w:tcPr>
            <w:tcW w:w="1134" w:type="dxa"/>
          </w:tcPr>
          <w:p w:rsidR="00D6638C" w:rsidRPr="00E807D5" w:rsidRDefault="0067751B" w:rsidP="00D6638C">
            <w:pPr>
              <w:spacing w:after="0"/>
              <w:rPr>
                <w:rFonts w:eastAsia="Times New Roman" w:cstheme="minorHAnsi"/>
                <w:sz w:val="20"/>
                <w:szCs w:val="20"/>
              </w:rPr>
            </w:pPr>
            <w:r w:rsidRPr="00E807D5">
              <w:rPr>
                <w:rFonts w:cstheme="minorHAnsi"/>
                <w:bCs/>
                <w:color w:val="000000"/>
                <w:sz w:val="20"/>
                <w:szCs w:val="20"/>
              </w:rPr>
              <w:t>11,420,000</w:t>
            </w:r>
          </w:p>
        </w:tc>
        <w:tc>
          <w:tcPr>
            <w:tcW w:w="1134" w:type="dxa"/>
          </w:tcPr>
          <w:p w:rsidR="00D6638C" w:rsidRPr="00E807D5" w:rsidRDefault="0067751B" w:rsidP="00D6638C">
            <w:pPr>
              <w:spacing w:after="0"/>
              <w:rPr>
                <w:rFonts w:eastAsia="Times New Roman" w:cstheme="minorHAnsi"/>
                <w:sz w:val="20"/>
                <w:szCs w:val="20"/>
              </w:rPr>
            </w:pPr>
            <w:r w:rsidRPr="00E807D5">
              <w:rPr>
                <w:rFonts w:cstheme="minorHAnsi"/>
                <w:bCs/>
                <w:color w:val="000000"/>
                <w:sz w:val="20"/>
                <w:szCs w:val="20"/>
              </w:rPr>
              <w:t>11,000,000</w:t>
            </w:r>
          </w:p>
        </w:tc>
        <w:tc>
          <w:tcPr>
            <w:tcW w:w="1134" w:type="dxa"/>
          </w:tcPr>
          <w:p w:rsidR="00D6638C" w:rsidRPr="00E807D5" w:rsidRDefault="0067751B" w:rsidP="00D6638C">
            <w:pPr>
              <w:spacing w:after="0"/>
              <w:rPr>
                <w:rFonts w:eastAsia="Times New Roman" w:cstheme="minorHAnsi"/>
                <w:sz w:val="20"/>
                <w:szCs w:val="20"/>
              </w:rPr>
            </w:pPr>
            <w:r w:rsidRPr="00E807D5">
              <w:rPr>
                <w:rFonts w:cstheme="minorHAnsi"/>
                <w:sz w:val="20"/>
                <w:szCs w:val="20"/>
              </w:rPr>
              <w:t>17,610,090</w:t>
            </w:r>
          </w:p>
        </w:tc>
        <w:tc>
          <w:tcPr>
            <w:tcW w:w="1134" w:type="dxa"/>
          </w:tcPr>
          <w:p w:rsidR="00D6638C" w:rsidRPr="00E807D5" w:rsidRDefault="00F36DEF" w:rsidP="00D6638C">
            <w:pPr>
              <w:spacing w:after="0"/>
              <w:rPr>
                <w:rFonts w:eastAsia="Times New Roman" w:cstheme="minorHAnsi"/>
                <w:sz w:val="20"/>
                <w:szCs w:val="20"/>
              </w:rPr>
            </w:pPr>
            <w:r>
              <w:rPr>
                <w:rFonts w:eastAsia="Times New Roman" w:cstheme="minorHAnsi"/>
                <w:sz w:val="20"/>
                <w:szCs w:val="20"/>
              </w:rPr>
              <w:t>21,676,000</w:t>
            </w:r>
          </w:p>
        </w:tc>
        <w:tc>
          <w:tcPr>
            <w:tcW w:w="855" w:type="dxa"/>
          </w:tcPr>
          <w:p w:rsidR="00D6638C" w:rsidRPr="00E807D5" w:rsidRDefault="00D6638C" w:rsidP="00D6638C">
            <w:pPr>
              <w:spacing w:after="0"/>
              <w:rPr>
                <w:rFonts w:eastAsia="Times New Roman" w:cstheme="minorHAnsi"/>
                <w:sz w:val="20"/>
                <w:szCs w:val="20"/>
              </w:rPr>
            </w:pPr>
          </w:p>
        </w:tc>
        <w:tc>
          <w:tcPr>
            <w:tcW w:w="1080" w:type="dxa"/>
          </w:tcPr>
          <w:p w:rsidR="00D6638C" w:rsidRPr="00E807D5" w:rsidRDefault="00D6638C" w:rsidP="00D6638C">
            <w:pPr>
              <w:spacing w:after="0"/>
              <w:rPr>
                <w:rFonts w:eastAsia="Times New Roman" w:cstheme="minorHAnsi"/>
                <w:sz w:val="20"/>
                <w:szCs w:val="20"/>
              </w:rPr>
            </w:pPr>
          </w:p>
        </w:tc>
      </w:tr>
      <w:tr w:rsidR="00D6638C" w:rsidRPr="00E807D5" w:rsidTr="00F36DEF">
        <w:tc>
          <w:tcPr>
            <w:tcW w:w="1809" w:type="dxa"/>
          </w:tcPr>
          <w:p w:rsidR="00D6638C" w:rsidRPr="00E807D5" w:rsidRDefault="00E572AF" w:rsidP="0093330D">
            <w:pPr>
              <w:spacing w:before="60" w:after="60" w:line="240" w:lineRule="auto"/>
              <w:rPr>
                <w:rFonts w:eastAsia="Times New Roman" w:cstheme="minorHAnsi"/>
                <w:sz w:val="20"/>
                <w:szCs w:val="20"/>
              </w:rPr>
            </w:pPr>
            <w:r w:rsidRPr="00E807D5">
              <w:rPr>
                <w:rFonts w:eastAsia="Times New Roman" w:cstheme="minorHAnsi"/>
                <w:sz w:val="20"/>
                <w:szCs w:val="20"/>
              </w:rPr>
              <w:t>UNDP core funds</w:t>
            </w:r>
          </w:p>
        </w:tc>
        <w:tc>
          <w:tcPr>
            <w:tcW w:w="1305" w:type="dxa"/>
          </w:tcPr>
          <w:p w:rsidR="00D6638C" w:rsidRPr="00E807D5" w:rsidRDefault="00E572AF" w:rsidP="00D6638C">
            <w:pPr>
              <w:spacing w:after="0"/>
              <w:rPr>
                <w:rFonts w:eastAsia="Times New Roman" w:cstheme="minorHAnsi"/>
                <w:sz w:val="20"/>
                <w:szCs w:val="20"/>
              </w:rPr>
            </w:pPr>
            <w:r w:rsidRPr="00E807D5">
              <w:rPr>
                <w:rFonts w:eastAsia="Times New Roman" w:cstheme="minorHAnsi"/>
                <w:sz w:val="20"/>
                <w:szCs w:val="20"/>
              </w:rPr>
              <w:t>100,000</w:t>
            </w:r>
          </w:p>
        </w:tc>
        <w:tc>
          <w:tcPr>
            <w:tcW w:w="963" w:type="dxa"/>
          </w:tcPr>
          <w:p w:rsidR="00D6638C" w:rsidRPr="00E807D5" w:rsidRDefault="00E572AF" w:rsidP="00D6638C">
            <w:pPr>
              <w:spacing w:after="0"/>
              <w:rPr>
                <w:rFonts w:eastAsia="Times New Roman" w:cstheme="minorHAnsi"/>
                <w:sz w:val="20"/>
                <w:szCs w:val="20"/>
              </w:rPr>
            </w:pPr>
            <w:r w:rsidRPr="00E807D5">
              <w:rPr>
                <w:rFonts w:eastAsia="Times New Roman" w:cstheme="minorHAnsi"/>
                <w:sz w:val="20"/>
                <w:szCs w:val="20"/>
              </w:rPr>
              <w:t>50,000</w:t>
            </w:r>
          </w:p>
        </w:tc>
        <w:tc>
          <w:tcPr>
            <w:tcW w:w="1134" w:type="dxa"/>
          </w:tcPr>
          <w:p w:rsidR="00D6638C" w:rsidRPr="00E807D5" w:rsidRDefault="00D6638C" w:rsidP="00D6638C">
            <w:pPr>
              <w:spacing w:after="0"/>
              <w:rPr>
                <w:rFonts w:eastAsia="Times New Roman" w:cstheme="minorHAnsi"/>
                <w:sz w:val="20"/>
                <w:szCs w:val="20"/>
              </w:rPr>
            </w:pPr>
          </w:p>
        </w:tc>
        <w:tc>
          <w:tcPr>
            <w:tcW w:w="1134" w:type="dxa"/>
          </w:tcPr>
          <w:p w:rsidR="00D6638C" w:rsidRPr="00E807D5" w:rsidRDefault="00D6638C" w:rsidP="00D6638C">
            <w:pPr>
              <w:spacing w:after="0"/>
              <w:rPr>
                <w:rFonts w:eastAsia="Times New Roman" w:cstheme="minorHAnsi"/>
                <w:sz w:val="20"/>
                <w:szCs w:val="20"/>
              </w:rPr>
            </w:pPr>
          </w:p>
        </w:tc>
        <w:tc>
          <w:tcPr>
            <w:tcW w:w="1134" w:type="dxa"/>
          </w:tcPr>
          <w:p w:rsidR="00D6638C" w:rsidRPr="00E807D5" w:rsidRDefault="00D6638C" w:rsidP="00D6638C">
            <w:pPr>
              <w:spacing w:after="0"/>
              <w:rPr>
                <w:rFonts w:eastAsia="Times New Roman" w:cstheme="minorHAnsi"/>
                <w:sz w:val="20"/>
                <w:szCs w:val="20"/>
              </w:rPr>
            </w:pPr>
          </w:p>
        </w:tc>
        <w:tc>
          <w:tcPr>
            <w:tcW w:w="1134" w:type="dxa"/>
          </w:tcPr>
          <w:p w:rsidR="00D6638C" w:rsidRPr="00E807D5" w:rsidRDefault="00D6638C" w:rsidP="00D6638C">
            <w:pPr>
              <w:spacing w:after="0"/>
              <w:rPr>
                <w:rFonts w:eastAsia="Times New Roman" w:cstheme="minorHAnsi"/>
                <w:sz w:val="20"/>
                <w:szCs w:val="20"/>
              </w:rPr>
            </w:pPr>
          </w:p>
        </w:tc>
        <w:tc>
          <w:tcPr>
            <w:tcW w:w="855" w:type="dxa"/>
          </w:tcPr>
          <w:p w:rsidR="00D6638C" w:rsidRPr="00E807D5" w:rsidRDefault="00D6638C" w:rsidP="00D6638C">
            <w:pPr>
              <w:spacing w:after="0"/>
              <w:rPr>
                <w:rFonts w:eastAsia="Times New Roman" w:cstheme="minorHAnsi"/>
                <w:sz w:val="20"/>
                <w:szCs w:val="20"/>
              </w:rPr>
            </w:pPr>
          </w:p>
        </w:tc>
        <w:tc>
          <w:tcPr>
            <w:tcW w:w="1080" w:type="dxa"/>
          </w:tcPr>
          <w:p w:rsidR="00D6638C" w:rsidRPr="00E807D5" w:rsidRDefault="00D6638C" w:rsidP="00D6638C">
            <w:pPr>
              <w:spacing w:after="0"/>
              <w:rPr>
                <w:rFonts w:eastAsia="Times New Roman" w:cstheme="minorHAnsi"/>
                <w:sz w:val="20"/>
                <w:szCs w:val="20"/>
              </w:rPr>
            </w:pPr>
          </w:p>
        </w:tc>
      </w:tr>
      <w:tr w:rsidR="00D6638C" w:rsidRPr="00E807D5" w:rsidTr="00F36DEF">
        <w:trPr>
          <w:trHeight w:val="215"/>
        </w:trPr>
        <w:tc>
          <w:tcPr>
            <w:tcW w:w="1809" w:type="dxa"/>
          </w:tcPr>
          <w:p w:rsidR="00D6638C" w:rsidRPr="00E807D5" w:rsidRDefault="00D6638C" w:rsidP="00D6638C">
            <w:pPr>
              <w:spacing w:after="0"/>
              <w:rPr>
                <w:rFonts w:eastAsia="Times New Roman" w:cstheme="minorHAnsi"/>
                <w:sz w:val="20"/>
                <w:szCs w:val="20"/>
              </w:rPr>
            </w:pPr>
            <w:r w:rsidRPr="00E807D5">
              <w:rPr>
                <w:rFonts w:eastAsia="Times New Roman" w:cstheme="minorHAnsi"/>
                <w:sz w:val="20"/>
                <w:szCs w:val="20"/>
              </w:rPr>
              <w:t>Totals</w:t>
            </w:r>
          </w:p>
        </w:tc>
        <w:tc>
          <w:tcPr>
            <w:tcW w:w="1305" w:type="dxa"/>
          </w:tcPr>
          <w:p w:rsidR="00D6638C" w:rsidRPr="00E807D5" w:rsidRDefault="0067751B" w:rsidP="00D6638C">
            <w:pPr>
              <w:spacing w:after="0"/>
              <w:rPr>
                <w:rFonts w:eastAsia="Times New Roman" w:cstheme="minorHAnsi"/>
                <w:sz w:val="20"/>
                <w:szCs w:val="20"/>
              </w:rPr>
            </w:pPr>
            <w:r w:rsidRPr="00E807D5">
              <w:rPr>
                <w:rFonts w:eastAsia="Times New Roman" w:cstheme="minorHAnsi"/>
                <w:sz w:val="20"/>
                <w:szCs w:val="20"/>
              </w:rPr>
              <w:t>3,988,500</w:t>
            </w:r>
          </w:p>
        </w:tc>
        <w:tc>
          <w:tcPr>
            <w:tcW w:w="963" w:type="dxa"/>
          </w:tcPr>
          <w:p w:rsidR="00D6638C" w:rsidRPr="00E807D5" w:rsidRDefault="0067751B" w:rsidP="00D6638C">
            <w:pPr>
              <w:spacing w:after="0"/>
              <w:rPr>
                <w:rFonts w:eastAsia="Times New Roman" w:cstheme="minorHAnsi"/>
                <w:sz w:val="20"/>
                <w:szCs w:val="20"/>
              </w:rPr>
            </w:pPr>
            <w:r w:rsidRPr="00E807D5">
              <w:rPr>
                <w:rFonts w:eastAsia="Times New Roman" w:cstheme="minorHAnsi"/>
                <w:sz w:val="20"/>
                <w:szCs w:val="20"/>
              </w:rPr>
              <w:t>3,650,000</w:t>
            </w:r>
          </w:p>
        </w:tc>
        <w:tc>
          <w:tcPr>
            <w:tcW w:w="1134" w:type="dxa"/>
          </w:tcPr>
          <w:p w:rsidR="00D6638C" w:rsidRPr="00E807D5" w:rsidRDefault="0067751B" w:rsidP="00D6638C">
            <w:pPr>
              <w:spacing w:after="0"/>
              <w:rPr>
                <w:rFonts w:eastAsia="Times New Roman" w:cstheme="minorHAnsi"/>
                <w:sz w:val="20"/>
                <w:szCs w:val="20"/>
              </w:rPr>
            </w:pPr>
            <w:r w:rsidRPr="00E807D5">
              <w:rPr>
                <w:rFonts w:eastAsia="Times New Roman" w:cstheme="minorHAnsi"/>
                <w:sz w:val="20"/>
                <w:szCs w:val="20"/>
              </w:rPr>
              <w:t>11,420,000</w:t>
            </w:r>
          </w:p>
        </w:tc>
        <w:tc>
          <w:tcPr>
            <w:tcW w:w="1134" w:type="dxa"/>
          </w:tcPr>
          <w:p w:rsidR="00D6638C" w:rsidRPr="00E807D5" w:rsidRDefault="00E807D5" w:rsidP="00D6638C">
            <w:pPr>
              <w:spacing w:after="0"/>
              <w:rPr>
                <w:rFonts w:eastAsia="Times New Roman" w:cstheme="minorHAnsi"/>
                <w:sz w:val="20"/>
                <w:szCs w:val="20"/>
              </w:rPr>
            </w:pPr>
            <w:r w:rsidRPr="00E807D5">
              <w:rPr>
                <w:rFonts w:cstheme="minorHAnsi"/>
                <w:bCs/>
                <w:color w:val="000000"/>
                <w:sz w:val="20"/>
                <w:szCs w:val="20"/>
              </w:rPr>
              <w:t>11,000,000</w:t>
            </w:r>
          </w:p>
        </w:tc>
        <w:tc>
          <w:tcPr>
            <w:tcW w:w="1134" w:type="dxa"/>
          </w:tcPr>
          <w:p w:rsidR="00D6638C" w:rsidRPr="00E807D5" w:rsidRDefault="0067751B" w:rsidP="00D6638C">
            <w:pPr>
              <w:spacing w:after="0"/>
              <w:rPr>
                <w:rFonts w:eastAsia="Times New Roman" w:cstheme="minorHAnsi"/>
                <w:sz w:val="20"/>
                <w:szCs w:val="20"/>
              </w:rPr>
            </w:pPr>
            <w:r w:rsidRPr="00E807D5">
              <w:rPr>
                <w:rFonts w:eastAsia="Times New Roman" w:cstheme="minorHAnsi"/>
                <w:sz w:val="20"/>
                <w:szCs w:val="20"/>
              </w:rPr>
              <w:t>17,610,090</w:t>
            </w:r>
          </w:p>
        </w:tc>
        <w:tc>
          <w:tcPr>
            <w:tcW w:w="1134" w:type="dxa"/>
          </w:tcPr>
          <w:p w:rsidR="00D6638C" w:rsidRPr="00E807D5" w:rsidRDefault="00F36DEF" w:rsidP="00D6638C">
            <w:pPr>
              <w:spacing w:after="0"/>
              <w:rPr>
                <w:rFonts w:eastAsia="Times New Roman" w:cstheme="minorHAnsi"/>
                <w:sz w:val="20"/>
                <w:szCs w:val="20"/>
              </w:rPr>
            </w:pPr>
            <w:r>
              <w:rPr>
                <w:rFonts w:eastAsia="Times New Roman" w:cstheme="minorHAnsi"/>
                <w:sz w:val="20"/>
                <w:szCs w:val="20"/>
              </w:rPr>
              <w:t>21,676,000</w:t>
            </w:r>
          </w:p>
        </w:tc>
        <w:tc>
          <w:tcPr>
            <w:tcW w:w="855" w:type="dxa"/>
          </w:tcPr>
          <w:p w:rsidR="00D6638C" w:rsidRPr="00E807D5" w:rsidRDefault="00D6638C" w:rsidP="00D6638C">
            <w:pPr>
              <w:spacing w:after="0"/>
              <w:rPr>
                <w:rFonts w:eastAsia="Times New Roman" w:cstheme="minorHAnsi"/>
                <w:sz w:val="20"/>
                <w:szCs w:val="20"/>
              </w:rPr>
            </w:pPr>
          </w:p>
        </w:tc>
        <w:tc>
          <w:tcPr>
            <w:tcW w:w="1080" w:type="dxa"/>
          </w:tcPr>
          <w:p w:rsidR="00D6638C" w:rsidRPr="00E807D5" w:rsidRDefault="00D6638C" w:rsidP="00D6638C">
            <w:pPr>
              <w:spacing w:after="0"/>
              <w:rPr>
                <w:rFonts w:eastAsia="Times New Roman" w:cstheme="minorHAnsi"/>
                <w:sz w:val="20"/>
                <w:szCs w:val="20"/>
              </w:rPr>
            </w:pPr>
          </w:p>
        </w:tc>
      </w:tr>
    </w:tbl>
    <w:p w:rsidR="00D6638C" w:rsidRPr="00E807D5" w:rsidRDefault="00D6638C" w:rsidP="00F05366">
      <w:pPr>
        <w:pStyle w:val="Heading51"/>
        <w:rPr>
          <w:rFonts w:cstheme="minorHAnsi"/>
          <w:sz w:val="20"/>
          <w:szCs w:val="20"/>
        </w:rPr>
      </w:pPr>
      <w:bookmarkStart w:id="18" w:name="_Toc321341553"/>
      <w:r w:rsidRPr="00E807D5">
        <w:rPr>
          <w:rFonts w:cstheme="minorHAnsi"/>
          <w:sz w:val="20"/>
          <w:szCs w:val="20"/>
        </w:rPr>
        <w:t>Mainstreaming</w:t>
      </w:r>
      <w:bookmarkEnd w:id="12"/>
      <w:bookmarkEnd w:id="18"/>
    </w:p>
    <w:p w:rsidR="00D6638C" w:rsidRPr="00D6638C" w:rsidRDefault="00D6638C" w:rsidP="00D6638C">
      <w:pPr>
        <w:spacing w:after="120"/>
        <w:rPr>
          <w:rFonts w:ascii="Calibri" w:eastAsia="Times New Roman" w:hAnsi="Calibri" w:cs="Times New Roman"/>
          <w:sz w:val="20"/>
          <w:szCs w:val="20"/>
        </w:rPr>
      </w:pPr>
      <w:r w:rsidRPr="00E807D5">
        <w:rPr>
          <w:rFonts w:eastAsia="Times New Roman" w:cstheme="minorHAnsi"/>
          <w:sz w:val="20"/>
          <w:szCs w:val="20"/>
        </w:rPr>
        <w:t>UNDP supported GEF financed projects are key components in UNDP country programming, as</w:t>
      </w:r>
      <w:r w:rsidRPr="00D6638C">
        <w:rPr>
          <w:rFonts w:ascii="Calibri" w:eastAsia="Times New Roman" w:hAnsi="Calibri" w:cs="Times New Roman"/>
          <w:sz w:val="20"/>
          <w:szCs w:val="20"/>
        </w:rPr>
        <w:t xml:space="preserve">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9" w:name="_Toc277677980"/>
      <w:bookmarkStart w:id="20" w:name="_Toc321341554"/>
      <w:r w:rsidRPr="00D6638C">
        <w:t>Impact</w:t>
      </w:r>
      <w:bookmarkEnd w:id="19"/>
      <w:bookmarkEnd w:id="2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4"/>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1" w:name="_Toc278193982"/>
      <w:bookmarkStart w:id="22" w:name="_Toc299133042"/>
      <w:bookmarkStart w:id="23" w:name="_Toc321341555"/>
      <w:bookmarkStart w:id="24" w:name="_Toc299126621"/>
      <w:bookmarkEnd w:id="13"/>
      <w:bookmarkEnd w:id="14"/>
      <w:bookmarkEnd w:id="15"/>
      <w:bookmarkEnd w:id="16"/>
      <w:bookmarkEnd w:id="17"/>
      <w:r w:rsidRPr="00D6638C">
        <w:t>Conclusions</w:t>
      </w:r>
      <w:bookmarkStart w:id="25" w:name="_Toc277677982"/>
      <w:r w:rsidRPr="00D6638C">
        <w:t>, recommendations &amp; lessons</w:t>
      </w:r>
      <w:bookmarkEnd w:id="21"/>
      <w:bookmarkEnd w:id="22"/>
      <w:bookmarkEnd w:id="23"/>
      <w:bookmarkEnd w:id="25"/>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6" w:name="_Toc299126625"/>
      <w:bookmarkStart w:id="27" w:name="_Toc299133044"/>
      <w:bookmarkStart w:id="28" w:name="_Toc321341556"/>
      <w:r w:rsidRPr="00D6638C">
        <w:t>Implementation arrangements</w:t>
      </w:r>
      <w:bookmarkEnd w:id="26"/>
      <w:bookmarkEnd w:id="27"/>
      <w:bookmarkEnd w:id="28"/>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this evaluation resides with the UNDP CO in</w:t>
      </w:r>
      <w:r w:rsidR="00BE59D1">
        <w:rPr>
          <w:rFonts w:ascii="Calibri" w:eastAsia="Times New Roman" w:hAnsi="Calibri" w:cs="Times New Roman"/>
          <w:sz w:val="20"/>
          <w:szCs w:val="20"/>
        </w:rPr>
        <w:t xml:space="preserve"> Zambia.</w:t>
      </w:r>
      <w:r w:rsidR="00BE59D1">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9" w:name="_Toc299133047"/>
      <w:bookmarkStart w:id="30" w:name="_Toc299122838"/>
      <w:bookmarkStart w:id="31" w:name="_Toc299122860"/>
      <w:bookmarkStart w:id="32" w:name="_Toc299126629"/>
      <w:bookmarkEnd w:id="24"/>
    </w:p>
    <w:p w:rsidR="00022F8E" w:rsidRDefault="00022F8E" w:rsidP="00D6638C">
      <w:pPr>
        <w:spacing w:before="200"/>
        <w:rPr>
          <w:rFonts w:ascii="Calibri" w:eastAsia="Times New Roman" w:hAnsi="Calibri" w:cs="Times New Roman"/>
          <w:sz w:val="20"/>
          <w:szCs w:val="20"/>
        </w:rPr>
      </w:pPr>
    </w:p>
    <w:p w:rsidR="00D6638C" w:rsidRPr="00D6638C" w:rsidRDefault="00D6638C" w:rsidP="00022F8E">
      <w:pPr>
        <w:pStyle w:val="Heading51"/>
      </w:pPr>
      <w:r w:rsidRPr="00D6638C">
        <w:t>Evaluation timeframe</w:t>
      </w:r>
      <w:bookmarkEnd w:id="29"/>
      <w:bookmarkEnd w:id="30"/>
      <w:bookmarkEnd w:id="31"/>
      <w:bookmarkEnd w:id="32"/>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763A0D">
        <w:rPr>
          <w:rFonts w:ascii="Calibri" w:eastAsia="Times New Roman" w:hAnsi="Calibri" w:cs="Times New Roman"/>
          <w:i/>
          <w:sz w:val="20"/>
          <w:szCs w:val="20"/>
          <w:highlight w:val="lightGray"/>
        </w:rPr>
        <w:t>40</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D6638C" w:rsidRPr="00D6638C" w:rsidRDefault="00763A0D" w:rsidP="00D6638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5</w:t>
            </w:r>
            <w:r w:rsidR="00D6638C" w:rsidRPr="00D6638C">
              <w:rPr>
                <w:rFonts w:ascii="Calibri" w:eastAsia="Times New Roman" w:hAnsi="Calibri" w:cs="Times New Roman"/>
                <w:sz w:val="20"/>
                <w:szCs w:val="20"/>
              </w:rPr>
              <w:t xml:space="preserve"> days </w:t>
            </w:r>
          </w:p>
        </w:tc>
        <w:tc>
          <w:tcPr>
            <w:tcW w:w="3071" w:type="dxa"/>
          </w:tcPr>
          <w:p w:rsidR="00D6638C" w:rsidRPr="00224F9C" w:rsidRDefault="00A92DE4"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w:t>
            </w:r>
            <w:r>
              <w:rPr>
                <w:rFonts w:ascii="Calibri" w:eastAsia="Times New Roman" w:hAnsi="Calibri" w:cs="Times New Roman"/>
                <w:i/>
                <w:sz w:val="20"/>
                <w:szCs w:val="20"/>
                <w:highlight w:val="lightGray"/>
                <w:vertAlign w:val="superscript"/>
              </w:rPr>
              <w:t>st</w:t>
            </w:r>
            <w:r w:rsidR="00763A0D" w:rsidRPr="00763A0D">
              <w:rPr>
                <w:rFonts w:ascii="Calibri" w:eastAsia="Times New Roman" w:hAnsi="Calibri" w:cs="Times New Roman"/>
                <w:i/>
                <w:sz w:val="20"/>
                <w:szCs w:val="20"/>
                <w:highlight w:val="lightGray"/>
                <w:vertAlign w:val="superscript"/>
              </w:rPr>
              <w:t>h</w:t>
            </w:r>
            <w:r w:rsidR="00763A0D">
              <w:rPr>
                <w:rFonts w:ascii="Calibri" w:eastAsia="Times New Roman" w:hAnsi="Calibri" w:cs="Times New Roman"/>
                <w:i/>
                <w:sz w:val="20"/>
                <w:szCs w:val="20"/>
                <w:highlight w:val="lightGray"/>
              </w:rPr>
              <w:t xml:space="preserve">  April 2020</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D6638C" w:rsidRPr="00D6638C" w:rsidRDefault="00763A0D" w:rsidP="00D6638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15</w:t>
            </w:r>
            <w:r>
              <w:rPr>
                <w:rFonts w:ascii="Calibri" w:eastAsia="Times New Roman" w:hAnsi="Calibri" w:cs="Times New Roman"/>
                <w:sz w:val="20"/>
                <w:szCs w:val="20"/>
              </w:rPr>
              <w:t xml:space="preserve"> days </w:t>
            </w:r>
          </w:p>
        </w:tc>
        <w:tc>
          <w:tcPr>
            <w:tcW w:w="3071" w:type="dxa"/>
          </w:tcPr>
          <w:p w:rsidR="00D6638C" w:rsidRPr="00224F9C" w:rsidRDefault="00BE59D1"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10</w:t>
            </w:r>
            <w:r w:rsidRPr="00BE59D1">
              <w:rPr>
                <w:rFonts w:ascii="Calibri" w:eastAsia="Times New Roman" w:hAnsi="Calibri" w:cs="Times New Roman"/>
                <w:i/>
                <w:sz w:val="20"/>
                <w:szCs w:val="20"/>
                <w:highlight w:val="lightGray"/>
                <w:vertAlign w:val="superscript"/>
              </w:rPr>
              <w:t>th</w:t>
            </w:r>
            <w:r>
              <w:rPr>
                <w:rFonts w:ascii="Calibri" w:eastAsia="Times New Roman" w:hAnsi="Calibri" w:cs="Times New Roman"/>
                <w:i/>
                <w:sz w:val="20"/>
                <w:szCs w:val="20"/>
                <w:highlight w:val="lightGray"/>
              </w:rPr>
              <w:t xml:space="preserve"> May 2020</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D6638C" w:rsidRDefault="00763A0D" w:rsidP="00D6638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10</w:t>
            </w:r>
            <w:r>
              <w:rPr>
                <w:rFonts w:ascii="Calibri" w:eastAsia="Times New Roman" w:hAnsi="Calibri" w:cs="Times New Roman"/>
                <w:sz w:val="20"/>
                <w:szCs w:val="20"/>
              </w:rPr>
              <w:t xml:space="preserve"> days </w:t>
            </w:r>
          </w:p>
        </w:tc>
        <w:tc>
          <w:tcPr>
            <w:tcW w:w="3071" w:type="dxa"/>
          </w:tcPr>
          <w:p w:rsidR="00D6638C" w:rsidRPr="00224F9C" w:rsidRDefault="00BE59D1"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29</w:t>
            </w:r>
            <w:r w:rsidRPr="00BE59D1">
              <w:rPr>
                <w:rFonts w:ascii="Calibri" w:eastAsia="Times New Roman" w:hAnsi="Calibri" w:cs="Times New Roman"/>
                <w:i/>
                <w:sz w:val="20"/>
                <w:szCs w:val="20"/>
                <w:highlight w:val="lightGray"/>
                <w:vertAlign w:val="superscript"/>
              </w:rPr>
              <w:t>th</w:t>
            </w:r>
            <w:r>
              <w:rPr>
                <w:rFonts w:ascii="Calibri" w:eastAsia="Times New Roman" w:hAnsi="Calibri" w:cs="Times New Roman"/>
                <w:i/>
                <w:sz w:val="20"/>
                <w:szCs w:val="20"/>
                <w:highlight w:val="lightGray"/>
              </w:rPr>
              <w:t xml:space="preserve"> May 2020</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D6638C" w:rsidRDefault="00763A0D" w:rsidP="00D6638C">
            <w:pPr>
              <w:spacing w:after="0"/>
              <w:rPr>
                <w:rFonts w:ascii="Calibri" w:eastAsia="Times New Roman" w:hAnsi="Calibri" w:cs="Times New Roman"/>
                <w:sz w:val="20"/>
                <w:szCs w:val="20"/>
              </w:rPr>
            </w:pPr>
            <w:r>
              <w:rPr>
                <w:rFonts w:ascii="Calibri" w:eastAsia="Times New Roman" w:hAnsi="Calibri" w:cs="Times New Roman"/>
                <w:i/>
                <w:sz w:val="20"/>
                <w:szCs w:val="20"/>
                <w:highlight w:val="lightGray"/>
              </w:rPr>
              <w:t xml:space="preserve">10 </w:t>
            </w:r>
            <w:r w:rsidR="00D6638C" w:rsidRPr="00D6638C">
              <w:rPr>
                <w:rFonts w:ascii="Calibri" w:eastAsia="Times New Roman" w:hAnsi="Calibri" w:cs="Times New Roman"/>
                <w:sz w:val="20"/>
                <w:szCs w:val="20"/>
              </w:rPr>
              <w:t xml:space="preserve">days </w:t>
            </w:r>
            <w:r>
              <w:rPr>
                <w:rFonts w:ascii="Calibri" w:eastAsia="Times New Roman" w:hAnsi="Calibri" w:cs="Times New Roman"/>
                <w:sz w:val="20"/>
                <w:szCs w:val="20"/>
              </w:rPr>
              <w:t>plus feed back</w:t>
            </w:r>
          </w:p>
        </w:tc>
        <w:tc>
          <w:tcPr>
            <w:tcW w:w="3071" w:type="dxa"/>
          </w:tcPr>
          <w:p w:rsidR="00D6638C" w:rsidRPr="00224F9C" w:rsidRDefault="00A92DE4"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30</w:t>
            </w:r>
            <w:r w:rsidRPr="00A92DE4">
              <w:rPr>
                <w:rFonts w:ascii="Calibri" w:eastAsia="Times New Roman" w:hAnsi="Calibri" w:cs="Times New Roman"/>
                <w:i/>
                <w:sz w:val="20"/>
                <w:szCs w:val="20"/>
                <w:highlight w:val="lightGray"/>
                <w:vertAlign w:val="superscript"/>
              </w:rPr>
              <w:t>th</w:t>
            </w:r>
            <w:r>
              <w:rPr>
                <w:rFonts w:ascii="Calibri" w:eastAsia="Times New Roman" w:hAnsi="Calibri" w:cs="Times New Roman"/>
                <w:i/>
                <w:sz w:val="20"/>
                <w:szCs w:val="20"/>
                <w:highlight w:val="lightGray"/>
              </w:rPr>
              <w:t xml:space="preserve"> June </w:t>
            </w:r>
            <w:r w:rsidR="00763A0D">
              <w:rPr>
                <w:rFonts w:ascii="Calibri" w:eastAsia="Times New Roman" w:hAnsi="Calibri" w:cs="Times New Roman"/>
                <w:i/>
                <w:sz w:val="20"/>
                <w:szCs w:val="20"/>
                <w:highlight w:val="lightGray"/>
              </w:rPr>
              <w:t xml:space="preserve"> 2020</w:t>
            </w:r>
          </w:p>
        </w:tc>
      </w:tr>
    </w:tbl>
    <w:p w:rsidR="00D6638C" w:rsidRPr="00F05366" w:rsidRDefault="00D6638C" w:rsidP="00F05366">
      <w:pPr>
        <w:pStyle w:val="Heading31"/>
      </w:pPr>
      <w:bookmarkStart w:id="33" w:name="_Toc299133045"/>
      <w:bookmarkStart w:id="34" w:name="_Toc321341557"/>
      <w:bookmarkStart w:id="35" w:name="_Toc299126622"/>
      <w:bookmarkStart w:id="36" w:name="_Toc299133048"/>
      <w:r w:rsidRPr="00F05366">
        <w:t>Evaluation deliverables</w:t>
      </w:r>
      <w:bookmarkEnd w:id="33"/>
      <w:bookmarkEnd w:id="34"/>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BB2DF6" w:rsidP="00D6638C">
            <w:pPr>
              <w:spacing w:after="0"/>
              <w:rPr>
                <w:rFonts w:ascii="Calibri" w:eastAsia="Times New Roman" w:hAnsi="Calibri" w:cs="Times New Roman"/>
                <w:sz w:val="20"/>
                <w:szCs w:val="20"/>
              </w:rPr>
            </w:pPr>
            <w:r>
              <w:rPr>
                <w:rFonts w:ascii="Calibri" w:eastAsia="Times New Roman" w:hAnsi="Calibri" w:cs="Times New Roman"/>
                <w:sz w:val="20"/>
                <w:szCs w:val="20"/>
              </w:rPr>
              <w:t>1st April 2020</w:t>
            </w:r>
            <w:r w:rsidR="00D6638C" w:rsidRPr="00D6638C">
              <w:rPr>
                <w:rFonts w:ascii="Calibri" w:eastAsia="Times New Roman" w:hAnsi="Calibri" w:cs="Times New Roman"/>
                <w:sz w:val="20"/>
                <w:szCs w:val="20"/>
              </w:rPr>
              <w:t xml:space="preserve">.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BB2DF6" w:rsidP="00D6638C">
            <w:pPr>
              <w:spacing w:after="0"/>
              <w:rPr>
                <w:rFonts w:ascii="Calibri" w:eastAsia="Times New Roman" w:hAnsi="Calibri" w:cs="Times New Roman"/>
                <w:sz w:val="20"/>
                <w:szCs w:val="20"/>
              </w:rPr>
            </w:pPr>
            <w:r>
              <w:rPr>
                <w:rFonts w:ascii="Calibri" w:eastAsia="Times New Roman" w:hAnsi="Calibri" w:cs="Times New Roman"/>
                <w:sz w:val="20"/>
                <w:szCs w:val="20"/>
              </w:rPr>
              <w:t>9</w:t>
            </w:r>
            <w:r w:rsidRPr="0093330D">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April 2020</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BB2DF6" w:rsidP="00D6638C">
            <w:pPr>
              <w:spacing w:after="0"/>
              <w:rPr>
                <w:rFonts w:ascii="Calibri" w:eastAsia="Times New Roman" w:hAnsi="Calibri" w:cs="Times New Roman"/>
                <w:sz w:val="20"/>
                <w:szCs w:val="20"/>
              </w:rPr>
            </w:pPr>
            <w:r>
              <w:rPr>
                <w:rFonts w:ascii="Calibri" w:eastAsia="Times New Roman" w:hAnsi="Calibri" w:cs="Times New Roman"/>
                <w:sz w:val="20"/>
                <w:szCs w:val="20"/>
              </w:rPr>
              <w:t>29th May 2020</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BB2DF6" w:rsidP="00D6638C">
            <w:pPr>
              <w:spacing w:after="0"/>
              <w:rPr>
                <w:rFonts w:ascii="Calibri" w:eastAsia="Times New Roman" w:hAnsi="Calibri" w:cs="Times New Roman"/>
                <w:sz w:val="20"/>
                <w:szCs w:val="20"/>
              </w:rPr>
            </w:pPr>
            <w:r>
              <w:rPr>
                <w:rFonts w:ascii="Calibri" w:eastAsia="Times New Roman" w:hAnsi="Calibri" w:cs="Times New Roman"/>
                <w:sz w:val="20"/>
                <w:szCs w:val="20"/>
              </w:rPr>
              <w:t>30th June 2020</w:t>
            </w:r>
            <w:r w:rsidR="00D6638C" w:rsidRPr="00D6638C">
              <w:rPr>
                <w:rFonts w:ascii="Calibri" w:eastAsia="Times New Roman" w:hAnsi="Calibri" w:cs="Times New Roman"/>
                <w:sz w:val="20"/>
                <w:szCs w:val="20"/>
              </w:rPr>
              <w:t xml:space="preserve">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5"/>
      <w:bookmarkEnd w:id="36"/>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7" w:name="_Toc321341558"/>
      <w:r w:rsidRPr="00D6638C">
        <w:t>Team Composition</w:t>
      </w:r>
      <w:bookmarkEnd w:id="37"/>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00A92DE4">
        <w:rPr>
          <w:rFonts w:ascii="Calibri" w:eastAsia="Times New Roman" w:hAnsi="Calibri" w:cs="Times New Roman"/>
          <w:i/>
          <w:sz w:val="20"/>
          <w:szCs w:val="20"/>
          <w:highlight w:val="lightGray"/>
          <w:shd w:val="clear" w:color="auto" w:fill="FFFFFF"/>
        </w:rPr>
        <w:t xml:space="preserve">(1 international and 1 </w:t>
      </w:r>
      <w:r w:rsidRPr="00D6638C">
        <w:rPr>
          <w:rFonts w:ascii="Calibri" w:eastAsia="Times New Roman" w:hAnsi="Calibri" w:cs="Times New Roman"/>
          <w:i/>
          <w:sz w:val="20"/>
          <w:szCs w:val="20"/>
          <w:highlight w:val="lightGray"/>
          <w:shd w:val="clear" w:color="auto" w:fill="FFFFFF"/>
        </w:rPr>
        <w:t>national evaluators</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w:t>
      </w:r>
      <w:r w:rsidRPr="00D6638C">
        <w:rPr>
          <w:rFonts w:ascii="Calibri" w:eastAsia="Times New Roman" w:hAnsi="Calibri" w:cs="Times New Roman"/>
          <w:sz w:val="20"/>
          <w:szCs w:val="20"/>
          <w:highlight w:val="lightGray"/>
          <w:shd w:val="clear" w:color="auto" w:fill="FFFFFF"/>
        </w:rPr>
        <w:t>(</w:t>
      </w:r>
      <w:r w:rsidRPr="00D6638C">
        <w:rPr>
          <w:rFonts w:ascii="Calibri" w:eastAsia="Times New Roman" w:hAnsi="Calibri" w:cs="Times New Roman"/>
          <w:i/>
          <w:sz w:val="20"/>
          <w:szCs w:val="20"/>
          <w:highlight w:val="lightGray"/>
          <w:shd w:val="clear" w:color="auto" w:fill="FFFFFF"/>
        </w:rPr>
        <w:t>If the team has more than 1 evaluator, one will be designated as the team leader and will be responsible for finalizing the report).</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A92DE4">
        <w:rPr>
          <w:rFonts w:ascii="Calibri" w:eastAsia="Times New Roman" w:hAnsi="Calibri" w:cs="Times New Roman"/>
          <w:i/>
          <w:sz w:val="20"/>
          <w:szCs w:val="20"/>
          <w:highlight w:val="lightGray"/>
          <w:shd w:val="clear" w:color="auto" w:fill="FFFFFF"/>
        </w:rPr>
        <w:t xml:space="preserve"> 15 </w:t>
      </w:r>
      <w:r w:rsidRPr="00D6638C">
        <w:rPr>
          <w:rFonts w:ascii="Calibri" w:eastAsia="Times New Roman" w:hAnsi="Calibri" w:cs="Times New Roman"/>
          <w:sz w:val="20"/>
          <w:szCs w:val="20"/>
          <w:shd w:val="clear" w:color="auto" w:fill="FFFFFF"/>
        </w:rPr>
        <w:t>years of</w:t>
      </w:r>
      <w:r w:rsidRPr="00D6638C">
        <w:rPr>
          <w:rFonts w:ascii="Calibri" w:eastAsia="Times New Roman" w:hAnsi="Calibri" w:cs="Times New Roman"/>
          <w:sz w:val="20"/>
          <w:szCs w:val="20"/>
        </w:rPr>
        <w:t xml:space="preserve"> relevant professional experience</w:t>
      </w:r>
      <w:r w:rsidR="00A92DE4">
        <w:rPr>
          <w:rFonts w:ascii="Calibri" w:eastAsia="Times New Roman" w:hAnsi="Calibri" w:cs="Times New Roman"/>
          <w:sz w:val="20"/>
          <w:szCs w:val="20"/>
        </w:rPr>
        <w:t xml:space="preserve"> for International and  7 years for the Local Evaluator </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rsid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 targeted focal area(s)</w:t>
      </w:r>
    </w:p>
    <w:p w:rsidR="00354A4C" w:rsidRDefault="00354A4C" w:rsidP="00354A4C">
      <w:pPr>
        <w:spacing w:after="0" w:line="240" w:lineRule="auto"/>
        <w:jc w:val="both"/>
        <w:rPr>
          <w:rFonts w:ascii="Garamond" w:hAnsi="Garamond"/>
        </w:rPr>
      </w:pPr>
    </w:p>
    <w:p w:rsidR="00354A4C" w:rsidRPr="00354A4C" w:rsidRDefault="00354A4C" w:rsidP="00354A4C">
      <w:pPr>
        <w:spacing w:line="240" w:lineRule="auto"/>
        <w:jc w:val="both"/>
        <w:rPr>
          <w:sz w:val="20"/>
          <w:szCs w:val="20"/>
        </w:rPr>
      </w:pPr>
      <w:r w:rsidRPr="00354A4C">
        <w:rPr>
          <w:sz w:val="20"/>
          <w:szCs w:val="20"/>
        </w:rPr>
        <w:t xml:space="preserve">The selection of consultants will be aimed at maximizing the overall “team” qualities in the following areas: </w:t>
      </w:r>
    </w:p>
    <w:p w:rsidR="00354A4C" w:rsidRPr="00354A4C" w:rsidRDefault="00354A4C" w:rsidP="00354A4C">
      <w:pPr>
        <w:pStyle w:val="ListParagraph"/>
        <w:numPr>
          <w:ilvl w:val="0"/>
          <w:numId w:val="34"/>
        </w:numPr>
        <w:spacing w:before="0" w:after="0" w:line="240" w:lineRule="auto"/>
        <w:contextualSpacing w:val="0"/>
        <w:jc w:val="both"/>
      </w:pPr>
      <w:r>
        <w:t xml:space="preserve"> </w:t>
      </w:r>
      <w:r w:rsidRPr="00354A4C">
        <w:t xml:space="preserve">Recent experience with result-based management evaluation methodologies; </w:t>
      </w:r>
      <w:r w:rsidRPr="00354A4C">
        <w:rPr>
          <w:u w:val="single"/>
        </w:rPr>
        <w:t>_15_</w:t>
      </w:r>
    </w:p>
    <w:p w:rsidR="00354A4C" w:rsidRPr="00354A4C" w:rsidRDefault="00354A4C" w:rsidP="00354A4C">
      <w:pPr>
        <w:pStyle w:val="ListParagraph"/>
        <w:numPr>
          <w:ilvl w:val="0"/>
          <w:numId w:val="34"/>
        </w:numPr>
        <w:spacing w:before="0" w:after="0" w:line="240" w:lineRule="auto"/>
        <w:contextualSpacing w:val="0"/>
        <w:jc w:val="both"/>
      </w:pPr>
      <w:r w:rsidRPr="00354A4C">
        <w:t>Experience applying SMART indicators and reconstructing or validating baseline scenarios</w:t>
      </w:r>
      <w:r w:rsidRPr="00354A4C">
        <w:rPr>
          <w:u w:val="single"/>
        </w:rPr>
        <w:t>;__10__</w:t>
      </w:r>
    </w:p>
    <w:p w:rsidR="00354A4C" w:rsidRPr="00354A4C" w:rsidRDefault="00354A4C" w:rsidP="00354A4C">
      <w:pPr>
        <w:pStyle w:val="ListParagraph"/>
        <w:numPr>
          <w:ilvl w:val="0"/>
          <w:numId w:val="34"/>
        </w:numPr>
        <w:spacing w:before="0" w:after="0" w:line="240" w:lineRule="auto"/>
        <w:contextualSpacing w:val="0"/>
        <w:jc w:val="both"/>
      </w:pPr>
      <w:r w:rsidRPr="00354A4C">
        <w:t xml:space="preserve">Competence in adaptive management, as applied to </w:t>
      </w:r>
      <w:r w:rsidRPr="00354A4C">
        <w:rPr>
          <w:rFonts w:cs="Arial"/>
        </w:rPr>
        <w:t xml:space="preserve">Biodiversity; Climate Change Mitigation; Sustainable Forestry Management/REDD-Plus and Land Degradation </w:t>
      </w:r>
      <w:r w:rsidRPr="00354A4C">
        <w:t xml:space="preserve">focal areas; </w:t>
      </w:r>
      <w:r w:rsidRPr="00354A4C">
        <w:rPr>
          <w:u w:val="single"/>
        </w:rPr>
        <w:t>___10 _</w:t>
      </w:r>
    </w:p>
    <w:p w:rsidR="00354A4C" w:rsidRPr="00354A4C" w:rsidRDefault="00354A4C" w:rsidP="00354A4C">
      <w:pPr>
        <w:numPr>
          <w:ilvl w:val="0"/>
          <w:numId w:val="34"/>
        </w:numPr>
        <w:spacing w:after="0" w:line="240" w:lineRule="auto"/>
        <w:jc w:val="both"/>
        <w:rPr>
          <w:sz w:val="20"/>
          <w:szCs w:val="20"/>
        </w:rPr>
      </w:pPr>
      <w:r w:rsidRPr="00354A4C">
        <w:rPr>
          <w:sz w:val="20"/>
          <w:szCs w:val="20"/>
        </w:rPr>
        <w:t xml:space="preserve">Experience working with the GEF or GEF-evaluations; </w:t>
      </w:r>
      <w:r w:rsidRPr="00354A4C">
        <w:rPr>
          <w:sz w:val="20"/>
          <w:szCs w:val="20"/>
          <w:u w:val="single"/>
        </w:rPr>
        <w:t>_15_</w:t>
      </w:r>
      <w:r w:rsidRPr="00354A4C">
        <w:rPr>
          <w:sz w:val="20"/>
          <w:szCs w:val="20"/>
        </w:rPr>
        <w:tab/>
      </w:r>
    </w:p>
    <w:p w:rsidR="00354A4C" w:rsidRPr="00354A4C" w:rsidRDefault="00354A4C" w:rsidP="00354A4C">
      <w:pPr>
        <w:numPr>
          <w:ilvl w:val="0"/>
          <w:numId w:val="34"/>
        </w:numPr>
        <w:spacing w:after="0" w:line="240" w:lineRule="auto"/>
        <w:jc w:val="both"/>
        <w:rPr>
          <w:sz w:val="20"/>
          <w:szCs w:val="20"/>
        </w:rPr>
      </w:pPr>
      <w:r w:rsidRPr="00354A4C">
        <w:rPr>
          <w:sz w:val="20"/>
          <w:szCs w:val="20"/>
        </w:rPr>
        <w:t>Experience working in Africa</w:t>
      </w:r>
      <w:r w:rsidRPr="00354A4C">
        <w:rPr>
          <w:sz w:val="20"/>
          <w:szCs w:val="20"/>
          <w:u w:val="single"/>
        </w:rPr>
        <w:t>; ___5___</w:t>
      </w:r>
    </w:p>
    <w:p w:rsidR="00354A4C" w:rsidRPr="00354A4C" w:rsidRDefault="00354A4C" w:rsidP="00354A4C">
      <w:pPr>
        <w:pStyle w:val="ListParagraph"/>
        <w:numPr>
          <w:ilvl w:val="0"/>
          <w:numId w:val="34"/>
        </w:numPr>
        <w:spacing w:before="0" w:after="0" w:line="240" w:lineRule="auto"/>
        <w:contextualSpacing w:val="0"/>
        <w:jc w:val="both"/>
      </w:pPr>
      <w:r w:rsidRPr="00354A4C">
        <w:lastRenderedPageBreak/>
        <w:t>Work experience in relevant technical areas for at least 10 years</w:t>
      </w:r>
      <w:r w:rsidRPr="00354A4C">
        <w:rPr>
          <w:u w:val="single"/>
        </w:rPr>
        <w:t>;_10_</w:t>
      </w:r>
    </w:p>
    <w:p w:rsidR="00354A4C" w:rsidRPr="00354A4C" w:rsidRDefault="00354A4C" w:rsidP="00354A4C">
      <w:pPr>
        <w:pStyle w:val="ListParagraph"/>
        <w:numPr>
          <w:ilvl w:val="0"/>
          <w:numId w:val="34"/>
        </w:numPr>
        <w:spacing w:before="0" w:after="0" w:line="240" w:lineRule="auto"/>
        <w:contextualSpacing w:val="0"/>
        <w:jc w:val="both"/>
      </w:pPr>
      <w:r w:rsidRPr="00354A4C">
        <w:t xml:space="preserve">Demonstrated understanding of issues related to gender and </w:t>
      </w:r>
      <w:r w:rsidRPr="00354A4C">
        <w:rPr>
          <w:rFonts w:cs="Arial"/>
        </w:rPr>
        <w:t>Biodiversity; Climate Change Mitigation; Sustainable Forestry Management/REDD-Plus and Land Degradation</w:t>
      </w:r>
      <w:r w:rsidRPr="00354A4C">
        <w:t xml:space="preserve">; experience in gender sensitive evaluation and analysis; </w:t>
      </w:r>
      <w:r w:rsidRPr="00354A4C">
        <w:rPr>
          <w:u w:val="single"/>
        </w:rPr>
        <w:t>___10 ___</w:t>
      </w:r>
    </w:p>
    <w:p w:rsidR="00354A4C" w:rsidRPr="00354A4C" w:rsidRDefault="00354A4C" w:rsidP="00354A4C">
      <w:pPr>
        <w:pStyle w:val="ListParagraph"/>
        <w:numPr>
          <w:ilvl w:val="0"/>
          <w:numId w:val="34"/>
        </w:numPr>
        <w:spacing w:before="0" w:after="0" w:line="240" w:lineRule="auto"/>
        <w:contextualSpacing w:val="0"/>
        <w:jc w:val="both"/>
      </w:pPr>
      <w:r w:rsidRPr="00354A4C">
        <w:t xml:space="preserve">Excellent communication skills in English; </w:t>
      </w:r>
      <w:r w:rsidRPr="00354A4C">
        <w:rPr>
          <w:u w:val="single"/>
        </w:rPr>
        <w:t>__5_____</w:t>
      </w:r>
    </w:p>
    <w:p w:rsidR="00354A4C" w:rsidRPr="00354A4C" w:rsidRDefault="00354A4C" w:rsidP="00354A4C">
      <w:pPr>
        <w:pStyle w:val="ListParagraph"/>
        <w:numPr>
          <w:ilvl w:val="0"/>
          <w:numId w:val="34"/>
        </w:numPr>
        <w:spacing w:before="0" w:after="0" w:line="240" w:lineRule="auto"/>
        <w:contextualSpacing w:val="0"/>
        <w:jc w:val="both"/>
      </w:pPr>
      <w:r w:rsidRPr="00354A4C">
        <w:t xml:space="preserve">Demonstrable analytical skills; </w:t>
      </w:r>
      <w:r w:rsidRPr="00354A4C">
        <w:rPr>
          <w:u w:val="single"/>
        </w:rPr>
        <w:t>__5_____</w:t>
      </w:r>
    </w:p>
    <w:p w:rsidR="00354A4C" w:rsidRPr="00354A4C" w:rsidRDefault="00354A4C" w:rsidP="00354A4C">
      <w:pPr>
        <w:pStyle w:val="ListParagraph"/>
        <w:numPr>
          <w:ilvl w:val="0"/>
          <w:numId w:val="34"/>
        </w:numPr>
        <w:spacing w:before="0" w:after="0" w:line="240" w:lineRule="auto"/>
        <w:contextualSpacing w:val="0"/>
        <w:jc w:val="both"/>
      </w:pPr>
      <w:r w:rsidRPr="00354A4C">
        <w:t>Project evaluation/review experiences within United Nations system will be considered an asset</w:t>
      </w:r>
      <w:r w:rsidRPr="00354A4C">
        <w:rPr>
          <w:u w:val="single"/>
        </w:rPr>
        <w:t>; _5</w:t>
      </w:r>
      <w:r w:rsidRPr="00354A4C">
        <w:t xml:space="preserve"> </w:t>
      </w:r>
    </w:p>
    <w:p w:rsidR="00354A4C" w:rsidRPr="00354A4C" w:rsidRDefault="00354A4C" w:rsidP="00354A4C">
      <w:pPr>
        <w:pStyle w:val="ListParagraph"/>
        <w:numPr>
          <w:ilvl w:val="0"/>
          <w:numId w:val="34"/>
        </w:numPr>
        <w:spacing w:before="0" w:after="0" w:line="240" w:lineRule="auto"/>
        <w:contextualSpacing w:val="0"/>
        <w:jc w:val="both"/>
      </w:pPr>
      <w:r w:rsidRPr="00354A4C">
        <w:t xml:space="preserve">A Master’s degree in Natural Resources Management, Geography, Forestry, Biological Sciences, Environmental Science or other closely related field. </w:t>
      </w:r>
      <w:r w:rsidRPr="00354A4C">
        <w:rPr>
          <w:u w:val="single"/>
        </w:rPr>
        <w:t>____10__</w:t>
      </w:r>
    </w:p>
    <w:p w:rsidR="00D6638C" w:rsidRPr="00354A4C" w:rsidRDefault="00D6638C" w:rsidP="00A92DE4">
      <w:pPr>
        <w:spacing w:before="60" w:after="60" w:line="240" w:lineRule="auto"/>
        <w:ind w:left="720"/>
        <w:rPr>
          <w:rFonts w:eastAsia="Times New Roman" w:cs="Times New Roman"/>
          <w:sz w:val="20"/>
          <w:szCs w:val="20"/>
        </w:rPr>
      </w:pPr>
    </w:p>
    <w:p w:rsidR="00022F8E" w:rsidRDefault="00022F8E" w:rsidP="00F05366">
      <w:pPr>
        <w:pStyle w:val="Heading51"/>
        <w:rPr>
          <w:sz w:val="20"/>
          <w:szCs w:val="20"/>
        </w:rPr>
      </w:pPr>
      <w:bookmarkStart w:id="38" w:name="_Toc278193977"/>
      <w:bookmarkStart w:id="39" w:name="_Toc299122835"/>
      <w:bookmarkStart w:id="40" w:name="_Toc299122857"/>
      <w:bookmarkStart w:id="41" w:name="_Toc299126624"/>
      <w:bookmarkStart w:id="42" w:name="_Toc299133050"/>
      <w:bookmarkStart w:id="43" w:name="_Toc321341559"/>
    </w:p>
    <w:p w:rsidR="00354A4C" w:rsidRDefault="00354A4C" w:rsidP="00354A4C"/>
    <w:p w:rsidR="00354A4C" w:rsidRPr="00354A4C" w:rsidRDefault="00354A4C" w:rsidP="00354A4C"/>
    <w:p w:rsidR="00D6638C" w:rsidRDefault="00D6638C" w:rsidP="00F05366">
      <w:pPr>
        <w:pStyle w:val="Heading51"/>
      </w:pPr>
      <w:r w:rsidRPr="00D6638C">
        <w:t>Evaluator Ethics</w:t>
      </w:r>
      <w:bookmarkEnd w:id="38"/>
      <w:bookmarkEnd w:id="39"/>
      <w:bookmarkEnd w:id="40"/>
      <w:bookmarkEnd w:id="41"/>
      <w:bookmarkEnd w:id="42"/>
      <w:bookmarkEnd w:id="43"/>
    </w:p>
    <w:p w:rsidR="00022F8E" w:rsidRPr="00022F8E" w:rsidRDefault="00022F8E" w:rsidP="00022F8E"/>
    <w:p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1"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4" w:name="_Toc299126626"/>
      <w:bookmarkStart w:id="45" w:name="_Toc299133051"/>
      <w:bookmarkStart w:id="46" w:name="_Toc321341560"/>
      <w:bookmarkStart w:id="47" w:name="_Toc299122837"/>
      <w:bookmarkStart w:id="48" w:name="_Toc299122859"/>
      <w:bookmarkStart w:id="49" w:name="_Toc299126627"/>
      <w:r w:rsidRPr="00D6638C">
        <w:t>Payment modalities and specifications</w:t>
      </w:r>
      <w:bookmarkEnd w:id="44"/>
      <w:bookmarkEnd w:id="45"/>
      <w:bookmarkEnd w:id="46"/>
      <w:r w:rsidR="00E23201">
        <w:t xml:space="preserve"> </w:t>
      </w:r>
    </w:p>
    <w:p w:rsidR="00E23201" w:rsidRPr="00E23201" w:rsidRDefault="00E23201" w:rsidP="00E23201">
      <w:r w:rsidRPr="00310398">
        <w:rPr>
          <w:highlight w:val="lightGray"/>
        </w:rPr>
        <w:t>(</w:t>
      </w:r>
      <w:proofErr w:type="gramStart"/>
      <w:r w:rsidRPr="00310398">
        <w:rPr>
          <w:i/>
          <w:highlight w:val="lightGray"/>
        </w:rPr>
        <w:t>this</w:t>
      </w:r>
      <w:proofErr w:type="gramEnd"/>
      <w:r w:rsidRPr="00310398">
        <w:rPr>
          <w:i/>
          <w:highlight w:val="lightGray"/>
        </w:rPr>
        <w:t xml:space="preserve">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rsidR="00D6638C" w:rsidRPr="00D6638C" w:rsidRDefault="00943C3D"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Final inception Report </w:t>
            </w:r>
          </w:p>
        </w:tc>
      </w:tr>
      <w:tr w:rsidR="00D6638C" w:rsidRPr="00D6638C" w:rsidTr="006C1964">
        <w:tc>
          <w:tcPr>
            <w:tcW w:w="1278" w:type="dxa"/>
          </w:tcPr>
          <w:p w:rsidR="00D6638C" w:rsidRPr="00E23201" w:rsidRDefault="00943C3D"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30</w:t>
            </w:r>
            <w:r w:rsidR="00D6638C" w:rsidRPr="00E23201">
              <w:rPr>
                <w:rFonts w:ascii="Calibri" w:eastAsia="Times New Roman" w:hAnsi="Calibri" w:cs="Times New Roman"/>
                <w:i/>
                <w:sz w:val="20"/>
                <w:szCs w:val="20"/>
              </w:rPr>
              <w:t>%</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6C1964">
        <w:tc>
          <w:tcPr>
            <w:tcW w:w="1278" w:type="dxa"/>
          </w:tcPr>
          <w:p w:rsidR="00D6638C" w:rsidRPr="00E23201" w:rsidRDefault="00943C3D"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60</w:t>
            </w:r>
            <w:r w:rsidR="00D6638C" w:rsidRPr="00E23201">
              <w:rPr>
                <w:rFonts w:ascii="Calibri" w:eastAsia="Times New Roman" w:hAnsi="Calibri" w:cs="Times New Roman"/>
                <w:i/>
                <w:sz w:val="20"/>
                <w:szCs w:val="20"/>
              </w:rPr>
              <w:t>%</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50" w:name="_Toc299133052"/>
      <w:bookmarkStart w:id="51" w:name="_Toc321341561"/>
      <w:r w:rsidRPr="00D6638C">
        <w:t>Application process</w:t>
      </w:r>
      <w:bookmarkEnd w:id="47"/>
      <w:bookmarkEnd w:id="48"/>
      <w:bookmarkEnd w:id="49"/>
      <w:bookmarkEnd w:id="50"/>
      <w:bookmarkEnd w:id="51"/>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w:t>
      </w:r>
      <w:r w:rsidR="00943C3D" w:rsidRPr="00D6638C">
        <w:rPr>
          <w:rFonts w:ascii="Calibri" w:eastAsia="Times New Roman" w:hAnsi="Calibri" w:cs="Times New Roman"/>
          <w:sz w:val="20"/>
          <w:szCs w:val="20"/>
        </w:rPr>
        <w:t xml:space="preserve">online </w:t>
      </w:r>
      <w:r w:rsidR="00943C3D">
        <w:rPr>
          <w:rFonts w:ascii="Calibri" w:eastAsia="Times New Roman" w:hAnsi="Calibri" w:cs="Times New Roman"/>
          <w:sz w:val="20"/>
          <w:szCs w:val="20"/>
          <w:shd w:val="clear" w:color="auto" w:fill="BFBFBF"/>
        </w:rPr>
        <w:t>procurement.zm@undp.org</w:t>
      </w:r>
      <w:r w:rsidRPr="00D6638C">
        <w:rPr>
          <w:rFonts w:ascii="Calibri" w:eastAsia="Times New Roman" w:hAnsi="Calibri" w:cs="Times New Roman"/>
          <w:sz w:val="20"/>
          <w:szCs w:val="20"/>
          <w:shd w:val="clear" w:color="auto" w:fill="BFBFBF"/>
        </w:rPr>
        <w:t>)</w:t>
      </w:r>
      <w:r w:rsidR="00BE59D1">
        <w:rPr>
          <w:rFonts w:ascii="Calibri" w:eastAsia="Times New Roman" w:hAnsi="Calibri" w:cs="Times New Roman"/>
          <w:sz w:val="20"/>
          <w:szCs w:val="20"/>
        </w:rPr>
        <w:t xml:space="preserve"> by 29</w:t>
      </w:r>
      <w:r w:rsidR="00BE59D1" w:rsidRPr="00BE59D1">
        <w:rPr>
          <w:rFonts w:ascii="Calibri" w:eastAsia="Times New Roman" w:hAnsi="Calibri" w:cs="Times New Roman"/>
          <w:sz w:val="20"/>
          <w:szCs w:val="20"/>
          <w:vertAlign w:val="superscript"/>
        </w:rPr>
        <w:t>th</w:t>
      </w:r>
      <w:r w:rsidR="00BE59D1">
        <w:rPr>
          <w:rFonts w:ascii="Calibri" w:eastAsia="Times New Roman" w:hAnsi="Calibri" w:cs="Times New Roman"/>
          <w:sz w:val="20"/>
          <w:szCs w:val="20"/>
        </w:rPr>
        <w:t xml:space="preserve"> February 2020. </w:t>
      </w:r>
      <w:r w:rsidRPr="00D6638C">
        <w:rPr>
          <w:rFonts w:ascii="Calibri" w:eastAsia="Times New Roman" w:hAnsi="Calibri" w:cs="Times New Roman"/>
          <w:sz w:val="20"/>
          <w:szCs w:val="20"/>
        </w:rPr>
        <w:t xml:space="preserve">Individual consultants are invited to submit applications together with their CV for these positions. The application should contain a current and complete C.V. in </w:t>
      </w:r>
      <w:r w:rsidR="003D37DE" w:rsidRPr="00D6638C">
        <w:rPr>
          <w:rFonts w:ascii="Calibri" w:eastAsia="Times New Roman" w:hAnsi="Calibri" w:cs="Times New Roman"/>
          <w:sz w:val="20"/>
          <w:szCs w:val="20"/>
        </w:rPr>
        <w:t>English with</w:t>
      </w:r>
      <w:r w:rsidRPr="00D6638C">
        <w:rPr>
          <w:rFonts w:ascii="Calibri" w:eastAsia="Times New Roman" w:hAnsi="Calibri" w:cs="Times New Roman"/>
          <w:sz w:val="20"/>
          <w:szCs w:val="20"/>
        </w:rPr>
        <w:t xml:space="preserve"> indication of the e‐mail and phone contact. Shortlisted candidates will be requested to submit a price offer indicating the total cost of the assignment (including daily fee, per diem and travel costs).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UNDP applies a fair and transparent selection process that will take into account the competencies/skills of the applicants as well as their financial proposals. Qualified women and members of social minorities are encouraged to apply.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52" w:name="_TOR_Annex_A:"/>
      <w:bookmarkStart w:id="53" w:name="_Toc299122844"/>
      <w:bookmarkStart w:id="54" w:name="_Toc299122866"/>
      <w:bookmarkStart w:id="55" w:name="_Toc299126630"/>
      <w:bookmarkStart w:id="56" w:name="_Toc299133053"/>
      <w:bookmarkStart w:id="57" w:name="_Toc321341562"/>
      <w:bookmarkEnd w:id="52"/>
      <w:r w:rsidRPr="00D6638C">
        <w:t>Annex A: Project Logical Framework</w:t>
      </w:r>
      <w:bookmarkEnd w:id="53"/>
      <w:bookmarkEnd w:id="54"/>
      <w:bookmarkEnd w:id="55"/>
      <w:bookmarkEnd w:id="56"/>
      <w:bookmarkEnd w:id="57"/>
    </w:p>
    <w:p w:rsidR="00BB2DF6" w:rsidRPr="00CD51ED" w:rsidRDefault="00BB2DF6" w:rsidP="0093330D">
      <w:pPr>
        <w:pStyle w:val="Heading1"/>
        <w:keepLines w:val="0"/>
        <w:tabs>
          <w:tab w:val="left" w:pos="539"/>
        </w:tabs>
        <w:suppressAutoHyphens/>
        <w:spacing w:before="0" w:line="240" w:lineRule="auto"/>
        <w:ind w:left="357"/>
        <w:jc w:val="both"/>
        <w:rPr>
          <w:rFonts w:cs="Arial"/>
          <w:szCs w:val="22"/>
        </w:rPr>
      </w:pPr>
      <w:bookmarkStart w:id="58" w:name="_Toc371514451"/>
      <w:bookmarkStart w:id="59" w:name="_Toc412253090"/>
      <w:bookmarkStart w:id="60" w:name="_Toc207800912"/>
      <w:r w:rsidRPr="00CD51ED">
        <w:rPr>
          <w:rFonts w:cs="Arial"/>
          <w:szCs w:val="22"/>
        </w:rPr>
        <w:t>Project Results Framework</w:t>
      </w:r>
      <w:bookmarkEnd w:id="58"/>
      <w:bookmarkEnd w:id="59"/>
      <w:r w:rsidRPr="00CD51ED">
        <w:rPr>
          <w:rFonts w:cs="Arial"/>
          <w:szCs w:val="22"/>
        </w:rPr>
        <w:t xml:space="preserve">  </w:t>
      </w:r>
      <w:bookmarkEnd w:id="60"/>
    </w:p>
    <w:p w:rsidR="00BB2DF6" w:rsidRPr="00CD51ED" w:rsidRDefault="00BB2DF6" w:rsidP="00BB2DF6">
      <w:pPr>
        <w:pStyle w:val="Normal1"/>
        <w:rPr>
          <w:b/>
          <w:bCs/>
          <w:noProof w:val="0"/>
          <w:sz w:val="20"/>
          <w:szCs w:val="20"/>
          <w:lang w:val="en-GB"/>
        </w:rPr>
      </w:pPr>
    </w:p>
    <w:tbl>
      <w:tblPr>
        <w:tblW w:w="53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101"/>
        <w:gridCol w:w="1120"/>
        <w:gridCol w:w="1540"/>
        <w:gridCol w:w="4837"/>
        <w:gridCol w:w="2997"/>
      </w:tblGrid>
      <w:tr w:rsidR="00BB2DF6" w:rsidRPr="0067751B" w:rsidTr="0067751B">
        <w:trPr>
          <w:jc w:val="center"/>
        </w:trPr>
        <w:tc>
          <w:tcPr>
            <w:tcW w:w="5000" w:type="pct"/>
            <w:gridSpan w:val="6"/>
            <w:shd w:val="clear" w:color="auto" w:fill="auto"/>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 xml:space="preserve">This project will contribute to achieving the following Country Programme Outcome as defined in CPAP or CPD: </w:t>
            </w:r>
          </w:p>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CPAP Focus Area 2: Sustainable Environment and Climate Change</w:t>
            </w:r>
          </w:p>
          <w:p w:rsidR="00BB2DF6" w:rsidRPr="0067751B" w:rsidRDefault="00BB2DF6" w:rsidP="0067751B">
            <w:pPr>
              <w:pStyle w:val="Normal1"/>
              <w:rPr>
                <w:rFonts w:asciiTheme="minorHAnsi" w:hAnsiTheme="minorHAnsi" w:cstheme="minorHAnsi"/>
                <w:bCs/>
                <w:noProof w:val="0"/>
                <w:sz w:val="20"/>
                <w:szCs w:val="20"/>
                <w:lang w:val="en-GB"/>
              </w:rPr>
            </w:pPr>
          </w:p>
        </w:tc>
      </w:tr>
      <w:tr w:rsidR="00BB2DF6" w:rsidRPr="0067751B" w:rsidTr="0067751B">
        <w:trPr>
          <w:trHeight w:val="245"/>
          <w:jc w:val="center"/>
        </w:trPr>
        <w:tc>
          <w:tcPr>
            <w:tcW w:w="5000" w:type="pct"/>
            <w:gridSpan w:val="6"/>
            <w:shd w:val="clear" w:color="auto" w:fill="auto"/>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Country Programme Outcome Indicators:</w:t>
            </w:r>
          </w:p>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Output 2: Vulnerable communities better equipped when faced with climate change.</w:t>
            </w:r>
          </w:p>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Output 3: More effective reservation interventions for the environment and ecosystem.</w:t>
            </w:r>
          </w:p>
        </w:tc>
      </w:tr>
      <w:tr w:rsidR="00BB2DF6" w:rsidRPr="0067751B" w:rsidTr="0067751B">
        <w:trPr>
          <w:trHeight w:val="244"/>
          <w:jc w:val="center"/>
        </w:trPr>
        <w:tc>
          <w:tcPr>
            <w:tcW w:w="5000" w:type="pct"/>
            <w:gridSpan w:val="6"/>
            <w:shd w:val="clear" w:color="auto" w:fill="auto"/>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 xml:space="preserve">Primary applicable Key Environment and Sustainable Development Key Result Area:  </w:t>
            </w:r>
          </w:p>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Promote climate change adaptation.</w:t>
            </w:r>
          </w:p>
        </w:tc>
      </w:tr>
      <w:tr w:rsidR="00BB2DF6" w:rsidRPr="0067751B" w:rsidTr="0067751B">
        <w:trPr>
          <w:jc w:val="center"/>
        </w:trPr>
        <w:tc>
          <w:tcPr>
            <w:tcW w:w="5000" w:type="pct"/>
            <w:gridSpan w:val="6"/>
            <w:shd w:val="clear" w:color="auto" w:fill="auto"/>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Applicable SOF (</w:t>
            </w:r>
            <w:proofErr w:type="spellStart"/>
            <w:r w:rsidRPr="0067751B">
              <w:rPr>
                <w:rFonts w:asciiTheme="minorHAnsi" w:hAnsiTheme="minorHAnsi" w:cstheme="minorHAnsi"/>
                <w:b/>
                <w:bCs/>
                <w:noProof w:val="0"/>
                <w:sz w:val="20"/>
                <w:szCs w:val="20"/>
                <w:lang w:val="en-GB"/>
              </w:rPr>
              <w:t>e</w:t>
            </w:r>
            <w:proofErr w:type="gramStart"/>
            <w:r w:rsidRPr="0067751B">
              <w:rPr>
                <w:rFonts w:asciiTheme="minorHAnsi" w:hAnsiTheme="minorHAnsi" w:cstheme="minorHAnsi"/>
                <w:b/>
                <w:bCs/>
                <w:noProof w:val="0"/>
                <w:sz w:val="20"/>
                <w:szCs w:val="20"/>
                <w:lang w:val="en-GB"/>
              </w:rPr>
              <w:t>..</w:t>
            </w:r>
            <w:proofErr w:type="gramEnd"/>
            <w:r w:rsidRPr="0067751B">
              <w:rPr>
                <w:rFonts w:asciiTheme="minorHAnsi" w:hAnsiTheme="minorHAnsi" w:cstheme="minorHAnsi"/>
                <w:b/>
                <w:bCs/>
                <w:noProof w:val="0"/>
                <w:sz w:val="20"/>
                <w:szCs w:val="20"/>
                <w:lang w:val="en-GB"/>
              </w:rPr>
              <w:t>g</w:t>
            </w:r>
            <w:proofErr w:type="spellEnd"/>
            <w:r w:rsidRPr="0067751B">
              <w:rPr>
                <w:rFonts w:asciiTheme="minorHAnsi" w:hAnsiTheme="minorHAnsi" w:cstheme="minorHAnsi"/>
                <w:b/>
                <w:bCs/>
                <w:noProof w:val="0"/>
                <w:sz w:val="20"/>
                <w:szCs w:val="20"/>
                <w:lang w:val="en-GB"/>
              </w:rPr>
              <w:t xml:space="preserve"> GEF) Strategic Objective and Programme:</w:t>
            </w:r>
          </w:p>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CCA-1: Reduce the vulnerability of people, livelihoods, physical assets and natural systems to the adverse effects of climate change.</w:t>
            </w:r>
          </w:p>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Cs/>
                <w:noProof w:val="0"/>
                <w:sz w:val="20"/>
                <w:szCs w:val="20"/>
                <w:lang w:val="en-GB"/>
              </w:rPr>
              <w:t>CCA-2: Strengthen institutional and technical capacities for effective climate change adaptation.</w:t>
            </w:r>
          </w:p>
        </w:tc>
      </w:tr>
      <w:tr w:rsidR="00BB2DF6" w:rsidRPr="0067751B" w:rsidTr="0067751B">
        <w:trPr>
          <w:jc w:val="center"/>
        </w:trPr>
        <w:tc>
          <w:tcPr>
            <w:tcW w:w="5000" w:type="pct"/>
            <w:gridSpan w:val="6"/>
            <w:shd w:val="clear" w:color="auto" w:fill="auto"/>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 xml:space="preserve">Applicable SOF (e.g. GEF) Expected Outcomes: </w:t>
            </w:r>
          </w:p>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Outcomes 1.1, 1.3 and 2.4</w:t>
            </w:r>
          </w:p>
        </w:tc>
      </w:tr>
      <w:tr w:rsidR="00BB2DF6" w:rsidRPr="0067751B" w:rsidTr="0067751B">
        <w:trPr>
          <w:jc w:val="center"/>
        </w:trPr>
        <w:tc>
          <w:tcPr>
            <w:tcW w:w="5000" w:type="pct"/>
            <w:gridSpan w:val="6"/>
            <w:shd w:val="clear" w:color="auto" w:fill="auto"/>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 xml:space="preserve">Applicable SOF (e.g. GEF) Outcome Indicators: </w:t>
            </w:r>
          </w:p>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Cs/>
                <w:noProof w:val="0"/>
                <w:sz w:val="20"/>
                <w:szCs w:val="20"/>
                <w:lang w:val="en-GB"/>
              </w:rPr>
              <w:t>Indicators 1, 2, 4 and 10</w:t>
            </w:r>
          </w:p>
        </w:tc>
      </w:tr>
      <w:tr w:rsidR="00BB2DF6" w:rsidRPr="0067751B" w:rsidTr="0067751B">
        <w:trPr>
          <w:trHeight w:val="544"/>
          <w:jc w:val="center"/>
        </w:trPr>
        <w:tc>
          <w:tcPr>
            <w:tcW w:w="714" w:type="pct"/>
            <w:shd w:val="pct12" w:color="auto" w:fill="auto"/>
            <w:vAlign w:val="center"/>
          </w:tcPr>
          <w:p w:rsidR="00BB2DF6" w:rsidRPr="0067751B" w:rsidRDefault="00BB2DF6" w:rsidP="0067751B">
            <w:pPr>
              <w:pStyle w:val="Normal1"/>
              <w:rPr>
                <w:rFonts w:asciiTheme="minorHAnsi" w:hAnsiTheme="minorHAnsi" w:cstheme="minorHAnsi"/>
                <w:b/>
                <w:bCs/>
                <w:noProof w:val="0"/>
                <w:sz w:val="20"/>
                <w:szCs w:val="20"/>
                <w:lang w:val="en-GB"/>
              </w:rPr>
            </w:pPr>
          </w:p>
        </w:tc>
        <w:tc>
          <w:tcPr>
            <w:tcW w:w="715" w:type="pct"/>
            <w:shd w:val="pct12" w:color="auto" w:fill="auto"/>
            <w:vAlign w:val="center"/>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Indicators</w:t>
            </w:r>
          </w:p>
        </w:tc>
        <w:tc>
          <w:tcPr>
            <w:tcW w:w="381" w:type="pct"/>
            <w:shd w:val="pct12" w:color="auto" w:fill="auto"/>
            <w:vAlign w:val="center"/>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Baseline</w:t>
            </w:r>
          </w:p>
        </w:tc>
        <w:tc>
          <w:tcPr>
            <w:tcW w:w="524" w:type="pct"/>
            <w:shd w:val="pct12" w:color="auto" w:fill="auto"/>
            <w:vAlign w:val="center"/>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Targets</w:t>
            </w:r>
          </w:p>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End of Project</w:t>
            </w:r>
          </w:p>
        </w:tc>
        <w:tc>
          <w:tcPr>
            <w:tcW w:w="1646" w:type="pct"/>
            <w:shd w:val="pct12" w:color="auto" w:fill="auto"/>
            <w:vAlign w:val="center"/>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Source of verification</w:t>
            </w:r>
          </w:p>
        </w:tc>
        <w:tc>
          <w:tcPr>
            <w:tcW w:w="1020" w:type="pct"/>
            <w:shd w:val="pct12" w:color="auto" w:fill="auto"/>
            <w:vAlign w:val="center"/>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Assumptions</w:t>
            </w:r>
          </w:p>
        </w:tc>
      </w:tr>
      <w:tr w:rsidR="00BB2DF6" w:rsidRPr="0067751B" w:rsidTr="0067751B">
        <w:trPr>
          <w:jc w:val="center"/>
        </w:trPr>
        <w:tc>
          <w:tcPr>
            <w:tcW w:w="714" w:type="pct"/>
            <w:shd w:val="pct12" w:color="auto" w:fill="auto"/>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Project Objective</w:t>
            </w:r>
            <w:r w:rsidRPr="0067751B">
              <w:rPr>
                <w:rStyle w:val="FootnoteReference"/>
                <w:rFonts w:asciiTheme="minorHAnsi" w:hAnsiTheme="minorHAnsi" w:cstheme="minorHAnsi"/>
                <w:b/>
                <w:bCs/>
                <w:noProof w:val="0"/>
                <w:sz w:val="20"/>
                <w:szCs w:val="20"/>
                <w:lang w:val="en-GB"/>
              </w:rPr>
              <w:footnoteReference w:id="5"/>
            </w:r>
            <w:r w:rsidRPr="0067751B">
              <w:rPr>
                <w:rFonts w:asciiTheme="minorHAnsi" w:hAnsiTheme="minorHAnsi" w:cstheme="minorHAnsi"/>
                <w:b/>
                <w:bCs/>
                <w:noProof w:val="0"/>
                <w:sz w:val="20"/>
                <w:szCs w:val="20"/>
                <w:lang w:val="en-GB"/>
              </w:rPr>
              <w:t xml:space="preserve"> </w:t>
            </w:r>
          </w:p>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To promote climate-resilient, community-based regeneration of indigenous forests in Zambia’s Central Province, thereby securing ecosystems goods and services and enhancing the adaptive capacity of local communities.</w:t>
            </w:r>
          </w:p>
          <w:p w:rsidR="00BB2DF6" w:rsidRPr="0067751B" w:rsidRDefault="00BB2DF6" w:rsidP="0067751B">
            <w:pPr>
              <w:pStyle w:val="Normal1"/>
              <w:rPr>
                <w:rFonts w:asciiTheme="minorHAnsi" w:hAnsiTheme="minorHAnsi" w:cstheme="minorHAnsi"/>
                <w:bCs/>
                <w:noProof w:val="0"/>
                <w:sz w:val="20"/>
                <w:szCs w:val="20"/>
                <w:lang w:val="en-GB"/>
              </w:rPr>
            </w:pPr>
          </w:p>
        </w:tc>
        <w:tc>
          <w:tcPr>
            <w:tcW w:w="715" w:type="pct"/>
          </w:tcPr>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lastRenderedPageBreak/>
              <w:t>Number of foresters and members of local groups in Central Province participating in climate-resilient, community-based regeneration of indigenous forests.</w:t>
            </w: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 xml:space="preserve">Number of households benefiting from climate-resilient, </w:t>
            </w:r>
            <w:r w:rsidRPr="0067751B">
              <w:rPr>
                <w:rFonts w:asciiTheme="minorHAnsi" w:hAnsiTheme="minorHAnsi" w:cstheme="minorHAnsi"/>
                <w:bCs/>
                <w:noProof w:val="0"/>
                <w:sz w:val="20"/>
                <w:szCs w:val="20"/>
                <w:lang w:val="en-GB"/>
              </w:rPr>
              <w:lastRenderedPageBreak/>
              <w:t>community-based regeneration of indigenous forests.</w:t>
            </w:r>
          </w:p>
        </w:tc>
        <w:tc>
          <w:tcPr>
            <w:tcW w:w="381" w:type="pct"/>
          </w:tcPr>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lastRenderedPageBreak/>
              <w:t>0</w:t>
            </w: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Cs/>
                <w:noProof w:val="0"/>
                <w:sz w:val="20"/>
                <w:szCs w:val="20"/>
                <w:lang w:val="en-GB"/>
              </w:rPr>
              <w:t>0</w:t>
            </w:r>
          </w:p>
        </w:tc>
        <w:tc>
          <w:tcPr>
            <w:tcW w:w="524" w:type="pct"/>
          </w:tcPr>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At least 20 foresters and 1,200 members of local groups.</w:t>
            </w: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At least 3,000 households.</w:t>
            </w:r>
          </w:p>
        </w:tc>
        <w:tc>
          <w:tcPr>
            <w:tcW w:w="1646" w:type="pct"/>
          </w:tcPr>
          <w:p w:rsidR="00BB2DF6" w:rsidRPr="0067751B" w:rsidRDefault="00BB2DF6" w:rsidP="0067751B">
            <w:pPr>
              <w:rPr>
                <w:rFonts w:cstheme="minorHAnsi"/>
                <w:bCs/>
                <w:sz w:val="20"/>
                <w:szCs w:val="20"/>
              </w:rPr>
            </w:pPr>
            <w:r w:rsidRPr="0067751B">
              <w:rPr>
                <w:rFonts w:cstheme="minorHAnsi"/>
                <w:bCs/>
                <w:sz w:val="20"/>
                <w:szCs w:val="20"/>
              </w:rPr>
              <w:t xml:space="preserve">Training reports, capacity scorecards (see source of verification for Outcomes 1 and 2), consultations with forest officers and local communities at project intervention sites in </w:t>
            </w:r>
            <w:proofErr w:type="spellStart"/>
            <w:r w:rsidRPr="0067751B">
              <w:rPr>
                <w:rFonts w:cstheme="minorHAnsi"/>
                <w:bCs/>
                <w:sz w:val="20"/>
                <w:szCs w:val="20"/>
              </w:rPr>
              <w:t>Serenje</w:t>
            </w:r>
            <w:proofErr w:type="spellEnd"/>
            <w:r w:rsidRPr="0067751B">
              <w:rPr>
                <w:rFonts w:cstheme="minorHAnsi"/>
                <w:bCs/>
                <w:sz w:val="20"/>
                <w:szCs w:val="20"/>
              </w:rPr>
              <w:t xml:space="preserve"> District.</w:t>
            </w:r>
          </w:p>
          <w:p w:rsidR="00BB2DF6" w:rsidRPr="0067751B" w:rsidRDefault="00BB2DF6" w:rsidP="0067751B">
            <w:pPr>
              <w:rPr>
                <w:rFonts w:cstheme="minorHAnsi"/>
                <w:bCs/>
                <w:sz w:val="20"/>
                <w:szCs w:val="20"/>
              </w:rPr>
            </w:pPr>
          </w:p>
          <w:p w:rsidR="00BB2DF6" w:rsidRPr="0067751B" w:rsidRDefault="00BB2DF6" w:rsidP="0067751B">
            <w:pPr>
              <w:rPr>
                <w:rFonts w:cstheme="minorHAnsi"/>
                <w:bCs/>
                <w:sz w:val="20"/>
                <w:szCs w:val="20"/>
              </w:rPr>
            </w:pPr>
          </w:p>
          <w:p w:rsidR="00BB2DF6" w:rsidRPr="0067751B" w:rsidRDefault="00BB2DF6" w:rsidP="0067751B">
            <w:pPr>
              <w:rPr>
                <w:rFonts w:cstheme="minorHAnsi"/>
                <w:bCs/>
                <w:sz w:val="20"/>
                <w:szCs w:val="20"/>
              </w:rPr>
            </w:pPr>
          </w:p>
          <w:p w:rsidR="00BB2DF6" w:rsidRPr="0067751B" w:rsidRDefault="00BB2DF6" w:rsidP="0067751B">
            <w:pPr>
              <w:rPr>
                <w:rFonts w:cstheme="minorHAnsi"/>
                <w:bCs/>
                <w:sz w:val="20"/>
                <w:szCs w:val="20"/>
              </w:rPr>
            </w:pPr>
          </w:p>
          <w:p w:rsidR="00BB2DF6" w:rsidRPr="0067751B" w:rsidRDefault="00BB2DF6" w:rsidP="0067751B">
            <w:pPr>
              <w:rPr>
                <w:rFonts w:cstheme="minorHAnsi"/>
                <w:sz w:val="20"/>
                <w:szCs w:val="20"/>
              </w:rPr>
            </w:pPr>
            <w:r w:rsidRPr="0067751B">
              <w:rPr>
                <w:rFonts w:cstheme="minorHAnsi"/>
                <w:sz w:val="20"/>
                <w:szCs w:val="20"/>
              </w:rPr>
              <w:t>Household surveys at intervention sites at project inception and termination.</w:t>
            </w:r>
          </w:p>
          <w:p w:rsidR="00BB2DF6" w:rsidRPr="0067751B" w:rsidRDefault="00BB2DF6" w:rsidP="0067751B">
            <w:pPr>
              <w:rPr>
                <w:rFonts w:cstheme="minorHAnsi"/>
                <w:bCs/>
                <w:sz w:val="20"/>
                <w:szCs w:val="20"/>
              </w:rPr>
            </w:pPr>
          </w:p>
        </w:tc>
        <w:tc>
          <w:tcPr>
            <w:tcW w:w="1020" w:type="pct"/>
          </w:tcPr>
          <w:p w:rsidR="00BB2DF6" w:rsidRPr="0067751B" w:rsidRDefault="00BB2DF6" w:rsidP="0067751B">
            <w:pPr>
              <w:rPr>
                <w:rFonts w:cstheme="minorHAnsi"/>
                <w:i/>
                <w:sz w:val="20"/>
                <w:szCs w:val="20"/>
              </w:rPr>
            </w:pPr>
            <w:r w:rsidRPr="0067751B">
              <w:rPr>
                <w:rFonts w:cstheme="minorHAnsi"/>
                <w:i/>
                <w:sz w:val="20"/>
                <w:szCs w:val="20"/>
              </w:rPr>
              <w:lastRenderedPageBreak/>
              <w:t>Assumption</w:t>
            </w:r>
          </w:p>
          <w:p w:rsidR="00BB2DF6" w:rsidRPr="0067751B" w:rsidRDefault="00BB2DF6" w:rsidP="0067751B">
            <w:pPr>
              <w:rPr>
                <w:rFonts w:cstheme="minorHAnsi"/>
                <w:sz w:val="20"/>
                <w:szCs w:val="20"/>
              </w:rPr>
            </w:pPr>
            <w:r w:rsidRPr="0067751B">
              <w:rPr>
                <w:rFonts w:cstheme="minorHAnsi"/>
                <w:sz w:val="20"/>
                <w:szCs w:val="20"/>
              </w:rPr>
              <w:t>District forestry officers and VAGs will apply information disseminated, maps and trainings.</w:t>
            </w:r>
          </w:p>
          <w:p w:rsidR="00BB2DF6" w:rsidRPr="0067751B" w:rsidRDefault="00BB2DF6" w:rsidP="0067751B">
            <w:pPr>
              <w:rPr>
                <w:rFonts w:cstheme="minorHAnsi"/>
                <w:sz w:val="20"/>
                <w:szCs w:val="20"/>
              </w:rPr>
            </w:pPr>
          </w:p>
          <w:p w:rsidR="00BB2DF6" w:rsidRPr="0067751B" w:rsidRDefault="00BB2DF6" w:rsidP="0067751B">
            <w:pPr>
              <w:rPr>
                <w:rFonts w:cstheme="minorHAnsi"/>
                <w:sz w:val="20"/>
                <w:szCs w:val="20"/>
              </w:rPr>
            </w:pPr>
            <w:r w:rsidRPr="0067751B">
              <w:rPr>
                <w:rFonts w:cstheme="minorHAnsi"/>
                <w:sz w:val="20"/>
                <w:szCs w:val="20"/>
              </w:rPr>
              <w:t xml:space="preserve">Regeneration activities occur in timely fashion; and intervention sites are effectively managed and </w:t>
            </w:r>
            <w:r w:rsidRPr="0067751B">
              <w:rPr>
                <w:rFonts w:cstheme="minorHAnsi"/>
                <w:sz w:val="20"/>
                <w:szCs w:val="20"/>
              </w:rPr>
              <w:lastRenderedPageBreak/>
              <w:t>conserved.</w:t>
            </w:r>
          </w:p>
          <w:p w:rsidR="00BB2DF6" w:rsidRPr="0067751B" w:rsidRDefault="00BB2DF6" w:rsidP="0067751B">
            <w:pPr>
              <w:rPr>
                <w:rFonts w:cstheme="minorHAnsi"/>
                <w:sz w:val="20"/>
                <w:szCs w:val="20"/>
              </w:rPr>
            </w:pPr>
          </w:p>
          <w:p w:rsidR="00BB2DF6" w:rsidRPr="0067751B" w:rsidRDefault="00BB2DF6" w:rsidP="0067751B">
            <w:pPr>
              <w:rPr>
                <w:rFonts w:cstheme="minorHAnsi"/>
                <w:i/>
                <w:sz w:val="20"/>
                <w:szCs w:val="20"/>
              </w:rPr>
            </w:pPr>
            <w:r w:rsidRPr="0067751B">
              <w:rPr>
                <w:rFonts w:cstheme="minorHAnsi"/>
                <w:i/>
                <w:sz w:val="20"/>
                <w:szCs w:val="20"/>
              </w:rPr>
              <w:t>Risk</w:t>
            </w:r>
          </w:p>
          <w:p w:rsidR="00BB2DF6" w:rsidRPr="0067751B" w:rsidRDefault="00BB2DF6" w:rsidP="0067751B">
            <w:pPr>
              <w:rPr>
                <w:rFonts w:cstheme="minorHAnsi"/>
                <w:sz w:val="20"/>
                <w:szCs w:val="20"/>
              </w:rPr>
            </w:pPr>
            <w:r w:rsidRPr="0067751B">
              <w:rPr>
                <w:rFonts w:cstheme="minorHAnsi"/>
                <w:sz w:val="20"/>
                <w:szCs w:val="20"/>
              </w:rPr>
              <w:t xml:space="preserve">Encroachment threatens </w:t>
            </w:r>
            <w:proofErr w:type="spellStart"/>
            <w:r w:rsidRPr="0067751B">
              <w:rPr>
                <w:rFonts w:cstheme="minorHAnsi"/>
                <w:sz w:val="20"/>
                <w:szCs w:val="20"/>
              </w:rPr>
              <w:t>miombo</w:t>
            </w:r>
            <w:proofErr w:type="spellEnd"/>
            <w:r w:rsidRPr="0067751B">
              <w:rPr>
                <w:rFonts w:cstheme="minorHAnsi"/>
                <w:sz w:val="20"/>
                <w:szCs w:val="20"/>
              </w:rPr>
              <w:t xml:space="preserve"> woodlands, thereby undermining project interventions.</w:t>
            </w:r>
          </w:p>
          <w:p w:rsidR="00BB2DF6" w:rsidRPr="0067751B" w:rsidRDefault="00BB2DF6" w:rsidP="0067751B">
            <w:pPr>
              <w:rPr>
                <w:rFonts w:cstheme="minorHAnsi"/>
                <w:sz w:val="20"/>
                <w:szCs w:val="20"/>
              </w:rPr>
            </w:pPr>
          </w:p>
        </w:tc>
      </w:tr>
      <w:tr w:rsidR="00BB2DF6" w:rsidRPr="0067751B" w:rsidTr="0067751B">
        <w:trPr>
          <w:jc w:val="center"/>
        </w:trPr>
        <w:tc>
          <w:tcPr>
            <w:tcW w:w="714" w:type="pct"/>
            <w:vMerge w:val="restart"/>
            <w:shd w:val="pct12" w:color="auto" w:fill="auto"/>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lastRenderedPageBreak/>
              <w:t>Outcome 1</w:t>
            </w:r>
            <w:r w:rsidRPr="0067751B">
              <w:rPr>
                <w:rStyle w:val="FootnoteReference"/>
                <w:rFonts w:asciiTheme="minorHAnsi" w:hAnsiTheme="minorHAnsi" w:cstheme="minorHAnsi"/>
                <w:b/>
                <w:bCs/>
                <w:noProof w:val="0"/>
                <w:sz w:val="20"/>
                <w:szCs w:val="20"/>
                <w:lang w:val="en-GB"/>
              </w:rPr>
              <w:footnoteReference w:id="6"/>
            </w:r>
          </w:p>
          <w:p w:rsidR="00BB2DF6" w:rsidRPr="0067751B" w:rsidRDefault="00BB2DF6" w:rsidP="0067751B">
            <w:pPr>
              <w:rPr>
                <w:rFonts w:cstheme="minorHAnsi"/>
                <w:b/>
                <w:bCs/>
                <w:sz w:val="20"/>
                <w:szCs w:val="20"/>
              </w:rPr>
            </w:pPr>
            <w:r w:rsidRPr="0067751B">
              <w:rPr>
                <w:rFonts w:cstheme="minorHAnsi"/>
                <w:sz w:val="20"/>
                <w:szCs w:val="20"/>
              </w:rPr>
              <w:t>Strengthened technical and institutional capacity of foresters and communities in Central Province to implement appropriate climate-resilient agro-forestry and natural regeneration practices in designated zones.</w:t>
            </w:r>
          </w:p>
        </w:tc>
        <w:tc>
          <w:tcPr>
            <w:tcW w:w="715" w:type="pct"/>
          </w:tcPr>
          <w:p w:rsidR="00BB2DF6" w:rsidRPr="0067751B" w:rsidRDefault="00BB2DF6" w:rsidP="0067751B">
            <w:pPr>
              <w:rPr>
                <w:rFonts w:cstheme="minorHAnsi"/>
                <w:b/>
                <w:bCs/>
                <w:sz w:val="20"/>
                <w:szCs w:val="20"/>
              </w:rPr>
            </w:pPr>
            <w:r w:rsidRPr="0067751B">
              <w:rPr>
                <w:rFonts w:cstheme="minorHAnsi"/>
                <w:sz w:val="20"/>
                <w:szCs w:val="20"/>
              </w:rPr>
              <w:t>1.1 Change in capacity score of district forestry officers and Village Action Group (VAG) members for planning and implementing Assisted Natural Regeneration (ANR) and agro-forestry interventions (CCA Indicator 10).</w:t>
            </w:r>
          </w:p>
        </w:tc>
        <w:tc>
          <w:tcPr>
            <w:tcW w:w="381" w:type="pct"/>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0</w:t>
            </w:r>
          </w:p>
        </w:tc>
        <w:tc>
          <w:tcPr>
            <w:tcW w:w="524" w:type="pct"/>
          </w:tcPr>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1.1 VAGs and district forestry officers score at least 2.</w:t>
            </w:r>
          </w:p>
        </w:tc>
        <w:tc>
          <w:tcPr>
            <w:tcW w:w="1646" w:type="pct"/>
          </w:tcPr>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Verified through scoring scorecard methodologies adapted from AMAT (2014). The indicator is based on five criteria of the capacity assessment framework:</w:t>
            </w: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BB2DF6">
            <w:pPr>
              <w:numPr>
                <w:ilvl w:val="0"/>
                <w:numId w:val="37"/>
              </w:numPr>
              <w:spacing w:after="0" w:line="240" w:lineRule="auto"/>
              <w:jc w:val="both"/>
              <w:rPr>
                <w:rFonts w:cstheme="minorHAnsi"/>
                <w:sz w:val="20"/>
                <w:szCs w:val="20"/>
              </w:rPr>
            </w:pPr>
            <w:r w:rsidRPr="0067751B">
              <w:rPr>
                <w:rFonts w:cstheme="minorHAnsi"/>
                <w:sz w:val="20"/>
                <w:szCs w:val="20"/>
              </w:rPr>
              <w:t>Are the stakeholders able to identify climate change risks and appropriate ANR interventions?</w:t>
            </w:r>
          </w:p>
          <w:p w:rsidR="00BB2DF6" w:rsidRPr="0067751B" w:rsidRDefault="00BB2DF6" w:rsidP="00BB2DF6">
            <w:pPr>
              <w:numPr>
                <w:ilvl w:val="0"/>
                <w:numId w:val="37"/>
              </w:numPr>
              <w:spacing w:after="0" w:line="240" w:lineRule="auto"/>
              <w:jc w:val="both"/>
              <w:rPr>
                <w:rFonts w:cstheme="minorHAnsi"/>
                <w:sz w:val="20"/>
                <w:szCs w:val="20"/>
              </w:rPr>
            </w:pPr>
            <w:r w:rsidRPr="0067751B">
              <w:rPr>
                <w:rFonts w:cstheme="minorHAnsi"/>
                <w:sz w:val="20"/>
                <w:szCs w:val="20"/>
              </w:rPr>
              <w:t>Are the stakeholders specifying targets for these interventions?</w:t>
            </w:r>
          </w:p>
          <w:p w:rsidR="00BB2DF6" w:rsidRPr="0067751B" w:rsidRDefault="00BB2DF6" w:rsidP="00BB2DF6">
            <w:pPr>
              <w:numPr>
                <w:ilvl w:val="0"/>
                <w:numId w:val="37"/>
              </w:numPr>
              <w:spacing w:after="0" w:line="240" w:lineRule="auto"/>
              <w:jc w:val="both"/>
              <w:rPr>
                <w:rFonts w:cstheme="minorHAnsi"/>
                <w:sz w:val="20"/>
                <w:szCs w:val="20"/>
              </w:rPr>
            </w:pPr>
            <w:r w:rsidRPr="0067751B">
              <w:rPr>
                <w:rFonts w:cstheme="minorHAnsi"/>
                <w:sz w:val="20"/>
                <w:szCs w:val="20"/>
              </w:rPr>
              <w:t>Have the institutions clearly defined roles and responsibilities for the coordination and implementation of these interventions?</w:t>
            </w:r>
          </w:p>
          <w:p w:rsidR="00BB2DF6" w:rsidRPr="0067751B" w:rsidRDefault="00BB2DF6" w:rsidP="00BB2DF6">
            <w:pPr>
              <w:numPr>
                <w:ilvl w:val="0"/>
                <w:numId w:val="37"/>
              </w:numPr>
              <w:spacing w:after="0" w:line="240" w:lineRule="auto"/>
              <w:jc w:val="both"/>
              <w:rPr>
                <w:rFonts w:cstheme="minorHAnsi"/>
                <w:sz w:val="20"/>
                <w:szCs w:val="20"/>
              </w:rPr>
            </w:pPr>
            <w:r w:rsidRPr="0067751B">
              <w:rPr>
                <w:rFonts w:cstheme="minorHAnsi"/>
                <w:sz w:val="20"/>
                <w:szCs w:val="20"/>
              </w:rPr>
              <w:t>Is there evidence of effective implementation of these interventions by these stakeholders?</w:t>
            </w:r>
          </w:p>
          <w:p w:rsidR="00BB2DF6" w:rsidRPr="0067751B" w:rsidRDefault="00BB2DF6" w:rsidP="00BB2DF6">
            <w:pPr>
              <w:numPr>
                <w:ilvl w:val="0"/>
                <w:numId w:val="37"/>
              </w:numPr>
              <w:spacing w:after="0" w:line="240" w:lineRule="auto"/>
              <w:jc w:val="both"/>
              <w:rPr>
                <w:rFonts w:cstheme="minorHAnsi"/>
                <w:sz w:val="20"/>
                <w:szCs w:val="20"/>
              </w:rPr>
            </w:pPr>
            <w:r w:rsidRPr="0067751B">
              <w:rPr>
                <w:rFonts w:cstheme="minorHAnsi"/>
                <w:sz w:val="20"/>
                <w:szCs w:val="20"/>
              </w:rPr>
              <w:t>Is there evidence of institutional capacities for the continuous assessment, learning and review of ANR?</w:t>
            </w:r>
          </w:p>
        </w:tc>
        <w:tc>
          <w:tcPr>
            <w:tcW w:w="1020" w:type="pct"/>
          </w:tcPr>
          <w:p w:rsidR="00BB2DF6" w:rsidRPr="0067751B" w:rsidRDefault="00BB2DF6" w:rsidP="0067751B">
            <w:pPr>
              <w:rPr>
                <w:rFonts w:cstheme="minorHAnsi"/>
                <w:i/>
                <w:sz w:val="20"/>
                <w:szCs w:val="20"/>
              </w:rPr>
            </w:pPr>
            <w:r w:rsidRPr="0067751B">
              <w:rPr>
                <w:rFonts w:cstheme="minorHAnsi"/>
                <w:i/>
                <w:sz w:val="20"/>
                <w:szCs w:val="20"/>
              </w:rPr>
              <w:t>Assumptions</w:t>
            </w:r>
          </w:p>
          <w:p w:rsidR="00BB2DF6" w:rsidRPr="0067751B" w:rsidRDefault="00BB2DF6" w:rsidP="0067751B">
            <w:pPr>
              <w:rPr>
                <w:rFonts w:cstheme="minorHAnsi"/>
                <w:sz w:val="20"/>
                <w:szCs w:val="20"/>
              </w:rPr>
            </w:pPr>
            <w:r w:rsidRPr="0067751B">
              <w:rPr>
                <w:rFonts w:cstheme="minorHAnsi"/>
                <w:sz w:val="20"/>
                <w:szCs w:val="20"/>
              </w:rPr>
              <w:t>District forestry officers and VAGs will apply information disseminated, maps and trainings.</w:t>
            </w:r>
          </w:p>
          <w:p w:rsidR="00BB2DF6" w:rsidRPr="0067751B" w:rsidRDefault="00BB2DF6" w:rsidP="0067751B">
            <w:pPr>
              <w:rPr>
                <w:rFonts w:cstheme="minorHAnsi"/>
                <w:sz w:val="20"/>
                <w:szCs w:val="20"/>
              </w:rPr>
            </w:pPr>
          </w:p>
          <w:p w:rsidR="00BB2DF6" w:rsidRPr="0067751B" w:rsidRDefault="00BB2DF6" w:rsidP="0067751B">
            <w:pPr>
              <w:rPr>
                <w:rFonts w:cstheme="minorHAnsi"/>
                <w:i/>
                <w:sz w:val="20"/>
                <w:szCs w:val="20"/>
              </w:rPr>
            </w:pPr>
            <w:r w:rsidRPr="0067751B">
              <w:rPr>
                <w:rFonts w:cstheme="minorHAnsi"/>
                <w:i/>
                <w:sz w:val="20"/>
                <w:szCs w:val="20"/>
              </w:rPr>
              <w:t>Risk</w:t>
            </w:r>
          </w:p>
          <w:p w:rsidR="00BB2DF6" w:rsidRPr="0067751B" w:rsidRDefault="00BB2DF6" w:rsidP="0067751B">
            <w:pPr>
              <w:rPr>
                <w:rFonts w:cstheme="minorHAnsi"/>
                <w:bCs/>
                <w:sz w:val="20"/>
                <w:szCs w:val="20"/>
              </w:rPr>
            </w:pPr>
            <w:r w:rsidRPr="0067751B">
              <w:rPr>
                <w:rFonts w:cstheme="minorHAnsi"/>
                <w:bCs/>
                <w:sz w:val="20"/>
                <w:szCs w:val="20"/>
              </w:rPr>
              <w:t xml:space="preserve">Trainings are not </w:t>
            </w:r>
            <w:proofErr w:type="gramStart"/>
            <w:r w:rsidRPr="0067751B">
              <w:rPr>
                <w:rFonts w:cstheme="minorHAnsi"/>
                <w:bCs/>
                <w:sz w:val="20"/>
                <w:szCs w:val="20"/>
              </w:rPr>
              <w:t>prepared/delivered</w:t>
            </w:r>
            <w:proofErr w:type="gramEnd"/>
            <w:r w:rsidRPr="0067751B">
              <w:rPr>
                <w:rFonts w:cstheme="minorHAnsi"/>
                <w:bCs/>
                <w:sz w:val="20"/>
                <w:szCs w:val="20"/>
              </w:rPr>
              <w:t xml:space="preserve"> effectively.</w:t>
            </w:r>
          </w:p>
        </w:tc>
      </w:tr>
      <w:tr w:rsidR="00BB2DF6" w:rsidRPr="0067751B" w:rsidTr="0067751B">
        <w:trPr>
          <w:jc w:val="center"/>
        </w:trPr>
        <w:tc>
          <w:tcPr>
            <w:tcW w:w="714" w:type="pct"/>
            <w:vMerge/>
            <w:shd w:val="pct12" w:color="auto" w:fill="auto"/>
          </w:tcPr>
          <w:p w:rsidR="00BB2DF6" w:rsidRPr="0067751B" w:rsidRDefault="00BB2DF6" w:rsidP="0067751B">
            <w:pPr>
              <w:pStyle w:val="Normal1"/>
              <w:rPr>
                <w:rFonts w:asciiTheme="minorHAnsi" w:hAnsiTheme="minorHAnsi" w:cstheme="minorHAnsi"/>
                <w:b/>
                <w:bCs/>
                <w:noProof w:val="0"/>
                <w:sz w:val="20"/>
                <w:szCs w:val="20"/>
                <w:lang w:val="en-GB"/>
              </w:rPr>
            </w:pPr>
          </w:p>
        </w:tc>
        <w:tc>
          <w:tcPr>
            <w:tcW w:w="715" w:type="pct"/>
          </w:tcPr>
          <w:p w:rsidR="00BB2DF6" w:rsidRPr="0067751B" w:rsidRDefault="00BB2DF6" w:rsidP="0067751B">
            <w:pPr>
              <w:rPr>
                <w:rFonts w:cstheme="minorHAnsi"/>
                <w:sz w:val="20"/>
                <w:szCs w:val="20"/>
              </w:rPr>
            </w:pPr>
            <w:r w:rsidRPr="0067751B">
              <w:rPr>
                <w:rFonts w:cstheme="minorHAnsi"/>
                <w:sz w:val="20"/>
                <w:szCs w:val="20"/>
              </w:rPr>
              <w:t>1.2 Climate-resilient agro-forestry and ANR practices implemented across 15,000 hectares (CCA Indicator 2).</w:t>
            </w:r>
          </w:p>
        </w:tc>
        <w:tc>
          <w:tcPr>
            <w:tcW w:w="381" w:type="pct"/>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0</w:t>
            </w:r>
          </w:p>
        </w:tc>
        <w:tc>
          <w:tcPr>
            <w:tcW w:w="524" w:type="pct"/>
          </w:tcPr>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1.2 At least 15,000 hectares of climate-resilient agro-forestry established.</w:t>
            </w:r>
          </w:p>
        </w:tc>
        <w:tc>
          <w:tcPr>
            <w:tcW w:w="1646" w:type="pct"/>
          </w:tcPr>
          <w:p w:rsidR="00BB2DF6" w:rsidRPr="0067751B" w:rsidRDefault="00BB2DF6" w:rsidP="0067751B">
            <w:pPr>
              <w:rPr>
                <w:rFonts w:cstheme="minorHAnsi"/>
                <w:sz w:val="20"/>
                <w:szCs w:val="20"/>
              </w:rPr>
            </w:pPr>
            <w:r w:rsidRPr="0067751B">
              <w:rPr>
                <w:rFonts w:cstheme="minorHAnsi"/>
                <w:sz w:val="20"/>
                <w:szCs w:val="20"/>
              </w:rPr>
              <w:t>Ongoing monitoring at project intervention sites to record:</w:t>
            </w:r>
          </w:p>
          <w:p w:rsidR="00BB2DF6" w:rsidRPr="0067751B" w:rsidRDefault="00BB2DF6" w:rsidP="00BB2DF6">
            <w:pPr>
              <w:numPr>
                <w:ilvl w:val="0"/>
                <w:numId w:val="37"/>
              </w:numPr>
              <w:spacing w:after="0" w:line="240" w:lineRule="auto"/>
              <w:jc w:val="both"/>
              <w:rPr>
                <w:rFonts w:cstheme="minorHAnsi"/>
                <w:sz w:val="20"/>
                <w:szCs w:val="20"/>
              </w:rPr>
            </w:pPr>
            <w:r w:rsidRPr="0067751B">
              <w:rPr>
                <w:rFonts w:cstheme="minorHAnsi"/>
                <w:sz w:val="20"/>
                <w:szCs w:val="20"/>
              </w:rPr>
              <w:t xml:space="preserve">Area of climate-resilient agro-forestry practices (using GPS and mapping software); and </w:t>
            </w:r>
          </w:p>
          <w:p w:rsidR="00BB2DF6" w:rsidRPr="0067751B" w:rsidRDefault="00BB2DF6" w:rsidP="00BB2DF6">
            <w:pPr>
              <w:numPr>
                <w:ilvl w:val="0"/>
                <w:numId w:val="37"/>
              </w:numPr>
              <w:spacing w:after="0" w:line="240" w:lineRule="auto"/>
              <w:jc w:val="both"/>
              <w:rPr>
                <w:rFonts w:cstheme="minorHAnsi"/>
                <w:b/>
                <w:bCs/>
                <w:sz w:val="20"/>
                <w:szCs w:val="20"/>
              </w:rPr>
            </w:pPr>
            <w:r w:rsidRPr="0067751B">
              <w:rPr>
                <w:rFonts w:cstheme="minorHAnsi"/>
                <w:sz w:val="20"/>
                <w:szCs w:val="20"/>
              </w:rPr>
              <w:t>Survivorship of agro-forestry species.</w:t>
            </w:r>
          </w:p>
        </w:tc>
        <w:tc>
          <w:tcPr>
            <w:tcW w:w="1020" w:type="pct"/>
          </w:tcPr>
          <w:p w:rsidR="00BB2DF6" w:rsidRPr="0067751B" w:rsidRDefault="00BB2DF6" w:rsidP="0067751B">
            <w:pPr>
              <w:rPr>
                <w:rFonts w:cstheme="minorHAnsi"/>
                <w:i/>
                <w:sz w:val="20"/>
                <w:szCs w:val="20"/>
              </w:rPr>
            </w:pPr>
            <w:r w:rsidRPr="0067751B">
              <w:rPr>
                <w:rFonts w:cstheme="minorHAnsi"/>
                <w:i/>
                <w:sz w:val="20"/>
                <w:szCs w:val="20"/>
              </w:rPr>
              <w:t>Assumption</w:t>
            </w:r>
          </w:p>
          <w:p w:rsidR="00BB2DF6" w:rsidRPr="0067751B" w:rsidRDefault="00BB2DF6" w:rsidP="0067751B">
            <w:pPr>
              <w:rPr>
                <w:rFonts w:cstheme="minorHAnsi"/>
                <w:sz w:val="20"/>
                <w:szCs w:val="20"/>
              </w:rPr>
            </w:pPr>
            <w:r w:rsidRPr="0067751B">
              <w:rPr>
                <w:rFonts w:cstheme="minorHAnsi"/>
                <w:sz w:val="20"/>
                <w:szCs w:val="20"/>
              </w:rPr>
              <w:t>Regeneration activities occur in timely fashion; and intervention sites are effectively managed and conserved.</w:t>
            </w:r>
          </w:p>
          <w:p w:rsidR="00BB2DF6" w:rsidRPr="0067751B" w:rsidRDefault="00BB2DF6" w:rsidP="0067751B">
            <w:pPr>
              <w:rPr>
                <w:rFonts w:cstheme="minorHAnsi"/>
                <w:sz w:val="20"/>
                <w:szCs w:val="20"/>
              </w:rPr>
            </w:pPr>
          </w:p>
          <w:p w:rsidR="00BB2DF6" w:rsidRPr="0067751B" w:rsidRDefault="00BB2DF6" w:rsidP="0067751B">
            <w:pPr>
              <w:rPr>
                <w:rFonts w:cstheme="minorHAnsi"/>
                <w:i/>
                <w:sz w:val="20"/>
                <w:szCs w:val="20"/>
              </w:rPr>
            </w:pPr>
            <w:r w:rsidRPr="0067751B">
              <w:rPr>
                <w:rFonts w:cstheme="minorHAnsi"/>
                <w:i/>
                <w:sz w:val="20"/>
                <w:szCs w:val="20"/>
              </w:rPr>
              <w:t>Risk</w:t>
            </w:r>
          </w:p>
          <w:p w:rsidR="00BB2DF6" w:rsidRPr="0067751B" w:rsidRDefault="00BB2DF6" w:rsidP="0067751B">
            <w:pPr>
              <w:rPr>
                <w:rFonts w:cstheme="minorHAnsi"/>
                <w:sz w:val="20"/>
                <w:szCs w:val="20"/>
              </w:rPr>
            </w:pPr>
            <w:r w:rsidRPr="0067751B">
              <w:rPr>
                <w:rFonts w:cstheme="minorHAnsi"/>
                <w:sz w:val="20"/>
                <w:szCs w:val="20"/>
              </w:rPr>
              <w:t xml:space="preserve">Encroachment threatens </w:t>
            </w:r>
            <w:proofErr w:type="spellStart"/>
            <w:r w:rsidRPr="0067751B">
              <w:rPr>
                <w:rFonts w:cstheme="minorHAnsi"/>
                <w:sz w:val="20"/>
                <w:szCs w:val="20"/>
              </w:rPr>
              <w:t>miombo</w:t>
            </w:r>
            <w:proofErr w:type="spellEnd"/>
            <w:r w:rsidRPr="0067751B">
              <w:rPr>
                <w:rFonts w:cstheme="minorHAnsi"/>
                <w:sz w:val="20"/>
                <w:szCs w:val="20"/>
              </w:rPr>
              <w:t xml:space="preserve"> woodlands, thereby undermining project interventions.</w:t>
            </w:r>
          </w:p>
        </w:tc>
      </w:tr>
      <w:tr w:rsidR="00BB2DF6" w:rsidRPr="0067751B" w:rsidTr="0067751B">
        <w:trPr>
          <w:jc w:val="center"/>
        </w:trPr>
        <w:tc>
          <w:tcPr>
            <w:tcW w:w="714" w:type="pct"/>
            <w:vMerge w:val="restart"/>
            <w:shd w:val="pct12" w:color="auto" w:fill="auto"/>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lastRenderedPageBreak/>
              <w:t>Outcome 2</w:t>
            </w:r>
          </w:p>
          <w:p w:rsidR="00BB2DF6" w:rsidRPr="0067751B" w:rsidRDefault="00BB2DF6" w:rsidP="0067751B">
            <w:pPr>
              <w:rPr>
                <w:rFonts w:cstheme="minorHAnsi"/>
                <w:b/>
                <w:bCs/>
                <w:sz w:val="20"/>
                <w:szCs w:val="20"/>
              </w:rPr>
            </w:pPr>
            <w:r w:rsidRPr="0067751B">
              <w:rPr>
                <w:rFonts w:cstheme="minorHAnsi"/>
                <w:color w:val="000000"/>
                <w:sz w:val="20"/>
                <w:szCs w:val="20"/>
              </w:rPr>
              <w:t>Robust fire monitoring and management protection plans and measures in place in all districts in Central Province to maintain desired regeneration targets and reduce fire frequency by 25-30% annually across the province, within a four-year burning cycle.</w:t>
            </w:r>
          </w:p>
        </w:tc>
        <w:tc>
          <w:tcPr>
            <w:tcW w:w="715" w:type="pct"/>
          </w:tcPr>
          <w:p w:rsidR="00BB2DF6" w:rsidRPr="0067751B" w:rsidRDefault="00BB2DF6" w:rsidP="0067751B">
            <w:pPr>
              <w:rPr>
                <w:rFonts w:cstheme="minorHAnsi"/>
                <w:sz w:val="20"/>
                <w:szCs w:val="20"/>
              </w:rPr>
            </w:pPr>
            <w:r w:rsidRPr="0067751B">
              <w:rPr>
                <w:rFonts w:cstheme="minorHAnsi"/>
                <w:sz w:val="20"/>
                <w:szCs w:val="20"/>
              </w:rPr>
              <w:t>2.1 Change in capacity score of district forestry officers, VAG members and local authorities for planning and implementing fire management interventions</w:t>
            </w:r>
          </w:p>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noProof w:val="0"/>
                <w:sz w:val="20"/>
                <w:szCs w:val="20"/>
                <w:lang w:val="en-GB"/>
              </w:rPr>
              <w:t>(CCA Indicator 10).</w:t>
            </w:r>
          </w:p>
        </w:tc>
        <w:tc>
          <w:tcPr>
            <w:tcW w:w="381" w:type="pct"/>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0</w:t>
            </w:r>
          </w:p>
        </w:tc>
        <w:tc>
          <w:tcPr>
            <w:tcW w:w="524" w:type="pct"/>
          </w:tcPr>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2.1 VAG members and local authorities score at least 2.</w:t>
            </w:r>
          </w:p>
        </w:tc>
        <w:tc>
          <w:tcPr>
            <w:tcW w:w="1646" w:type="pct"/>
          </w:tcPr>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Verified through scoring scorecard methodologies adapted from AMAT (2014). The indicator is based on five criteria of the capacity assessment framework:</w:t>
            </w: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BB2DF6">
            <w:pPr>
              <w:numPr>
                <w:ilvl w:val="0"/>
                <w:numId w:val="37"/>
              </w:numPr>
              <w:spacing w:after="0" w:line="240" w:lineRule="auto"/>
              <w:jc w:val="both"/>
              <w:rPr>
                <w:rFonts w:cstheme="minorHAnsi"/>
                <w:sz w:val="20"/>
                <w:szCs w:val="20"/>
              </w:rPr>
            </w:pPr>
            <w:r w:rsidRPr="0067751B">
              <w:rPr>
                <w:rFonts w:cstheme="minorHAnsi"/>
                <w:sz w:val="20"/>
                <w:szCs w:val="20"/>
              </w:rPr>
              <w:t>Are the stakeholders able to identify climate change risks and appropriate fire management interventions?</w:t>
            </w:r>
          </w:p>
          <w:p w:rsidR="00BB2DF6" w:rsidRPr="0067751B" w:rsidRDefault="00BB2DF6" w:rsidP="00BB2DF6">
            <w:pPr>
              <w:numPr>
                <w:ilvl w:val="0"/>
                <w:numId w:val="37"/>
              </w:numPr>
              <w:spacing w:after="0" w:line="240" w:lineRule="auto"/>
              <w:jc w:val="both"/>
              <w:rPr>
                <w:rFonts w:cstheme="minorHAnsi"/>
                <w:sz w:val="20"/>
                <w:szCs w:val="20"/>
              </w:rPr>
            </w:pPr>
            <w:r w:rsidRPr="0067751B">
              <w:rPr>
                <w:rFonts w:cstheme="minorHAnsi"/>
                <w:sz w:val="20"/>
                <w:szCs w:val="20"/>
              </w:rPr>
              <w:t>Are the stakeholders specifying targets for these interventions?</w:t>
            </w:r>
          </w:p>
          <w:p w:rsidR="00BB2DF6" w:rsidRPr="0067751B" w:rsidRDefault="00BB2DF6" w:rsidP="00BB2DF6">
            <w:pPr>
              <w:numPr>
                <w:ilvl w:val="0"/>
                <w:numId w:val="37"/>
              </w:numPr>
              <w:spacing w:after="0" w:line="240" w:lineRule="auto"/>
              <w:jc w:val="both"/>
              <w:rPr>
                <w:rFonts w:cstheme="minorHAnsi"/>
                <w:sz w:val="20"/>
                <w:szCs w:val="20"/>
              </w:rPr>
            </w:pPr>
            <w:r w:rsidRPr="0067751B">
              <w:rPr>
                <w:rFonts w:cstheme="minorHAnsi"/>
                <w:sz w:val="20"/>
                <w:szCs w:val="20"/>
              </w:rPr>
              <w:t>Have the institutions clearly defined roles and responsibilities for the coordination and implementation of these interventions?</w:t>
            </w:r>
          </w:p>
          <w:p w:rsidR="00BB2DF6" w:rsidRPr="0067751B" w:rsidRDefault="00BB2DF6" w:rsidP="00BB2DF6">
            <w:pPr>
              <w:numPr>
                <w:ilvl w:val="0"/>
                <w:numId w:val="37"/>
              </w:numPr>
              <w:spacing w:after="0" w:line="240" w:lineRule="auto"/>
              <w:jc w:val="both"/>
              <w:rPr>
                <w:rFonts w:cstheme="minorHAnsi"/>
                <w:sz w:val="20"/>
                <w:szCs w:val="20"/>
              </w:rPr>
            </w:pPr>
            <w:r w:rsidRPr="0067751B">
              <w:rPr>
                <w:rFonts w:cstheme="minorHAnsi"/>
                <w:sz w:val="20"/>
                <w:szCs w:val="20"/>
              </w:rPr>
              <w:t>Is there evidence of effective implementation of fire management interventions by these stakeholders?</w:t>
            </w:r>
          </w:p>
          <w:p w:rsidR="00BB2DF6" w:rsidRPr="0067751B" w:rsidRDefault="00BB2DF6" w:rsidP="00BB2DF6">
            <w:pPr>
              <w:numPr>
                <w:ilvl w:val="0"/>
                <w:numId w:val="37"/>
              </w:numPr>
              <w:spacing w:after="0" w:line="240" w:lineRule="auto"/>
              <w:jc w:val="both"/>
              <w:rPr>
                <w:rFonts w:cstheme="minorHAnsi"/>
                <w:sz w:val="20"/>
                <w:szCs w:val="20"/>
              </w:rPr>
            </w:pPr>
            <w:r w:rsidRPr="0067751B">
              <w:rPr>
                <w:rFonts w:cstheme="minorHAnsi"/>
                <w:sz w:val="20"/>
                <w:szCs w:val="20"/>
              </w:rPr>
              <w:t>Is there evidence of institutional capacities for the continuous assessment, learning and review of adaptation strategies?</w:t>
            </w:r>
          </w:p>
        </w:tc>
        <w:tc>
          <w:tcPr>
            <w:tcW w:w="1020" w:type="pct"/>
          </w:tcPr>
          <w:p w:rsidR="00BB2DF6" w:rsidRPr="0067751B" w:rsidRDefault="00BB2DF6" w:rsidP="0067751B">
            <w:pPr>
              <w:rPr>
                <w:rFonts w:cstheme="minorHAnsi"/>
                <w:i/>
                <w:sz w:val="20"/>
                <w:szCs w:val="20"/>
              </w:rPr>
            </w:pPr>
            <w:r w:rsidRPr="0067751B">
              <w:rPr>
                <w:rFonts w:cstheme="minorHAnsi"/>
                <w:i/>
                <w:sz w:val="20"/>
                <w:szCs w:val="20"/>
              </w:rPr>
              <w:t>Assumption</w:t>
            </w:r>
          </w:p>
          <w:p w:rsidR="00BB2DF6" w:rsidRPr="0067751B" w:rsidRDefault="00BB2DF6" w:rsidP="0067751B">
            <w:pPr>
              <w:rPr>
                <w:rFonts w:cstheme="minorHAnsi"/>
                <w:sz w:val="20"/>
                <w:szCs w:val="20"/>
              </w:rPr>
            </w:pPr>
            <w:r w:rsidRPr="0067751B">
              <w:rPr>
                <w:rFonts w:cstheme="minorHAnsi"/>
                <w:sz w:val="20"/>
                <w:szCs w:val="20"/>
              </w:rPr>
              <w:t>District forestry officers and VAGs will apply information disseminated, maps and trainings.</w:t>
            </w:r>
          </w:p>
          <w:p w:rsidR="00BB2DF6" w:rsidRPr="0067751B" w:rsidRDefault="00BB2DF6" w:rsidP="0067751B">
            <w:pPr>
              <w:rPr>
                <w:rFonts w:cstheme="minorHAnsi"/>
                <w:sz w:val="20"/>
                <w:szCs w:val="20"/>
              </w:rPr>
            </w:pPr>
          </w:p>
          <w:p w:rsidR="00BB2DF6" w:rsidRPr="0067751B" w:rsidRDefault="00BB2DF6" w:rsidP="0067751B">
            <w:pPr>
              <w:rPr>
                <w:rFonts w:cstheme="minorHAnsi"/>
                <w:sz w:val="20"/>
                <w:szCs w:val="20"/>
              </w:rPr>
            </w:pPr>
          </w:p>
          <w:p w:rsidR="00BB2DF6" w:rsidRPr="0067751B" w:rsidRDefault="00BB2DF6" w:rsidP="0067751B">
            <w:pPr>
              <w:rPr>
                <w:rFonts w:cstheme="minorHAnsi"/>
                <w:sz w:val="20"/>
                <w:szCs w:val="20"/>
              </w:rPr>
            </w:pPr>
          </w:p>
          <w:p w:rsidR="00BB2DF6" w:rsidRPr="0067751B" w:rsidRDefault="00BB2DF6" w:rsidP="0067751B">
            <w:pPr>
              <w:rPr>
                <w:rFonts w:cstheme="minorHAnsi"/>
                <w:sz w:val="20"/>
                <w:szCs w:val="20"/>
              </w:rPr>
            </w:pPr>
          </w:p>
          <w:p w:rsidR="00BB2DF6" w:rsidRPr="0067751B" w:rsidRDefault="00BB2DF6" w:rsidP="0067751B">
            <w:pPr>
              <w:rPr>
                <w:rFonts w:cstheme="minorHAnsi"/>
                <w:i/>
                <w:sz w:val="20"/>
                <w:szCs w:val="20"/>
              </w:rPr>
            </w:pPr>
            <w:r w:rsidRPr="0067751B">
              <w:rPr>
                <w:rFonts w:cstheme="minorHAnsi"/>
                <w:i/>
                <w:sz w:val="20"/>
                <w:szCs w:val="20"/>
              </w:rPr>
              <w:t>Risk</w:t>
            </w:r>
          </w:p>
          <w:p w:rsidR="00BB2DF6" w:rsidRPr="0067751B" w:rsidRDefault="00BB2DF6" w:rsidP="0067751B">
            <w:pPr>
              <w:rPr>
                <w:rFonts w:cstheme="minorHAnsi"/>
                <w:b/>
                <w:bCs/>
                <w:sz w:val="20"/>
                <w:szCs w:val="20"/>
              </w:rPr>
            </w:pPr>
            <w:r w:rsidRPr="0067751B">
              <w:rPr>
                <w:rFonts w:cstheme="minorHAnsi"/>
                <w:bCs/>
                <w:sz w:val="20"/>
                <w:szCs w:val="20"/>
              </w:rPr>
              <w:t xml:space="preserve">Trainings are not </w:t>
            </w:r>
            <w:proofErr w:type="gramStart"/>
            <w:r w:rsidRPr="0067751B">
              <w:rPr>
                <w:rFonts w:cstheme="minorHAnsi"/>
                <w:bCs/>
                <w:sz w:val="20"/>
                <w:szCs w:val="20"/>
              </w:rPr>
              <w:t>prepared/delivered</w:t>
            </w:r>
            <w:proofErr w:type="gramEnd"/>
            <w:r w:rsidRPr="0067751B">
              <w:rPr>
                <w:rFonts w:cstheme="minorHAnsi"/>
                <w:bCs/>
                <w:sz w:val="20"/>
                <w:szCs w:val="20"/>
              </w:rPr>
              <w:t xml:space="preserve"> effectively.</w:t>
            </w:r>
          </w:p>
        </w:tc>
      </w:tr>
      <w:tr w:rsidR="00BB2DF6" w:rsidRPr="0067751B" w:rsidTr="0067751B">
        <w:trPr>
          <w:jc w:val="center"/>
        </w:trPr>
        <w:tc>
          <w:tcPr>
            <w:tcW w:w="714" w:type="pct"/>
            <w:vMerge/>
            <w:shd w:val="pct12" w:color="auto" w:fill="auto"/>
          </w:tcPr>
          <w:p w:rsidR="00BB2DF6" w:rsidRPr="0067751B" w:rsidRDefault="00BB2DF6" w:rsidP="0067751B">
            <w:pPr>
              <w:pStyle w:val="Normal1"/>
              <w:rPr>
                <w:rFonts w:asciiTheme="minorHAnsi" w:hAnsiTheme="minorHAnsi" w:cstheme="minorHAnsi"/>
                <w:b/>
                <w:bCs/>
                <w:noProof w:val="0"/>
                <w:sz w:val="20"/>
                <w:szCs w:val="20"/>
                <w:lang w:val="en-GB"/>
              </w:rPr>
            </w:pPr>
          </w:p>
        </w:tc>
        <w:tc>
          <w:tcPr>
            <w:tcW w:w="715" w:type="pct"/>
          </w:tcPr>
          <w:p w:rsidR="00BB2DF6" w:rsidRPr="0067751B" w:rsidRDefault="00BB2DF6" w:rsidP="0067751B">
            <w:pPr>
              <w:rPr>
                <w:rFonts w:cstheme="minorHAnsi"/>
                <w:sz w:val="20"/>
                <w:szCs w:val="20"/>
              </w:rPr>
            </w:pPr>
            <w:r w:rsidRPr="0067751B">
              <w:rPr>
                <w:rFonts w:cstheme="minorHAnsi"/>
                <w:sz w:val="20"/>
                <w:szCs w:val="20"/>
              </w:rPr>
              <w:t>2.2 Change in frequency of fire across all districts in Central Province.</w:t>
            </w:r>
          </w:p>
          <w:p w:rsidR="00BB2DF6" w:rsidRPr="0067751B" w:rsidRDefault="00BB2DF6" w:rsidP="0067751B">
            <w:pPr>
              <w:pStyle w:val="Normal1"/>
              <w:rPr>
                <w:rFonts w:asciiTheme="minorHAnsi" w:hAnsiTheme="minorHAnsi" w:cstheme="minorHAnsi"/>
                <w:noProof w:val="0"/>
                <w:sz w:val="20"/>
                <w:szCs w:val="20"/>
                <w:lang w:val="en-GB"/>
              </w:rPr>
            </w:pPr>
          </w:p>
        </w:tc>
        <w:tc>
          <w:tcPr>
            <w:tcW w:w="381" w:type="pct"/>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0</w:t>
            </w:r>
          </w:p>
        </w:tc>
        <w:tc>
          <w:tcPr>
            <w:tcW w:w="524" w:type="pct"/>
          </w:tcPr>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2.2 Frequency of fires reduced by 25%</w:t>
            </w:r>
            <w:r w:rsidRPr="0067751B">
              <w:rPr>
                <w:rFonts w:asciiTheme="minorHAnsi" w:hAnsiTheme="minorHAnsi" w:cstheme="minorHAnsi"/>
                <w:noProof w:val="0"/>
                <w:sz w:val="20"/>
                <w:szCs w:val="20"/>
                <w:lang w:val="en-GB"/>
              </w:rPr>
              <w:t>.</w:t>
            </w:r>
          </w:p>
        </w:tc>
        <w:tc>
          <w:tcPr>
            <w:tcW w:w="1646" w:type="pct"/>
          </w:tcPr>
          <w:p w:rsidR="00BB2DF6" w:rsidRPr="0067751B" w:rsidRDefault="00BB2DF6" w:rsidP="0067751B">
            <w:pPr>
              <w:rPr>
                <w:rFonts w:cstheme="minorHAnsi"/>
                <w:sz w:val="20"/>
                <w:szCs w:val="20"/>
              </w:rPr>
            </w:pPr>
            <w:r w:rsidRPr="0067751B">
              <w:rPr>
                <w:rFonts w:cstheme="minorHAnsi"/>
                <w:sz w:val="20"/>
                <w:szCs w:val="20"/>
              </w:rPr>
              <w:t xml:space="preserve">Records of fires across Central Province. </w:t>
            </w:r>
          </w:p>
          <w:p w:rsidR="00BB2DF6" w:rsidRPr="0067751B" w:rsidRDefault="00BB2DF6" w:rsidP="0067751B">
            <w:pPr>
              <w:pStyle w:val="Normal1"/>
              <w:rPr>
                <w:rFonts w:asciiTheme="minorHAnsi" w:hAnsiTheme="minorHAnsi" w:cstheme="minorHAnsi"/>
                <w:bCs/>
                <w:noProof w:val="0"/>
                <w:sz w:val="20"/>
                <w:szCs w:val="20"/>
                <w:lang w:val="en-GB"/>
              </w:rPr>
            </w:pPr>
          </w:p>
        </w:tc>
        <w:tc>
          <w:tcPr>
            <w:tcW w:w="1020" w:type="pct"/>
          </w:tcPr>
          <w:p w:rsidR="00BB2DF6" w:rsidRPr="0067751B" w:rsidRDefault="00BB2DF6" w:rsidP="0067751B">
            <w:pPr>
              <w:rPr>
                <w:rFonts w:cstheme="minorHAnsi"/>
                <w:i/>
                <w:sz w:val="20"/>
                <w:szCs w:val="20"/>
              </w:rPr>
            </w:pPr>
            <w:r w:rsidRPr="0067751B">
              <w:rPr>
                <w:rFonts w:cstheme="minorHAnsi"/>
                <w:i/>
                <w:sz w:val="20"/>
                <w:szCs w:val="20"/>
              </w:rPr>
              <w:t>Assumption</w:t>
            </w:r>
          </w:p>
          <w:p w:rsidR="00BB2DF6" w:rsidRPr="0067751B" w:rsidRDefault="00BB2DF6" w:rsidP="0067751B">
            <w:pPr>
              <w:rPr>
                <w:rFonts w:cstheme="minorHAnsi"/>
                <w:sz w:val="20"/>
                <w:szCs w:val="20"/>
              </w:rPr>
            </w:pPr>
            <w:r w:rsidRPr="0067751B">
              <w:rPr>
                <w:rFonts w:cstheme="minorHAnsi"/>
                <w:sz w:val="20"/>
                <w:szCs w:val="20"/>
              </w:rPr>
              <w:t xml:space="preserve">GIS software is applied effectively; information from GIS software is effectively packaged and disseminated to local communities; and updated fire management plans will be </w:t>
            </w:r>
            <w:r w:rsidRPr="0067751B">
              <w:rPr>
                <w:rFonts w:cstheme="minorHAnsi"/>
                <w:sz w:val="20"/>
                <w:szCs w:val="20"/>
              </w:rPr>
              <w:lastRenderedPageBreak/>
              <w:t>applied.</w:t>
            </w:r>
          </w:p>
          <w:p w:rsidR="00BB2DF6" w:rsidRPr="0067751B" w:rsidRDefault="00BB2DF6" w:rsidP="0067751B">
            <w:pPr>
              <w:rPr>
                <w:rFonts w:cstheme="minorHAnsi"/>
                <w:sz w:val="20"/>
                <w:szCs w:val="20"/>
              </w:rPr>
            </w:pPr>
          </w:p>
          <w:p w:rsidR="00BB2DF6" w:rsidRPr="0067751B" w:rsidRDefault="00BB2DF6" w:rsidP="0067751B">
            <w:pPr>
              <w:rPr>
                <w:rFonts w:cstheme="minorHAnsi"/>
                <w:i/>
                <w:sz w:val="20"/>
                <w:szCs w:val="20"/>
              </w:rPr>
            </w:pPr>
            <w:r w:rsidRPr="0067751B">
              <w:rPr>
                <w:rFonts w:cstheme="minorHAnsi"/>
                <w:i/>
                <w:sz w:val="20"/>
                <w:szCs w:val="20"/>
              </w:rPr>
              <w:t>Risks</w:t>
            </w:r>
          </w:p>
          <w:p w:rsidR="00BB2DF6" w:rsidRPr="0067751B" w:rsidRDefault="00BB2DF6" w:rsidP="0067751B">
            <w:pPr>
              <w:rPr>
                <w:rFonts w:cstheme="minorHAnsi"/>
                <w:bCs/>
                <w:sz w:val="20"/>
                <w:szCs w:val="20"/>
              </w:rPr>
            </w:pPr>
            <w:r w:rsidRPr="0067751B">
              <w:rPr>
                <w:rFonts w:cstheme="minorHAnsi"/>
                <w:bCs/>
                <w:sz w:val="20"/>
                <w:szCs w:val="20"/>
              </w:rPr>
              <w:t>Non-climate related threats undermine project activities.</w:t>
            </w:r>
          </w:p>
        </w:tc>
      </w:tr>
      <w:tr w:rsidR="00BB2DF6" w:rsidRPr="0067751B" w:rsidTr="0067751B">
        <w:trPr>
          <w:jc w:val="center"/>
        </w:trPr>
        <w:tc>
          <w:tcPr>
            <w:tcW w:w="714" w:type="pct"/>
            <w:shd w:val="pct12" w:color="auto" w:fill="auto"/>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lastRenderedPageBreak/>
              <w:t>Outcome 3</w:t>
            </w:r>
          </w:p>
          <w:p w:rsidR="00BB2DF6" w:rsidRPr="0067751B" w:rsidRDefault="00BB2DF6" w:rsidP="0067751B">
            <w:pPr>
              <w:rPr>
                <w:rFonts w:cstheme="minorHAnsi"/>
                <w:b/>
                <w:bCs/>
                <w:sz w:val="20"/>
                <w:szCs w:val="20"/>
              </w:rPr>
            </w:pPr>
            <w:r w:rsidRPr="0067751B">
              <w:rPr>
                <w:rFonts w:cstheme="minorHAnsi"/>
                <w:color w:val="000000"/>
                <w:sz w:val="20"/>
                <w:szCs w:val="20"/>
              </w:rPr>
              <w:t>Energy efficient charcoal production and wood-saving technologies have successfully replaced inefficient systems in targeted areas of Central Province, helping offset pressure on the forests as the climate changes.</w:t>
            </w:r>
          </w:p>
        </w:tc>
        <w:tc>
          <w:tcPr>
            <w:tcW w:w="715" w:type="pct"/>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noProof w:val="0"/>
                <w:sz w:val="20"/>
                <w:szCs w:val="20"/>
                <w:lang w:val="en-GB"/>
              </w:rPr>
              <w:t>3.1 Change in number of users of improved charcoal kilns and briquetting machines (CCA Indicator 4).</w:t>
            </w:r>
          </w:p>
        </w:tc>
        <w:tc>
          <w:tcPr>
            <w:tcW w:w="381" w:type="pct"/>
          </w:tcPr>
          <w:p w:rsidR="00BB2DF6" w:rsidRPr="0067751B" w:rsidRDefault="00BB2DF6" w:rsidP="0067751B">
            <w:pPr>
              <w:pStyle w:val="Normal1"/>
              <w:rPr>
                <w:rFonts w:asciiTheme="minorHAnsi" w:hAnsiTheme="minorHAnsi" w:cstheme="minorHAnsi"/>
                <w:b/>
                <w:bCs/>
                <w:noProof w:val="0"/>
                <w:sz w:val="20"/>
                <w:szCs w:val="20"/>
                <w:lang w:val="en-GB"/>
              </w:rPr>
            </w:pPr>
            <w:r w:rsidRPr="0067751B">
              <w:rPr>
                <w:rFonts w:asciiTheme="minorHAnsi" w:hAnsiTheme="minorHAnsi" w:cstheme="minorHAnsi"/>
                <w:b/>
                <w:bCs/>
                <w:noProof w:val="0"/>
                <w:sz w:val="20"/>
                <w:szCs w:val="20"/>
                <w:lang w:val="en-GB"/>
              </w:rPr>
              <w:t>0</w:t>
            </w:r>
          </w:p>
        </w:tc>
        <w:tc>
          <w:tcPr>
            <w:tcW w:w="524" w:type="pct"/>
          </w:tcPr>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3.1 At least:</w:t>
            </w:r>
          </w:p>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 xml:space="preserve">120 community members using charcoal retort kilns; and </w:t>
            </w:r>
          </w:p>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50 community members using charcoal or sawdust briquetting machines.</w:t>
            </w: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(20% of who should be women)</w:t>
            </w:r>
          </w:p>
          <w:p w:rsidR="00BB2DF6" w:rsidRPr="0067751B" w:rsidRDefault="00BB2DF6" w:rsidP="0067751B">
            <w:pPr>
              <w:pStyle w:val="Normal1"/>
              <w:rPr>
                <w:rFonts w:asciiTheme="minorHAnsi" w:hAnsiTheme="minorHAnsi" w:cstheme="minorHAnsi"/>
                <w:bCs/>
                <w:noProof w:val="0"/>
                <w:sz w:val="20"/>
                <w:szCs w:val="20"/>
                <w:lang w:val="en-GB"/>
              </w:rPr>
            </w:pPr>
          </w:p>
          <w:p w:rsidR="00BB2DF6" w:rsidRPr="0067751B" w:rsidRDefault="00BB2DF6" w:rsidP="0067751B">
            <w:pPr>
              <w:pStyle w:val="Normal1"/>
              <w:rPr>
                <w:rFonts w:asciiTheme="minorHAnsi" w:hAnsiTheme="minorHAnsi" w:cstheme="minorHAnsi"/>
                <w:bCs/>
                <w:noProof w:val="0"/>
                <w:sz w:val="20"/>
                <w:szCs w:val="20"/>
                <w:lang w:val="en-GB"/>
              </w:rPr>
            </w:pPr>
            <w:r w:rsidRPr="0067751B">
              <w:rPr>
                <w:rFonts w:asciiTheme="minorHAnsi" w:hAnsiTheme="minorHAnsi" w:cstheme="minorHAnsi"/>
                <w:bCs/>
                <w:noProof w:val="0"/>
                <w:sz w:val="20"/>
                <w:szCs w:val="20"/>
                <w:lang w:val="en-GB"/>
              </w:rPr>
              <w:t>To be validated during project inception.</w:t>
            </w:r>
          </w:p>
        </w:tc>
        <w:tc>
          <w:tcPr>
            <w:tcW w:w="1646" w:type="pct"/>
          </w:tcPr>
          <w:p w:rsidR="00BB2DF6" w:rsidRPr="0067751B" w:rsidRDefault="00BB2DF6" w:rsidP="0067751B">
            <w:pPr>
              <w:rPr>
                <w:rFonts w:cstheme="minorHAnsi"/>
                <w:bCs/>
                <w:sz w:val="20"/>
                <w:szCs w:val="20"/>
              </w:rPr>
            </w:pPr>
            <w:r w:rsidRPr="0067751B">
              <w:rPr>
                <w:rFonts w:cstheme="minorHAnsi"/>
                <w:sz w:val="20"/>
                <w:szCs w:val="20"/>
              </w:rPr>
              <w:t>Household surveys at intervention sites at project inception and termination; and records of charcoal producer groups established and kilns/briquetting machines distributed.</w:t>
            </w:r>
          </w:p>
        </w:tc>
        <w:tc>
          <w:tcPr>
            <w:tcW w:w="1020" w:type="pct"/>
          </w:tcPr>
          <w:p w:rsidR="00BB2DF6" w:rsidRPr="0067751B" w:rsidRDefault="00BB2DF6" w:rsidP="0067751B">
            <w:pPr>
              <w:rPr>
                <w:rFonts w:cstheme="minorHAnsi"/>
                <w:i/>
                <w:sz w:val="20"/>
                <w:szCs w:val="20"/>
              </w:rPr>
            </w:pPr>
            <w:r w:rsidRPr="0067751B">
              <w:rPr>
                <w:rFonts w:cstheme="minorHAnsi"/>
                <w:i/>
                <w:sz w:val="20"/>
                <w:szCs w:val="20"/>
              </w:rPr>
              <w:t>Assumptions</w:t>
            </w:r>
          </w:p>
          <w:p w:rsidR="00BB2DF6" w:rsidRPr="0067751B" w:rsidRDefault="00BB2DF6" w:rsidP="0067751B">
            <w:pPr>
              <w:rPr>
                <w:rFonts w:cstheme="minorHAnsi"/>
                <w:sz w:val="20"/>
                <w:szCs w:val="20"/>
              </w:rPr>
            </w:pPr>
            <w:r w:rsidRPr="0067751B">
              <w:rPr>
                <w:rFonts w:cstheme="minorHAnsi"/>
                <w:sz w:val="20"/>
                <w:szCs w:val="20"/>
              </w:rPr>
              <w:t>Local communities at intervention sites will accept and take ownership of improved kilns and briquetting machines.</w:t>
            </w:r>
          </w:p>
          <w:p w:rsidR="00BB2DF6" w:rsidRPr="0067751B" w:rsidRDefault="00BB2DF6" w:rsidP="0067751B">
            <w:pPr>
              <w:rPr>
                <w:rFonts w:cstheme="minorHAnsi"/>
                <w:sz w:val="20"/>
                <w:szCs w:val="20"/>
              </w:rPr>
            </w:pPr>
          </w:p>
          <w:p w:rsidR="00BB2DF6" w:rsidRPr="0067751B" w:rsidRDefault="00BB2DF6" w:rsidP="0067751B">
            <w:pPr>
              <w:rPr>
                <w:rFonts w:cstheme="minorHAnsi"/>
                <w:i/>
                <w:sz w:val="20"/>
                <w:szCs w:val="20"/>
              </w:rPr>
            </w:pPr>
            <w:r w:rsidRPr="0067751B">
              <w:rPr>
                <w:rFonts w:cstheme="minorHAnsi"/>
                <w:i/>
                <w:sz w:val="20"/>
                <w:szCs w:val="20"/>
              </w:rPr>
              <w:t>Risks</w:t>
            </w:r>
          </w:p>
          <w:p w:rsidR="00BB2DF6" w:rsidRPr="0067751B" w:rsidRDefault="00BB2DF6" w:rsidP="0067751B">
            <w:pPr>
              <w:rPr>
                <w:rFonts w:cstheme="minorHAnsi"/>
                <w:bCs/>
                <w:sz w:val="20"/>
                <w:szCs w:val="20"/>
              </w:rPr>
            </w:pPr>
            <w:r w:rsidRPr="0067751B">
              <w:rPr>
                <w:rFonts w:cstheme="minorHAnsi"/>
                <w:bCs/>
                <w:sz w:val="20"/>
                <w:szCs w:val="20"/>
              </w:rPr>
              <w:t>Local communities will not adopt new technologies.</w:t>
            </w:r>
          </w:p>
        </w:tc>
      </w:tr>
    </w:tbl>
    <w:p w:rsidR="00D6638C" w:rsidRPr="00D6638C" w:rsidRDefault="00BB2DF6" w:rsidP="0093330D">
      <w:pPr>
        <w:tabs>
          <w:tab w:val="left" w:pos="3210"/>
        </w:tabs>
        <w:spacing w:before="200"/>
        <w:rPr>
          <w:rFonts w:ascii="Calibri" w:eastAsia="Times New Roman" w:hAnsi="Calibri" w:cs="Times New Roman"/>
          <w:i/>
          <w:sz w:val="20"/>
          <w:szCs w:val="20"/>
          <w:lang w:val="en-GB"/>
        </w:rPr>
      </w:pPr>
      <w:r w:rsidRPr="00D6638C">
        <w:rPr>
          <w:rFonts w:ascii="Calibri" w:eastAsia="Times New Roman" w:hAnsi="Calibri" w:cs="Times New Roman"/>
          <w:i/>
          <w:sz w:val="20"/>
          <w:szCs w:val="20"/>
          <w:highlight w:val="lightGray"/>
          <w:lang w:val="en-GB"/>
        </w:rPr>
        <w:t xml:space="preserve"> </w:t>
      </w:r>
      <w:r w:rsidR="00D6638C" w:rsidRPr="00D6638C">
        <w:rPr>
          <w:rFonts w:ascii="Calibri" w:eastAsia="Times New Roman" w:hAnsi="Calibri" w:cs="Times New Roman"/>
          <w:i/>
          <w:sz w:val="20"/>
          <w:szCs w:val="20"/>
          <w:highlight w:val="lightGray"/>
          <w:lang w:val="en-GB"/>
        </w:rPr>
        <w:t>(</w:t>
      </w:r>
      <w:proofErr w:type="gramStart"/>
      <w:r w:rsidR="00D6638C" w:rsidRPr="00D6638C">
        <w:rPr>
          <w:rFonts w:ascii="Calibri" w:eastAsia="Times New Roman" w:hAnsi="Calibri" w:cs="Times New Roman"/>
          <w:i/>
          <w:sz w:val="20"/>
          <w:szCs w:val="20"/>
          <w:highlight w:val="lightGray"/>
          <w:lang w:val="en-GB"/>
        </w:rPr>
        <w:t>to</w:t>
      </w:r>
      <w:proofErr w:type="gramEnd"/>
      <w:r w:rsidR="00D6638C" w:rsidRPr="00D6638C">
        <w:rPr>
          <w:rFonts w:ascii="Calibri" w:eastAsia="Times New Roman" w:hAnsi="Calibri" w:cs="Times New Roman"/>
          <w:i/>
          <w:sz w:val="20"/>
          <w:szCs w:val="20"/>
          <w:highlight w:val="lightGray"/>
          <w:lang w:val="en-GB"/>
        </w:rPr>
        <w:t xml:space="preserve"> be added)</w:t>
      </w:r>
      <w:r w:rsidR="0002374C">
        <w:rPr>
          <w:rFonts w:ascii="Calibri" w:eastAsia="Times New Roman" w:hAnsi="Calibri" w:cs="Times New Roman"/>
          <w:i/>
          <w:sz w:val="20"/>
          <w:szCs w:val="20"/>
          <w:highlight w:val="lightGray"/>
          <w:lang w:val="en-GB"/>
        </w:rPr>
        <w:tab/>
      </w:r>
    </w:p>
    <w:p w:rsidR="00D6638C" w:rsidRPr="00D6638C" w:rsidRDefault="00D6638C" w:rsidP="00D6638C">
      <w:pPr>
        <w:spacing w:before="200"/>
        <w:rPr>
          <w:rFonts w:ascii="Calibri" w:eastAsia="Times New Roman" w:hAnsi="Calibri" w:cs="Times New Roman"/>
          <w:sz w:val="20"/>
          <w:szCs w:val="20"/>
        </w:rPr>
      </w:pPr>
      <w:bookmarkStart w:id="61" w:name="_Toc299122845"/>
      <w:bookmarkStart w:id="62" w:name="_Toc299122867"/>
      <w:bookmarkStart w:id="63" w:name="_Toc299126631"/>
    </w:p>
    <w:p w:rsidR="00D6638C" w:rsidRPr="00D6638C" w:rsidRDefault="00D6638C" w:rsidP="00F05366">
      <w:pPr>
        <w:pStyle w:val="Heading31"/>
      </w:pPr>
      <w:bookmarkStart w:id="64" w:name="_TOR_Annex_B:"/>
      <w:bookmarkStart w:id="65" w:name="_Toc299133054"/>
      <w:bookmarkStart w:id="66" w:name="_Toc321341563"/>
      <w:bookmarkEnd w:id="64"/>
      <w:r w:rsidRPr="00D6638C">
        <w:t>Annex B: List of Documents to be reviewed by the evaluators</w:t>
      </w:r>
      <w:bookmarkEnd w:id="61"/>
      <w:bookmarkEnd w:id="62"/>
      <w:bookmarkEnd w:id="63"/>
      <w:bookmarkEnd w:id="65"/>
      <w:bookmarkEnd w:id="66"/>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 xml:space="preserve">UNDP Project Document </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 xml:space="preserve">Project </w:t>
      </w:r>
      <w:proofErr w:type="spellStart"/>
      <w:r w:rsidRPr="00BD6900">
        <w:rPr>
          <w:rFonts w:ascii="Garamond" w:hAnsi="Garamond"/>
          <w:sz w:val="22"/>
        </w:rPr>
        <w:t>Logframe</w:t>
      </w:r>
      <w:proofErr w:type="spellEnd"/>
      <w:r w:rsidRPr="00BD6900">
        <w:rPr>
          <w:rFonts w:ascii="Garamond" w:hAnsi="Garamond"/>
          <w:sz w:val="22"/>
        </w:rPr>
        <w:t xml:space="preserve"> Analysis (LFA)</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lastRenderedPageBreak/>
        <w:t>Project Implementation Plan</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Implementing/ Executing partner arrangements</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List and contact details for project staff, key project stakeholders, including Project Board, and other partners to be consulted</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 xml:space="preserve">Project Inception Report </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Pr>
          <w:rFonts w:ascii="Garamond" w:hAnsi="Garamond"/>
          <w:sz w:val="22"/>
        </w:rPr>
        <w:t>PPRs</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Project MTR Report</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Project MTR Management Response</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Quarterly progress reports and work plans of the various implementation task teams</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Project budgets and financial data</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Audit reports</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 xml:space="preserve">Oversight mission reports  </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All monitoring reports prepared by the project</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Financial and Administration guidelines used by Project Team</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Project Board Meeting minutes</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 xml:space="preserve">Project Tracking Tool, at baseline, at mid-term, and at terminal points </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UNDP Development Assistance Framework (UNDAF)</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 xml:space="preserve">UNDP Country </w:t>
      </w:r>
      <w:proofErr w:type="spellStart"/>
      <w:r w:rsidRPr="00BD6900">
        <w:rPr>
          <w:rFonts w:ascii="Garamond" w:hAnsi="Garamond"/>
          <w:sz w:val="22"/>
        </w:rPr>
        <w:t>Programme</w:t>
      </w:r>
      <w:proofErr w:type="spellEnd"/>
      <w:r w:rsidRPr="00BD6900">
        <w:rPr>
          <w:rFonts w:ascii="Garamond" w:hAnsi="Garamond"/>
          <w:sz w:val="22"/>
        </w:rPr>
        <w:t xml:space="preserve"> Document (CPD)</w:t>
      </w:r>
    </w:p>
    <w:p w:rsidR="0002374C" w:rsidRPr="00BD6900" w:rsidRDefault="0002374C" w:rsidP="0002374C">
      <w:pPr>
        <w:pStyle w:val="ListParagraph"/>
        <w:numPr>
          <w:ilvl w:val="0"/>
          <w:numId w:val="35"/>
        </w:numPr>
        <w:spacing w:before="120" w:after="0" w:line="240" w:lineRule="auto"/>
        <w:contextualSpacing w:val="0"/>
        <w:jc w:val="both"/>
        <w:rPr>
          <w:rFonts w:ascii="Garamond" w:hAnsi="Garamond"/>
          <w:sz w:val="22"/>
        </w:rPr>
      </w:pPr>
      <w:r w:rsidRPr="00BD6900">
        <w:rPr>
          <w:rFonts w:ascii="Garamond" w:hAnsi="Garamond"/>
          <w:sz w:val="22"/>
        </w:rPr>
        <w:t xml:space="preserve">UNDP Country </w:t>
      </w:r>
      <w:proofErr w:type="spellStart"/>
      <w:r w:rsidRPr="00BD6900">
        <w:rPr>
          <w:rFonts w:ascii="Garamond" w:hAnsi="Garamond"/>
          <w:sz w:val="22"/>
        </w:rPr>
        <w:t>Programme</w:t>
      </w:r>
      <w:proofErr w:type="spellEnd"/>
      <w:r w:rsidRPr="00BD6900">
        <w:rPr>
          <w:rFonts w:ascii="Garamond" w:hAnsi="Garamond"/>
          <w:sz w:val="22"/>
        </w:rPr>
        <w:t xml:space="preserve"> Action Plan (CPAP)</w:t>
      </w:r>
    </w:p>
    <w:p w:rsidR="0002374C" w:rsidRPr="00BD6900" w:rsidRDefault="0002374C" w:rsidP="0002374C">
      <w:pPr>
        <w:spacing w:line="240" w:lineRule="auto"/>
        <w:rPr>
          <w:rFonts w:ascii="Garamond" w:eastAsia="Times New Roman" w:hAnsi="Garamond"/>
          <w:szCs w:val="20"/>
        </w:rPr>
      </w:pPr>
    </w:p>
    <w:p w:rsidR="00D6638C" w:rsidRDefault="0002374C" w:rsidP="00F05366">
      <w:pPr>
        <w:pStyle w:val="Heading31"/>
      </w:pPr>
      <w:r w:rsidRPr="0093330D">
        <w:rPr>
          <w:rFonts w:ascii="Calibri" w:hAnsi="Calibri" w:cs="Times New Roman"/>
          <w:i/>
          <w:sz w:val="20"/>
          <w:szCs w:val="20"/>
          <w:highlight w:val="yellow"/>
          <w:lang w:val="en-GB"/>
        </w:rPr>
        <w:t xml:space="preserve">You could add more </w:t>
      </w:r>
      <w:bookmarkStart w:id="67" w:name="_TOR_Annex_C:"/>
      <w:bookmarkStart w:id="68" w:name="_Toc321341564"/>
      <w:bookmarkStart w:id="69" w:name="_Toc299122846"/>
      <w:bookmarkStart w:id="70" w:name="_Toc299122868"/>
      <w:bookmarkStart w:id="71" w:name="_Toc299126632"/>
      <w:bookmarkEnd w:id="67"/>
      <w:r w:rsidR="00D6638C" w:rsidRPr="00D6638C">
        <w:t>Annex C: Evaluation Questions</w:t>
      </w:r>
      <w:bookmarkEnd w:id="68"/>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r w:rsidR="0093330D">
        <w:rPr>
          <w:i/>
        </w:rPr>
        <w:t xml:space="preserve"> </w:t>
      </w:r>
      <w:r w:rsidR="00BB2DF6">
        <w:rPr>
          <w:i/>
        </w:rPr>
        <w:t xml:space="preserve">To </w:t>
      </w:r>
      <w:r w:rsidR="00F36DEF">
        <w:rPr>
          <w:i/>
        </w:rPr>
        <w:t>be amended</w:t>
      </w:r>
      <w:r w:rsidR="00BB2DF6">
        <w:rPr>
          <w:i/>
        </w:rPr>
        <w:t>, completed and submitted as part of an evaluation inception report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A92DE4">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lastRenderedPageBreak/>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footerReference w:type="default" r:id="rId12"/>
          <w:pgSz w:w="15840" w:h="12240" w:orient="landscape"/>
          <w:pgMar w:top="1440" w:right="900" w:bottom="1440" w:left="1440" w:header="708" w:footer="708" w:gutter="0"/>
          <w:cols w:space="708"/>
          <w:docGrid w:linePitch="360"/>
        </w:sectPr>
      </w:pPr>
    </w:p>
    <w:p w:rsidR="00D6638C" w:rsidRDefault="00D6638C" w:rsidP="00F05366">
      <w:pPr>
        <w:pStyle w:val="Heading31"/>
      </w:pPr>
      <w:bookmarkStart w:id="72" w:name="_TOR_Annex_D:"/>
      <w:bookmarkStart w:id="73" w:name="_Toc321341565"/>
      <w:bookmarkEnd w:id="72"/>
      <w:r w:rsidRPr="00D6638C">
        <w:lastRenderedPageBreak/>
        <w:t>Annex D: Rating</w:t>
      </w:r>
      <w:r w:rsidR="00E77635">
        <w:t xml:space="preserve"> Scales</w:t>
      </w:r>
      <w:bookmarkEnd w:id="73"/>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4" w:name="_Toc299133056"/>
      <w:bookmarkStart w:id="75" w:name="_Toc321341566"/>
      <w:r w:rsidRPr="00D6638C">
        <w:lastRenderedPageBreak/>
        <w:t xml:space="preserve">Annex E: Evaluation Consultant Code of Conduct </w:t>
      </w:r>
      <w:r w:rsidR="00B913F1">
        <w:t xml:space="preserve">and </w:t>
      </w:r>
      <w:r w:rsidRPr="00D6638C">
        <w:t>Agreement Form</w:t>
      </w:r>
      <w:bookmarkEnd w:id="69"/>
      <w:bookmarkEnd w:id="70"/>
      <w:bookmarkEnd w:id="71"/>
      <w:bookmarkEnd w:id="74"/>
      <w:bookmarkEnd w:id="75"/>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7"/>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6" w:name="_TOR_Annex_F:"/>
      <w:bookmarkStart w:id="77" w:name="_Toc299122847"/>
      <w:bookmarkStart w:id="78" w:name="_Toc299122869"/>
      <w:bookmarkStart w:id="79" w:name="_Toc299126633"/>
      <w:bookmarkStart w:id="80" w:name="_Toc299133057"/>
      <w:bookmarkStart w:id="81" w:name="_Toc321341567"/>
      <w:bookmarkEnd w:id="76"/>
      <w:r w:rsidRPr="00D6638C">
        <w:lastRenderedPageBreak/>
        <w:t>Annex F: Evaluation Report Outline</w:t>
      </w:r>
      <w:bookmarkEnd w:id="77"/>
      <w:bookmarkEnd w:id="78"/>
      <w:bookmarkEnd w:id="79"/>
      <w:bookmarkEnd w:id="80"/>
      <w:r w:rsidRPr="00D6638C">
        <w:rPr>
          <w:vertAlign w:val="superscript"/>
        </w:rPr>
        <w:footnoteReference w:id="8"/>
      </w:r>
      <w:bookmarkEnd w:id="81"/>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9"/>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10"/>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82" w:name="_TOR_Annex_G:"/>
      <w:bookmarkStart w:id="83" w:name="_Toc299133058"/>
      <w:bookmarkStart w:id="84" w:name="_Toc299122848"/>
      <w:bookmarkStart w:id="85" w:name="_Toc299122870"/>
      <w:bookmarkStart w:id="86" w:name="_Toc299126634"/>
      <w:bookmarkEnd w:id="82"/>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7" w:name="_TOR_Annex_G:_1"/>
      <w:bookmarkStart w:id="88" w:name="_Toc321341568"/>
      <w:bookmarkEnd w:id="87"/>
      <w:r w:rsidRPr="00F05366">
        <w:lastRenderedPageBreak/>
        <w:t>Annex G: Evaluation Report Clearance Form</w:t>
      </w:r>
      <w:bookmarkEnd w:id="83"/>
      <w:bookmarkEnd w:id="88"/>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7422501D" wp14:editId="6368516F">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67751B" w:rsidRPr="0084083F" w:rsidRDefault="0067751B" w:rsidP="00D6638C">
                            <w:pPr>
                              <w:rPr>
                                <w:rFonts w:eastAsia="Batang"/>
                              </w:rPr>
                            </w:pPr>
                            <w:r w:rsidRPr="0084083F">
                              <w:rPr>
                                <w:rFonts w:eastAsia="Batang"/>
                              </w:rPr>
                              <w:t>Evaluation Report Reviewed and Cleared by</w:t>
                            </w:r>
                          </w:p>
                          <w:p w:rsidR="0067751B" w:rsidRPr="0084083F" w:rsidRDefault="0067751B" w:rsidP="00D6638C">
                            <w:r w:rsidRPr="0084083F">
                              <w:t>UNDP Country Office</w:t>
                            </w:r>
                          </w:p>
                          <w:p w:rsidR="0067751B" w:rsidRPr="0084083F" w:rsidRDefault="0067751B" w:rsidP="00D6638C">
                            <w:r w:rsidRPr="0084083F">
                              <w:t>Name:  ___________________________________________________</w:t>
                            </w:r>
                          </w:p>
                          <w:p w:rsidR="0067751B" w:rsidRPr="0084083F" w:rsidRDefault="0067751B" w:rsidP="00D6638C">
                            <w:r w:rsidRPr="0084083F">
                              <w:t>Signature: ______________________________       Date: _________________________________</w:t>
                            </w:r>
                          </w:p>
                          <w:p w:rsidR="0067751B" w:rsidRPr="0084083F" w:rsidRDefault="0067751B" w:rsidP="00D6638C">
                            <w:r w:rsidRPr="0084083F">
                              <w:t>UNDP GEF R</w:t>
                            </w:r>
                            <w:r>
                              <w:t>TA</w:t>
                            </w:r>
                          </w:p>
                          <w:p w:rsidR="0067751B" w:rsidRPr="0084083F" w:rsidRDefault="0067751B" w:rsidP="00D6638C">
                            <w:r w:rsidRPr="0084083F">
                              <w:t>Name:  ___________________________________________________</w:t>
                            </w:r>
                          </w:p>
                          <w:p w:rsidR="0067751B" w:rsidRPr="0084083F" w:rsidRDefault="0067751B"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422501D"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67751B" w:rsidRPr="0084083F" w:rsidRDefault="0067751B" w:rsidP="00D6638C">
                      <w:pPr>
                        <w:rPr>
                          <w:rFonts w:eastAsia="Batang"/>
                        </w:rPr>
                      </w:pPr>
                      <w:r w:rsidRPr="0084083F">
                        <w:rPr>
                          <w:rFonts w:eastAsia="Batang"/>
                        </w:rPr>
                        <w:t>Evaluation Report Reviewed and Cleared by</w:t>
                      </w:r>
                    </w:p>
                    <w:p w:rsidR="0067751B" w:rsidRPr="0084083F" w:rsidRDefault="0067751B" w:rsidP="00D6638C">
                      <w:r w:rsidRPr="0084083F">
                        <w:t>UNDP Country Office</w:t>
                      </w:r>
                    </w:p>
                    <w:p w:rsidR="0067751B" w:rsidRPr="0084083F" w:rsidRDefault="0067751B" w:rsidP="00D6638C">
                      <w:r w:rsidRPr="0084083F">
                        <w:t>Name:  ___________________________________________________</w:t>
                      </w:r>
                    </w:p>
                    <w:p w:rsidR="0067751B" w:rsidRPr="0084083F" w:rsidRDefault="0067751B" w:rsidP="00D6638C">
                      <w:r w:rsidRPr="0084083F">
                        <w:t>Signature: ______________________________       Date: _________________________________</w:t>
                      </w:r>
                    </w:p>
                    <w:p w:rsidR="0067751B" w:rsidRPr="0084083F" w:rsidRDefault="0067751B" w:rsidP="00D6638C">
                      <w:r w:rsidRPr="0084083F">
                        <w:t>UNDP GEF R</w:t>
                      </w:r>
                      <w:r>
                        <w:t>TA</w:t>
                      </w:r>
                    </w:p>
                    <w:p w:rsidR="0067751B" w:rsidRPr="0084083F" w:rsidRDefault="0067751B" w:rsidP="00D6638C">
                      <w:r w:rsidRPr="0084083F">
                        <w:t>Name:  ___________________________________________________</w:t>
                      </w:r>
                    </w:p>
                    <w:p w:rsidR="0067751B" w:rsidRPr="0084083F" w:rsidRDefault="0067751B"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w:t>
      </w:r>
      <w:proofErr w:type="gramStart"/>
      <w:r w:rsidRPr="00D6638C">
        <w:rPr>
          <w:rFonts w:ascii="Calibri" w:eastAsia="Times New Roman" w:hAnsi="Calibri" w:cs="Times New Roman"/>
          <w:i/>
          <w:sz w:val="20"/>
          <w:szCs w:val="20"/>
          <w:highlight w:val="lightGray"/>
        </w:rPr>
        <w:t>to</w:t>
      </w:r>
      <w:proofErr w:type="gramEnd"/>
      <w:r w:rsidRPr="00D6638C">
        <w:rPr>
          <w:rFonts w:ascii="Calibri" w:eastAsia="Times New Roman" w:hAnsi="Calibri" w:cs="Times New Roman"/>
          <w:i/>
          <w:sz w:val="20"/>
          <w:szCs w:val="20"/>
          <w:highlight w:val="lightGray"/>
        </w:rPr>
        <w:t xml:space="preserve"> be completed by CO and UNDP GEF Technical Adviser based in the region and included in the final document)</w:t>
      </w:r>
      <w:bookmarkEnd w:id="84"/>
      <w:bookmarkEnd w:id="85"/>
      <w:bookmarkEnd w:id="86"/>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9" w:name="_Annex_3._Sample"/>
      <w:bookmarkEnd w:id="89"/>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1B" w:rsidRDefault="0067751B" w:rsidP="00D6638C">
      <w:pPr>
        <w:spacing w:after="0" w:line="240" w:lineRule="auto"/>
      </w:pPr>
      <w:r>
        <w:separator/>
      </w:r>
    </w:p>
  </w:endnote>
  <w:endnote w:type="continuationSeparator" w:id="0">
    <w:p w:rsidR="0067751B" w:rsidRDefault="0067751B"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Segoe Print"/>
    <w:panose1 w:val="00000000000000000000"/>
    <w:charset w:val="00"/>
    <w:family w:val="roman"/>
    <w:notTrueType/>
    <w:pitch w:val="default"/>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rsidR="0067751B" w:rsidRDefault="0067751B">
        <w:pPr>
          <w:pStyle w:val="Footer"/>
          <w:jc w:val="right"/>
        </w:pPr>
        <w:r>
          <w:fldChar w:fldCharType="begin"/>
        </w:r>
        <w:r>
          <w:instrText xml:space="preserve"> PAGE   \* MERGEFORMAT </w:instrText>
        </w:r>
        <w:r>
          <w:fldChar w:fldCharType="separate"/>
        </w:r>
        <w:r w:rsidR="00750A07">
          <w:rPr>
            <w:noProof/>
          </w:rPr>
          <w:t>11</w:t>
        </w:r>
        <w:r>
          <w:rPr>
            <w:noProof/>
          </w:rPr>
          <w:fldChar w:fldCharType="end"/>
        </w:r>
      </w:p>
    </w:sdtContent>
  </w:sdt>
  <w:p w:rsidR="0067751B" w:rsidRDefault="00677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1B" w:rsidRDefault="0067751B" w:rsidP="00D6638C">
      <w:pPr>
        <w:spacing w:after="0" w:line="240" w:lineRule="auto"/>
      </w:pPr>
      <w:r>
        <w:separator/>
      </w:r>
    </w:p>
  </w:footnote>
  <w:footnote w:type="continuationSeparator" w:id="0">
    <w:p w:rsidR="0067751B" w:rsidRDefault="0067751B" w:rsidP="00D6638C">
      <w:pPr>
        <w:spacing w:after="0" w:line="240" w:lineRule="auto"/>
      </w:pPr>
      <w:r>
        <w:continuationSeparator/>
      </w:r>
    </w:p>
  </w:footnote>
  <w:footnote w:id="1">
    <w:p w:rsidR="0067751B" w:rsidRPr="00AA1246" w:rsidRDefault="0067751B" w:rsidP="00B4132C">
      <w:pPr>
        <w:pStyle w:val="FootnoteText"/>
        <w:spacing w:before="0"/>
        <w:rPr>
          <w:rFonts w:ascii="Garamond" w:hAnsi="Garamond"/>
          <w:szCs w:val="18"/>
        </w:rPr>
      </w:pPr>
    </w:p>
  </w:footnote>
  <w:footnote w:id="2">
    <w:p w:rsidR="0067751B" w:rsidRPr="00CE0D94" w:rsidRDefault="0067751B" w:rsidP="00B4132C">
      <w:pPr>
        <w:pStyle w:val="FootnoteText"/>
        <w:spacing w:before="0"/>
        <w:rPr>
          <w:rFonts w:ascii="Garamond" w:hAnsi="Garamond"/>
          <w:szCs w:val="18"/>
        </w:rPr>
      </w:pPr>
    </w:p>
  </w:footnote>
  <w:footnote w:id="3">
    <w:p w:rsidR="0067751B" w:rsidRDefault="0067751B"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4">
    <w:p w:rsidR="0067751B" w:rsidRPr="00022F8E" w:rsidRDefault="0067751B">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5">
    <w:p w:rsidR="0067751B" w:rsidRPr="000D1E74" w:rsidRDefault="0067751B" w:rsidP="00BB2DF6">
      <w:pPr>
        <w:pStyle w:val="FootnoteText"/>
        <w:spacing w:after="0"/>
        <w:rPr>
          <w:rFonts w:cs="Arial"/>
          <w:i/>
          <w:szCs w:val="18"/>
        </w:rPr>
      </w:pPr>
      <w:r w:rsidRPr="000D1E74">
        <w:rPr>
          <w:rStyle w:val="FootnoteReference"/>
          <w:rFonts w:cs="Arial"/>
          <w:szCs w:val="18"/>
        </w:rPr>
        <w:footnoteRef/>
      </w:r>
      <w:r w:rsidRPr="000D1E74">
        <w:rPr>
          <w:rFonts w:cs="Arial"/>
          <w:szCs w:val="18"/>
        </w:rPr>
        <w:t xml:space="preserve"> </w:t>
      </w:r>
      <w:r w:rsidRPr="000D1E74">
        <w:rPr>
          <w:rFonts w:cs="Arial"/>
          <w:i/>
          <w:szCs w:val="18"/>
        </w:rPr>
        <w:t>Objective (Atlas output) monitored quarterly ERBM  and annually in APR/PIR</w:t>
      </w:r>
    </w:p>
  </w:footnote>
  <w:footnote w:id="6">
    <w:p w:rsidR="0067751B" w:rsidRPr="000D1E74" w:rsidRDefault="0067751B" w:rsidP="00BB2DF6">
      <w:pPr>
        <w:pStyle w:val="FootnoteText"/>
        <w:spacing w:after="0"/>
        <w:rPr>
          <w:rFonts w:cs="Arial"/>
          <w:i/>
          <w:szCs w:val="18"/>
        </w:rPr>
      </w:pPr>
      <w:r w:rsidRPr="000D1E74">
        <w:rPr>
          <w:rStyle w:val="FootnoteReference"/>
          <w:rFonts w:cs="Arial"/>
          <w:i/>
          <w:szCs w:val="18"/>
        </w:rPr>
        <w:footnoteRef/>
      </w:r>
      <w:r w:rsidRPr="000D1E74">
        <w:rPr>
          <w:rFonts w:cs="Arial"/>
          <w:i/>
          <w:szCs w:val="18"/>
        </w:rPr>
        <w:t xml:space="preserve"> All outcomes monitored annually in the APR/PIR. It is highly recommended not to have more than 4 outcomes.</w:t>
      </w:r>
    </w:p>
  </w:footnote>
  <w:footnote w:id="7">
    <w:p w:rsidR="0067751B" w:rsidRDefault="0067751B" w:rsidP="00D6638C">
      <w:pPr>
        <w:pStyle w:val="FootnoteText"/>
      </w:pPr>
      <w:r w:rsidRPr="004B6248">
        <w:rPr>
          <w:rStyle w:val="FootnoteReference"/>
        </w:rPr>
        <w:footnoteRef/>
      </w:r>
      <w:r w:rsidRPr="00FB1376">
        <w:t>www.unevaluation.org/unegcodeofconduct</w:t>
      </w:r>
    </w:p>
    <w:p w:rsidR="0067751B" w:rsidRDefault="0067751B" w:rsidP="00D6638C">
      <w:pPr>
        <w:pStyle w:val="FootnoteText"/>
      </w:pPr>
    </w:p>
  </w:footnote>
  <w:footnote w:id="8">
    <w:p w:rsidR="0067751B" w:rsidRPr="002B7151" w:rsidRDefault="0067751B"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9">
    <w:p w:rsidR="0067751B" w:rsidRPr="002B7151" w:rsidRDefault="0067751B"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10">
    <w:p w:rsidR="0067751B" w:rsidRPr="002B7151" w:rsidRDefault="0067751B"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104143"/>
    <w:multiLevelType w:val="hybridMultilevel"/>
    <w:tmpl w:val="C95ED8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72582"/>
    <w:multiLevelType w:val="multilevel"/>
    <w:tmpl w:val="B9C0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6">
    <w:nsid w:val="39A12310"/>
    <w:multiLevelType w:val="hybridMultilevel"/>
    <w:tmpl w:val="9914234A"/>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ambria Math" w:hAnsi="Cambria Math" w:cs="Cambria Math"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ambria Math" w:hAnsi="Cambria Math" w:cs="Cambria Math"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ambria Math" w:hAnsi="Cambria Math" w:cs="Cambria Math"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984C2C"/>
    <w:multiLevelType w:val="hybridMultilevel"/>
    <w:tmpl w:val="19E84AD0"/>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7">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9">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1">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63200"/>
    <w:multiLevelType w:val="hybridMultilevel"/>
    <w:tmpl w:val="D460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28"/>
  </w:num>
  <w:num w:numId="4">
    <w:abstractNumId w:val="19"/>
  </w:num>
  <w:num w:numId="5">
    <w:abstractNumId w:val="2"/>
  </w:num>
  <w:num w:numId="6">
    <w:abstractNumId w:val="25"/>
  </w:num>
  <w:num w:numId="7">
    <w:abstractNumId w:val="1"/>
  </w:num>
  <w:num w:numId="8">
    <w:abstractNumId w:val="30"/>
  </w:num>
  <w:num w:numId="9">
    <w:abstractNumId w:val="12"/>
  </w:num>
  <w:num w:numId="10">
    <w:abstractNumId w:val="29"/>
  </w:num>
  <w:num w:numId="11">
    <w:abstractNumId w:val="10"/>
  </w:num>
  <w:num w:numId="12">
    <w:abstractNumId w:val="26"/>
  </w:num>
  <w:num w:numId="13">
    <w:abstractNumId w:val="24"/>
  </w:num>
  <w:num w:numId="14">
    <w:abstractNumId w:val="3"/>
  </w:num>
  <w:num w:numId="15">
    <w:abstractNumId w:val="23"/>
  </w:num>
  <w:num w:numId="16">
    <w:abstractNumId w:val="15"/>
  </w:num>
  <w:num w:numId="17">
    <w:abstractNumId w:val="4"/>
  </w:num>
  <w:num w:numId="18">
    <w:abstractNumId w:val="13"/>
  </w:num>
  <w:num w:numId="19">
    <w:abstractNumId w:val="33"/>
  </w:num>
  <w:num w:numId="20">
    <w:abstractNumId w:val="17"/>
  </w:num>
  <w:num w:numId="21">
    <w:abstractNumId w:val="11"/>
  </w:num>
  <w:num w:numId="22">
    <w:abstractNumId w:val="5"/>
  </w:num>
  <w:num w:numId="23">
    <w:abstractNumId w:val="6"/>
  </w:num>
  <w:num w:numId="24">
    <w:abstractNumId w:val="31"/>
  </w:num>
  <w:num w:numId="25">
    <w:abstractNumId w:val="0"/>
  </w:num>
  <w:num w:numId="26">
    <w:abstractNumId w:val="36"/>
  </w:num>
  <w:num w:numId="27">
    <w:abstractNumId w:val="9"/>
  </w:num>
  <w:num w:numId="28">
    <w:abstractNumId w:val="32"/>
  </w:num>
  <w:num w:numId="29">
    <w:abstractNumId w:val="22"/>
  </w:num>
  <w:num w:numId="30">
    <w:abstractNumId w:val="18"/>
  </w:num>
  <w:num w:numId="31">
    <w:abstractNumId w:val="27"/>
  </w:num>
  <w:num w:numId="32">
    <w:abstractNumId w:val="20"/>
  </w:num>
  <w:num w:numId="33">
    <w:abstractNumId w:val="7"/>
  </w:num>
  <w:num w:numId="34">
    <w:abstractNumId w:val="21"/>
  </w:num>
  <w:num w:numId="35">
    <w:abstractNumId w:val="34"/>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22F8E"/>
    <w:rsid w:val="0002374C"/>
    <w:rsid w:val="00050203"/>
    <w:rsid w:val="000660DF"/>
    <w:rsid w:val="00092CF2"/>
    <w:rsid w:val="000B4CFE"/>
    <w:rsid w:val="00224F9C"/>
    <w:rsid w:val="002448B1"/>
    <w:rsid w:val="002634F4"/>
    <w:rsid w:val="00272103"/>
    <w:rsid w:val="00303541"/>
    <w:rsid w:val="00310398"/>
    <w:rsid w:val="00326B73"/>
    <w:rsid w:val="00354A4C"/>
    <w:rsid w:val="003A1C86"/>
    <w:rsid w:val="003D37DE"/>
    <w:rsid w:val="00511602"/>
    <w:rsid w:val="00511A78"/>
    <w:rsid w:val="0067751B"/>
    <w:rsid w:val="0069504E"/>
    <w:rsid w:val="006C1964"/>
    <w:rsid w:val="00750A07"/>
    <w:rsid w:val="00763A0D"/>
    <w:rsid w:val="0079027F"/>
    <w:rsid w:val="007A15E4"/>
    <w:rsid w:val="008074FC"/>
    <w:rsid w:val="00897AB1"/>
    <w:rsid w:val="0093330D"/>
    <w:rsid w:val="00943C3D"/>
    <w:rsid w:val="009E12E0"/>
    <w:rsid w:val="009E358D"/>
    <w:rsid w:val="00A65F9B"/>
    <w:rsid w:val="00A92DE4"/>
    <w:rsid w:val="00AD01E2"/>
    <w:rsid w:val="00B4132C"/>
    <w:rsid w:val="00B76255"/>
    <w:rsid w:val="00B913F1"/>
    <w:rsid w:val="00BB2DF6"/>
    <w:rsid w:val="00BE59D1"/>
    <w:rsid w:val="00C3693B"/>
    <w:rsid w:val="00CB7A51"/>
    <w:rsid w:val="00CE5124"/>
    <w:rsid w:val="00D20A72"/>
    <w:rsid w:val="00D6638C"/>
    <w:rsid w:val="00D8199B"/>
    <w:rsid w:val="00E23201"/>
    <w:rsid w:val="00E31BB7"/>
    <w:rsid w:val="00E572AF"/>
    <w:rsid w:val="00E77635"/>
    <w:rsid w:val="00E807D5"/>
    <w:rsid w:val="00E8715B"/>
    <w:rsid w:val="00EA4886"/>
    <w:rsid w:val="00F05366"/>
    <w:rsid w:val="00F168C7"/>
    <w:rsid w:val="00F36DEF"/>
    <w:rsid w:val="00F9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BVI fnr,Footnote Reference Number,BVI fnr Car Car,BVI fnr Car,BVI fnr Car Car Car Car,Footnote text,EN Footnote Reference,Ref"/>
    <w:basedOn w:val="DefaultParagraphFont"/>
    <w:link w:val="CharCharCharCharCarChar"/>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qFormat/>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Date1">
    <w:name w:val="Date1"/>
    <w:basedOn w:val="DefaultParagraphFont"/>
    <w:rsid w:val="00B4132C"/>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BB2DF6"/>
    <w:pPr>
      <w:tabs>
        <w:tab w:val="left" w:pos="539"/>
      </w:tabs>
      <w:spacing w:after="0" w:line="240" w:lineRule="exact"/>
      <w:jc w:val="both"/>
    </w:pPr>
    <w:rPr>
      <w:vertAlign w:val="superscript"/>
    </w:rPr>
  </w:style>
  <w:style w:type="paragraph" w:customStyle="1" w:styleId="Normal1">
    <w:name w:val="Normal1"/>
    <w:basedOn w:val="NormalWeb"/>
    <w:link w:val="Normal1Char"/>
    <w:qFormat/>
    <w:rsid w:val="00BB2DF6"/>
    <w:pPr>
      <w:tabs>
        <w:tab w:val="left" w:pos="539"/>
      </w:tabs>
      <w:spacing w:after="0" w:line="240" w:lineRule="auto"/>
      <w:jc w:val="both"/>
    </w:pPr>
    <w:rPr>
      <w:rFonts w:ascii="Arial" w:eastAsia="Times New Roman" w:hAnsi="Arial" w:cs="Arial"/>
      <w:noProof/>
      <w:sz w:val="22"/>
      <w:szCs w:val="22"/>
      <w:lang w:bidi="ar-SA"/>
    </w:rPr>
  </w:style>
  <w:style w:type="character" w:customStyle="1" w:styleId="Normal1Char">
    <w:name w:val="Normal1 Char"/>
    <w:link w:val="Normal1"/>
    <w:rsid w:val="00BB2DF6"/>
    <w:rPr>
      <w:rFonts w:ascii="Arial" w:eastAsia="Times New Roman" w:hAnsi="Arial" w:cs="Arial"/>
      <w:noProof/>
      <w:lang w:bidi="ar-SA"/>
    </w:rPr>
  </w:style>
  <w:style w:type="paragraph" w:styleId="NormalWeb">
    <w:name w:val="Normal (Web)"/>
    <w:basedOn w:val="Normal"/>
    <w:uiPriority w:val="99"/>
    <w:semiHidden/>
    <w:unhideWhenUsed/>
    <w:rsid w:val="00BB2DF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BVI fnr,Footnote Reference Number,BVI fnr Car Car,BVI fnr Car,BVI fnr Car Car Car Car,Footnote text,EN Footnote Reference,Ref"/>
    <w:basedOn w:val="DefaultParagraphFont"/>
    <w:link w:val="CharCharCharCharCarChar"/>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qFormat/>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Date1">
    <w:name w:val="Date1"/>
    <w:basedOn w:val="DefaultParagraphFont"/>
    <w:rsid w:val="00B4132C"/>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BB2DF6"/>
    <w:pPr>
      <w:tabs>
        <w:tab w:val="left" w:pos="539"/>
      </w:tabs>
      <w:spacing w:after="0" w:line="240" w:lineRule="exact"/>
      <w:jc w:val="both"/>
    </w:pPr>
    <w:rPr>
      <w:vertAlign w:val="superscript"/>
    </w:rPr>
  </w:style>
  <w:style w:type="paragraph" w:customStyle="1" w:styleId="Normal1">
    <w:name w:val="Normal1"/>
    <w:basedOn w:val="NormalWeb"/>
    <w:link w:val="Normal1Char"/>
    <w:qFormat/>
    <w:rsid w:val="00BB2DF6"/>
    <w:pPr>
      <w:tabs>
        <w:tab w:val="left" w:pos="539"/>
      </w:tabs>
      <w:spacing w:after="0" w:line="240" w:lineRule="auto"/>
      <w:jc w:val="both"/>
    </w:pPr>
    <w:rPr>
      <w:rFonts w:ascii="Arial" w:eastAsia="Times New Roman" w:hAnsi="Arial" w:cs="Arial"/>
      <w:noProof/>
      <w:sz w:val="22"/>
      <w:szCs w:val="22"/>
      <w:lang w:bidi="ar-SA"/>
    </w:rPr>
  </w:style>
  <w:style w:type="character" w:customStyle="1" w:styleId="Normal1Char">
    <w:name w:val="Normal1 Char"/>
    <w:link w:val="Normal1"/>
    <w:rsid w:val="00BB2DF6"/>
    <w:rPr>
      <w:rFonts w:ascii="Arial" w:eastAsia="Times New Roman" w:hAnsi="Arial" w:cs="Arial"/>
      <w:noProof/>
      <w:lang w:bidi="ar-SA"/>
    </w:rPr>
  </w:style>
  <w:style w:type="paragraph" w:styleId="NormalWeb">
    <w:name w:val="Normal (Web)"/>
    <w:basedOn w:val="Normal"/>
    <w:uiPriority w:val="99"/>
    <w:semiHidden/>
    <w:unhideWhenUsed/>
    <w:rsid w:val="00BB2D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uation.org/ethicalguidelines" TargetMode="Externa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71D9-7557-4C5B-8A09-DB17A702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5412</Words>
  <Characters>30851</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BISTON MBEWE</cp:lastModifiedBy>
  <cp:revision>2</cp:revision>
  <dcterms:created xsi:type="dcterms:W3CDTF">2020-03-10T10:34:00Z</dcterms:created>
  <dcterms:modified xsi:type="dcterms:W3CDTF">2020-03-10T10:34:00Z</dcterms:modified>
</cp:coreProperties>
</file>