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5A85" w14:textId="77777777" w:rsidR="00DD7F19" w:rsidRPr="0085786F" w:rsidRDefault="00DD7F19" w:rsidP="00CE34E3">
      <w:pPr>
        <w:tabs>
          <w:tab w:val="left" w:pos="1410"/>
        </w:tabs>
        <w:spacing w:after="0" w:line="240" w:lineRule="auto"/>
        <w:ind w:left="8496"/>
        <w:jc w:val="both"/>
        <w:rPr>
          <w:rFonts w:eastAsia="Times New Roman" w:cstheme="minorHAnsi"/>
          <w:b/>
          <w:lang w:eastAsia="rw-RW"/>
        </w:rPr>
      </w:pPr>
      <w:bookmarkStart w:id="0" w:name="OLE_LINK1"/>
      <w:bookmarkStart w:id="1" w:name="OLE_LINK2"/>
      <w:bookmarkStart w:id="2" w:name="_GoBack"/>
      <w:bookmarkEnd w:id="2"/>
      <w:r w:rsidRPr="0085786F">
        <w:rPr>
          <w:rFonts w:cstheme="minorHAnsi"/>
          <w:noProof/>
          <w:color w:val="1F497D"/>
          <w:lang w:eastAsia="fr-FR"/>
        </w:rPr>
        <w:drawing>
          <wp:inline distT="0" distB="0" distL="0" distR="0" wp14:anchorId="5208D306" wp14:editId="4A6D8D48">
            <wp:extent cx="447622" cy="1161600"/>
            <wp:effectExtent l="0" t="0" r="0" b="635"/>
            <wp:docPr id="4" name="Picture 4" descr="cid:image001.png@01CD1D75.20A0F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CD1D75.20A0F1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80472" cy="1246847"/>
                    </a:xfrm>
                    <a:prstGeom prst="rect">
                      <a:avLst/>
                    </a:prstGeom>
                    <a:noFill/>
                    <a:ln>
                      <a:noFill/>
                    </a:ln>
                  </pic:spPr>
                </pic:pic>
              </a:graphicData>
            </a:graphic>
          </wp:inline>
        </w:drawing>
      </w:r>
      <w:bookmarkEnd w:id="0"/>
      <w:bookmarkEnd w:id="1"/>
    </w:p>
    <w:p w14:paraId="193A74FD" w14:textId="77777777" w:rsidR="00DD7F19" w:rsidRPr="0085786F" w:rsidRDefault="00DD7F19" w:rsidP="003039E2">
      <w:pPr>
        <w:tabs>
          <w:tab w:val="left" w:pos="1410"/>
        </w:tabs>
        <w:spacing w:after="0" w:line="240" w:lineRule="auto"/>
        <w:jc w:val="center"/>
        <w:rPr>
          <w:rFonts w:eastAsia="Times New Roman" w:cstheme="minorHAnsi"/>
          <w:b/>
          <w:lang w:eastAsia="rw-RW"/>
        </w:rPr>
      </w:pPr>
      <w:r w:rsidRPr="0085786F">
        <w:rPr>
          <w:rFonts w:eastAsia="Times New Roman" w:cstheme="minorHAnsi"/>
          <w:b/>
          <w:lang w:eastAsia="rw-RW"/>
        </w:rPr>
        <w:t>Notice de sélection pour Consultant Individuel</w:t>
      </w:r>
    </w:p>
    <w:p w14:paraId="7DA4B351" w14:textId="2B07309C" w:rsidR="007E6A2B" w:rsidRPr="0085786F" w:rsidRDefault="00FC5A3D" w:rsidP="003039E2">
      <w:pPr>
        <w:tabs>
          <w:tab w:val="left" w:pos="1410"/>
          <w:tab w:val="left" w:pos="6663"/>
          <w:tab w:val="left" w:pos="6804"/>
        </w:tabs>
        <w:spacing w:after="0" w:line="240" w:lineRule="auto"/>
        <w:jc w:val="center"/>
        <w:rPr>
          <w:rFonts w:eastAsia="Times New Roman" w:cstheme="minorHAnsi"/>
          <w:b/>
          <w:lang w:eastAsia="rw-RW"/>
        </w:rPr>
      </w:pPr>
      <w:r>
        <w:rPr>
          <w:rFonts w:cstheme="minorHAnsi"/>
          <w:b/>
        </w:rPr>
        <w:t xml:space="preserve">Consultant </w:t>
      </w:r>
      <w:r w:rsidR="00061D29" w:rsidRPr="0085786F">
        <w:rPr>
          <w:rFonts w:cstheme="minorHAnsi"/>
          <w:b/>
        </w:rPr>
        <w:t xml:space="preserve">national </w:t>
      </w:r>
    </w:p>
    <w:p w14:paraId="03CB73D4" w14:textId="062C2D9A" w:rsidR="00DD7F19" w:rsidRPr="0085786F" w:rsidRDefault="00DD7F19" w:rsidP="00CE34E3">
      <w:pPr>
        <w:tabs>
          <w:tab w:val="left" w:pos="1410"/>
          <w:tab w:val="left" w:pos="6663"/>
          <w:tab w:val="left" w:pos="6804"/>
        </w:tabs>
        <w:spacing w:after="0" w:line="240" w:lineRule="auto"/>
        <w:jc w:val="both"/>
        <w:rPr>
          <w:rFonts w:eastAsia="Times New Roman" w:cstheme="minorHAnsi"/>
          <w:b/>
          <w:lang w:eastAsia="rw-RW"/>
        </w:rPr>
      </w:pPr>
      <w:r w:rsidRPr="0085786F">
        <w:rPr>
          <w:rFonts w:eastAsia="Times New Roman" w:cstheme="minorHAnsi"/>
          <w:b/>
          <w:lang w:eastAsia="rw-RW"/>
        </w:rPr>
        <w:t>Date</w:t>
      </w:r>
      <w:r w:rsidR="00765028" w:rsidRPr="0085786F">
        <w:rPr>
          <w:rFonts w:eastAsia="Times New Roman" w:cstheme="minorHAnsi"/>
          <w:b/>
          <w:lang w:eastAsia="rw-RW"/>
        </w:rPr>
        <w:t xml:space="preserve"> </w:t>
      </w:r>
      <w:r w:rsidRPr="0085786F">
        <w:rPr>
          <w:rFonts w:eastAsia="Times New Roman" w:cstheme="minorHAnsi"/>
          <w:b/>
          <w:lang w:eastAsia="rw-RW"/>
        </w:rPr>
        <w:t xml:space="preserve">: </w:t>
      </w:r>
      <w:r w:rsidR="00D52AD9">
        <w:rPr>
          <w:rFonts w:eastAsia="Times New Roman" w:cstheme="minorHAnsi"/>
          <w:b/>
          <w:lang w:eastAsia="rw-RW"/>
        </w:rPr>
        <w:t>04</w:t>
      </w:r>
      <w:r w:rsidR="00061D29" w:rsidRPr="0085786F">
        <w:rPr>
          <w:rFonts w:eastAsia="Times New Roman" w:cstheme="minorHAnsi"/>
          <w:b/>
          <w:lang w:eastAsia="rw-RW"/>
        </w:rPr>
        <w:t>/0</w:t>
      </w:r>
      <w:r w:rsidR="00D52AD9">
        <w:rPr>
          <w:rFonts w:eastAsia="Times New Roman" w:cstheme="minorHAnsi"/>
          <w:b/>
          <w:lang w:eastAsia="rw-RW"/>
        </w:rPr>
        <w:t>8</w:t>
      </w:r>
      <w:r w:rsidR="00E1750E" w:rsidRPr="0085786F">
        <w:rPr>
          <w:rFonts w:eastAsia="Times New Roman" w:cstheme="minorHAnsi"/>
          <w:b/>
          <w:lang w:eastAsia="rw-RW"/>
        </w:rPr>
        <w:t>/20</w:t>
      </w:r>
      <w:r w:rsidR="00EC63C8" w:rsidRPr="0085786F">
        <w:rPr>
          <w:rFonts w:eastAsia="Times New Roman" w:cstheme="minorHAnsi"/>
          <w:b/>
          <w:lang w:eastAsia="rw-RW"/>
        </w:rPr>
        <w:t>20</w:t>
      </w:r>
    </w:p>
    <w:p w14:paraId="2F274064" w14:textId="77777777" w:rsidR="00DD7F19" w:rsidRPr="0085786F" w:rsidRDefault="00DD7F19" w:rsidP="00CE34E3">
      <w:pPr>
        <w:tabs>
          <w:tab w:val="left" w:pos="1410"/>
        </w:tabs>
        <w:spacing w:after="0" w:line="240" w:lineRule="auto"/>
        <w:jc w:val="both"/>
        <w:rPr>
          <w:rFonts w:eastAsia="Times New Roman" w:cstheme="minorHAnsi"/>
          <w:b/>
          <w:lang w:eastAsia="rw-RW"/>
        </w:rPr>
      </w:pPr>
      <w:r w:rsidRPr="0085786F">
        <w:rPr>
          <w:rFonts w:eastAsia="Calibri" w:cstheme="minorHAnsi"/>
          <w:noProof/>
          <w:lang w:eastAsia="fr-FR"/>
        </w:rPr>
        <mc:AlternateContent>
          <mc:Choice Requires="wps">
            <w:drawing>
              <wp:anchor distT="4294967293" distB="4294967293" distL="114300" distR="114300" simplePos="0" relativeHeight="251657216" behindDoc="0" locked="0" layoutInCell="1" allowOverlap="1" wp14:anchorId="532FBD43" wp14:editId="7524E2B7">
                <wp:simplePos x="0" y="0"/>
                <wp:positionH relativeFrom="column">
                  <wp:posOffset>-259080</wp:posOffset>
                </wp:positionH>
                <wp:positionV relativeFrom="paragraph">
                  <wp:posOffset>137160</wp:posOffset>
                </wp:positionV>
                <wp:extent cx="6638925" cy="0"/>
                <wp:effectExtent l="0" t="19050" r="9525" b="3810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E4A44BF" id="_x0000_t32" coordsize="21600,21600" o:spt="32" o:oned="t" path="m,l21600,21600e" filled="f">
                <v:path arrowok="t" fillok="f" o:connecttype="none"/>
                <o:lock v:ext="edit" shapetype="t"/>
              </v:shapetype>
              <v:shape id="Connecteur droit avec flèche 3" o:spid="_x0000_s1026" type="#_x0000_t32" style="position:absolute;margin-left:-20.4pt;margin-top:10.8pt;width:522.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" strokecolor="blue" strokeweight="4.5pt"/>
            </w:pict>
          </mc:Fallback>
        </mc:AlternateContent>
      </w:r>
    </w:p>
    <w:p w14:paraId="0FDE14E6" w14:textId="68EBEDD6" w:rsidR="001A4A5E" w:rsidRPr="0085786F" w:rsidRDefault="001A4A5E" w:rsidP="00CE34E3">
      <w:pPr>
        <w:tabs>
          <w:tab w:val="left" w:pos="1410"/>
        </w:tabs>
        <w:spacing w:after="0" w:line="240" w:lineRule="auto"/>
        <w:jc w:val="both"/>
        <w:rPr>
          <w:rFonts w:eastAsia="Times New Roman" w:cstheme="minorHAnsi"/>
          <w:b/>
          <w:lang w:eastAsia="rw-RW"/>
        </w:rPr>
      </w:pPr>
      <w:r w:rsidRPr="0085786F">
        <w:rPr>
          <w:rFonts w:eastAsia="Times New Roman" w:cstheme="minorHAnsi"/>
          <w:b/>
          <w:lang w:eastAsia="rw-RW"/>
        </w:rPr>
        <w:t xml:space="preserve">Pays : </w:t>
      </w:r>
      <w:r w:rsidR="009A3927" w:rsidRPr="0085786F">
        <w:rPr>
          <w:rFonts w:eastAsia="Times New Roman" w:cstheme="minorHAnsi"/>
          <w:b/>
          <w:lang w:eastAsia="rw-RW"/>
        </w:rPr>
        <w:t xml:space="preserve">PNUD </w:t>
      </w:r>
      <w:r w:rsidR="00E1750E" w:rsidRPr="0085786F">
        <w:rPr>
          <w:rFonts w:eastAsia="Times New Roman" w:cstheme="minorHAnsi"/>
          <w:b/>
          <w:lang w:eastAsia="rw-RW"/>
        </w:rPr>
        <w:t>MALI</w:t>
      </w:r>
    </w:p>
    <w:p w14:paraId="0320BD26" w14:textId="36F0C567" w:rsidR="003039E2" w:rsidRPr="0085786F" w:rsidRDefault="001A4A5E" w:rsidP="003039E2">
      <w:pPr>
        <w:spacing w:after="0" w:line="240" w:lineRule="auto"/>
        <w:jc w:val="both"/>
        <w:rPr>
          <w:rFonts w:cstheme="minorHAnsi"/>
          <w:b/>
        </w:rPr>
      </w:pPr>
      <w:r w:rsidRPr="0085786F">
        <w:rPr>
          <w:rFonts w:eastAsia="Times New Roman" w:cstheme="minorHAnsi"/>
          <w:b/>
          <w:lang w:eastAsia="rw-RW"/>
        </w:rPr>
        <w:t>Intitulé de la mission</w:t>
      </w:r>
      <w:r w:rsidRPr="0085786F">
        <w:rPr>
          <w:rFonts w:eastAsia="Times New Roman" w:cstheme="minorHAnsi"/>
          <w:lang w:eastAsia="rw-RW"/>
        </w:rPr>
        <w:t> </w:t>
      </w:r>
      <w:r w:rsidRPr="0085786F">
        <w:rPr>
          <w:rFonts w:eastAsia="Times New Roman" w:cstheme="minorHAnsi"/>
          <w:b/>
          <w:lang w:eastAsia="rw-RW"/>
        </w:rPr>
        <w:t xml:space="preserve">: </w:t>
      </w:r>
      <w:r w:rsidR="00EC63C8" w:rsidRPr="0085786F">
        <w:rPr>
          <w:rFonts w:cstheme="minorHAnsi"/>
          <w:b/>
        </w:rPr>
        <w:t>Evaluation Finale du PACV-MT</w:t>
      </w:r>
    </w:p>
    <w:p w14:paraId="5E1A8A53" w14:textId="04EA98ED" w:rsidR="00241D31" w:rsidRPr="0085786F" w:rsidRDefault="00241D31" w:rsidP="003039E2">
      <w:pPr>
        <w:spacing w:after="0" w:line="240" w:lineRule="auto"/>
        <w:jc w:val="both"/>
        <w:rPr>
          <w:rFonts w:cstheme="minorHAnsi"/>
          <w:b/>
        </w:rPr>
      </w:pPr>
      <w:r w:rsidRPr="0085786F">
        <w:rPr>
          <w:rFonts w:cstheme="minorHAnsi"/>
          <w:b/>
        </w:rPr>
        <w:t>Durée </w:t>
      </w:r>
      <w:r w:rsidRPr="0085786F">
        <w:rPr>
          <w:rFonts w:cstheme="minorHAnsi"/>
        </w:rPr>
        <w:t xml:space="preserve">: </w:t>
      </w:r>
      <w:r w:rsidR="00FC5A3D">
        <w:rPr>
          <w:rFonts w:cstheme="minorHAnsi"/>
        </w:rPr>
        <w:t>3</w:t>
      </w:r>
      <w:r w:rsidR="00D52AD9">
        <w:rPr>
          <w:rFonts w:cstheme="minorHAnsi"/>
        </w:rPr>
        <w:t>0</w:t>
      </w:r>
      <w:r w:rsidR="003039E2" w:rsidRPr="0085786F">
        <w:rPr>
          <w:rFonts w:cstheme="minorHAnsi"/>
        </w:rPr>
        <w:t xml:space="preserve"> jours </w:t>
      </w:r>
      <w:r w:rsidR="002B3950" w:rsidRPr="0085786F">
        <w:rPr>
          <w:rFonts w:cstheme="minorHAnsi"/>
        </w:rPr>
        <w:t xml:space="preserve"> </w:t>
      </w:r>
    </w:p>
    <w:p w14:paraId="3B396CBE" w14:textId="47DCAAD0" w:rsidR="00241D31" w:rsidRPr="0085786F" w:rsidRDefault="00241D31" w:rsidP="00CE34E3">
      <w:pPr>
        <w:spacing w:after="0" w:line="240" w:lineRule="auto"/>
        <w:jc w:val="both"/>
        <w:rPr>
          <w:rFonts w:cstheme="minorHAnsi"/>
        </w:rPr>
      </w:pPr>
      <w:r w:rsidRPr="0085786F">
        <w:rPr>
          <w:rFonts w:cstheme="minorHAnsi"/>
          <w:b/>
        </w:rPr>
        <w:t>Lieu </w:t>
      </w:r>
      <w:r w:rsidRPr="0085786F">
        <w:rPr>
          <w:rFonts w:cstheme="minorHAnsi"/>
        </w:rPr>
        <w:t xml:space="preserve">: </w:t>
      </w:r>
      <w:r w:rsidR="006A7D94" w:rsidRPr="0085786F">
        <w:rPr>
          <w:rFonts w:cstheme="minorHAnsi"/>
        </w:rPr>
        <w:t>Mali</w:t>
      </w:r>
      <w:r w:rsidR="00EC63C8" w:rsidRPr="0085786F">
        <w:rPr>
          <w:rFonts w:cstheme="minorHAnsi"/>
        </w:rPr>
        <w:t>, Régions de Mopti et de Tombouctou</w:t>
      </w:r>
      <w:r w:rsidR="006A7D94" w:rsidRPr="0085786F">
        <w:rPr>
          <w:rFonts w:cstheme="minorHAnsi"/>
          <w:b/>
        </w:rPr>
        <w:tab/>
      </w:r>
    </w:p>
    <w:p w14:paraId="3834EEFE" w14:textId="0CEF868B" w:rsidR="001A4A5E" w:rsidRPr="0085786F" w:rsidRDefault="001A4A5E" w:rsidP="00CE34E3">
      <w:pPr>
        <w:spacing w:after="0" w:line="240" w:lineRule="auto"/>
        <w:jc w:val="both"/>
        <w:rPr>
          <w:rFonts w:eastAsia="Calibri" w:cstheme="minorHAnsi"/>
          <w:b/>
          <w:color w:val="0000FF"/>
          <w:u w:val="single"/>
        </w:rPr>
      </w:pPr>
      <w:r w:rsidRPr="0085786F">
        <w:rPr>
          <w:rFonts w:eastAsia="Times New Roman" w:cstheme="minorHAnsi"/>
          <w:lang w:eastAsia="rw-RW"/>
        </w:rPr>
        <w:t>Prière envoyer vos propositions (propositions technique et financière) dûment signées à l’adresse e-mail</w:t>
      </w:r>
      <w:r w:rsidRPr="0085786F">
        <w:rPr>
          <w:rFonts w:eastAsia="Times New Roman" w:cstheme="minorHAnsi"/>
          <w:b/>
          <w:lang w:eastAsia="rw-RW"/>
        </w:rPr>
        <w:t xml:space="preserve"> </w:t>
      </w:r>
      <w:hyperlink r:id="rId10" w:history="1">
        <w:r w:rsidR="009A3927" w:rsidRPr="0085786F">
          <w:rPr>
            <w:rStyle w:val="Lienhypertexte"/>
            <w:rFonts w:eastAsia="Times New Roman" w:cstheme="minorHAnsi"/>
            <w:lang w:eastAsia="rw-RW"/>
          </w:rPr>
          <w:t>mali.procurement@undp.org</w:t>
        </w:r>
      </w:hyperlink>
      <w:r w:rsidRPr="0085786F">
        <w:rPr>
          <w:rFonts w:eastAsia="Times New Roman" w:cstheme="minorHAnsi"/>
          <w:lang w:eastAsia="rw-RW"/>
        </w:rPr>
        <w:t xml:space="preserve"> avec mention de la référence et intitulé du dossier</w:t>
      </w:r>
      <w:r w:rsidRPr="0085786F">
        <w:rPr>
          <w:rFonts w:eastAsia="Times New Roman" w:cstheme="minorHAnsi"/>
          <w:b/>
          <w:lang w:eastAsia="rw-RW"/>
        </w:rPr>
        <w:t xml:space="preserve">. </w:t>
      </w:r>
      <w:r w:rsidRPr="0085786F">
        <w:rPr>
          <w:rFonts w:eastAsia="Calibri" w:cstheme="minorHAnsi"/>
          <w:b/>
        </w:rPr>
        <w:t xml:space="preserve">Votre proposition devra être reçue au plus tard </w:t>
      </w:r>
      <w:r w:rsidR="002B3950" w:rsidRPr="0085786F">
        <w:rPr>
          <w:rFonts w:eastAsia="Calibri" w:cstheme="minorHAnsi"/>
          <w:b/>
        </w:rPr>
        <w:t xml:space="preserve">le </w:t>
      </w:r>
      <w:r w:rsidR="00D52AD9">
        <w:rPr>
          <w:rFonts w:eastAsia="Calibri" w:cstheme="minorHAnsi"/>
          <w:b/>
          <w:color w:val="FF0000"/>
        </w:rPr>
        <w:t xml:space="preserve">……………….. </w:t>
      </w:r>
      <w:r w:rsidR="00E1750E" w:rsidRPr="0085786F">
        <w:rPr>
          <w:rFonts w:eastAsia="Calibri" w:cstheme="minorHAnsi"/>
          <w:b/>
        </w:rPr>
        <w:t>20</w:t>
      </w:r>
      <w:r w:rsidR="00EC63C8" w:rsidRPr="0085786F">
        <w:rPr>
          <w:rFonts w:eastAsia="Calibri" w:cstheme="minorHAnsi"/>
          <w:b/>
        </w:rPr>
        <w:t>20</w:t>
      </w:r>
      <w:r w:rsidR="002B3950" w:rsidRPr="0085786F">
        <w:rPr>
          <w:rFonts w:eastAsia="Calibri" w:cstheme="minorHAnsi"/>
          <w:b/>
        </w:rPr>
        <w:t xml:space="preserve"> à </w:t>
      </w:r>
      <w:r w:rsidR="00EF192F" w:rsidRPr="0085786F">
        <w:rPr>
          <w:rFonts w:eastAsia="Calibri" w:cstheme="minorHAnsi"/>
          <w:b/>
        </w:rPr>
        <w:t>1</w:t>
      </w:r>
      <w:r w:rsidR="002B3950" w:rsidRPr="0085786F">
        <w:rPr>
          <w:rFonts w:eastAsia="Calibri" w:cstheme="minorHAnsi"/>
          <w:b/>
        </w:rPr>
        <w:t>7</w:t>
      </w:r>
      <w:r w:rsidR="00EF192F" w:rsidRPr="0085786F">
        <w:rPr>
          <w:rFonts w:eastAsia="Calibri" w:cstheme="minorHAnsi"/>
          <w:b/>
        </w:rPr>
        <w:t xml:space="preserve">H00. </w:t>
      </w:r>
    </w:p>
    <w:p w14:paraId="61C16787" w14:textId="77777777" w:rsidR="00DD7F19" w:rsidRPr="0085786F" w:rsidRDefault="00DD7F19" w:rsidP="00CE34E3">
      <w:pPr>
        <w:spacing w:after="0" w:line="240" w:lineRule="auto"/>
        <w:jc w:val="both"/>
        <w:rPr>
          <w:rFonts w:eastAsia="Times New Roman" w:cstheme="minorHAnsi"/>
          <w:lang w:eastAsia="rw-RW"/>
        </w:rPr>
      </w:pPr>
      <w:r w:rsidRPr="0085786F">
        <w:rPr>
          <w:rFonts w:eastAsia="Calibri" w:cstheme="minorHAnsi"/>
          <w:noProof/>
          <w:lang w:eastAsia="fr-FR"/>
        </w:rPr>
        <mc:AlternateContent>
          <mc:Choice Requires="wps">
            <w:drawing>
              <wp:anchor distT="4294967293" distB="4294967293" distL="114300" distR="114300" simplePos="0" relativeHeight="251659264" behindDoc="0" locked="0" layoutInCell="1" allowOverlap="1" wp14:anchorId="6DE4457B" wp14:editId="48301475">
                <wp:simplePos x="0" y="0"/>
                <wp:positionH relativeFrom="column">
                  <wp:posOffset>-259080</wp:posOffset>
                </wp:positionH>
                <wp:positionV relativeFrom="paragraph">
                  <wp:posOffset>96520</wp:posOffset>
                </wp:positionV>
                <wp:extent cx="6638925" cy="0"/>
                <wp:effectExtent l="0" t="19050" r="9525" b="3810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0DEF868" id="Connecteur droit avec flèche 2" o:spid="_x0000_s1026" type="#_x0000_t32" style="position:absolute;margin-left:-20.4pt;margin-top:7.6pt;width:522.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" strokecolor="blue" strokeweight="4.5pt"/>
            </w:pict>
          </mc:Fallback>
        </mc:AlternateContent>
      </w:r>
    </w:p>
    <w:p w14:paraId="50F9EB51" w14:textId="77777777" w:rsidR="00EC63C8" w:rsidRPr="0085786F" w:rsidRDefault="00EC63C8" w:rsidP="00CE34E3">
      <w:pPr>
        <w:tabs>
          <w:tab w:val="left" w:pos="720"/>
        </w:tabs>
        <w:spacing w:after="0" w:line="240" w:lineRule="auto"/>
        <w:jc w:val="both"/>
        <w:rPr>
          <w:rFonts w:eastAsia="Calibri" w:cstheme="minorHAnsi"/>
          <w:b/>
          <w:u w:val="single"/>
          <w:lang w:val="fr-CH"/>
        </w:rPr>
      </w:pPr>
    </w:p>
    <w:p w14:paraId="12E243C7" w14:textId="093F2123" w:rsidR="00CD6B14" w:rsidRPr="0085786F" w:rsidRDefault="00CD6B14" w:rsidP="00CD6B14">
      <w:pPr>
        <w:pStyle w:val="Heading51"/>
        <w:rPr>
          <w:rFonts w:asciiTheme="minorHAnsi" w:hAnsiTheme="minorHAnsi"/>
          <w:lang w:val="fr-FR"/>
        </w:rPr>
      </w:pPr>
      <w:r w:rsidRPr="0085786F">
        <w:rPr>
          <w:rFonts w:asciiTheme="minorHAnsi" w:hAnsiTheme="minorHAnsi"/>
          <w:lang w:val="fr-FR"/>
        </w:rPr>
        <w:t>CONTEXTE</w:t>
      </w:r>
    </w:p>
    <w:p w14:paraId="1932AFFF" w14:textId="77777777" w:rsidR="00EC63C8" w:rsidRPr="0085786F" w:rsidRDefault="00EC63C8" w:rsidP="00CE34E3">
      <w:pPr>
        <w:tabs>
          <w:tab w:val="left" w:pos="720"/>
        </w:tabs>
        <w:spacing w:after="0" w:line="240" w:lineRule="auto"/>
        <w:jc w:val="both"/>
        <w:rPr>
          <w:rFonts w:eastAsia="Calibri" w:cstheme="minorHAnsi"/>
          <w:b/>
          <w:lang w:val="fr-CH"/>
        </w:rPr>
      </w:pPr>
    </w:p>
    <w:p w14:paraId="7D0CAB6C" w14:textId="77777777" w:rsidR="00EC63C8" w:rsidRPr="0085786F" w:rsidRDefault="00EC63C8" w:rsidP="00EC63C8">
      <w:pPr>
        <w:jc w:val="both"/>
        <w:rPr>
          <w:rFonts w:cs="Calibri"/>
        </w:rPr>
      </w:pPr>
      <w:r w:rsidRPr="0085786F">
        <w:rPr>
          <w:rFonts w:cs="Calibri"/>
        </w:rPr>
        <w:t xml:space="preserve">Le Programme d’Appui aux Changements Climatiques dans les Communes les plus Vulnérables des Régions de Mopti et de Tombouctou (PACV-MT) est financé par le Fonds d’Adaptation de la Convention Cadre des Nations Unies sur les Changements Climatiques (CCNUCC) à hauteur de 7 864 837 dollars en espèces, avec un cofinancement en nature (loyer) du Gouvernement du Mali de 500 000 dollars et du PNUD de 500000 US en espèces. </w:t>
      </w:r>
    </w:p>
    <w:p w14:paraId="6A1946F1" w14:textId="77777777" w:rsidR="00EC63C8" w:rsidRPr="0085786F" w:rsidRDefault="00EC63C8" w:rsidP="00EC63C8">
      <w:pPr>
        <w:jc w:val="both"/>
        <w:rPr>
          <w:rFonts w:cs="Calibri"/>
        </w:rPr>
      </w:pPr>
      <w:r w:rsidRPr="0085786F">
        <w:rPr>
          <w:rFonts w:cs="Calibri"/>
        </w:rPr>
        <w:t xml:space="preserve">Le financement est ciblé sur 20 communes les plus vulnérables des régions de Mopti et de Tombouctou </w:t>
      </w:r>
      <w:r w:rsidRPr="0085786F">
        <w:rPr>
          <w:rFonts w:cs="Calibri"/>
          <w:b/>
        </w:rPr>
        <w:t>(voir en annexe la liste des communes cibles)</w:t>
      </w:r>
      <w:r w:rsidRPr="0085786F">
        <w:rPr>
          <w:rFonts w:cs="Calibri"/>
        </w:rPr>
        <w:t xml:space="preserve">. Il est aussi thématique puis qu’il est destiné à financer des initiatives locales en matière de stratégies locales d’adaptation et de résilience des populations face aux effets des variabilités et changements climatiques. </w:t>
      </w:r>
    </w:p>
    <w:p w14:paraId="66C37D5D" w14:textId="77777777" w:rsidR="00EC63C8" w:rsidRPr="0085786F" w:rsidRDefault="00EC63C8" w:rsidP="00EC63C8">
      <w:pPr>
        <w:jc w:val="both"/>
        <w:rPr>
          <w:rFonts w:cs="Calibri"/>
        </w:rPr>
      </w:pPr>
      <w:r w:rsidRPr="0085786F">
        <w:rPr>
          <w:rFonts w:cs="Calibri"/>
        </w:rPr>
        <w:t>Il est important de signaler que sur ces 20 communes neuf (09) se situent dans la région de Mopti avec une population totale de 129 595 habitants et 11 communes dans la région de Tombouctou avec une population totale de 84163 habitants (RGPH 2009). Il est aussi à noter que ces communes sont souvent très distantes les unes des autres</w:t>
      </w:r>
      <w:r w:rsidRPr="0085786F">
        <w:rPr>
          <w:rFonts w:cs="Calibri"/>
          <w:b/>
        </w:rPr>
        <w:t>.</w:t>
      </w:r>
    </w:p>
    <w:p w14:paraId="74AD559D" w14:textId="77777777" w:rsidR="00EC63C8" w:rsidRPr="0085786F" w:rsidRDefault="00EC63C8" w:rsidP="00EC63C8">
      <w:pPr>
        <w:jc w:val="both"/>
        <w:rPr>
          <w:rFonts w:cs="Calibri"/>
        </w:rPr>
      </w:pPr>
      <w:r w:rsidRPr="0085786F">
        <w:rPr>
          <w:rFonts w:cs="Calibri"/>
        </w:rPr>
        <w:t xml:space="preserve">Le programme est mis en œuvre à travers la </w:t>
      </w:r>
      <w:r w:rsidRPr="0085786F">
        <w:rPr>
          <w:rFonts w:cs="Calibri"/>
          <w:b/>
          <w:bCs/>
        </w:rPr>
        <w:t xml:space="preserve">Modalité d’exécution nationale </w:t>
      </w:r>
      <w:r w:rsidRPr="0085786F">
        <w:rPr>
          <w:rFonts w:cs="Calibri"/>
        </w:rPr>
        <w:t xml:space="preserve">du PNUD. La tutelle est assurée par le Ministère de l'Environnement, de l'Assainissement et du Développement Durable (MEADD) à travers l'Agence de l'Environnement et du Développement Durable (AEDD) agissant comme l'Agence Nationale d'Exécution désignée </w:t>
      </w:r>
      <w:r w:rsidRPr="0085786F">
        <w:rPr>
          <w:rFonts w:cs="Calibri"/>
          <w:i/>
        </w:rPr>
        <w:t xml:space="preserve">« partenaire d’exécution » </w:t>
      </w:r>
      <w:r w:rsidRPr="0085786F">
        <w:rPr>
          <w:rFonts w:cs="Calibri"/>
        </w:rPr>
        <w:t>du programme.</w:t>
      </w:r>
    </w:p>
    <w:p w14:paraId="38BA5967" w14:textId="35DDFAF2" w:rsidR="00EC63C8" w:rsidRPr="0085786F" w:rsidRDefault="00EC63C8" w:rsidP="00EC63C8">
      <w:pPr>
        <w:jc w:val="both"/>
        <w:rPr>
          <w:rFonts w:cs="Calibri"/>
        </w:rPr>
      </w:pPr>
      <w:r w:rsidRPr="0085786F">
        <w:rPr>
          <w:rFonts w:cs="Calibri"/>
        </w:rPr>
        <w:t xml:space="preserve">D’une durée d’exécution de 3 ans, il a été officiellement lancé le 4 mars 2016 par le Ministre de l’Environnement, de l’Assainissement et du Développement Durable en vue d’un démarrage effectif des activités au niveau des 20 communes cibles des deux régions concernées. Compte tenu de l’insécurité et du faible taux de décaissements, le projet a bénéficié d’une prolongation sans coût de 18 mois allant d’Avril 2019 à Septembre 2020. </w:t>
      </w: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341"/>
        <w:gridCol w:w="2816"/>
        <w:gridCol w:w="2533"/>
        <w:gridCol w:w="1723"/>
        <w:gridCol w:w="29"/>
        <w:gridCol w:w="1778"/>
        <w:gridCol w:w="29"/>
        <w:gridCol w:w="6"/>
      </w:tblGrid>
      <w:tr w:rsidR="008F4967" w:rsidRPr="0085786F" w14:paraId="0A47663F" w14:textId="77777777" w:rsidTr="00CD6B14">
        <w:trPr>
          <w:trHeight w:val="359"/>
        </w:trPr>
        <w:tc>
          <w:tcPr>
            <w:tcW w:w="654" w:type="pct"/>
            <w:shd w:val="clear" w:color="auto" w:fill="auto"/>
            <w:vAlign w:val="center"/>
          </w:tcPr>
          <w:p w14:paraId="76B7ECFA" w14:textId="77777777" w:rsidR="008F4967" w:rsidRPr="0085786F" w:rsidRDefault="008F4967" w:rsidP="00885796">
            <w:pPr>
              <w:spacing w:after="0"/>
              <w:contextualSpacing/>
              <w:rPr>
                <w:rFonts w:eastAsia="Times New Roman" w:cs="Calibri"/>
                <w:b/>
                <w:bCs/>
              </w:rPr>
            </w:pPr>
            <w:r w:rsidRPr="0085786F">
              <w:rPr>
                <w:b/>
              </w:rPr>
              <w:t xml:space="preserve">Titre du projet : </w:t>
            </w:r>
          </w:p>
        </w:tc>
        <w:tc>
          <w:tcPr>
            <w:tcW w:w="4346" w:type="pct"/>
            <w:gridSpan w:val="7"/>
            <w:shd w:val="clear" w:color="auto" w:fill="FFFFFF"/>
            <w:vAlign w:val="center"/>
          </w:tcPr>
          <w:p w14:paraId="090B1C40" w14:textId="77777777" w:rsidR="008F4967" w:rsidRPr="0085786F" w:rsidRDefault="008F4967" w:rsidP="00885796">
            <w:pPr>
              <w:spacing w:after="0"/>
              <w:contextualSpacing/>
              <w:rPr>
                <w:rFonts w:eastAsia="Times New Roman" w:cs="Calibri"/>
                <w:b/>
                <w:bCs/>
              </w:rPr>
            </w:pPr>
            <w:r w:rsidRPr="0085786F">
              <w:rPr>
                <w:b/>
              </w:rPr>
              <w:t>Programme d’Appui à l’Adaptation aux Changements Climatiques dans les Communes les plus Vulnérables des Régions de Mopti et de Tombouctou (PACV-MT)</w:t>
            </w:r>
          </w:p>
        </w:tc>
      </w:tr>
      <w:tr w:rsidR="008F4967" w:rsidRPr="0085786F" w14:paraId="615DEEA1" w14:textId="77777777" w:rsidTr="00CD6B14">
        <w:tblPrEx>
          <w:shd w:val="clear" w:color="auto" w:fill="auto"/>
        </w:tblPrEx>
        <w:trPr>
          <w:gridAfter w:val="1"/>
          <w:wAfter w:w="5" w:type="pct"/>
          <w:trHeight w:val="553"/>
        </w:trPr>
        <w:tc>
          <w:tcPr>
            <w:tcW w:w="654" w:type="pct"/>
          </w:tcPr>
          <w:p w14:paraId="702A2BB1" w14:textId="77777777" w:rsidR="008F4967" w:rsidRPr="0085786F" w:rsidRDefault="008F4967" w:rsidP="00885796">
            <w:pPr>
              <w:spacing w:after="0"/>
              <w:jc w:val="right"/>
              <w:rPr>
                <w:rFonts w:eastAsia="Arial Unicode MS"/>
                <w:color w:val="000000"/>
              </w:rPr>
            </w:pPr>
            <w:r w:rsidRPr="0085786F">
              <w:rPr>
                <w:color w:val="000000"/>
              </w:rPr>
              <w:t xml:space="preserve">ID de projet </w:t>
            </w:r>
          </w:p>
        </w:tc>
        <w:tc>
          <w:tcPr>
            <w:tcW w:w="1373" w:type="pct"/>
            <w:vAlign w:val="center"/>
          </w:tcPr>
          <w:p w14:paraId="1CDB16F8" w14:textId="77777777" w:rsidR="008F4967" w:rsidRPr="0085786F" w:rsidRDefault="008F4967" w:rsidP="00885796">
            <w:pPr>
              <w:tabs>
                <w:tab w:val="right" w:pos="0"/>
              </w:tabs>
              <w:spacing w:after="0"/>
              <w:rPr>
                <w:rFonts w:eastAsia="Times New Roman"/>
              </w:rPr>
            </w:pPr>
            <w:r w:rsidRPr="0085786F">
              <w:rPr>
                <w:rFonts w:eastAsia="Times New Roman"/>
              </w:rPr>
              <w:t>81872</w:t>
            </w:r>
          </w:p>
        </w:tc>
        <w:tc>
          <w:tcPr>
            <w:tcW w:w="1235" w:type="pct"/>
          </w:tcPr>
          <w:p w14:paraId="1C0CF0B4" w14:textId="77777777" w:rsidR="008F4967" w:rsidRPr="0085786F" w:rsidRDefault="008F4967" w:rsidP="00885796">
            <w:pPr>
              <w:spacing w:after="0"/>
              <w:jc w:val="right"/>
              <w:rPr>
                <w:rFonts w:eastAsia="Arial Unicode MS"/>
              </w:rPr>
            </w:pPr>
            <w:r w:rsidRPr="0085786F">
              <w:t> </w:t>
            </w:r>
          </w:p>
        </w:tc>
        <w:tc>
          <w:tcPr>
            <w:tcW w:w="852" w:type="pct"/>
            <w:gridSpan w:val="2"/>
          </w:tcPr>
          <w:p w14:paraId="377ADD3E" w14:textId="77777777" w:rsidR="008F4967" w:rsidRPr="0085786F" w:rsidRDefault="008F4967" w:rsidP="00885796">
            <w:pPr>
              <w:spacing w:after="0"/>
              <w:jc w:val="center"/>
              <w:rPr>
                <w:rFonts w:eastAsia="Arial Unicode MS"/>
                <w:i/>
                <w:color w:val="000000"/>
                <w:u w:val="single"/>
              </w:rPr>
            </w:pPr>
            <w:r w:rsidRPr="0085786F">
              <w:rPr>
                <w:i/>
                <w:color w:val="000000"/>
                <w:u w:val="single"/>
              </w:rPr>
              <w:t>à l’approbation (en millions USD)</w:t>
            </w:r>
          </w:p>
        </w:tc>
        <w:tc>
          <w:tcPr>
            <w:tcW w:w="881" w:type="pct"/>
            <w:gridSpan w:val="2"/>
          </w:tcPr>
          <w:p w14:paraId="7F8661AC" w14:textId="77777777" w:rsidR="008F4967" w:rsidRPr="0085786F" w:rsidRDefault="008F4967" w:rsidP="00885796">
            <w:pPr>
              <w:spacing w:after="0"/>
              <w:jc w:val="center"/>
              <w:rPr>
                <w:rFonts w:eastAsia="Arial Unicode MS"/>
                <w:i/>
                <w:color w:val="000000"/>
                <w:u w:val="single"/>
              </w:rPr>
            </w:pPr>
            <w:r w:rsidRPr="0085786F">
              <w:rPr>
                <w:i/>
                <w:color w:val="000000"/>
                <w:u w:val="single"/>
              </w:rPr>
              <w:t>à mi-parcours(en millions USD)</w:t>
            </w:r>
          </w:p>
        </w:tc>
      </w:tr>
      <w:tr w:rsidR="008F4967" w:rsidRPr="0085786F" w14:paraId="390E9F53" w14:textId="77777777" w:rsidTr="00CD6B14">
        <w:tblPrEx>
          <w:shd w:val="clear" w:color="auto" w:fill="auto"/>
        </w:tblPrEx>
        <w:trPr>
          <w:gridAfter w:val="1"/>
          <w:wAfter w:w="5" w:type="pct"/>
          <w:trHeight w:val="278"/>
        </w:trPr>
        <w:tc>
          <w:tcPr>
            <w:tcW w:w="654" w:type="pct"/>
          </w:tcPr>
          <w:p w14:paraId="6B988D19" w14:textId="77777777" w:rsidR="008F4967" w:rsidRPr="0085786F" w:rsidRDefault="008F4967" w:rsidP="00885796">
            <w:pPr>
              <w:spacing w:after="0"/>
              <w:jc w:val="right"/>
              <w:rPr>
                <w:rFonts w:eastAsia="Arial Unicode MS"/>
                <w:color w:val="000000"/>
              </w:rPr>
            </w:pPr>
            <w:r w:rsidRPr="0085786F">
              <w:rPr>
                <w:color w:val="000000"/>
              </w:rPr>
              <w:lastRenderedPageBreak/>
              <w:t>ID de projet du PNUD :</w:t>
            </w:r>
          </w:p>
        </w:tc>
        <w:tc>
          <w:tcPr>
            <w:tcW w:w="1373" w:type="pct"/>
            <w:vAlign w:val="center"/>
          </w:tcPr>
          <w:p w14:paraId="5669E686" w14:textId="77777777" w:rsidR="008F4967" w:rsidRPr="0085786F" w:rsidRDefault="008F4967" w:rsidP="00885796">
            <w:pPr>
              <w:tabs>
                <w:tab w:val="right" w:pos="0"/>
              </w:tabs>
              <w:spacing w:after="0"/>
              <w:rPr>
                <w:rFonts w:eastAsia="Times New Roman"/>
                <w:bCs/>
                <w:color w:val="000000"/>
              </w:rPr>
            </w:pPr>
            <w:r w:rsidRPr="0085786F">
              <w:rPr>
                <w:rFonts w:eastAsia="Times New Roman"/>
              </w:rPr>
              <w:t>81072</w:t>
            </w:r>
          </w:p>
        </w:tc>
        <w:tc>
          <w:tcPr>
            <w:tcW w:w="1235" w:type="pct"/>
          </w:tcPr>
          <w:p w14:paraId="37BD98FE" w14:textId="77777777" w:rsidR="008F4967" w:rsidRPr="0085786F" w:rsidRDefault="008F4967" w:rsidP="00885796">
            <w:pPr>
              <w:spacing w:after="0"/>
              <w:rPr>
                <w:rFonts w:eastAsia="Arial Unicode MS"/>
                <w:color w:val="000000"/>
              </w:rPr>
            </w:pPr>
            <w:r w:rsidRPr="0085786F">
              <w:rPr>
                <w:color w:val="000000"/>
              </w:rPr>
              <w:t xml:space="preserve">Financement du Fonds d’Adaptation : </w:t>
            </w:r>
          </w:p>
        </w:tc>
        <w:tc>
          <w:tcPr>
            <w:tcW w:w="852" w:type="pct"/>
            <w:gridSpan w:val="2"/>
            <w:vAlign w:val="center"/>
          </w:tcPr>
          <w:p w14:paraId="7FA31AD7" w14:textId="77777777" w:rsidR="008F4967" w:rsidRPr="0085786F" w:rsidRDefault="008F4967" w:rsidP="00885796">
            <w:pPr>
              <w:spacing w:after="0"/>
              <w:rPr>
                <w:rFonts w:eastAsia="Arial Unicode MS"/>
              </w:rPr>
            </w:pPr>
            <w:r w:rsidRPr="0085786F">
              <w:rPr>
                <w:rFonts w:eastAsia="Times New Roman"/>
              </w:rPr>
              <w:t>7 864 837</w:t>
            </w:r>
          </w:p>
        </w:tc>
        <w:tc>
          <w:tcPr>
            <w:tcW w:w="881" w:type="pct"/>
            <w:gridSpan w:val="2"/>
          </w:tcPr>
          <w:p w14:paraId="2F49B0C1" w14:textId="77777777" w:rsidR="008F4967" w:rsidRPr="0085786F" w:rsidRDefault="008F4967" w:rsidP="00885796">
            <w:pPr>
              <w:spacing w:after="0"/>
              <w:jc w:val="both"/>
              <w:rPr>
                <w:rFonts w:eastAsia="Arial Unicode MS"/>
              </w:rPr>
            </w:pPr>
            <w:r w:rsidRPr="0085786F">
              <w:rPr>
                <w:rFonts w:eastAsia="Times New Roman"/>
              </w:rPr>
              <w:t>7 864 837</w:t>
            </w:r>
          </w:p>
        </w:tc>
      </w:tr>
      <w:tr w:rsidR="008F4967" w:rsidRPr="0085786F" w14:paraId="4DC0F176" w14:textId="77777777" w:rsidTr="00CD6B14">
        <w:tblPrEx>
          <w:shd w:val="clear" w:color="auto" w:fill="auto"/>
        </w:tblPrEx>
        <w:trPr>
          <w:gridAfter w:val="1"/>
          <w:wAfter w:w="5" w:type="pct"/>
          <w:trHeight w:val="269"/>
        </w:trPr>
        <w:tc>
          <w:tcPr>
            <w:tcW w:w="654" w:type="pct"/>
          </w:tcPr>
          <w:p w14:paraId="01030A5F" w14:textId="77777777" w:rsidR="008F4967" w:rsidRPr="0085786F" w:rsidRDefault="008F4967" w:rsidP="00885796">
            <w:pPr>
              <w:spacing w:after="0"/>
              <w:jc w:val="right"/>
              <w:rPr>
                <w:rFonts w:eastAsia="Times New Roman"/>
                <w:color w:val="000000"/>
              </w:rPr>
            </w:pPr>
            <w:r w:rsidRPr="0085786F">
              <w:rPr>
                <w:color w:val="000000"/>
              </w:rPr>
              <w:t>Pays :</w:t>
            </w:r>
          </w:p>
        </w:tc>
        <w:tc>
          <w:tcPr>
            <w:tcW w:w="1373" w:type="pct"/>
            <w:vAlign w:val="center"/>
          </w:tcPr>
          <w:p w14:paraId="6CB1A278" w14:textId="77777777" w:rsidR="008F4967" w:rsidRPr="0085786F" w:rsidRDefault="008F4967" w:rsidP="00885796">
            <w:pPr>
              <w:tabs>
                <w:tab w:val="right" w:pos="0"/>
              </w:tabs>
              <w:spacing w:after="0"/>
              <w:rPr>
                <w:rFonts w:eastAsia="Times New Roman"/>
                <w:color w:val="000000"/>
              </w:rPr>
            </w:pPr>
            <w:r w:rsidRPr="0085786F">
              <w:rPr>
                <w:rFonts w:eastAsia="Times New Roman"/>
              </w:rPr>
              <w:t>Mali</w:t>
            </w:r>
          </w:p>
        </w:tc>
        <w:tc>
          <w:tcPr>
            <w:tcW w:w="1235" w:type="pct"/>
          </w:tcPr>
          <w:p w14:paraId="75B2CC21" w14:textId="77777777" w:rsidR="008F4967" w:rsidRPr="0085786F" w:rsidRDefault="008F4967" w:rsidP="00885796">
            <w:pPr>
              <w:spacing w:after="0"/>
              <w:rPr>
                <w:rFonts w:eastAsia="Times New Roman"/>
                <w:color w:val="000000"/>
              </w:rPr>
            </w:pPr>
            <w:r w:rsidRPr="0085786F">
              <w:t>Financement de l’agence d’exécution/agence de réalisation : PNUD</w:t>
            </w:r>
          </w:p>
        </w:tc>
        <w:tc>
          <w:tcPr>
            <w:tcW w:w="852" w:type="pct"/>
            <w:gridSpan w:val="2"/>
            <w:vAlign w:val="center"/>
          </w:tcPr>
          <w:p w14:paraId="674E0100" w14:textId="77777777" w:rsidR="008F4967" w:rsidRPr="0085786F" w:rsidRDefault="008F4967" w:rsidP="00885796">
            <w:pPr>
              <w:spacing w:after="0"/>
              <w:rPr>
                <w:rFonts w:eastAsia="Arial Unicode MS"/>
              </w:rPr>
            </w:pPr>
            <w:r w:rsidRPr="0085786F">
              <w:rPr>
                <w:rFonts w:eastAsia="Arial Unicode MS"/>
              </w:rPr>
              <w:t>500 000US</w:t>
            </w:r>
          </w:p>
        </w:tc>
        <w:tc>
          <w:tcPr>
            <w:tcW w:w="881" w:type="pct"/>
            <w:gridSpan w:val="2"/>
          </w:tcPr>
          <w:p w14:paraId="3689564F" w14:textId="77777777" w:rsidR="008F4967" w:rsidRPr="0085786F" w:rsidRDefault="008F4967" w:rsidP="00885796">
            <w:pPr>
              <w:spacing w:after="0"/>
              <w:jc w:val="both"/>
              <w:rPr>
                <w:rFonts w:eastAsia="Arial Unicode MS"/>
              </w:rPr>
            </w:pPr>
            <w:r w:rsidRPr="0085786F">
              <w:rPr>
                <w:rFonts w:eastAsia="Arial Unicode MS"/>
              </w:rPr>
              <w:t xml:space="preserve">500 000US </w:t>
            </w:r>
          </w:p>
        </w:tc>
      </w:tr>
      <w:tr w:rsidR="008F4967" w:rsidRPr="0085786F" w14:paraId="2B55B9BF" w14:textId="77777777" w:rsidTr="00CD6B14">
        <w:tblPrEx>
          <w:shd w:val="clear" w:color="auto" w:fill="auto"/>
        </w:tblPrEx>
        <w:trPr>
          <w:gridAfter w:val="1"/>
          <w:wAfter w:w="5" w:type="pct"/>
          <w:trHeight w:val="296"/>
        </w:trPr>
        <w:tc>
          <w:tcPr>
            <w:tcW w:w="654" w:type="pct"/>
          </w:tcPr>
          <w:p w14:paraId="7DFC10C2" w14:textId="77777777" w:rsidR="008F4967" w:rsidRPr="0085786F" w:rsidRDefault="008F4967" w:rsidP="00885796">
            <w:pPr>
              <w:spacing w:after="0"/>
              <w:jc w:val="right"/>
              <w:rPr>
                <w:rFonts w:eastAsia="Times New Roman"/>
                <w:color w:val="000000"/>
              </w:rPr>
            </w:pPr>
            <w:proofErr w:type="spellStart"/>
            <w:r w:rsidRPr="0085786F">
              <w:rPr>
                <w:color w:val="000000"/>
              </w:rPr>
              <w:t>Regions</w:t>
            </w:r>
            <w:proofErr w:type="spellEnd"/>
            <w:r w:rsidRPr="0085786F">
              <w:rPr>
                <w:color w:val="000000"/>
              </w:rPr>
              <w:t xml:space="preserve"> :</w:t>
            </w:r>
          </w:p>
        </w:tc>
        <w:tc>
          <w:tcPr>
            <w:tcW w:w="1373" w:type="pct"/>
            <w:vAlign w:val="center"/>
          </w:tcPr>
          <w:p w14:paraId="4A1BDAF6" w14:textId="77777777" w:rsidR="008F4967" w:rsidRPr="0085786F" w:rsidRDefault="008F4967" w:rsidP="00885796">
            <w:pPr>
              <w:tabs>
                <w:tab w:val="right" w:pos="0"/>
              </w:tabs>
              <w:spacing w:after="0"/>
              <w:rPr>
                <w:rFonts w:eastAsia="Times New Roman"/>
              </w:rPr>
            </w:pPr>
            <w:r w:rsidRPr="0085786F">
              <w:rPr>
                <w:rFonts w:eastAsia="Times New Roman"/>
              </w:rPr>
              <w:t>Région de Mopti (09 communes) et Région de Tombouctou (11 communes)</w:t>
            </w:r>
          </w:p>
        </w:tc>
        <w:tc>
          <w:tcPr>
            <w:tcW w:w="1235" w:type="pct"/>
          </w:tcPr>
          <w:p w14:paraId="29ABEC34" w14:textId="21D1F430" w:rsidR="008F4967" w:rsidRPr="0085786F" w:rsidRDefault="008F4967" w:rsidP="00885796">
            <w:pPr>
              <w:spacing w:after="0"/>
              <w:jc w:val="right"/>
              <w:rPr>
                <w:rFonts w:eastAsia="Times New Roman"/>
                <w:color w:val="000000"/>
              </w:rPr>
            </w:pPr>
            <w:r w:rsidRPr="0085786F">
              <w:t xml:space="preserve">Cofinancement Gouvernement du </w:t>
            </w:r>
            <w:r w:rsidR="0085786F" w:rsidRPr="0085786F">
              <w:t>Mali :</w:t>
            </w:r>
          </w:p>
        </w:tc>
        <w:tc>
          <w:tcPr>
            <w:tcW w:w="852" w:type="pct"/>
            <w:gridSpan w:val="2"/>
            <w:vAlign w:val="center"/>
          </w:tcPr>
          <w:p w14:paraId="439162C1" w14:textId="77777777" w:rsidR="008F4967" w:rsidRPr="0085786F" w:rsidRDefault="008F4967" w:rsidP="00885796">
            <w:pPr>
              <w:spacing w:after="0"/>
              <w:rPr>
                <w:rFonts w:eastAsia="Arial Unicode MS"/>
              </w:rPr>
            </w:pPr>
            <w:r w:rsidRPr="0085786F">
              <w:rPr>
                <w:rFonts w:eastAsia="Times New Roman"/>
              </w:rPr>
              <w:t>500 000 US</w:t>
            </w:r>
          </w:p>
        </w:tc>
        <w:tc>
          <w:tcPr>
            <w:tcW w:w="881" w:type="pct"/>
            <w:gridSpan w:val="2"/>
          </w:tcPr>
          <w:p w14:paraId="3B86541D" w14:textId="77777777" w:rsidR="008F4967" w:rsidRPr="0085786F" w:rsidRDefault="008F4967" w:rsidP="00885796">
            <w:pPr>
              <w:spacing w:after="0"/>
              <w:jc w:val="both"/>
              <w:rPr>
                <w:rFonts w:eastAsia="Times New Roman"/>
              </w:rPr>
            </w:pPr>
            <w:r w:rsidRPr="0085786F">
              <w:rPr>
                <w:rFonts w:eastAsia="Times New Roman"/>
              </w:rPr>
              <w:t>Nature</w:t>
            </w:r>
          </w:p>
        </w:tc>
      </w:tr>
      <w:tr w:rsidR="008F4967" w:rsidRPr="0085786F" w14:paraId="5C2C0876" w14:textId="77777777" w:rsidTr="00CD6B14">
        <w:tblPrEx>
          <w:shd w:val="clear" w:color="auto" w:fill="auto"/>
        </w:tblPrEx>
        <w:trPr>
          <w:gridAfter w:val="1"/>
          <w:wAfter w:w="5" w:type="pct"/>
          <w:trHeight w:val="314"/>
        </w:trPr>
        <w:tc>
          <w:tcPr>
            <w:tcW w:w="654" w:type="pct"/>
          </w:tcPr>
          <w:p w14:paraId="12C3ACBB" w14:textId="77777777" w:rsidR="008F4967" w:rsidRPr="0085786F" w:rsidRDefault="008F4967" w:rsidP="00885796">
            <w:pPr>
              <w:spacing w:after="0"/>
              <w:jc w:val="right"/>
              <w:rPr>
                <w:rFonts w:eastAsia="Times New Roman"/>
                <w:color w:val="000000"/>
              </w:rPr>
            </w:pPr>
            <w:r w:rsidRPr="0085786F">
              <w:rPr>
                <w:color w:val="000000"/>
              </w:rPr>
              <w:t>Domaine focal :</w:t>
            </w:r>
          </w:p>
        </w:tc>
        <w:tc>
          <w:tcPr>
            <w:tcW w:w="1373" w:type="pct"/>
            <w:vAlign w:val="center"/>
          </w:tcPr>
          <w:p w14:paraId="77C63B53" w14:textId="77777777" w:rsidR="008F4967" w:rsidRPr="0085786F" w:rsidRDefault="008F4967" w:rsidP="00885796">
            <w:pPr>
              <w:tabs>
                <w:tab w:val="right" w:pos="0"/>
              </w:tabs>
              <w:spacing w:after="0"/>
              <w:rPr>
                <w:rFonts w:eastAsia="Times New Roman"/>
              </w:rPr>
            </w:pPr>
            <w:r w:rsidRPr="0085786F">
              <w:rPr>
                <w:rFonts w:eastAsia="Times New Roman"/>
              </w:rPr>
              <w:t>Adaptation aux Changements Climatiques</w:t>
            </w:r>
          </w:p>
        </w:tc>
        <w:tc>
          <w:tcPr>
            <w:tcW w:w="1235" w:type="pct"/>
          </w:tcPr>
          <w:p w14:paraId="0ADEE49A" w14:textId="77777777" w:rsidR="008F4967" w:rsidRPr="0085786F" w:rsidRDefault="008F4967" w:rsidP="00885796">
            <w:pPr>
              <w:spacing w:after="0"/>
              <w:jc w:val="right"/>
              <w:rPr>
                <w:rFonts w:eastAsia="Times New Roman"/>
                <w:color w:val="000000"/>
              </w:rPr>
            </w:pPr>
            <w:r w:rsidRPr="0085786F">
              <w:t>Autre :</w:t>
            </w:r>
          </w:p>
        </w:tc>
        <w:tc>
          <w:tcPr>
            <w:tcW w:w="852" w:type="pct"/>
            <w:gridSpan w:val="2"/>
            <w:vAlign w:val="center"/>
          </w:tcPr>
          <w:p w14:paraId="23F4AEC1" w14:textId="77777777" w:rsidR="008F4967" w:rsidRPr="0085786F" w:rsidRDefault="008F4967" w:rsidP="00885796">
            <w:pPr>
              <w:spacing w:after="0"/>
              <w:rPr>
                <w:rFonts w:eastAsia="Times New Roman"/>
              </w:rPr>
            </w:pPr>
            <w:r w:rsidRPr="0085786F">
              <w:rPr>
                <w:rFonts w:eastAsia="Times New Roman"/>
              </w:rPr>
              <w:fldChar w:fldCharType="begin">
                <w:ffData>
                  <w:name w:val=""/>
                  <w:enabled/>
                  <w:calcOnExit w:val="0"/>
                  <w:textInput/>
                </w:ffData>
              </w:fldChar>
            </w:r>
            <w:r w:rsidRPr="0085786F">
              <w:rPr>
                <w:rFonts w:eastAsia="Times New Roman"/>
              </w:rPr>
              <w:instrText xml:space="preserve"> FORMTEXT </w:instrText>
            </w:r>
            <w:r w:rsidRPr="0085786F">
              <w:rPr>
                <w:rFonts w:eastAsia="Times New Roman"/>
              </w:rPr>
            </w:r>
            <w:r w:rsidRPr="0085786F">
              <w:rPr>
                <w:rFonts w:eastAsia="Times New Roman"/>
              </w:rPr>
              <w:fldChar w:fldCharType="separate"/>
            </w:r>
            <w:r w:rsidRPr="0085786F">
              <w:rPr>
                <w:noProof/>
              </w:rPr>
              <w:t>     </w:t>
            </w:r>
            <w:r w:rsidRPr="0085786F">
              <w:fldChar w:fldCharType="end"/>
            </w:r>
          </w:p>
        </w:tc>
        <w:tc>
          <w:tcPr>
            <w:tcW w:w="881" w:type="pct"/>
            <w:gridSpan w:val="2"/>
          </w:tcPr>
          <w:p w14:paraId="7CE0EE89" w14:textId="77777777" w:rsidR="008F4967" w:rsidRPr="0085786F" w:rsidRDefault="008F4967" w:rsidP="00885796">
            <w:pPr>
              <w:spacing w:after="0"/>
              <w:jc w:val="both"/>
              <w:rPr>
                <w:rFonts w:eastAsia="Times New Roman"/>
              </w:rPr>
            </w:pPr>
            <w:r w:rsidRPr="0085786F">
              <w:rPr>
                <w:rFonts w:eastAsia="Times New Roman"/>
              </w:rPr>
              <w:fldChar w:fldCharType="begin">
                <w:ffData>
                  <w:name w:val="Text1"/>
                  <w:enabled/>
                  <w:calcOnExit w:val="0"/>
                  <w:textInput/>
                </w:ffData>
              </w:fldChar>
            </w:r>
            <w:r w:rsidRPr="0085786F">
              <w:rPr>
                <w:rFonts w:eastAsia="Times New Roman"/>
              </w:rPr>
              <w:instrText xml:space="preserve"> FORMTEXT </w:instrText>
            </w:r>
            <w:r w:rsidRPr="0085786F">
              <w:rPr>
                <w:rFonts w:eastAsia="Times New Roman"/>
              </w:rPr>
            </w:r>
            <w:r w:rsidRPr="0085786F">
              <w:rPr>
                <w:rFonts w:eastAsia="Times New Roman"/>
              </w:rPr>
              <w:fldChar w:fldCharType="separate"/>
            </w:r>
            <w:r w:rsidRPr="0085786F">
              <w:rPr>
                <w:noProof/>
              </w:rPr>
              <w:t>     </w:t>
            </w:r>
            <w:r w:rsidRPr="0085786F">
              <w:fldChar w:fldCharType="end"/>
            </w:r>
          </w:p>
        </w:tc>
      </w:tr>
      <w:tr w:rsidR="008F4967" w:rsidRPr="0085786F" w14:paraId="60957E17" w14:textId="77777777" w:rsidTr="00CD6B14">
        <w:tblPrEx>
          <w:shd w:val="clear" w:color="auto" w:fill="auto"/>
        </w:tblPrEx>
        <w:trPr>
          <w:gridAfter w:val="1"/>
          <w:wAfter w:w="5" w:type="pct"/>
          <w:trHeight w:val="553"/>
        </w:trPr>
        <w:tc>
          <w:tcPr>
            <w:tcW w:w="654" w:type="pct"/>
          </w:tcPr>
          <w:p w14:paraId="204D791A" w14:textId="77777777" w:rsidR="008F4967" w:rsidRPr="0085786F" w:rsidRDefault="008F4967" w:rsidP="00885796">
            <w:pPr>
              <w:spacing w:after="0"/>
              <w:jc w:val="right"/>
              <w:rPr>
                <w:rFonts w:eastAsia="Arial Unicode MS"/>
                <w:color w:val="000000"/>
              </w:rPr>
            </w:pPr>
            <w:r w:rsidRPr="0085786F">
              <w:rPr>
                <w:color w:val="000000"/>
              </w:rPr>
              <w:t>Objectifs FA, (OP/SP) :</w:t>
            </w:r>
          </w:p>
        </w:tc>
        <w:tc>
          <w:tcPr>
            <w:tcW w:w="1373" w:type="pct"/>
            <w:vAlign w:val="center"/>
          </w:tcPr>
          <w:p w14:paraId="572B92F1" w14:textId="77777777" w:rsidR="008F4967" w:rsidRPr="0085786F" w:rsidRDefault="008F4967" w:rsidP="00885796">
            <w:pPr>
              <w:tabs>
                <w:tab w:val="right" w:pos="0"/>
              </w:tabs>
              <w:spacing w:after="0"/>
              <w:rPr>
                <w:rFonts w:eastAsia="Times New Roman"/>
              </w:rPr>
            </w:pPr>
            <w:r w:rsidRPr="0085786F">
              <w:rPr>
                <w:rFonts w:cs="Arial"/>
              </w:rPr>
              <w:t xml:space="preserve">Accroître la résilience des communautés vulnérables et leur capacité d'adaptation au changement climatique dans les régions de Mopti et Tombouctou, y compris la zone du système </w:t>
            </w:r>
            <w:proofErr w:type="spellStart"/>
            <w:r w:rsidRPr="0085786F">
              <w:rPr>
                <w:rFonts w:cs="Arial"/>
              </w:rPr>
              <w:t>Faguibine</w:t>
            </w:r>
            <w:proofErr w:type="spellEnd"/>
          </w:p>
        </w:tc>
        <w:tc>
          <w:tcPr>
            <w:tcW w:w="1235" w:type="pct"/>
          </w:tcPr>
          <w:p w14:paraId="3DB0FFBE" w14:textId="77777777" w:rsidR="008F4967" w:rsidRPr="0085786F" w:rsidRDefault="008F4967" w:rsidP="00885796">
            <w:pPr>
              <w:spacing w:after="0"/>
              <w:jc w:val="right"/>
              <w:rPr>
                <w:rFonts w:eastAsia="Times New Roman"/>
                <w:color w:val="000000"/>
              </w:rPr>
            </w:pPr>
            <w:r w:rsidRPr="0085786F">
              <w:rPr>
                <w:color w:val="000000"/>
              </w:rPr>
              <w:t>Cofinancement total :</w:t>
            </w:r>
          </w:p>
        </w:tc>
        <w:tc>
          <w:tcPr>
            <w:tcW w:w="852" w:type="pct"/>
            <w:gridSpan w:val="2"/>
            <w:vAlign w:val="center"/>
          </w:tcPr>
          <w:p w14:paraId="4A4FEDD8" w14:textId="77777777" w:rsidR="008F4967" w:rsidRPr="0085786F" w:rsidRDefault="008F4967" w:rsidP="00885796">
            <w:pPr>
              <w:spacing w:after="0"/>
              <w:rPr>
                <w:rFonts w:eastAsia="Arial Unicode MS"/>
              </w:rPr>
            </w:pPr>
            <w:r w:rsidRPr="0085786F">
              <w:rPr>
                <w:rFonts w:eastAsia="Arial Unicode MS"/>
              </w:rPr>
              <w:t xml:space="preserve">1 000 000 US </w:t>
            </w:r>
          </w:p>
        </w:tc>
        <w:tc>
          <w:tcPr>
            <w:tcW w:w="881" w:type="pct"/>
            <w:gridSpan w:val="2"/>
          </w:tcPr>
          <w:p w14:paraId="77645ECB" w14:textId="77777777" w:rsidR="008F4967" w:rsidRPr="0085786F" w:rsidRDefault="008F4967" w:rsidP="00885796">
            <w:pPr>
              <w:spacing w:after="0"/>
              <w:jc w:val="both"/>
              <w:rPr>
                <w:rFonts w:eastAsia="Times New Roman"/>
              </w:rPr>
            </w:pPr>
            <w:r w:rsidRPr="0085786F">
              <w:rPr>
                <w:rFonts w:eastAsia="Times New Roman"/>
              </w:rPr>
              <w:t>500 000 US en espèces et 500 000 US en nature</w:t>
            </w:r>
          </w:p>
        </w:tc>
      </w:tr>
      <w:tr w:rsidR="008F4967" w:rsidRPr="0085786F" w14:paraId="15AEA307" w14:textId="77777777" w:rsidTr="00CD6B14">
        <w:tblPrEx>
          <w:shd w:val="clear" w:color="auto" w:fill="auto"/>
        </w:tblPrEx>
        <w:trPr>
          <w:gridAfter w:val="1"/>
          <w:wAfter w:w="5" w:type="pct"/>
          <w:trHeight w:val="341"/>
        </w:trPr>
        <w:tc>
          <w:tcPr>
            <w:tcW w:w="654" w:type="pct"/>
          </w:tcPr>
          <w:p w14:paraId="62132B5E" w14:textId="77777777" w:rsidR="008F4967" w:rsidRPr="0085786F" w:rsidRDefault="008F4967" w:rsidP="00885796">
            <w:pPr>
              <w:spacing w:after="0"/>
              <w:rPr>
                <w:color w:val="000000"/>
              </w:rPr>
            </w:pPr>
            <w:r w:rsidRPr="0085786F">
              <w:rPr>
                <w:color w:val="000000"/>
              </w:rPr>
              <w:t>Agent d’exécution </w:t>
            </w:r>
          </w:p>
          <w:p w14:paraId="1473AE63" w14:textId="77777777" w:rsidR="008F4967" w:rsidRPr="0085786F" w:rsidRDefault="008F4967" w:rsidP="00885796">
            <w:pPr>
              <w:spacing w:after="0"/>
              <w:rPr>
                <w:rFonts w:eastAsia="Arial Unicode MS"/>
                <w:color w:val="000000"/>
              </w:rPr>
            </w:pPr>
            <w:r w:rsidRPr="0085786F">
              <w:rPr>
                <w:color w:val="000000"/>
              </w:rPr>
              <w:t>Nationale</w:t>
            </w:r>
          </w:p>
        </w:tc>
        <w:tc>
          <w:tcPr>
            <w:tcW w:w="1373" w:type="pct"/>
            <w:vAlign w:val="center"/>
          </w:tcPr>
          <w:p w14:paraId="34F5BB65" w14:textId="77777777" w:rsidR="008F4967" w:rsidRPr="0085786F" w:rsidRDefault="008F4967" w:rsidP="00885796">
            <w:pPr>
              <w:tabs>
                <w:tab w:val="right" w:pos="0"/>
              </w:tabs>
              <w:spacing w:after="0"/>
              <w:rPr>
                <w:rFonts w:eastAsia="Times New Roman"/>
              </w:rPr>
            </w:pPr>
            <w:r w:rsidRPr="0085786F">
              <w:rPr>
                <w:rFonts w:eastAsia="Times New Roman"/>
              </w:rPr>
              <w:t>MEADD à travers l’AEDD</w:t>
            </w:r>
          </w:p>
        </w:tc>
        <w:tc>
          <w:tcPr>
            <w:tcW w:w="1235" w:type="pct"/>
          </w:tcPr>
          <w:p w14:paraId="5222EAB5" w14:textId="77777777" w:rsidR="008F4967" w:rsidRPr="0085786F" w:rsidRDefault="008F4967" w:rsidP="00885796">
            <w:pPr>
              <w:spacing w:after="0"/>
              <w:jc w:val="right"/>
              <w:rPr>
                <w:rFonts w:eastAsia="Arial Unicode MS"/>
                <w:color w:val="000000"/>
              </w:rPr>
            </w:pPr>
            <w:r w:rsidRPr="0085786F">
              <w:rPr>
                <w:color w:val="000000"/>
              </w:rPr>
              <w:t>Coût total du projet :</w:t>
            </w:r>
          </w:p>
        </w:tc>
        <w:tc>
          <w:tcPr>
            <w:tcW w:w="852" w:type="pct"/>
            <w:gridSpan w:val="2"/>
            <w:vAlign w:val="center"/>
          </w:tcPr>
          <w:p w14:paraId="2092F381" w14:textId="77777777" w:rsidR="008F4967" w:rsidRPr="0085786F" w:rsidRDefault="008F4967" w:rsidP="00885796">
            <w:pPr>
              <w:spacing w:after="0"/>
              <w:rPr>
                <w:rFonts w:eastAsia="Arial Unicode MS"/>
              </w:rPr>
            </w:pPr>
            <w:r w:rsidRPr="0085786F">
              <w:rPr>
                <w:rFonts w:eastAsia="Times New Roman"/>
              </w:rPr>
              <w:t>7 864 837</w:t>
            </w:r>
          </w:p>
        </w:tc>
        <w:tc>
          <w:tcPr>
            <w:tcW w:w="881" w:type="pct"/>
            <w:gridSpan w:val="2"/>
          </w:tcPr>
          <w:p w14:paraId="409455DC" w14:textId="77777777" w:rsidR="008F4967" w:rsidRPr="0085786F" w:rsidRDefault="008F4967" w:rsidP="00885796">
            <w:pPr>
              <w:spacing w:after="0"/>
              <w:jc w:val="both"/>
              <w:rPr>
                <w:rFonts w:eastAsia="Arial Unicode MS"/>
              </w:rPr>
            </w:pPr>
            <w:r w:rsidRPr="0085786F">
              <w:rPr>
                <w:rFonts w:eastAsia="Times New Roman"/>
              </w:rPr>
              <w:t>7 864 837</w:t>
            </w:r>
          </w:p>
        </w:tc>
      </w:tr>
      <w:tr w:rsidR="008F4967" w:rsidRPr="0085786F" w14:paraId="5B05C52E" w14:textId="77777777" w:rsidTr="00CD6B14">
        <w:tblPrEx>
          <w:shd w:val="clear" w:color="auto" w:fill="auto"/>
        </w:tblPrEx>
        <w:trPr>
          <w:gridAfter w:val="1"/>
          <w:wAfter w:w="3" w:type="pct"/>
          <w:trHeight w:val="368"/>
        </w:trPr>
        <w:tc>
          <w:tcPr>
            <w:tcW w:w="654" w:type="pct"/>
            <w:vMerge w:val="restart"/>
          </w:tcPr>
          <w:p w14:paraId="67B10FAB" w14:textId="77777777" w:rsidR="008F4967" w:rsidRPr="0085786F" w:rsidRDefault="008F4967" w:rsidP="00885796">
            <w:pPr>
              <w:spacing w:after="0"/>
              <w:jc w:val="right"/>
              <w:rPr>
                <w:rFonts w:eastAsia="Arial Unicode MS"/>
              </w:rPr>
            </w:pPr>
            <w:r w:rsidRPr="0085786F">
              <w:t>Autres partenaires participant au projet :</w:t>
            </w:r>
          </w:p>
        </w:tc>
        <w:tc>
          <w:tcPr>
            <w:tcW w:w="1373" w:type="pct"/>
            <w:vMerge w:val="restart"/>
            <w:vAlign w:val="center"/>
          </w:tcPr>
          <w:p w14:paraId="0EB301F2" w14:textId="77777777" w:rsidR="008F4967" w:rsidRPr="0085786F" w:rsidRDefault="008F4967" w:rsidP="00885796">
            <w:pPr>
              <w:tabs>
                <w:tab w:val="right" w:pos="0"/>
              </w:tabs>
              <w:spacing w:after="0"/>
              <w:rPr>
                <w:rFonts w:eastAsia="Times New Roman"/>
                <w:color w:val="000000"/>
              </w:rPr>
            </w:pPr>
            <w:r w:rsidRPr="0085786F">
              <w:rPr>
                <w:rFonts w:eastAsia="Times New Roman"/>
              </w:rPr>
              <w:fldChar w:fldCharType="begin">
                <w:ffData>
                  <w:name w:val="Text1"/>
                  <w:enabled/>
                  <w:calcOnExit w:val="0"/>
                  <w:textInput/>
                </w:ffData>
              </w:fldChar>
            </w:r>
            <w:r w:rsidRPr="0085786F">
              <w:rPr>
                <w:rFonts w:eastAsia="Times New Roman"/>
              </w:rPr>
              <w:instrText xml:space="preserve"> FORMTEXT </w:instrText>
            </w:r>
            <w:r w:rsidRPr="0085786F">
              <w:rPr>
                <w:rFonts w:eastAsia="Times New Roman"/>
              </w:rPr>
            </w:r>
            <w:r w:rsidRPr="0085786F">
              <w:rPr>
                <w:rFonts w:eastAsia="Times New Roman"/>
              </w:rPr>
              <w:fldChar w:fldCharType="separate"/>
            </w:r>
            <w:r w:rsidRPr="0085786F">
              <w:rPr>
                <w:noProof/>
              </w:rPr>
              <w:t>     </w:t>
            </w:r>
            <w:r w:rsidRPr="0085786F">
              <w:fldChar w:fldCharType="end"/>
            </w:r>
          </w:p>
        </w:tc>
        <w:tc>
          <w:tcPr>
            <w:tcW w:w="2089" w:type="pct"/>
            <w:gridSpan w:val="3"/>
          </w:tcPr>
          <w:p w14:paraId="045E46D5" w14:textId="77777777" w:rsidR="008F4967" w:rsidRPr="0085786F" w:rsidRDefault="008F4967" w:rsidP="00885796">
            <w:pPr>
              <w:tabs>
                <w:tab w:val="right" w:pos="0"/>
              </w:tabs>
              <w:spacing w:after="0"/>
              <w:rPr>
                <w:rFonts w:eastAsia="Times New Roman"/>
              </w:rPr>
            </w:pPr>
            <w:r w:rsidRPr="0085786F">
              <w:rPr>
                <w:color w:val="000000"/>
              </w:rPr>
              <w:t xml:space="preserve">Signature du DP (Date de début officiel du projet) : </w:t>
            </w:r>
          </w:p>
        </w:tc>
        <w:tc>
          <w:tcPr>
            <w:tcW w:w="881" w:type="pct"/>
            <w:gridSpan w:val="2"/>
            <w:vAlign w:val="center"/>
          </w:tcPr>
          <w:p w14:paraId="2FD00969" w14:textId="77777777" w:rsidR="008F4967" w:rsidRPr="0085786F" w:rsidRDefault="008F4967" w:rsidP="00885796">
            <w:pPr>
              <w:tabs>
                <w:tab w:val="right" w:pos="0"/>
              </w:tabs>
              <w:spacing w:after="0"/>
              <w:rPr>
                <w:rFonts w:eastAsia="Times New Roman"/>
              </w:rPr>
            </w:pPr>
            <w:r w:rsidRPr="0085786F">
              <w:rPr>
                <w:rFonts w:eastAsia="Times New Roman"/>
              </w:rPr>
              <w:t>04 Mars 2016</w:t>
            </w:r>
          </w:p>
        </w:tc>
      </w:tr>
      <w:tr w:rsidR="008F4967" w:rsidRPr="0085786F" w14:paraId="272D579B" w14:textId="77777777" w:rsidTr="00CD6B14">
        <w:tblPrEx>
          <w:shd w:val="clear" w:color="auto" w:fill="auto"/>
        </w:tblPrEx>
        <w:trPr>
          <w:gridAfter w:val="2"/>
          <w:wAfter w:w="17" w:type="pct"/>
          <w:trHeight w:val="144"/>
        </w:trPr>
        <w:tc>
          <w:tcPr>
            <w:tcW w:w="654" w:type="pct"/>
            <w:vMerge/>
            <w:vAlign w:val="center"/>
          </w:tcPr>
          <w:p w14:paraId="076A4CDB" w14:textId="77777777" w:rsidR="008F4967" w:rsidRPr="0085786F" w:rsidRDefault="008F4967" w:rsidP="00885796">
            <w:pPr>
              <w:spacing w:after="0"/>
              <w:rPr>
                <w:rFonts w:eastAsia="Arial Unicode MS"/>
              </w:rPr>
            </w:pPr>
          </w:p>
        </w:tc>
        <w:tc>
          <w:tcPr>
            <w:tcW w:w="1373" w:type="pct"/>
            <w:vMerge/>
          </w:tcPr>
          <w:p w14:paraId="14132A8E" w14:textId="77777777" w:rsidR="008F4967" w:rsidRPr="0085786F" w:rsidRDefault="008F4967" w:rsidP="00885796">
            <w:pPr>
              <w:tabs>
                <w:tab w:val="right" w:pos="0"/>
              </w:tabs>
              <w:spacing w:after="0"/>
              <w:jc w:val="center"/>
              <w:rPr>
                <w:rFonts w:eastAsia="Times New Roman"/>
              </w:rPr>
            </w:pPr>
          </w:p>
        </w:tc>
        <w:tc>
          <w:tcPr>
            <w:tcW w:w="1235" w:type="pct"/>
          </w:tcPr>
          <w:p w14:paraId="3E543784" w14:textId="77777777" w:rsidR="008F4967" w:rsidRPr="0085786F" w:rsidRDefault="008F4967" w:rsidP="00885796">
            <w:pPr>
              <w:spacing w:after="0"/>
              <w:rPr>
                <w:rFonts w:eastAsia="Arial Unicode MS"/>
                <w:color w:val="000000"/>
              </w:rPr>
            </w:pPr>
            <w:r w:rsidRPr="0085786F">
              <w:rPr>
                <w:color w:val="000000"/>
              </w:rPr>
              <w:t>Date d’évaluation Finale (opérationnelle) :</w:t>
            </w:r>
          </w:p>
        </w:tc>
        <w:tc>
          <w:tcPr>
            <w:tcW w:w="840" w:type="pct"/>
          </w:tcPr>
          <w:p w14:paraId="3FE2AA0E" w14:textId="77777777" w:rsidR="008F4967" w:rsidRPr="0085786F" w:rsidRDefault="008F4967" w:rsidP="00885796">
            <w:pPr>
              <w:tabs>
                <w:tab w:val="right" w:pos="0"/>
              </w:tabs>
              <w:spacing w:after="0"/>
              <w:rPr>
                <w:rFonts w:eastAsia="Times New Roman"/>
                <w:color w:val="000000"/>
              </w:rPr>
            </w:pPr>
            <w:r w:rsidRPr="0085786F">
              <w:rPr>
                <w:color w:val="000000"/>
              </w:rPr>
              <w:t>Proposé :</w:t>
            </w:r>
          </w:p>
          <w:p w14:paraId="75A2B286" w14:textId="77777777" w:rsidR="008F4967" w:rsidRPr="0085786F" w:rsidRDefault="008F4967" w:rsidP="00885796">
            <w:pPr>
              <w:tabs>
                <w:tab w:val="right" w:pos="0"/>
              </w:tabs>
              <w:spacing w:after="0"/>
              <w:rPr>
                <w:rFonts w:eastAsia="Times New Roman"/>
                <w:color w:val="000000"/>
              </w:rPr>
            </w:pPr>
            <w:r w:rsidRPr="0085786F">
              <w:rPr>
                <w:rFonts w:eastAsia="Times New Roman"/>
              </w:rPr>
              <w:t>Mai 20éà</w:t>
            </w:r>
          </w:p>
        </w:tc>
        <w:tc>
          <w:tcPr>
            <w:tcW w:w="881" w:type="pct"/>
            <w:gridSpan w:val="2"/>
          </w:tcPr>
          <w:p w14:paraId="7DA7BDE8" w14:textId="77777777" w:rsidR="008F4967" w:rsidRPr="0085786F" w:rsidRDefault="008F4967" w:rsidP="00885796">
            <w:pPr>
              <w:tabs>
                <w:tab w:val="right" w:pos="0"/>
              </w:tabs>
              <w:spacing w:after="0"/>
              <w:rPr>
                <w:rFonts w:eastAsia="Times New Roman"/>
              </w:rPr>
            </w:pPr>
            <w:r w:rsidRPr="0085786F">
              <w:rPr>
                <w:color w:val="000000"/>
              </w:rPr>
              <w:t>Réel : Septembre 2020</w:t>
            </w:r>
          </w:p>
        </w:tc>
      </w:tr>
    </w:tbl>
    <w:p w14:paraId="359B78F7" w14:textId="77777777" w:rsidR="008F4967" w:rsidRPr="0085786F" w:rsidRDefault="008F4967" w:rsidP="008F4967">
      <w:pPr>
        <w:spacing w:before="100" w:beforeAutospacing="1" w:after="100" w:afterAutospacing="1" w:line="240" w:lineRule="auto"/>
        <w:jc w:val="both"/>
        <w:rPr>
          <w:rFonts w:cstheme="minorHAnsi"/>
          <w:lang w:eastAsia="wo-SN"/>
        </w:rPr>
      </w:pPr>
      <w:r w:rsidRPr="0085786F">
        <w:rPr>
          <w:rFonts w:cstheme="minorHAnsi"/>
          <w:lang w:eastAsia="wo-SN"/>
        </w:rPr>
        <w:t xml:space="preserve">Il </w:t>
      </w:r>
      <w:r w:rsidRPr="0085786F">
        <w:rPr>
          <w:rFonts w:cstheme="minorHAnsi"/>
          <w:b/>
          <w:bCs/>
          <w:lang w:eastAsia="wo-SN"/>
        </w:rPr>
        <w:t>comporte quatre composantes, à savoir :</w:t>
      </w:r>
    </w:p>
    <w:p w14:paraId="287C64B6" w14:textId="77777777" w:rsidR="008F4967" w:rsidRPr="0085786F" w:rsidRDefault="008F4967" w:rsidP="008F4967">
      <w:pPr>
        <w:spacing w:after="0"/>
        <w:jc w:val="both"/>
        <w:rPr>
          <w:rFonts w:cs="Arial"/>
        </w:rPr>
      </w:pPr>
      <w:r w:rsidRPr="0085786F">
        <w:rPr>
          <w:rFonts w:cs="Arial"/>
          <w:u w:val="single"/>
        </w:rPr>
        <w:t>Composante 1</w:t>
      </w:r>
      <w:r w:rsidRPr="0085786F">
        <w:rPr>
          <w:rFonts w:cs="Arial"/>
        </w:rPr>
        <w:t>: Amélioration des mesures de contrôle de l'eau dans les zones tampons</w:t>
      </w:r>
    </w:p>
    <w:p w14:paraId="473070CF" w14:textId="7F7BB8AF" w:rsidR="008F4967" w:rsidRPr="0085786F" w:rsidRDefault="0085786F" w:rsidP="008F4967">
      <w:pPr>
        <w:numPr>
          <w:ilvl w:val="0"/>
          <w:numId w:val="33"/>
        </w:numPr>
        <w:spacing w:after="0"/>
        <w:jc w:val="both"/>
        <w:rPr>
          <w:rFonts w:cs="Arial"/>
        </w:rPr>
      </w:pPr>
      <w:r w:rsidRPr="0085786F">
        <w:rPr>
          <w:rFonts w:cs="Arial"/>
          <w:b/>
          <w:bCs/>
          <w:u w:val="single"/>
        </w:rPr>
        <w:t>Résultat</w:t>
      </w:r>
      <w:r w:rsidRPr="0085786F">
        <w:rPr>
          <w:rFonts w:cs="Arial"/>
          <w:b/>
          <w:bCs/>
        </w:rPr>
        <w:t xml:space="preserve"> :</w:t>
      </w:r>
      <w:r w:rsidR="008F4967" w:rsidRPr="0085786F">
        <w:rPr>
          <w:rFonts w:cs="Arial"/>
          <w:b/>
          <w:bCs/>
        </w:rPr>
        <w:t xml:space="preserve"> </w:t>
      </w:r>
      <w:r w:rsidR="008F4967" w:rsidRPr="0085786F">
        <w:rPr>
          <w:rFonts w:cs="Arial"/>
        </w:rPr>
        <w:t xml:space="preserve">Augmentation de résilience au changement climatique des systèmes locaux d’adduction d'eau dans les régions </w:t>
      </w:r>
      <w:r w:rsidRPr="0085786F">
        <w:rPr>
          <w:rFonts w:cs="Arial"/>
        </w:rPr>
        <w:t>de Mopti</w:t>
      </w:r>
      <w:r w:rsidR="008F4967" w:rsidRPr="0085786F">
        <w:rPr>
          <w:rFonts w:cs="Arial"/>
        </w:rPr>
        <w:t xml:space="preserve"> et Tombouctou </w:t>
      </w:r>
    </w:p>
    <w:p w14:paraId="2864951C" w14:textId="77777777" w:rsidR="008F4967" w:rsidRPr="0085786F" w:rsidRDefault="008F4967" w:rsidP="008F4967">
      <w:pPr>
        <w:spacing w:after="0"/>
        <w:jc w:val="both"/>
        <w:rPr>
          <w:rFonts w:cs="Arial"/>
        </w:rPr>
      </w:pPr>
      <w:r w:rsidRPr="0085786F">
        <w:rPr>
          <w:rFonts w:cs="Arial"/>
          <w:u w:val="single"/>
        </w:rPr>
        <w:t>Composante 2</w:t>
      </w:r>
      <w:r w:rsidRPr="0085786F">
        <w:rPr>
          <w:rFonts w:cs="Arial"/>
        </w:rPr>
        <w:t xml:space="preserve">: Résilience des moyens de subsistance des communautés vulnérables </w:t>
      </w:r>
    </w:p>
    <w:p w14:paraId="35B919D5" w14:textId="406A6561" w:rsidR="008F4967" w:rsidRPr="0085786F" w:rsidRDefault="0085786F" w:rsidP="008F4967">
      <w:pPr>
        <w:numPr>
          <w:ilvl w:val="0"/>
          <w:numId w:val="33"/>
        </w:numPr>
        <w:spacing w:after="0"/>
        <w:jc w:val="both"/>
        <w:rPr>
          <w:rFonts w:cs="Arial"/>
        </w:rPr>
      </w:pPr>
      <w:r w:rsidRPr="0085786F">
        <w:rPr>
          <w:rFonts w:cs="Arial"/>
          <w:b/>
          <w:bCs/>
          <w:u w:val="single"/>
        </w:rPr>
        <w:t>Résultat</w:t>
      </w:r>
      <w:r w:rsidRPr="0085786F">
        <w:rPr>
          <w:rFonts w:cs="Arial"/>
          <w:b/>
          <w:bCs/>
        </w:rPr>
        <w:t xml:space="preserve"> :</w:t>
      </w:r>
      <w:r w:rsidR="008F4967" w:rsidRPr="0085786F">
        <w:rPr>
          <w:rFonts w:cs="Arial"/>
        </w:rPr>
        <w:t xml:space="preserve"> Augmentation de la production des systèmes locaux de subsistance tels que l'agriculture, la pêche, l'élevage et la forêt renforcés dans le cadre du changement climatique </w:t>
      </w:r>
    </w:p>
    <w:p w14:paraId="1920BEDF" w14:textId="77777777" w:rsidR="008F4967" w:rsidRPr="0085786F" w:rsidRDefault="008F4967" w:rsidP="008F4967">
      <w:pPr>
        <w:spacing w:after="0"/>
        <w:jc w:val="both"/>
        <w:rPr>
          <w:rFonts w:cs="Arial"/>
          <w:u w:val="single"/>
        </w:rPr>
      </w:pPr>
      <w:r w:rsidRPr="0085786F">
        <w:rPr>
          <w:rFonts w:cs="Arial"/>
          <w:u w:val="single"/>
        </w:rPr>
        <w:t>Composante 3</w:t>
      </w:r>
      <w:r w:rsidRPr="0085786F">
        <w:rPr>
          <w:rFonts w:cs="Arial"/>
        </w:rPr>
        <w:t xml:space="preserve">: Renforcement des capacités et génération de connaissances pour l’adaptation </w:t>
      </w:r>
    </w:p>
    <w:p w14:paraId="55FBBD56" w14:textId="1D46BBA1" w:rsidR="008F4967" w:rsidRPr="0085786F" w:rsidRDefault="008F4967" w:rsidP="008F4967">
      <w:pPr>
        <w:spacing w:before="200"/>
        <w:jc w:val="both"/>
        <w:rPr>
          <w:rFonts w:cs="Arial"/>
        </w:rPr>
      </w:pPr>
      <w:r w:rsidRPr="0085786F">
        <w:rPr>
          <w:rFonts w:cs="Arial"/>
          <w:b/>
          <w:bCs/>
          <w:u w:val="single"/>
        </w:rPr>
        <w:t xml:space="preserve">Résultat </w:t>
      </w:r>
      <w:r w:rsidRPr="0085786F">
        <w:rPr>
          <w:rFonts w:cs="Arial"/>
          <w:b/>
          <w:bCs/>
        </w:rPr>
        <w:t>:</w:t>
      </w:r>
      <w:r w:rsidRPr="0085786F">
        <w:rPr>
          <w:rFonts w:cs="Arial"/>
        </w:rPr>
        <w:t xml:space="preserve"> Renforcement des capacités des institutions locales et celles des communautés pour mieux s’adapter au changement climatique.</w:t>
      </w:r>
    </w:p>
    <w:p w14:paraId="2B35674A" w14:textId="5E1F8D8F" w:rsidR="00EC63C8" w:rsidRPr="0085786F" w:rsidRDefault="00EC63C8" w:rsidP="00EC63C8">
      <w:pPr>
        <w:spacing w:before="200"/>
        <w:jc w:val="both"/>
      </w:pPr>
      <w:r w:rsidRPr="0085786F">
        <w:t xml:space="preserve">Conformément aux politiques et procédures de suivi et d’évaluation du PNUD et du Fonds d’Adaptation, tous les projets de moyenne ou grande envergure soutenus par le PNUD et financés par le Fonds d’Adaptation doivent faire l’objet d’une évaluation à mi-parcours et d’une évaluation finale. </w:t>
      </w:r>
      <w:r w:rsidR="00431734" w:rsidRPr="0085786F">
        <w:t xml:space="preserve"> </w:t>
      </w:r>
      <w:r w:rsidRPr="0085786F">
        <w:t xml:space="preserve">L’évaluation à mi-parcours a eu lieu à la moitié de la durée de sa mise en œuvre </w:t>
      </w:r>
      <w:r w:rsidRPr="0085786F">
        <w:rPr>
          <w:bCs/>
          <w:lang w:val="fr-CA"/>
        </w:rPr>
        <w:t>du 31 mai au 30 juin 2018</w:t>
      </w:r>
      <w:r w:rsidRPr="0085786F">
        <w:t xml:space="preserve">. </w:t>
      </w:r>
    </w:p>
    <w:p w14:paraId="386E9370" w14:textId="77777777" w:rsidR="00431734" w:rsidRPr="0085786F" w:rsidRDefault="008F4967" w:rsidP="00431734">
      <w:pPr>
        <w:spacing w:before="200"/>
        <w:jc w:val="both"/>
        <w:rPr>
          <w:rFonts w:eastAsia="Times New Roman"/>
          <w:i/>
        </w:rPr>
      </w:pPr>
      <w:r w:rsidRPr="0085786F">
        <w:t>L’évaluation finale sera menée conformément aux directives, règles et procédures établies par le PNUD et le Fonds d’Adaptation comme l’indique les directives d’évaluation du PNUD adaptées pour les projets financés par le Fonds d’Adaptation.  Les objectifs de cette évaluation consistent à apprécier la réalisation des objectifs du projet et à tirer des enseignements qui peuvent améliorer la durabilité des avantages de ce projet et favoriser l’amélioration globale des programmes du PNUD</w:t>
      </w:r>
      <w:r w:rsidRPr="0085786F">
        <w:rPr>
          <w:color w:val="FF0000"/>
        </w:rPr>
        <w:t xml:space="preserve">.   </w:t>
      </w:r>
    </w:p>
    <w:p w14:paraId="2224FCBC" w14:textId="712C4560" w:rsidR="008F4967" w:rsidRPr="0085786F" w:rsidRDefault="008F4967" w:rsidP="00431734">
      <w:pPr>
        <w:spacing w:before="200"/>
        <w:jc w:val="both"/>
      </w:pPr>
      <w:r w:rsidRPr="0085786F">
        <w:lastRenderedPageBreak/>
        <w:t xml:space="preserve">Ces présents termes de référence (TOR) </w:t>
      </w:r>
      <w:r w:rsidRPr="0085786F">
        <w:rPr>
          <w:rFonts w:cstheme="minorHAnsi"/>
          <w:lang w:eastAsia="wo-SN"/>
        </w:rPr>
        <w:t>rentre dans le cadre du recrutement d’un consultant national pou</w:t>
      </w:r>
      <w:r w:rsidR="00431734" w:rsidRPr="0085786F">
        <w:rPr>
          <w:rFonts w:cstheme="minorHAnsi"/>
          <w:lang w:eastAsia="wo-SN"/>
        </w:rPr>
        <w:t xml:space="preserve">r </w:t>
      </w:r>
      <w:r w:rsidRPr="0085786F">
        <w:t>une évaluation finale du Programme d’Appui à l’Adaptation aux Changements Climatiques dans les Communes les plus Vulnérables des Régions de Mopti et de Tombouctou.</w:t>
      </w:r>
    </w:p>
    <w:p w14:paraId="30DA2D33" w14:textId="77777777" w:rsidR="00CD6B14" w:rsidRPr="0085786F" w:rsidRDefault="00CD6B14" w:rsidP="00CD6B14">
      <w:pPr>
        <w:pStyle w:val="Heading51"/>
        <w:rPr>
          <w:rFonts w:asciiTheme="minorHAnsi" w:hAnsiTheme="minorHAnsi"/>
          <w:lang w:val="fr-FR"/>
        </w:rPr>
      </w:pPr>
      <w:bookmarkStart w:id="3" w:name="_Toc299133043"/>
      <w:bookmarkStart w:id="4" w:name="_Toc321341550"/>
      <w:r w:rsidRPr="0085786F">
        <w:rPr>
          <w:rFonts w:asciiTheme="minorHAnsi" w:hAnsiTheme="minorHAnsi"/>
          <w:lang w:val="fr-FR"/>
        </w:rPr>
        <w:t>Approche et méthode d'évaluation</w:t>
      </w:r>
      <w:bookmarkEnd w:id="3"/>
      <w:bookmarkEnd w:id="4"/>
    </w:p>
    <w:p w14:paraId="3AC8198F" w14:textId="77777777" w:rsidR="00CD6B14" w:rsidRPr="0085786F" w:rsidRDefault="00CD6B14" w:rsidP="00CD6B14">
      <w:pPr>
        <w:spacing w:after="120"/>
        <w:jc w:val="both"/>
      </w:pPr>
    </w:p>
    <w:p w14:paraId="3D04C921" w14:textId="7890AB72" w:rsidR="00CD6B14" w:rsidRPr="0085786F" w:rsidRDefault="00FC5A3D" w:rsidP="00CD6B14">
      <w:pPr>
        <w:spacing w:after="120"/>
        <w:jc w:val="both"/>
      </w:pPr>
      <w:r>
        <w:t>Sous la supervision du consultant international, le consultant national</w:t>
      </w:r>
      <w:r w:rsidR="00CD6B14" w:rsidRPr="0085786F">
        <w:t xml:space="preserve"> doit adopter une approche participative et consultative garantissant une collaboration étroite avec toutes les parties prenantes impliqués dans la mise en œuvre du programme (Gouvernement/tutelle, Certains membres du Comité de pilotage, communes cibles (élus et populations bénéficiaires), point focal opérationnel du Fonds d’Adaptation, bureau de pays du PNUD, équipe chargée du programme, conseillers techniques du PNUD et Fonds d’Adaptation).  </w:t>
      </w:r>
    </w:p>
    <w:p w14:paraId="7BA4DB64" w14:textId="23200867" w:rsidR="00CD6B14" w:rsidRPr="0085786F" w:rsidRDefault="00FC5A3D" w:rsidP="00CD6B14">
      <w:pPr>
        <w:spacing w:after="120"/>
        <w:jc w:val="both"/>
        <w:rPr>
          <w:color w:val="FF0000"/>
        </w:rPr>
      </w:pPr>
      <w:r>
        <w:t>Le consultant national</w:t>
      </w:r>
      <w:r w:rsidRPr="0085786F">
        <w:t xml:space="preserve"> </w:t>
      </w:r>
      <w:r w:rsidR="00CD6B14" w:rsidRPr="0085786F">
        <w:t xml:space="preserve">devrait effectuer une mission sur le terrain </w:t>
      </w:r>
      <w:r>
        <w:t xml:space="preserve">si nécessaire </w:t>
      </w:r>
      <w:r w:rsidR="00CD6B14" w:rsidRPr="0085786F">
        <w:t>pour rencontrer les élus, les bénéficiaires directs et les autorités administratives de certaines communes échantillonnées pour la circonstance à Mopti et à Tombouctou et visiter les sites des investissements réalisés</w:t>
      </w:r>
      <w:r>
        <w:t xml:space="preserve"> si les conditions de sécurité le permettent</w:t>
      </w:r>
      <w:r w:rsidR="00CD6B14" w:rsidRPr="0085786F">
        <w:t xml:space="preserve">.  </w:t>
      </w:r>
    </w:p>
    <w:p w14:paraId="7E817473" w14:textId="77777777" w:rsidR="00CD6B14" w:rsidRPr="0085786F" w:rsidRDefault="00CD6B14" w:rsidP="00CD6B14">
      <w:pPr>
        <w:spacing w:after="120"/>
        <w:jc w:val="both"/>
        <w:rPr>
          <w:rFonts w:eastAsia="Times New Roman"/>
        </w:rPr>
      </w:pPr>
      <w:r w:rsidRPr="0085786F">
        <w:t>Au niveau national les entretiens auront lieu au minimum avec les acteurs suivants : les agences d’exécution du programme (AEED, PNUD), certaine structures membres du comité de pilotage et l’équipe du programme</w:t>
      </w:r>
    </w:p>
    <w:p w14:paraId="6ED307AB" w14:textId="4EEB137A" w:rsidR="00CD6B14" w:rsidRPr="0085786F" w:rsidRDefault="00FC5A3D" w:rsidP="00CD6B14">
      <w:pPr>
        <w:spacing w:after="120"/>
        <w:jc w:val="both"/>
        <w:rPr>
          <w:rFonts w:eastAsia="Times New Roman"/>
        </w:rPr>
      </w:pPr>
      <w:r>
        <w:t>Le consultant national</w:t>
      </w:r>
      <w:r w:rsidR="00CD6B14" w:rsidRPr="0085786F">
        <w:t xml:space="preserve"> passera en revue toutes les sources pertinentes d’information, telles que le PRODOC, les rapports   d’exécutions du programme, notamment le Rapport trimestriel, le rapport annuel et les autres rapports, les révisions budgétaires du projet, le rapport à mi-parcours, les rapports sur l’état d’avancement, les outils de suivi du domaine focal du Fonds d’Adaptation, les dossiers du projet, les documents stratégiques et juridiques nationaux et tous les autres documents que l’évaluateur juge utiles pour cette évaluation fondée sur les faits. </w:t>
      </w:r>
    </w:p>
    <w:p w14:paraId="086462E8" w14:textId="77777777" w:rsidR="00FD0126" w:rsidRPr="0085786F" w:rsidRDefault="00FD0126" w:rsidP="00FD0126">
      <w:pPr>
        <w:pStyle w:val="Heading51"/>
        <w:rPr>
          <w:rFonts w:asciiTheme="minorHAnsi" w:hAnsiTheme="minorHAnsi"/>
          <w:lang w:val="fr-FR"/>
        </w:rPr>
      </w:pPr>
      <w:bookmarkStart w:id="5" w:name="_Toc321341558"/>
      <w:bookmarkStart w:id="6" w:name="_Hlk509214783"/>
      <w:r w:rsidRPr="0085786F">
        <w:rPr>
          <w:rFonts w:asciiTheme="minorHAnsi" w:hAnsiTheme="minorHAnsi"/>
          <w:lang w:val="fr-FR"/>
        </w:rPr>
        <w:t>Composition de l'équipe</w:t>
      </w:r>
      <w:bookmarkEnd w:id="5"/>
    </w:p>
    <w:p w14:paraId="0E330F83" w14:textId="77777777" w:rsidR="00FD0126" w:rsidRPr="0085786F" w:rsidRDefault="00FD0126" w:rsidP="00FD0126">
      <w:pPr>
        <w:spacing w:before="200"/>
        <w:jc w:val="both"/>
      </w:pPr>
      <w:r w:rsidRPr="0085786F">
        <w:t xml:space="preserve">L'équipe d'évaluation sera composée de 2 consultants </w:t>
      </w:r>
      <w:r w:rsidRPr="0085786F">
        <w:rPr>
          <w:i/>
        </w:rPr>
        <w:t>(</w:t>
      </w:r>
      <w:r w:rsidRPr="0085786F">
        <w:t xml:space="preserve">1 international et 1 national).  Les consultants doivent disposer d’une expérience antérieure dans l’évaluation de projets similaires.  Une expérience des projets financés par le Fonds d’Adaptation est un avantage.  Le consultant international est le chef d’équipe et sera chargé de finaliser le rapport dans un bref délai étant donné que le projet clôture en septembre 2020. </w:t>
      </w:r>
    </w:p>
    <w:p w14:paraId="2FD82922" w14:textId="28D4A4A4" w:rsidR="00CD6B14" w:rsidRPr="0085786F" w:rsidRDefault="00FD0126" w:rsidP="00CD6B14">
      <w:pPr>
        <w:spacing w:before="200"/>
        <w:jc w:val="both"/>
        <w:rPr>
          <w:rFonts w:eastAsia="Times New Roman"/>
        </w:rPr>
      </w:pPr>
      <w:r w:rsidRPr="0085786F">
        <w:t>Les évaluateurs sélectionnés ne doivent pas avoir participé à la préparation ou à la mise en œuvre du programme et ne doivent pas avoir de conflit d’intérêts avec les activités liées au programme.</w:t>
      </w:r>
    </w:p>
    <w:p w14:paraId="51E1911F" w14:textId="642C285E" w:rsidR="00CD6B14" w:rsidRPr="0085786F" w:rsidRDefault="00CD6B14" w:rsidP="00CD6B14">
      <w:pPr>
        <w:pStyle w:val="Heading51"/>
        <w:rPr>
          <w:rFonts w:asciiTheme="minorHAnsi" w:hAnsiTheme="minorHAnsi"/>
          <w:lang w:val="fr-FR"/>
        </w:rPr>
      </w:pPr>
      <w:r w:rsidRPr="0085786F">
        <w:rPr>
          <w:rFonts w:asciiTheme="minorHAnsi" w:hAnsiTheme="minorHAnsi"/>
          <w:lang w:val="fr-FR"/>
        </w:rPr>
        <w:t>QUALIFICATION ET EXPERIENCE de l'équipe</w:t>
      </w:r>
    </w:p>
    <w:p w14:paraId="39FF4731" w14:textId="58C123B0" w:rsidR="00CD6B14" w:rsidRPr="0085786F" w:rsidRDefault="00FC5A3D" w:rsidP="00CD6B14">
      <w:pPr>
        <w:spacing w:before="100" w:beforeAutospacing="1" w:after="100" w:afterAutospacing="1" w:line="240" w:lineRule="auto"/>
        <w:jc w:val="both"/>
        <w:rPr>
          <w:rFonts w:cstheme="minorHAnsi"/>
          <w:lang w:eastAsia="wo-SN"/>
        </w:rPr>
      </w:pPr>
      <w:proofErr w:type="gramStart"/>
      <w:r>
        <w:t>le</w:t>
      </w:r>
      <w:proofErr w:type="gramEnd"/>
      <w:r>
        <w:t xml:space="preserve"> consultant national</w:t>
      </w:r>
      <w:r w:rsidRPr="0085786F">
        <w:t xml:space="preserve"> </w:t>
      </w:r>
      <w:r>
        <w:rPr>
          <w:rFonts w:cstheme="minorHAnsi"/>
          <w:lang w:eastAsia="wo-SN"/>
        </w:rPr>
        <w:t>doi</w:t>
      </w:r>
      <w:r w:rsidR="00CD6B14" w:rsidRPr="0085786F">
        <w:rPr>
          <w:rFonts w:cstheme="minorHAnsi"/>
          <w:lang w:eastAsia="wo-SN"/>
        </w:rPr>
        <w:t>t disposer des compétences générales suivantes :</w:t>
      </w:r>
    </w:p>
    <w:p w14:paraId="25287AAA" w14:textId="77777777" w:rsidR="00CD6B14" w:rsidRPr="0085786F" w:rsidRDefault="00CD6B14" w:rsidP="00CD6B14">
      <w:pPr>
        <w:pStyle w:val="Paragraphedeliste"/>
        <w:numPr>
          <w:ilvl w:val="0"/>
          <w:numId w:val="33"/>
        </w:numPr>
        <w:spacing w:after="160" w:line="240" w:lineRule="auto"/>
        <w:jc w:val="both"/>
        <w:rPr>
          <w:rFonts w:cstheme="minorHAnsi"/>
          <w:b/>
        </w:rPr>
      </w:pPr>
      <w:r w:rsidRPr="0085786F">
        <w:rPr>
          <w:rFonts w:cstheme="minorHAnsi"/>
          <w:b/>
        </w:rPr>
        <w:t xml:space="preserve">Profil et qualifications requises : </w:t>
      </w:r>
    </w:p>
    <w:p w14:paraId="1CF6A167" w14:textId="77777777" w:rsidR="00CD6B14" w:rsidRPr="0085786F" w:rsidRDefault="00CD6B14" w:rsidP="00CD6B14">
      <w:pPr>
        <w:spacing w:after="0" w:line="240" w:lineRule="auto"/>
        <w:jc w:val="both"/>
        <w:rPr>
          <w:rFonts w:cstheme="minorHAnsi"/>
          <w:b/>
        </w:rPr>
      </w:pPr>
      <w:r w:rsidRPr="0085786F">
        <w:rPr>
          <w:rFonts w:cstheme="minorHAnsi"/>
          <w:b/>
        </w:rPr>
        <w:t xml:space="preserve">Formation : </w:t>
      </w:r>
    </w:p>
    <w:p w14:paraId="3C9AB77F" w14:textId="77777777" w:rsidR="00CD6B14" w:rsidRPr="0085786F" w:rsidRDefault="00CD6B14" w:rsidP="00CD6B14">
      <w:pPr>
        <w:spacing w:after="0" w:line="240" w:lineRule="auto"/>
        <w:jc w:val="both"/>
        <w:rPr>
          <w:rFonts w:cstheme="minorHAnsi"/>
          <w:lang w:eastAsia="wo-SN"/>
        </w:rPr>
      </w:pPr>
    </w:p>
    <w:p w14:paraId="167E5D21" w14:textId="77777777" w:rsidR="00CD6B14" w:rsidRPr="0085786F" w:rsidRDefault="00CD6B14" w:rsidP="00CD6B14">
      <w:pPr>
        <w:spacing w:after="0" w:line="240" w:lineRule="auto"/>
        <w:jc w:val="both"/>
        <w:rPr>
          <w:shd w:val="clear" w:color="auto" w:fill="FFFFFF"/>
        </w:rPr>
      </w:pPr>
      <w:r w:rsidRPr="0085786F">
        <w:rPr>
          <w:rFonts w:cstheme="minorHAnsi"/>
          <w:lang w:eastAsia="wo-SN"/>
        </w:rPr>
        <w:t xml:space="preserve">Études universitaires </w:t>
      </w:r>
      <w:r w:rsidRPr="0085786F">
        <w:rPr>
          <w:shd w:val="clear" w:color="auto" w:fill="FFFFFF"/>
        </w:rPr>
        <w:t xml:space="preserve">au moins Bac+4 </w:t>
      </w:r>
      <w:r w:rsidRPr="0085786F">
        <w:rPr>
          <w:rFonts w:cstheme="minorHAnsi"/>
          <w:lang w:eastAsia="wo-SN"/>
        </w:rPr>
        <w:t xml:space="preserve">avec une expertise dans les domaines </w:t>
      </w:r>
      <w:r w:rsidRPr="0085786F">
        <w:rPr>
          <w:shd w:val="clear" w:color="auto" w:fill="FFFFFF"/>
        </w:rPr>
        <w:t xml:space="preserve">de la planification, du socio-économie, l’agroéconomie </w:t>
      </w:r>
      <w:r w:rsidRPr="0085786F">
        <w:rPr>
          <w:rFonts w:cstheme="minorHAnsi"/>
          <w:lang w:eastAsia="wo-SN"/>
        </w:rPr>
        <w:t>ou dans des domaines de compétence connexes.</w:t>
      </w:r>
    </w:p>
    <w:p w14:paraId="08C7743D" w14:textId="77777777" w:rsidR="00CD6B14" w:rsidRPr="0085786F" w:rsidRDefault="00CD6B14" w:rsidP="00CD6B14">
      <w:pPr>
        <w:spacing w:after="0" w:line="240" w:lineRule="auto"/>
        <w:jc w:val="both"/>
        <w:rPr>
          <w:rFonts w:cstheme="minorHAnsi"/>
          <w:b/>
        </w:rPr>
      </w:pPr>
    </w:p>
    <w:p w14:paraId="66C2F2F1" w14:textId="77777777" w:rsidR="00CD6B14" w:rsidRPr="0085786F" w:rsidRDefault="00CD6B14" w:rsidP="00CD6B14">
      <w:pPr>
        <w:spacing w:line="240" w:lineRule="auto"/>
        <w:jc w:val="both"/>
        <w:rPr>
          <w:rFonts w:cstheme="minorHAnsi"/>
          <w:b/>
        </w:rPr>
      </w:pPr>
      <w:r w:rsidRPr="0085786F">
        <w:rPr>
          <w:rFonts w:cstheme="minorHAnsi"/>
          <w:b/>
        </w:rPr>
        <w:t xml:space="preserve">Expérience professionnelle : </w:t>
      </w:r>
    </w:p>
    <w:p w14:paraId="5FEEFCE3" w14:textId="7A1E312C" w:rsidR="00CD6B14" w:rsidRPr="0085786F" w:rsidRDefault="00CD6B14" w:rsidP="00CD6B14">
      <w:pPr>
        <w:numPr>
          <w:ilvl w:val="0"/>
          <w:numId w:val="30"/>
        </w:numPr>
        <w:spacing w:before="60" w:after="60" w:line="240" w:lineRule="auto"/>
        <w:jc w:val="both"/>
        <w:rPr>
          <w:rFonts w:eastAsia="Times New Roman"/>
        </w:rPr>
      </w:pPr>
      <w:r w:rsidRPr="0085786F">
        <w:rPr>
          <w:shd w:val="clear" w:color="auto" w:fill="FFFFFF"/>
        </w:rPr>
        <w:t xml:space="preserve">Avoir </w:t>
      </w:r>
      <w:r w:rsidR="00FC5A3D">
        <w:rPr>
          <w:i/>
          <w:shd w:val="clear" w:color="auto" w:fill="FFFFFF"/>
        </w:rPr>
        <w:t>10</w:t>
      </w:r>
      <w:r w:rsidRPr="0085786F">
        <w:rPr>
          <w:i/>
          <w:shd w:val="clear" w:color="auto" w:fill="FFFFFF"/>
        </w:rPr>
        <w:t xml:space="preserve"> </w:t>
      </w:r>
      <w:r w:rsidRPr="0085786F">
        <w:rPr>
          <w:shd w:val="clear" w:color="auto" w:fill="FFFFFF"/>
        </w:rPr>
        <w:t>ans minimum</w:t>
      </w:r>
      <w:r w:rsidRPr="0085786F">
        <w:t xml:space="preserve"> d'expé</w:t>
      </w:r>
      <w:r w:rsidR="00FC5A3D">
        <w:t>rience professionnelle générale</w:t>
      </w:r>
    </w:p>
    <w:p w14:paraId="6E687B89" w14:textId="5FC1BD12" w:rsidR="00CD6B14" w:rsidRPr="0085786F" w:rsidRDefault="00CD6B14" w:rsidP="00CD6B14">
      <w:pPr>
        <w:numPr>
          <w:ilvl w:val="0"/>
          <w:numId w:val="30"/>
        </w:numPr>
        <w:spacing w:before="60" w:after="60" w:line="240" w:lineRule="auto"/>
        <w:jc w:val="both"/>
      </w:pPr>
      <w:r w:rsidRPr="0085786F">
        <w:rPr>
          <w:shd w:val="clear" w:color="auto" w:fill="FFFFFF"/>
        </w:rPr>
        <w:t xml:space="preserve">Avec au moins </w:t>
      </w:r>
      <w:r w:rsidR="00FC5A3D">
        <w:rPr>
          <w:shd w:val="clear" w:color="auto" w:fill="FFFFFF"/>
        </w:rPr>
        <w:t>5</w:t>
      </w:r>
      <w:r w:rsidRPr="0085786F">
        <w:rPr>
          <w:shd w:val="clear" w:color="auto" w:fill="FFFFFF"/>
        </w:rPr>
        <w:t xml:space="preserve"> ans d’expérience pertinente dans</w:t>
      </w:r>
      <w:r w:rsidR="00D52AD9">
        <w:rPr>
          <w:shd w:val="clear" w:color="auto" w:fill="FFFFFF"/>
        </w:rPr>
        <w:t xml:space="preserve"> les évaluations de projet ou</w:t>
      </w:r>
      <w:r w:rsidRPr="0085786F">
        <w:rPr>
          <w:shd w:val="clear" w:color="auto" w:fill="FFFFFF"/>
        </w:rPr>
        <w:t xml:space="preserve"> le Suivi-évaluation</w:t>
      </w:r>
      <w:r w:rsidRPr="0085786F">
        <w:t xml:space="preserve"> avec des méthodologies de suivi et d’évaluation ;</w:t>
      </w:r>
    </w:p>
    <w:p w14:paraId="39582643" w14:textId="77777777" w:rsidR="00CD6B14" w:rsidRPr="0085786F" w:rsidRDefault="00CD6B14" w:rsidP="00CD6B14">
      <w:pPr>
        <w:numPr>
          <w:ilvl w:val="0"/>
          <w:numId w:val="30"/>
        </w:numPr>
        <w:spacing w:before="60" w:after="60" w:line="240" w:lineRule="auto"/>
        <w:jc w:val="both"/>
        <w:rPr>
          <w:rFonts w:eastAsia="Times New Roman"/>
        </w:rPr>
      </w:pPr>
      <w:r w:rsidRPr="0085786F">
        <w:t>Avoir des connaissances sur l’adaptation/résilience et atténuation en matière de changements climatiques.</w:t>
      </w:r>
    </w:p>
    <w:p w14:paraId="05C0BCF9" w14:textId="77777777" w:rsidR="00CD6B14" w:rsidRPr="0085786F" w:rsidRDefault="00CD6B14" w:rsidP="00CD6B14">
      <w:pPr>
        <w:pStyle w:val="Paragraphedeliste"/>
        <w:numPr>
          <w:ilvl w:val="0"/>
          <w:numId w:val="30"/>
        </w:numPr>
        <w:spacing w:after="0" w:line="240" w:lineRule="auto"/>
        <w:contextualSpacing w:val="0"/>
        <w:jc w:val="both"/>
        <w:rPr>
          <w:rFonts w:cstheme="minorHAnsi"/>
          <w:lang w:eastAsia="wo-SN"/>
        </w:rPr>
      </w:pPr>
      <w:r w:rsidRPr="0085786F">
        <w:rPr>
          <w:rFonts w:cstheme="minorHAnsi"/>
          <w:lang w:eastAsia="wo-SN"/>
        </w:rPr>
        <w:lastRenderedPageBreak/>
        <w:t xml:space="preserve">Une expérience antérieure avec des projets </w:t>
      </w:r>
      <w:r w:rsidRPr="0085786F">
        <w:t xml:space="preserve">et programmes du PNUD et du Fonds d’Adaptation </w:t>
      </w:r>
      <w:r w:rsidRPr="0085786F">
        <w:rPr>
          <w:rFonts w:cstheme="minorHAnsi"/>
          <w:lang w:eastAsia="wo-SN"/>
        </w:rPr>
        <w:t>est un atout supplémentaire ;</w:t>
      </w:r>
    </w:p>
    <w:p w14:paraId="4E1E4DC2" w14:textId="77777777" w:rsidR="00CD6B14" w:rsidRPr="0085786F" w:rsidRDefault="00CD6B14" w:rsidP="00CD6B14">
      <w:pPr>
        <w:numPr>
          <w:ilvl w:val="0"/>
          <w:numId w:val="31"/>
        </w:numPr>
        <w:spacing w:after="0" w:line="240" w:lineRule="auto"/>
        <w:jc w:val="both"/>
        <w:rPr>
          <w:rFonts w:cstheme="minorHAnsi"/>
          <w:lang w:eastAsia="wo-SN"/>
        </w:rPr>
      </w:pPr>
      <w:r w:rsidRPr="0085786F">
        <w:rPr>
          <w:rFonts w:cstheme="minorHAnsi"/>
          <w:lang w:eastAsia="wo-SN"/>
        </w:rPr>
        <w:t>Une bonne connaissance du contexte institutionnel national et global des changements climatiques ;</w:t>
      </w:r>
    </w:p>
    <w:p w14:paraId="7B99F93E" w14:textId="77777777" w:rsidR="00CD6B14" w:rsidRPr="0085786F" w:rsidRDefault="00CD6B14" w:rsidP="00CD6B14">
      <w:pPr>
        <w:numPr>
          <w:ilvl w:val="0"/>
          <w:numId w:val="31"/>
        </w:numPr>
        <w:spacing w:after="0" w:line="240" w:lineRule="auto"/>
        <w:jc w:val="both"/>
        <w:rPr>
          <w:rFonts w:cstheme="minorHAnsi"/>
          <w:lang w:eastAsia="wo-SN"/>
        </w:rPr>
      </w:pPr>
      <w:r w:rsidRPr="0085786F">
        <w:rPr>
          <w:rFonts w:cstheme="minorHAnsi"/>
          <w:lang w:eastAsia="wo-SN"/>
        </w:rPr>
        <w:t>Expérience dans la gestion axée sur les résultats ;</w:t>
      </w:r>
    </w:p>
    <w:p w14:paraId="5CFBC3B2" w14:textId="77777777" w:rsidR="00CD6B14" w:rsidRPr="0085786F" w:rsidRDefault="00CD6B14" w:rsidP="00CD6B14">
      <w:pPr>
        <w:numPr>
          <w:ilvl w:val="0"/>
          <w:numId w:val="31"/>
        </w:numPr>
        <w:spacing w:after="0" w:line="240" w:lineRule="auto"/>
        <w:jc w:val="both"/>
        <w:rPr>
          <w:rFonts w:cstheme="minorHAnsi"/>
          <w:lang w:eastAsia="wo-SN"/>
        </w:rPr>
      </w:pPr>
      <w:r w:rsidRPr="0085786F">
        <w:rPr>
          <w:rFonts w:cstheme="minorHAnsi"/>
          <w:lang w:eastAsia="wo-SN"/>
        </w:rPr>
        <w:t>Une connaissance des procédures et directives du PNUD et du Fonds d’adaptation est un avantage ;</w:t>
      </w:r>
    </w:p>
    <w:p w14:paraId="3664541E" w14:textId="47DB18D0" w:rsidR="00CD6B14" w:rsidRPr="0085786F" w:rsidRDefault="00CD6B14" w:rsidP="00CD6B14">
      <w:pPr>
        <w:numPr>
          <w:ilvl w:val="0"/>
          <w:numId w:val="31"/>
        </w:numPr>
        <w:spacing w:after="0" w:line="240" w:lineRule="auto"/>
        <w:jc w:val="both"/>
        <w:rPr>
          <w:rFonts w:cstheme="minorHAnsi"/>
          <w:lang w:eastAsia="wo-SN"/>
        </w:rPr>
      </w:pPr>
      <w:r w:rsidRPr="0085786F">
        <w:t>Une connaissance des Régions de Mopti et de Tombouctou est aussi un atout</w:t>
      </w:r>
    </w:p>
    <w:p w14:paraId="3B53C6C5" w14:textId="77777777" w:rsidR="00CD6B14" w:rsidRPr="0085786F" w:rsidRDefault="00CD6B14" w:rsidP="00CD6B14">
      <w:pPr>
        <w:spacing w:after="0" w:line="240" w:lineRule="auto"/>
        <w:ind w:left="720"/>
        <w:jc w:val="both"/>
        <w:rPr>
          <w:rFonts w:cstheme="minorHAnsi"/>
          <w:lang w:eastAsia="wo-SN"/>
        </w:rPr>
      </w:pPr>
    </w:p>
    <w:p w14:paraId="41FBE4FB" w14:textId="05EA9CAB" w:rsidR="00CD6B14" w:rsidRPr="0085786F" w:rsidRDefault="00CD6B14" w:rsidP="00CD6B14">
      <w:pPr>
        <w:pStyle w:val="Paragraphedeliste"/>
        <w:numPr>
          <w:ilvl w:val="0"/>
          <w:numId w:val="33"/>
        </w:numPr>
        <w:spacing w:line="240" w:lineRule="auto"/>
        <w:jc w:val="both"/>
        <w:rPr>
          <w:rFonts w:cstheme="minorHAnsi"/>
          <w:b/>
        </w:rPr>
      </w:pPr>
      <w:r w:rsidRPr="0085786F">
        <w:rPr>
          <w:rFonts w:cstheme="minorHAnsi"/>
          <w:b/>
        </w:rPr>
        <w:t xml:space="preserve">Langue requise : </w:t>
      </w:r>
    </w:p>
    <w:p w14:paraId="14890A9D" w14:textId="77777777" w:rsidR="00CD6B14" w:rsidRPr="0085786F" w:rsidRDefault="00CD6B14" w:rsidP="00CD6B14">
      <w:pPr>
        <w:pStyle w:val="Paragraphedeliste"/>
        <w:spacing w:line="240" w:lineRule="auto"/>
        <w:jc w:val="both"/>
        <w:rPr>
          <w:rFonts w:cstheme="minorHAnsi"/>
          <w:b/>
        </w:rPr>
      </w:pPr>
    </w:p>
    <w:p w14:paraId="778C421A" w14:textId="298819B1" w:rsidR="00CD6B14" w:rsidRPr="0085786F" w:rsidRDefault="00CD6B14" w:rsidP="00CD6B14">
      <w:pPr>
        <w:pStyle w:val="Paragraphedeliste"/>
        <w:numPr>
          <w:ilvl w:val="0"/>
          <w:numId w:val="32"/>
        </w:numPr>
        <w:spacing w:line="240" w:lineRule="auto"/>
        <w:jc w:val="both"/>
        <w:rPr>
          <w:rFonts w:cstheme="minorHAnsi"/>
          <w:lang w:eastAsia="wo-SN"/>
        </w:rPr>
      </w:pPr>
      <w:r w:rsidRPr="0085786F">
        <w:rPr>
          <w:rFonts w:cstheme="minorHAnsi"/>
          <w:lang w:eastAsia="wo-SN"/>
        </w:rPr>
        <w:t>Excellentes compétences en communication et en rédaction en français et en anglais pour le consultant internationale et en Français pour le consultant national.</w:t>
      </w:r>
    </w:p>
    <w:p w14:paraId="654E6627" w14:textId="77777777" w:rsidR="00CD6B14" w:rsidRPr="0085786F" w:rsidRDefault="00CD6B14" w:rsidP="00CD6B14">
      <w:pPr>
        <w:pStyle w:val="Paragraphedeliste"/>
        <w:spacing w:line="240" w:lineRule="auto"/>
        <w:jc w:val="both"/>
        <w:rPr>
          <w:rFonts w:cstheme="minorHAnsi"/>
          <w:lang w:eastAsia="wo-SN"/>
        </w:rPr>
      </w:pPr>
    </w:p>
    <w:p w14:paraId="5AD0E63D" w14:textId="0BB1D19E" w:rsidR="00CD6B14" w:rsidRPr="0085786F" w:rsidRDefault="00CD6B14" w:rsidP="00CD6B14">
      <w:pPr>
        <w:pStyle w:val="Paragraphedeliste"/>
        <w:numPr>
          <w:ilvl w:val="0"/>
          <w:numId w:val="33"/>
        </w:numPr>
        <w:spacing w:line="240" w:lineRule="auto"/>
        <w:jc w:val="both"/>
        <w:rPr>
          <w:rFonts w:cstheme="minorHAnsi"/>
          <w:b/>
        </w:rPr>
      </w:pPr>
      <w:r w:rsidRPr="0085786F">
        <w:rPr>
          <w:rFonts w:cstheme="minorHAnsi"/>
          <w:b/>
        </w:rPr>
        <w:t xml:space="preserve">Autres capacités et aptitudes : </w:t>
      </w:r>
    </w:p>
    <w:p w14:paraId="3FC36002" w14:textId="77777777" w:rsidR="00CD6B14" w:rsidRPr="0085786F" w:rsidRDefault="00CD6B14" w:rsidP="00CD6B14">
      <w:pPr>
        <w:pStyle w:val="Paragraphedeliste"/>
        <w:spacing w:line="240" w:lineRule="auto"/>
        <w:jc w:val="both"/>
        <w:rPr>
          <w:rFonts w:cstheme="minorHAnsi"/>
          <w:b/>
        </w:rPr>
      </w:pPr>
    </w:p>
    <w:p w14:paraId="6D3F0179" w14:textId="26AA192C" w:rsidR="00CD6B14" w:rsidRDefault="00CD6B14" w:rsidP="0085786F">
      <w:pPr>
        <w:pStyle w:val="Paragraphedeliste"/>
        <w:numPr>
          <w:ilvl w:val="0"/>
          <w:numId w:val="32"/>
        </w:numPr>
        <w:spacing w:line="240" w:lineRule="auto"/>
        <w:jc w:val="both"/>
        <w:rPr>
          <w:rFonts w:cstheme="minorHAnsi"/>
        </w:rPr>
      </w:pPr>
      <w:r w:rsidRPr="0085786F">
        <w:rPr>
          <w:rFonts w:cstheme="minorHAnsi"/>
        </w:rPr>
        <w:t>Une disponibilité immédiate</w:t>
      </w:r>
    </w:p>
    <w:p w14:paraId="669470CB" w14:textId="77777777" w:rsidR="0085786F" w:rsidRPr="0085786F" w:rsidRDefault="0085786F" w:rsidP="0085786F">
      <w:pPr>
        <w:pStyle w:val="Paragraphedeliste"/>
        <w:spacing w:line="240" w:lineRule="auto"/>
        <w:jc w:val="both"/>
        <w:rPr>
          <w:rFonts w:cstheme="minorHAnsi"/>
        </w:rPr>
      </w:pPr>
    </w:p>
    <w:p w14:paraId="2737D1FF" w14:textId="76F33C50" w:rsidR="007E6A2B" w:rsidRPr="0085786F" w:rsidRDefault="00053DD8" w:rsidP="00053DD8">
      <w:pPr>
        <w:pStyle w:val="Heading51"/>
        <w:rPr>
          <w:rFonts w:asciiTheme="minorHAnsi" w:hAnsiTheme="minorHAnsi"/>
          <w:lang w:val="fr-FR"/>
        </w:rPr>
      </w:pPr>
      <w:r w:rsidRPr="0085786F">
        <w:rPr>
          <w:rFonts w:asciiTheme="minorHAnsi" w:hAnsiTheme="minorHAnsi"/>
          <w:lang w:val="fr-FR"/>
        </w:rPr>
        <w:t>DUREE DE LA PRESTATION</w:t>
      </w:r>
    </w:p>
    <w:p w14:paraId="66049BC1" w14:textId="77777777" w:rsidR="00053DD8" w:rsidRPr="0085786F" w:rsidRDefault="00053DD8" w:rsidP="00811327">
      <w:pPr>
        <w:spacing w:after="120"/>
      </w:pPr>
    </w:p>
    <w:p w14:paraId="0263AECC" w14:textId="25899975" w:rsidR="00811327" w:rsidRPr="0085786F" w:rsidRDefault="00811327" w:rsidP="00811327">
      <w:pPr>
        <w:spacing w:after="120"/>
      </w:pPr>
      <w:r w:rsidRPr="0085786F">
        <w:t xml:space="preserve">L’évaluation durera au total </w:t>
      </w:r>
      <w:r w:rsidRPr="0085786F">
        <w:rPr>
          <w:i/>
        </w:rPr>
        <w:t xml:space="preserve">30 </w:t>
      </w:r>
      <w:r w:rsidRPr="0085786F">
        <w:t xml:space="preserve">jours étalés sur une période allant du </w:t>
      </w:r>
      <w:r w:rsidR="00D52AD9">
        <w:rPr>
          <w:color w:val="FF0000"/>
        </w:rPr>
        <w:t>15</w:t>
      </w:r>
      <w:r w:rsidR="00297DF5" w:rsidRPr="00130A5D">
        <w:rPr>
          <w:color w:val="FF0000"/>
        </w:rPr>
        <w:t xml:space="preserve"> </w:t>
      </w:r>
      <w:r w:rsidR="00D52AD9">
        <w:rPr>
          <w:color w:val="FF0000"/>
        </w:rPr>
        <w:t xml:space="preserve">Aout </w:t>
      </w:r>
      <w:r w:rsidR="00297DF5" w:rsidRPr="00130A5D">
        <w:rPr>
          <w:color w:val="FF0000"/>
        </w:rPr>
        <w:t xml:space="preserve">au </w:t>
      </w:r>
      <w:r w:rsidR="00D52AD9">
        <w:rPr>
          <w:color w:val="FF0000"/>
        </w:rPr>
        <w:t>15 septembre</w:t>
      </w:r>
      <w:r w:rsidR="00297DF5" w:rsidRPr="00130A5D">
        <w:rPr>
          <w:color w:val="FF0000"/>
        </w:rPr>
        <w:t xml:space="preserve"> 2020</w:t>
      </w:r>
      <w:r w:rsidRPr="0085786F">
        <w:t>. Cette durée inclus les phases préparatoires, missions d’évaluation, élaboration du projet de rapport d’évaluation et du rapport final.</w:t>
      </w:r>
      <w:r w:rsidRPr="0085786F">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790"/>
        <w:gridCol w:w="3164"/>
      </w:tblGrid>
      <w:tr w:rsidR="00BA62E0" w:rsidRPr="0085786F" w14:paraId="7E142067" w14:textId="77777777" w:rsidTr="0085786F">
        <w:trPr>
          <w:trHeight w:val="440"/>
        </w:trPr>
        <w:tc>
          <w:tcPr>
            <w:tcW w:w="3397" w:type="dxa"/>
            <w:shd w:val="clear" w:color="auto" w:fill="auto"/>
          </w:tcPr>
          <w:p w14:paraId="45356ACD" w14:textId="77777777" w:rsidR="00811327" w:rsidRPr="0085786F" w:rsidRDefault="00811327" w:rsidP="00885796">
            <w:pPr>
              <w:spacing w:after="0"/>
              <w:jc w:val="center"/>
              <w:rPr>
                <w:rFonts w:eastAsia="Times New Roman"/>
                <w:b/>
              </w:rPr>
            </w:pPr>
            <w:r w:rsidRPr="0085786F">
              <w:rPr>
                <w:b/>
              </w:rPr>
              <w:t>ACTIVITÉ</w:t>
            </w:r>
          </w:p>
        </w:tc>
        <w:tc>
          <w:tcPr>
            <w:tcW w:w="2790" w:type="dxa"/>
            <w:shd w:val="clear" w:color="auto" w:fill="auto"/>
          </w:tcPr>
          <w:p w14:paraId="2D4F1823" w14:textId="77777777" w:rsidR="00811327" w:rsidRPr="0085786F" w:rsidRDefault="00811327" w:rsidP="00885796">
            <w:pPr>
              <w:spacing w:after="0"/>
              <w:jc w:val="center"/>
              <w:rPr>
                <w:rFonts w:eastAsia="Times New Roman"/>
                <w:b/>
              </w:rPr>
            </w:pPr>
            <w:r w:rsidRPr="0085786F">
              <w:rPr>
                <w:b/>
              </w:rPr>
              <w:t>DURÉE</w:t>
            </w:r>
          </w:p>
        </w:tc>
        <w:tc>
          <w:tcPr>
            <w:tcW w:w="3164" w:type="dxa"/>
            <w:shd w:val="clear" w:color="auto" w:fill="auto"/>
          </w:tcPr>
          <w:p w14:paraId="4E5DC324" w14:textId="77777777" w:rsidR="00811327" w:rsidRPr="0085786F" w:rsidRDefault="00811327" w:rsidP="00885796">
            <w:pPr>
              <w:spacing w:after="0"/>
              <w:jc w:val="center"/>
              <w:rPr>
                <w:rFonts w:eastAsia="Times New Roman"/>
                <w:b/>
              </w:rPr>
            </w:pPr>
            <w:r w:rsidRPr="0085786F">
              <w:rPr>
                <w:b/>
              </w:rPr>
              <w:t>DATE D’ACHÈVEMENT</w:t>
            </w:r>
          </w:p>
        </w:tc>
      </w:tr>
      <w:tr w:rsidR="00811327" w:rsidRPr="0085786F" w14:paraId="5AEE5BFE" w14:textId="77777777" w:rsidTr="0085786F">
        <w:tc>
          <w:tcPr>
            <w:tcW w:w="3397" w:type="dxa"/>
          </w:tcPr>
          <w:p w14:paraId="652C17EF" w14:textId="60CC9247" w:rsidR="00811327" w:rsidRPr="0085786F" w:rsidRDefault="005845EE" w:rsidP="00885796">
            <w:pPr>
              <w:spacing w:after="0"/>
              <w:rPr>
                <w:rFonts w:eastAsia="Times New Roman"/>
                <w:b/>
              </w:rPr>
            </w:pPr>
            <w:r w:rsidRPr="0085786F">
              <w:rPr>
                <w:b/>
              </w:rPr>
              <w:t>Préparation</w:t>
            </w:r>
          </w:p>
        </w:tc>
        <w:tc>
          <w:tcPr>
            <w:tcW w:w="2790" w:type="dxa"/>
          </w:tcPr>
          <w:p w14:paraId="679F2A3A" w14:textId="56B9DE2F" w:rsidR="00811327" w:rsidRPr="0085786F" w:rsidRDefault="00FC5A3D" w:rsidP="00885796">
            <w:pPr>
              <w:spacing w:after="0"/>
              <w:jc w:val="center"/>
              <w:rPr>
                <w:rFonts w:eastAsia="Times New Roman"/>
                <w:b/>
              </w:rPr>
            </w:pPr>
            <w:r>
              <w:rPr>
                <w:i/>
              </w:rPr>
              <w:t>3</w:t>
            </w:r>
            <w:r w:rsidR="00811327" w:rsidRPr="0085786F">
              <w:rPr>
                <w:i/>
              </w:rPr>
              <w:t xml:space="preserve"> </w:t>
            </w:r>
            <w:r w:rsidR="00811327" w:rsidRPr="0085786F">
              <w:t>jours</w:t>
            </w:r>
          </w:p>
        </w:tc>
        <w:tc>
          <w:tcPr>
            <w:tcW w:w="3164" w:type="dxa"/>
            <w:shd w:val="clear" w:color="auto" w:fill="auto"/>
          </w:tcPr>
          <w:p w14:paraId="6023DD51" w14:textId="144E4899" w:rsidR="00811327" w:rsidRPr="0085786F" w:rsidRDefault="00D52AD9" w:rsidP="00D52AD9">
            <w:pPr>
              <w:spacing w:after="0"/>
              <w:rPr>
                <w:rFonts w:eastAsia="Times New Roman"/>
                <w:i/>
              </w:rPr>
            </w:pPr>
            <w:r>
              <w:rPr>
                <w:rFonts w:eastAsia="Times New Roman"/>
                <w:i/>
              </w:rPr>
              <w:t>17</w:t>
            </w:r>
            <w:r w:rsidR="00811327" w:rsidRPr="0085786F">
              <w:rPr>
                <w:rFonts w:eastAsia="Times New Roman"/>
                <w:i/>
              </w:rPr>
              <w:t xml:space="preserve"> </w:t>
            </w:r>
            <w:r>
              <w:rPr>
                <w:rFonts w:eastAsia="Times New Roman"/>
                <w:i/>
              </w:rPr>
              <w:t>Aout</w:t>
            </w:r>
            <w:r w:rsidR="00811327" w:rsidRPr="0085786F">
              <w:rPr>
                <w:rFonts w:eastAsia="Times New Roman"/>
                <w:i/>
              </w:rPr>
              <w:t xml:space="preserve"> 2020</w:t>
            </w:r>
          </w:p>
        </w:tc>
      </w:tr>
      <w:tr w:rsidR="00811327" w:rsidRPr="0085786F" w14:paraId="07D5013A" w14:textId="77777777" w:rsidTr="0085786F">
        <w:tc>
          <w:tcPr>
            <w:tcW w:w="3397" w:type="dxa"/>
          </w:tcPr>
          <w:p w14:paraId="054C0AE0" w14:textId="77777777" w:rsidR="00811327" w:rsidRPr="0085786F" w:rsidRDefault="00811327" w:rsidP="00885796">
            <w:pPr>
              <w:spacing w:after="0"/>
              <w:rPr>
                <w:rFonts w:eastAsia="Times New Roman"/>
                <w:b/>
              </w:rPr>
            </w:pPr>
            <w:r w:rsidRPr="0085786F">
              <w:rPr>
                <w:b/>
              </w:rPr>
              <w:t>Mission d’évaluation</w:t>
            </w:r>
          </w:p>
        </w:tc>
        <w:tc>
          <w:tcPr>
            <w:tcW w:w="2790" w:type="dxa"/>
          </w:tcPr>
          <w:p w14:paraId="5149E08E" w14:textId="150E0F54" w:rsidR="00811327" w:rsidRPr="0085786F" w:rsidRDefault="00811327" w:rsidP="00D52AD9">
            <w:pPr>
              <w:spacing w:after="0"/>
              <w:jc w:val="center"/>
              <w:rPr>
                <w:rFonts w:eastAsia="Times New Roman"/>
                <w:b/>
              </w:rPr>
            </w:pPr>
            <w:r w:rsidRPr="0085786F">
              <w:rPr>
                <w:i/>
              </w:rPr>
              <w:t>1</w:t>
            </w:r>
            <w:r w:rsidR="00FC5A3D">
              <w:rPr>
                <w:i/>
              </w:rPr>
              <w:t>5</w:t>
            </w:r>
            <w:r w:rsidRPr="0085786F">
              <w:rPr>
                <w:i/>
              </w:rPr>
              <w:t xml:space="preserve"> </w:t>
            </w:r>
            <w:r w:rsidRPr="0085786F">
              <w:t>jours</w:t>
            </w:r>
          </w:p>
        </w:tc>
        <w:tc>
          <w:tcPr>
            <w:tcW w:w="3164" w:type="dxa"/>
            <w:shd w:val="clear" w:color="auto" w:fill="auto"/>
          </w:tcPr>
          <w:p w14:paraId="1A3895BC" w14:textId="324A8968" w:rsidR="00811327" w:rsidRPr="0085786F" w:rsidRDefault="00D52AD9" w:rsidP="00D52AD9">
            <w:pPr>
              <w:spacing w:after="0"/>
              <w:rPr>
                <w:rFonts w:eastAsia="Times New Roman"/>
                <w:i/>
              </w:rPr>
            </w:pPr>
            <w:r>
              <w:rPr>
                <w:i/>
              </w:rPr>
              <w:t>2</w:t>
            </w:r>
            <w:r w:rsidR="00297DF5" w:rsidRPr="0085786F">
              <w:rPr>
                <w:i/>
              </w:rPr>
              <w:t>8</w:t>
            </w:r>
            <w:r w:rsidR="00811327" w:rsidRPr="0085786F">
              <w:rPr>
                <w:i/>
              </w:rPr>
              <w:t xml:space="preserve"> </w:t>
            </w:r>
            <w:r>
              <w:rPr>
                <w:i/>
              </w:rPr>
              <w:t>Aout</w:t>
            </w:r>
            <w:r w:rsidR="00297DF5" w:rsidRPr="0085786F">
              <w:rPr>
                <w:i/>
              </w:rPr>
              <w:t xml:space="preserve"> </w:t>
            </w:r>
            <w:r w:rsidR="00811327" w:rsidRPr="0085786F">
              <w:rPr>
                <w:i/>
              </w:rPr>
              <w:t>2020</w:t>
            </w:r>
          </w:p>
        </w:tc>
      </w:tr>
      <w:tr w:rsidR="00811327" w:rsidRPr="0085786F" w14:paraId="6C0EA68F" w14:textId="77777777" w:rsidTr="0085786F">
        <w:tc>
          <w:tcPr>
            <w:tcW w:w="3397" w:type="dxa"/>
          </w:tcPr>
          <w:p w14:paraId="119CBCD4" w14:textId="77777777" w:rsidR="00811327" w:rsidRPr="0085786F" w:rsidRDefault="00811327" w:rsidP="00885796">
            <w:pPr>
              <w:spacing w:after="0"/>
              <w:rPr>
                <w:rFonts w:eastAsia="Times New Roman"/>
                <w:b/>
              </w:rPr>
            </w:pPr>
            <w:r w:rsidRPr="0085786F">
              <w:rPr>
                <w:b/>
              </w:rPr>
              <w:t>Projet de rapport d’évaluation</w:t>
            </w:r>
          </w:p>
        </w:tc>
        <w:tc>
          <w:tcPr>
            <w:tcW w:w="2790" w:type="dxa"/>
          </w:tcPr>
          <w:p w14:paraId="4504D1AE" w14:textId="4E6C2CE9" w:rsidR="00811327" w:rsidRPr="0085786F" w:rsidRDefault="00FC5A3D" w:rsidP="00885796">
            <w:pPr>
              <w:spacing w:after="0"/>
              <w:jc w:val="center"/>
              <w:rPr>
                <w:rFonts w:eastAsia="Times New Roman"/>
                <w:b/>
              </w:rPr>
            </w:pPr>
            <w:r>
              <w:rPr>
                <w:i/>
              </w:rPr>
              <w:t>10</w:t>
            </w:r>
            <w:r w:rsidR="00811327" w:rsidRPr="0085786F">
              <w:rPr>
                <w:i/>
              </w:rPr>
              <w:t xml:space="preserve"> </w:t>
            </w:r>
            <w:r w:rsidR="00811327" w:rsidRPr="0085786F">
              <w:t>jours</w:t>
            </w:r>
          </w:p>
        </w:tc>
        <w:tc>
          <w:tcPr>
            <w:tcW w:w="3164" w:type="dxa"/>
            <w:shd w:val="clear" w:color="auto" w:fill="auto"/>
          </w:tcPr>
          <w:p w14:paraId="64ECD0AF" w14:textId="0D485997" w:rsidR="00811327" w:rsidRPr="0085786F" w:rsidRDefault="00D52AD9" w:rsidP="00885796">
            <w:pPr>
              <w:spacing w:after="0"/>
              <w:rPr>
                <w:rFonts w:eastAsia="Times New Roman"/>
                <w:i/>
              </w:rPr>
            </w:pPr>
            <w:r>
              <w:rPr>
                <w:i/>
              </w:rPr>
              <w:t>05 Septembre</w:t>
            </w:r>
            <w:r w:rsidR="00811327" w:rsidRPr="0085786F">
              <w:rPr>
                <w:i/>
              </w:rPr>
              <w:t xml:space="preserve"> 2020</w:t>
            </w:r>
          </w:p>
        </w:tc>
      </w:tr>
      <w:tr w:rsidR="00811327" w:rsidRPr="0085786F" w14:paraId="64AAB3BC" w14:textId="77777777" w:rsidTr="0085786F">
        <w:tc>
          <w:tcPr>
            <w:tcW w:w="3397" w:type="dxa"/>
          </w:tcPr>
          <w:p w14:paraId="0918A5C0" w14:textId="77777777" w:rsidR="00811327" w:rsidRPr="0085786F" w:rsidRDefault="00811327" w:rsidP="00885796">
            <w:pPr>
              <w:spacing w:after="0"/>
              <w:rPr>
                <w:rFonts w:eastAsia="Times New Roman"/>
                <w:b/>
              </w:rPr>
            </w:pPr>
            <w:r w:rsidRPr="0085786F">
              <w:rPr>
                <w:b/>
              </w:rPr>
              <w:t>Rapport final</w:t>
            </w:r>
          </w:p>
        </w:tc>
        <w:tc>
          <w:tcPr>
            <w:tcW w:w="2790" w:type="dxa"/>
          </w:tcPr>
          <w:p w14:paraId="119B7C83" w14:textId="77777777" w:rsidR="00811327" w:rsidRPr="0085786F" w:rsidRDefault="00811327" w:rsidP="00885796">
            <w:pPr>
              <w:spacing w:after="0"/>
              <w:jc w:val="center"/>
              <w:rPr>
                <w:rFonts w:eastAsia="Times New Roman"/>
              </w:rPr>
            </w:pPr>
            <w:r w:rsidRPr="0085786F">
              <w:rPr>
                <w:i/>
              </w:rPr>
              <w:t xml:space="preserve">2 </w:t>
            </w:r>
            <w:r w:rsidRPr="0085786F">
              <w:t>jours</w:t>
            </w:r>
          </w:p>
        </w:tc>
        <w:tc>
          <w:tcPr>
            <w:tcW w:w="3164" w:type="dxa"/>
            <w:shd w:val="clear" w:color="auto" w:fill="auto"/>
          </w:tcPr>
          <w:p w14:paraId="15046531" w14:textId="6F8897C2" w:rsidR="00811327" w:rsidRPr="0085786F" w:rsidRDefault="00D52AD9" w:rsidP="00885796">
            <w:pPr>
              <w:spacing w:after="0"/>
              <w:rPr>
                <w:rFonts w:eastAsia="Times New Roman"/>
                <w:i/>
              </w:rPr>
            </w:pPr>
            <w:r>
              <w:rPr>
                <w:rFonts w:eastAsia="Times New Roman"/>
                <w:i/>
              </w:rPr>
              <w:t>15 septembre</w:t>
            </w:r>
            <w:r w:rsidR="00811327" w:rsidRPr="0085786F">
              <w:rPr>
                <w:rFonts w:eastAsia="Times New Roman"/>
                <w:i/>
              </w:rPr>
              <w:t xml:space="preserve"> 2020</w:t>
            </w:r>
            <w:r w:rsidR="00BA62E0" w:rsidRPr="0085786F">
              <w:rPr>
                <w:rFonts w:eastAsia="Times New Roman"/>
                <w:i/>
              </w:rPr>
              <w:t>.</w:t>
            </w:r>
          </w:p>
        </w:tc>
      </w:tr>
    </w:tbl>
    <w:p w14:paraId="03BE1036" w14:textId="77777777" w:rsidR="00811327" w:rsidRPr="0085786F" w:rsidRDefault="00811327" w:rsidP="00811327">
      <w:pPr>
        <w:spacing w:after="120"/>
        <w:rPr>
          <w:rFonts w:eastAsia="Times New Roman"/>
        </w:rPr>
      </w:pPr>
    </w:p>
    <w:p w14:paraId="7C8C8B7C" w14:textId="77777777" w:rsidR="00E12514" w:rsidRPr="0085786F" w:rsidRDefault="00E12514" w:rsidP="00E12514">
      <w:pPr>
        <w:pStyle w:val="Heading51"/>
        <w:rPr>
          <w:rFonts w:asciiTheme="minorHAnsi" w:hAnsiTheme="minorHAnsi"/>
          <w:lang w:val="fr-FR"/>
        </w:rPr>
      </w:pPr>
      <w:bookmarkStart w:id="7" w:name="_Toc321341551"/>
      <w:r w:rsidRPr="0085786F">
        <w:rPr>
          <w:rFonts w:asciiTheme="minorHAnsi" w:hAnsiTheme="minorHAnsi"/>
          <w:lang w:val="fr-FR"/>
        </w:rPr>
        <w:t>Critères d'évaluation et notations</w:t>
      </w:r>
      <w:bookmarkEnd w:id="7"/>
    </w:p>
    <w:p w14:paraId="5EB84E03" w14:textId="77777777" w:rsidR="00E12514" w:rsidRPr="0085786F" w:rsidRDefault="00E12514" w:rsidP="00CE34E3">
      <w:pPr>
        <w:spacing w:after="0" w:line="240" w:lineRule="auto"/>
        <w:jc w:val="both"/>
        <w:rPr>
          <w:rFonts w:cstheme="minorHAnsi"/>
        </w:rPr>
      </w:pPr>
    </w:p>
    <w:p w14:paraId="2D280A0C" w14:textId="6AD3E9AC" w:rsidR="002273E2" w:rsidRPr="0085786F" w:rsidRDefault="00DD7F19" w:rsidP="00CE34E3">
      <w:pPr>
        <w:spacing w:after="0" w:line="240" w:lineRule="auto"/>
        <w:jc w:val="both"/>
        <w:rPr>
          <w:rFonts w:cstheme="minorHAnsi"/>
        </w:rPr>
      </w:pPr>
      <w:r w:rsidRPr="0085786F">
        <w:rPr>
          <w:rFonts w:cstheme="minorHAnsi"/>
        </w:rPr>
        <w:t>L’évaluation des offres se déroule en deux temps. L’évaluation des propositions techniques est achevée avant l’ouverture et la comparaison des propositions financières.</w:t>
      </w:r>
    </w:p>
    <w:p w14:paraId="741646FF" w14:textId="77777777" w:rsidR="00DD7F19" w:rsidRPr="0085786F" w:rsidRDefault="00DD7F19" w:rsidP="00CE34E3">
      <w:pPr>
        <w:numPr>
          <w:ilvl w:val="0"/>
          <w:numId w:val="1"/>
        </w:numPr>
        <w:spacing w:after="0" w:line="240" w:lineRule="auto"/>
        <w:jc w:val="both"/>
        <w:rPr>
          <w:rFonts w:eastAsia="Times New Roman" w:cstheme="minorHAnsi"/>
          <w:b/>
          <w:bCs/>
          <w:u w:val="single"/>
          <w:lang w:eastAsia="rw-RW"/>
        </w:rPr>
      </w:pPr>
      <w:r w:rsidRPr="0085786F">
        <w:rPr>
          <w:rFonts w:eastAsia="Times New Roman" w:cstheme="minorHAnsi"/>
          <w:b/>
          <w:bCs/>
          <w:u w:val="single"/>
          <w:lang w:eastAsia="rw-RW"/>
        </w:rPr>
        <w:t>Les propositions techniques</w:t>
      </w:r>
    </w:p>
    <w:p w14:paraId="674745D0" w14:textId="77777777" w:rsidR="00DD7F19" w:rsidRPr="0085786F" w:rsidRDefault="00DD7F19" w:rsidP="00CE34E3">
      <w:pPr>
        <w:pStyle w:val="Retraitcorpsdetexte"/>
        <w:ind w:left="0"/>
        <w:jc w:val="both"/>
        <w:rPr>
          <w:rFonts w:asciiTheme="minorHAnsi" w:hAnsiTheme="minorHAnsi" w:cstheme="minorHAnsi"/>
          <w:bCs/>
          <w:sz w:val="22"/>
          <w:szCs w:val="22"/>
        </w:rPr>
      </w:pPr>
      <w:r w:rsidRPr="0085786F">
        <w:rPr>
          <w:rFonts w:asciiTheme="minorHAnsi" w:hAnsiTheme="minorHAnsi" w:cstheme="minorHAnsi"/>
          <w:bCs/>
          <w:sz w:val="22"/>
          <w:szCs w:val="22"/>
        </w:rPr>
        <w:t>Elles sont évaluées sur des critères suivants en rapport avec les termes de référence.</w:t>
      </w:r>
    </w:p>
    <w:p w14:paraId="37F12336" w14:textId="69415861" w:rsidR="00D70D29" w:rsidRPr="0085786F" w:rsidRDefault="00DD7F19" w:rsidP="00CE34E3">
      <w:pPr>
        <w:spacing w:after="0" w:line="240" w:lineRule="auto"/>
        <w:jc w:val="both"/>
        <w:rPr>
          <w:rFonts w:cstheme="minorHAnsi"/>
        </w:rPr>
      </w:pPr>
      <w:r w:rsidRPr="0085786F">
        <w:rPr>
          <w:rFonts w:cstheme="minorHAnsi"/>
        </w:rPr>
        <w:t>Pour information, la proposition technique sera évaluée sur son degré de réponse par rapport aux termes de référence et sur la base des critères suivants :</w:t>
      </w:r>
      <w:r w:rsidR="00D70D29" w:rsidRPr="0085786F">
        <w:rPr>
          <w:rFonts w:cstheme="minorHAnsi"/>
        </w:rPr>
        <w:t xml:space="preserve"> </w:t>
      </w:r>
    </w:p>
    <w:p w14:paraId="0AE86113" w14:textId="77777777" w:rsidR="0024200A" w:rsidRPr="0085786F" w:rsidRDefault="0024200A" w:rsidP="00CE34E3">
      <w:pPr>
        <w:spacing w:after="0" w:line="240" w:lineRule="auto"/>
        <w:jc w:val="both"/>
        <w:rPr>
          <w:rFonts w:cstheme="minorHAnsi"/>
        </w:rPr>
      </w:pPr>
    </w:p>
    <w:tbl>
      <w:tblPr>
        <w:tblStyle w:val="Grilledutableau"/>
        <w:tblW w:w="0" w:type="auto"/>
        <w:tblLook w:val="04A0" w:firstRow="1" w:lastRow="0" w:firstColumn="1" w:lastColumn="0" w:noHBand="0" w:noVBand="1"/>
      </w:tblPr>
      <w:tblGrid>
        <w:gridCol w:w="8075"/>
        <w:gridCol w:w="1979"/>
      </w:tblGrid>
      <w:tr w:rsidR="003C2EDD" w:rsidRPr="0085786F" w14:paraId="645D8DA1" w14:textId="77777777" w:rsidTr="00515D6B">
        <w:tc>
          <w:tcPr>
            <w:tcW w:w="8075" w:type="dxa"/>
          </w:tcPr>
          <w:p w14:paraId="38E0B21F" w14:textId="003AA268" w:rsidR="00D70D29" w:rsidRPr="0085786F" w:rsidRDefault="00ED0D49" w:rsidP="00CE34E3">
            <w:pPr>
              <w:tabs>
                <w:tab w:val="left" w:pos="6210"/>
              </w:tabs>
              <w:jc w:val="both"/>
              <w:rPr>
                <w:rFonts w:eastAsia="Calibri" w:cstheme="minorHAnsi"/>
                <w:color w:val="000000" w:themeColor="text1"/>
              </w:rPr>
            </w:pPr>
            <w:r w:rsidRPr="0085786F">
              <w:rPr>
                <w:rFonts w:eastAsia="Calibri" w:cstheme="minorHAnsi"/>
                <w:color w:val="000000" w:themeColor="text1"/>
              </w:rPr>
              <w:t>Formation académique</w:t>
            </w:r>
          </w:p>
        </w:tc>
        <w:tc>
          <w:tcPr>
            <w:tcW w:w="1979" w:type="dxa"/>
          </w:tcPr>
          <w:p w14:paraId="1F1E317F" w14:textId="6C417470" w:rsidR="00D70D29" w:rsidRPr="0085786F" w:rsidRDefault="00D81302" w:rsidP="005845EE">
            <w:pPr>
              <w:pStyle w:val="Paragraphedeliste"/>
              <w:numPr>
                <w:ilvl w:val="0"/>
                <w:numId w:val="36"/>
              </w:numPr>
              <w:jc w:val="both"/>
              <w:rPr>
                <w:rFonts w:cstheme="minorHAnsi"/>
                <w:color w:val="000000" w:themeColor="text1"/>
              </w:rPr>
            </w:pPr>
            <w:r w:rsidRPr="0085786F">
              <w:rPr>
                <w:rFonts w:cstheme="minorHAnsi"/>
                <w:color w:val="000000" w:themeColor="text1"/>
              </w:rPr>
              <w:t>Points</w:t>
            </w:r>
          </w:p>
        </w:tc>
      </w:tr>
      <w:tr w:rsidR="003C2EDD" w:rsidRPr="0085786F" w14:paraId="311B8C41" w14:textId="77777777" w:rsidTr="00515D6B">
        <w:tc>
          <w:tcPr>
            <w:tcW w:w="8075" w:type="dxa"/>
          </w:tcPr>
          <w:p w14:paraId="0E1D4A19" w14:textId="58DEB110" w:rsidR="0079156C" w:rsidRPr="0085786F" w:rsidRDefault="00C36C02" w:rsidP="005845EE">
            <w:pPr>
              <w:tabs>
                <w:tab w:val="left" w:pos="6920"/>
              </w:tabs>
              <w:jc w:val="both"/>
              <w:rPr>
                <w:rFonts w:cstheme="minorHAnsi"/>
                <w:color w:val="000000" w:themeColor="text1"/>
              </w:rPr>
            </w:pPr>
            <w:r w:rsidRPr="0085786F">
              <w:rPr>
                <w:rFonts w:cstheme="minorHAnsi"/>
                <w:color w:val="000000" w:themeColor="text1"/>
              </w:rPr>
              <w:t>E</w:t>
            </w:r>
            <w:r w:rsidR="002C57B9" w:rsidRPr="0085786F">
              <w:rPr>
                <w:rFonts w:cstheme="minorHAnsi"/>
                <w:color w:val="000000" w:themeColor="text1"/>
              </w:rPr>
              <w:t>xpérience professionnelle</w:t>
            </w:r>
            <w:r w:rsidR="005845EE" w:rsidRPr="0085786F">
              <w:rPr>
                <w:rFonts w:cstheme="minorHAnsi"/>
                <w:color w:val="000000" w:themeColor="text1"/>
              </w:rPr>
              <w:t xml:space="preserve"> : </w:t>
            </w:r>
            <w:r w:rsidR="0079156C" w:rsidRPr="0085786F">
              <w:rPr>
                <w:shd w:val="clear" w:color="auto" w:fill="FFFFFF"/>
              </w:rPr>
              <w:t xml:space="preserve">Avoir </w:t>
            </w:r>
            <w:r w:rsidR="00FC5A3D">
              <w:rPr>
                <w:i/>
                <w:shd w:val="clear" w:color="auto" w:fill="FFFFFF"/>
              </w:rPr>
              <w:t>10</w:t>
            </w:r>
            <w:r w:rsidR="0079156C" w:rsidRPr="0085786F">
              <w:rPr>
                <w:i/>
                <w:shd w:val="clear" w:color="auto" w:fill="FFFFFF"/>
              </w:rPr>
              <w:t xml:space="preserve"> </w:t>
            </w:r>
            <w:r w:rsidR="0079156C" w:rsidRPr="0085786F">
              <w:rPr>
                <w:shd w:val="clear" w:color="auto" w:fill="FFFFFF"/>
              </w:rPr>
              <w:t>ans minimum</w:t>
            </w:r>
            <w:r w:rsidR="0079156C" w:rsidRPr="0085786F">
              <w:t xml:space="preserve"> d'expé</w:t>
            </w:r>
            <w:r w:rsidR="00FC5A3D">
              <w:t>rience professionnelle générale</w:t>
            </w:r>
            <w:r w:rsidR="0079156C" w:rsidRPr="0085786F">
              <w:t xml:space="preserve"> (</w:t>
            </w:r>
            <w:r w:rsidR="005845EE" w:rsidRPr="0085786F">
              <w:t xml:space="preserve">4 points pour </w:t>
            </w:r>
            <w:r w:rsidR="00FC5A3D">
              <w:t>2</w:t>
            </w:r>
            <w:r w:rsidR="005845EE" w:rsidRPr="0085786F">
              <w:t xml:space="preserve"> ans d’expérience soit au total 20 points)</w:t>
            </w:r>
          </w:p>
          <w:p w14:paraId="740F580A" w14:textId="309FEDBA" w:rsidR="00D70D29" w:rsidRPr="0085786F" w:rsidRDefault="00D70D29" w:rsidP="005845EE">
            <w:pPr>
              <w:pStyle w:val="Paragraphedeliste"/>
              <w:tabs>
                <w:tab w:val="left" w:pos="6920"/>
              </w:tabs>
              <w:jc w:val="both"/>
              <w:rPr>
                <w:rFonts w:cstheme="minorHAnsi"/>
                <w:color w:val="000000" w:themeColor="text1"/>
              </w:rPr>
            </w:pPr>
          </w:p>
        </w:tc>
        <w:tc>
          <w:tcPr>
            <w:tcW w:w="1979" w:type="dxa"/>
          </w:tcPr>
          <w:p w14:paraId="0BB16FD2" w14:textId="5ED5EC31" w:rsidR="00D70D29" w:rsidRPr="0085786F" w:rsidRDefault="005845EE" w:rsidP="00CE34E3">
            <w:pPr>
              <w:jc w:val="both"/>
              <w:rPr>
                <w:rFonts w:cstheme="minorHAnsi"/>
                <w:color w:val="000000" w:themeColor="text1"/>
              </w:rPr>
            </w:pPr>
            <w:r w:rsidRPr="0085786F">
              <w:rPr>
                <w:rFonts w:cstheme="minorHAnsi"/>
                <w:color w:val="000000" w:themeColor="text1"/>
              </w:rPr>
              <w:t>2</w:t>
            </w:r>
            <w:r w:rsidR="00C36C02" w:rsidRPr="0085786F">
              <w:rPr>
                <w:rFonts w:cstheme="minorHAnsi"/>
                <w:color w:val="000000" w:themeColor="text1"/>
              </w:rPr>
              <w:t xml:space="preserve">0 </w:t>
            </w:r>
            <w:r w:rsidR="00D81302" w:rsidRPr="0085786F">
              <w:rPr>
                <w:rFonts w:cstheme="minorHAnsi"/>
                <w:color w:val="000000" w:themeColor="text1"/>
              </w:rPr>
              <w:t>Points</w:t>
            </w:r>
          </w:p>
        </w:tc>
      </w:tr>
      <w:tr w:rsidR="003C2EDD" w:rsidRPr="0085786F" w14:paraId="64ECC530" w14:textId="77777777" w:rsidTr="00515D6B">
        <w:tc>
          <w:tcPr>
            <w:tcW w:w="8075" w:type="dxa"/>
          </w:tcPr>
          <w:p w14:paraId="458D6AEF" w14:textId="75BFE419" w:rsidR="005845EE" w:rsidRPr="0085786F" w:rsidRDefault="00852038" w:rsidP="005845EE">
            <w:pPr>
              <w:tabs>
                <w:tab w:val="left" w:pos="6920"/>
              </w:tabs>
              <w:jc w:val="both"/>
              <w:rPr>
                <w:rFonts w:cstheme="minorHAnsi"/>
                <w:color w:val="000000" w:themeColor="text1"/>
              </w:rPr>
            </w:pPr>
            <w:r w:rsidRPr="0085786F">
              <w:rPr>
                <w:rFonts w:cstheme="minorHAnsi"/>
                <w:color w:val="000000" w:themeColor="text1"/>
              </w:rPr>
              <w:t>Solides compétences en suivi et évaluation</w:t>
            </w:r>
            <w:r w:rsidR="005845EE" w:rsidRPr="0085786F">
              <w:rPr>
                <w:rFonts w:cstheme="minorHAnsi"/>
                <w:color w:val="000000" w:themeColor="text1"/>
              </w:rPr>
              <w:t xml:space="preserve"> : </w:t>
            </w:r>
            <w:r w:rsidR="005845EE" w:rsidRPr="0085786F">
              <w:rPr>
                <w:shd w:val="clear" w:color="auto" w:fill="FFFFFF"/>
              </w:rPr>
              <w:t xml:space="preserve">Avec au moins </w:t>
            </w:r>
            <w:r w:rsidR="00FC5A3D">
              <w:rPr>
                <w:shd w:val="clear" w:color="auto" w:fill="FFFFFF"/>
              </w:rPr>
              <w:t>5</w:t>
            </w:r>
            <w:r w:rsidR="005845EE" w:rsidRPr="0085786F">
              <w:rPr>
                <w:shd w:val="clear" w:color="auto" w:fill="FFFFFF"/>
              </w:rPr>
              <w:t xml:space="preserve"> ans d’expérience pertinente dans </w:t>
            </w:r>
            <w:r w:rsidR="00F63DE2">
              <w:rPr>
                <w:shd w:val="clear" w:color="auto" w:fill="FFFFFF"/>
              </w:rPr>
              <w:t xml:space="preserve">les évaluations de projet ou </w:t>
            </w:r>
            <w:r w:rsidR="005845EE" w:rsidRPr="0085786F">
              <w:rPr>
                <w:shd w:val="clear" w:color="auto" w:fill="FFFFFF"/>
              </w:rPr>
              <w:t>le Suivi-évaluation</w:t>
            </w:r>
            <w:r w:rsidR="005845EE" w:rsidRPr="0085786F">
              <w:t xml:space="preserve"> avec des méthodologies de suivi et d’évaluation (6 points par expérience pertinente soit au total 30 points)</w:t>
            </w:r>
          </w:p>
          <w:p w14:paraId="0B5F1723" w14:textId="786E16C5" w:rsidR="00D70D29" w:rsidRPr="0085786F" w:rsidRDefault="00D70D29" w:rsidP="00CE34E3">
            <w:pPr>
              <w:jc w:val="both"/>
              <w:rPr>
                <w:rFonts w:cstheme="minorHAnsi"/>
                <w:color w:val="000000" w:themeColor="text1"/>
              </w:rPr>
            </w:pPr>
          </w:p>
        </w:tc>
        <w:tc>
          <w:tcPr>
            <w:tcW w:w="1979" w:type="dxa"/>
          </w:tcPr>
          <w:p w14:paraId="5A074B9E" w14:textId="2151D5C7" w:rsidR="00D70D29" w:rsidRPr="0085786F" w:rsidRDefault="005845EE" w:rsidP="00CE34E3">
            <w:pPr>
              <w:jc w:val="both"/>
              <w:rPr>
                <w:rFonts w:cstheme="minorHAnsi"/>
                <w:color w:val="000000" w:themeColor="text1"/>
              </w:rPr>
            </w:pPr>
            <w:r w:rsidRPr="0085786F">
              <w:rPr>
                <w:rFonts w:cstheme="minorHAnsi"/>
                <w:color w:val="000000" w:themeColor="text1"/>
              </w:rPr>
              <w:t>3</w:t>
            </w:r>
            <w:r w:rsidR="00C36C02" w:rsidRPr="0085786F">
              <w:rPr>
                <w:rFonts w:cstheme="minorHAnsi"/>
                <w:color w:val="000000" w:themeColor="text1"/>
              </w:rPr>
              <w:t xml:space="preserve">0 </w:t>
            </w:r>
            <w:r w:rsidR="00D81302" w:rsidRPr="0085786F">
              <w:rPr>
                <w:rFonts w:cstheme="minorHAnsi"/>
                <w:color w:val="000000" w:themeColor="text1"/>
              </w:rPr>
              <w:t>Points</w:t>
            </w:r>
          </w:p>
        </w:tc>
      </w:tr>
      <w:tr w:rsidR="003C2EDD" w:rsidRPr="0085786F" w14:paraId="3A07851E" w14:textId="77777777" w:rsidTr="00515D6B">
        <w:tc>
          <w:tcPr>
            <w:tcW w:w="8075" w:type="dxa"/>
          </w:tcPr>
          <w:p w14:paraId="732F136F" w14:textId="60FBF03A" w:rsidR="003C2EDD" w:rsidRPr="0085786F" w:rsidRDefault="005845EE" w:rsidP="00CE34E3">
            <w:pPr>
              <w:jc w:val="both"/>
              <w:rPr>
                <w:rFonts w:cstheme="minorHAnsi"/>
                <w:color w:val="000000" w:themeColor="text1"/>
              </w:rPr>
            </w:pPr>
            <w:r w:rsidRPr="0085786F">
              <w:rPr>
                <w:rFonts w:cstheme="minorHAnsi"/>
                <w:lang w:eastAsia="wo-SN"/>
              </w:rPr>
              <w:t>Expérience dans la gestion axée sur les résultats</w:t>
            </w:r>
          </w:p>
        </w:tc>
        <w:tc>
          <w:tcPr>
            <w:tcW w:w="1979" w:type="dxa"/>
          </w:tcPr>
          <w:p w14:paraId="700990DE" w14:textId="1EC178B6" w:rsidR="003C2EDD" w:rsidRPr="0085786F" w:rsidRDefault="0092773D" w:rsidP="00CE34E3">
            <w:pPr>
              <w:jc w:val="both"/>
              <w:rPr>
                <w:rFonts w:cstheme="minorHAnsi"/>
                <w:color w:val="000000" w:themeColor="text1"/>
              </w:rPr>
            </w:pPr>
            <w:r w:rsidRPr="0085786F">
              <w:rPr>
                <w:rFonts w:cstheme="minorHAnsi"/>
                <w:color w:val="000000" w:themeColor="text1"/>
              </w:rPr>
              <w:t xml:space="preserve">20 </w:t>
            </w:r>
            <w:r w:rsidR="003C2EDD" w:rsidRPr="0085786F">
              <w:rPr>
                <w:rFonts w:cstheme="minorHAnsi"/>
                <w:color w:val="000000" w:themeColor="text1"/>
              </w:rPr>
              <w:t>Points</w:t>
            </w:r>
          </w:p>
        </w:tc>
      </w:tr>
      <w:tr w:rsidR="00FD0126" w:rsidRPr="0085786F" w14:paraId="509ACFD7" w14:textId="77777777" w:rsidTr="00515D6B">
        <w:tc>
          <w:tcPr>
            <w:tcW w:w="8075" w:type="dxa"/>
          </w:tcPr>
          <w:p w14:paraId="05F8132C" w14:textId="2BA67EEE" w:rsidR="003C2EDD" w:rsidRPr="0085786F" w:rsidRDefault="00852038" w:rsidP="00CE34E3">
            <w:pPr>
              <w:jc w:val="both"/>
              <w:rPr>
                <w:rFonts w:cstheme="minorHAnsi"/>
              </w:rPr>
            </w:pPr>
            <w:r w:rsidRPr="0085786F">
              <w:rPr>
                <w:rFonts w:cstheme="minorHAnsi"/>
              </w:rPr>
              <w:t xml:space="preserve">Expérience avec le </w:t>
            </w:r>
            <w:r w:rsidR="0079156C" w:rsidRPr="0085786F">
              <w:rPr>
                <w:rFonts w:cstheme="minorHAnsi"/>
              </w:rPr>
              <w:t xml:space="preserve">Fonds d’adaptation </w:t>
            </w:r>
            <w:r w:rsidRPr="0085786F">
              <w:rPr>
                <w:rFonts w:cstheme="minorHAnsi"/>
              </w:rPr>
              <w:t>et le PNUD</w:t>
            </w:r>
            <w:r w:rsidR="005845EE" w:rsidRPr="0085786F">
              <w:rPr>
                <w:rFonts w:cstheme="minorHAnsi"/>
              </w:rPr>
              <w:t xml:space="preserve"> et leurs procédures</w:t>
            </w:r>
          </w:p>
        </w:tc>
        <w:tc>
          <w:tcPr>
            <w:tcW w:w="1979" w:type="dxa"/>
          </w:tcPr>
          <w:p w14:paraId="19042F64" w14:textId="3A36F8EB" w:rsidR="003C2EDD" w:rsidRPr="0085786F" w:rsidRDefault="0092773D" w:rsidP="00CE34E3">
            <w:pPr>
              <w:jc w:val="both"/>
              <w:rPr>
                <w:rFonts w:cstheme="minorHAnsi"/>
              </w:rPr>
            </w:pPr>
            <w:r w:rsidRPr="0085786F">
              <w:rPr>
                <w:rFonts w:cstheme="minorHAnsi"/>
              </w:rPr>
              <w:t>15</w:t>
            </w:r>
            <w:r w:rsidR="00C36C02" w:rsidRPr="0085786F">
              <w:rPr>
                <w:rFonts w:cstheme="minorHAnsi"/>
              </w:rPr>
              <w:t xml:space="preserve"> </w:t>
            </w:r>
            <w:r w:rsidR="003C2EDD" w:rsidRPr="0085786F">
              <w:rPr>
                <w:rFonts w:cstheme="minorHAnsi"/>
              </w:rPr>
              <w:t>Points</w:t>
            </w:r>
          </w:p>
        </w:tc>
      </w:tr>
      <w:tr w:rsidR="003C2EDD" w:rsidRPr="0085786F" w14:paraId="5BC75FF4" w14:textId="77777777" w:rsidTr="00515D6B">
        <w:tc>
          <w:tcPr>
            <w:tcW w:w="8075" w:type="dxa"/>
          </w:tcPr>
          <w:p w14:paraId="6A55A5A4" w14:textId="77777777" w:rsidR="00D70D29" w:rsidRPr="0085786F" w:rsidRDefault="00D70D29" w:rsidP="00CE34E3">
            <w:pPr>
              <w:jc w:val="both"/>
              <w:rPr>
                <w:rFonts w:cstheme="minorHAnsi"/>
                <w:b/>
                <w:color w:val="000000" w:themeColor="text1"/>
              </w:rPr>
            </w:pPr>
            <w:r w:rsidRPr="0085786F">
              <w:rPr>
                <w:rFonts w:cstheme="minorHAnsi"/>
                <w:b/>
                <w:color w:val="000000" w:themeColor="text1"/>
              </w:rPr>
              <w:t xml:space="preserve">Total  </w:t>
            </w:r>
          </w:p>
        </w:tc>
        <w:tc>
          <w:tcPr>
            <w:tcW w:w="1979" w:type="dxa"/>
          </w:tcPr>
          <w:p w14:paraId="72C0714C" w14:textId="678170C8" w:rsidR="00D70D29" w:rsidRPr="0085786F" w:rsidRDefault="003C2EDD" w:rsidP="00CE34E3">
            <w:pPr>
              <w:jc w:val="both"/>
              <w:rPr>
                <w:rFonts w:cstheme="minorHAnsi"/>
                <w:b/>
                <w:color w:val="000000" w:themeColor="text1"/>
              </w:rPr>
            </w:pPr>
            <w:r w:rsidRPr="0085786F">
              <w:rPr>
                <w:rFonts w:cstheme="minorHAnsi"/>
                <w:b/>
                <w:color w:val="000000" w:themeColor="text1"/>
              </w:rPr>
              <w:t>100 Points</w:t>
            </w:r>
          </w:p>
        </w:tc>
      </w:tr>
    </w:tbl>
    <w:p w14:paraId="0AB8EA7C" w14:textId="77777777" w:rsidR="0046051E" w:rsidRPr="0085786F" w:rsidRDefault="0046051E" w:rsidP="00CE34E3">
      <w:pPr>
        <w:spacing w:after="0" w:line="240" w:lineRule="auto"/>
        <w:jc w:val="both"/>
        <w:rPr>
          <w:rFonts w:cstheme="minorHAnsi"/>
          <w:b/>
        </w:rPr>
      </w:pPr>
    </w:p>
    <w:p w14:paraId="73085E87" w14:textId="38BA457E" w:rsidR="006B063C" w:rsidRPr="0085786F" w:rsidRDefault="00DD7F19" w:rsidP="00CE34E3">
      <w:pPr>
        <w:spacing w:after="0" w:line="240" w:lineRule="auto"/>
        <w:jc w:val="both"/>
        <w:rPr>
          <w:rFonts w:cstheme="minorHAnsi"/>
          <w:b/>
        </w:rPr>
      </w:pPr>
      <w:r w:rsidRPr="0085786F">
        <w:rPr>
          <w:rFonts w:cstheme="minorHAnsi"/>
          <w:b/>
        </w:rPr>
        <w:t xml:space="preserve">Seront jugées qualifiées, les propositions techniques qui obtiendront 70% de la note maximale de 100 </w:t>
      </w:r>
      <w:r w:rsidR="0024200A" w:rsidRPr="0085786F">
        <w:rPr>
          <w:rFonts w:cstheme="minorHAnsi"/>
          <w:b/>
        </w:rPr>
        <w:t>points</w:t>
      </w:r>
      <w:r w:rsidRPr="0085786F">
        <w:rPr>
          <w:rFonts w:cstheme="minorHAnsi"/>
          <w:b/>
        </w:rPr>
        <w:t> ; cett</w:t>
      </w:r>
      <w:r w:rsidR="004F282F" w:rsidRPr="0085786F">
        <w:rPr>
          <w:rFonts w:cstheme="minorHAnsi"/>
          <w:b/>
        </w:rPr>
        <w:t>e note technique sera pondérée à</w:t>
      </w:r>
      <w:r w:rsidRPr="0085786F">
        <w:rPr>
          <w:rFonts w:cstheme="minorHAnsi"/>
          <w:b/>
        </w:rPr>
        <w:t xml:space="preserve"> 70%.</w:t>
      </w:r>
    </w:p>
    <w:p w14:paraId="4D0237B6" w14:textId="77777777" w:rsidR="0024200A" w:rsidRPr="0085786F" w:rsidRDefault="0024200A" w:rsidP="00CE34E3">
      <w:pPr>
        <w:spacing w:after="0" w:line="240" w:lineRule="auto"/>
        <w:jc w:val="both"/>
        <w:rPr>
          <w:rFonts w:eastAsia="Times New Roman" w:cstheme="minorHAnsi"/>
          <w:b/>
          <w:lang w:eastAsia="rw-RW"/>
        </w:rPr>
      </w:pPr>
    </w:p>
    <w:p w14:paraId="231F45D3" w14:textId="08CD74B0" w:rsidR="00726970" w:rsidRPr="0085786F" w:rsidRDefault="00726970" w:rsidP="00CE34E3">
      <w:pPr>
        <w:spacing w:after="0" w:line="240" w:lineRule="auto"/>
        <w:jc w:val="both"/>
        <w:rPr>
          <w:rFonts w:eastAsia="Times New Roman" w:cstheme="minorHAnsi"/>
          <w:b/>
          <w:u w:val="single"/>
          <w:lang w:eastAsia="rw-RW"/>
        </w:rPr>
      </w:pPr>
      <w:r w:rsidRPr="0085786F">
        <w:rPr>
          <w:rFonts w:eastAsia="Times New Roman" w:cstheme="minorHAnsi"/>
          <w:b/>
          <w:lang w:eastAsia="rw-RW"/>
        </w:rPr>
        <w:t>b.</w:t>
      </w:r>
      <w:r w:rsidRPr="0085786F">
        <w:rPr>
          <w:rFonts w:eastAsia="Times New Roman" w:cstheme="minorHAnsi"/>
          <w:b/>
          <w:u w:val="single"/>
          <w:lang w:eastAsia="rw-RW"/>
        </w:rPr>
        <w:t xml:space="preserve"> Les propositions financières</w:t>
      </w:r>
    </w:p>
    <w:p w14:paraId="01C66EF9" w14:textId="77777777" w:rsidR="00726970" w:rsidRPr="0085786F" w:rsidRDefault="00726970" w:rsidP="00CE34E3">
      <w:pPr>
        <w:spacing w:after="0" w:line="240" w:lineRule="auto"/>
        <w:jc w:val="both"/>
        <w:rPr>
          <w:rFonts w:eastAsia="Times New Roman" w:cstheme="minorHAnsi"/>
          <w:bCs/>
          <w:lang w:eastAsia="rw-RW"/>
        </w:rPr>
      </w:pPr>
      <w:r w:rsidRPr="0085786F">
        <w:rPr>
          <w:rFonts w:eastAsia="Times New Roman" w:cstheme="minorHAnsi"/>
          <w:bCs/>
          <w:lang w:eastAsia="rw-RW"/>
        </w:rPr>
        <w:t>Le/la Consultant (e) fait sa proposition financière suivant le Tableau des coûts. Il doit proposer un montant forfaitaire et présenter dans le Tableau des coûts la ventilation de ce montant forfaitaire.</w:t>
      </w:r>
    </w:p>
    <w:p w14:paraId="349BE63A" w14:textId="77777777" w:rsidR="00726970" w:rsidRPr="0085786F" w:rsidRDefault="00726970" w:rsidP="00CE34E3">
      <w:pPr>
        <w:spacing w:after="0" w:line="240" w:lineRule="auto"/>
        <w:jc w:val="both"/>
        <w:rPr>
          <w:rFonts w:eastAsia="Times New Roman" w:cstheme="minorHAnsi"/>
          <w:lang w:eastAsia="rw-RW"/>
        </w:rPr>
      </w:pPr>
      <w:r w:rsidRPr="0085786F">
        <w:rPr>
          <w:rFonts w:eastAsia="Times New Roman" w:cstheme="minorHAnsi"/>
          <w:lang w:eastAsia="rw-RW"/>
        </w:rPr>
        <w:t>Dans une deuxième étape du processus d’évaluation, les enveloppes financières seront ouvertes et les offres financières comparées ; une note financière sera calculée pour chaque proposition sur la base de la formule :</w:t>
      </w:r>
    </w:p>
    <w:p w14:paraId="5BDC1982" w14:textId="77777777" w:rsidR="00726970" w:rsidRPr="0085786F" w:rsidRDefault="00726970" w:rsidP="00CE34E3">
      <w:pPr>
        <w:spacing w:after="0" w:line="240" w:lineRule="auto"/>
        <w:jc w:val="both"/>
        <w:rPr>
          <w:rFonts w:eastAsia="Times New Roman" w:cstheme="minorHAnsi"/>
          <w:b/>
          <w:lang w:eastAsia="rw-RW"/>
        </w:rPr>
      </w:pPr>
      <w:r w:rsidRPr="0085786F">
        <w:rPr>
          <w:rFonts w:eastAsia="Times New Roman" w:cstheme="minorHAnsi"/>
          <w:b/>
          <w:lang w:eastAsia="rw-RW"/>
        </w:rPr>
        <w:t xml:space="preserve">Note financière A = [(Offre financière la moins </w:t>
      </w:r>
      <w:proofErr w:type="spellStart"/>
      <w:r w:rsidRPr="0085786F">
        <w:rPr>
          <w:rFonts w:eastAsia="Times New Roman" w:cstheme="minorHAnsi"/>
          <w:b/>
          <w:lang w:eastAsia="rw-RW"/>
        </w:rPr>
        <w:t>disante</w:t>
      </w:r>
      <w:proofErr w:type="spellEnd"/>
      <w:r w:rsidRPr="0085786F">
        <w:rPr>
          <w:rFonts w:eastAsia="Times New Roman" w:cstheme="minorHAnsi"/>
          <w:b/>
          <w:lang w:eastAsia="rw-RW"/>
        </w:rPr>
        <w:t>)/Offre financière de A] x 30</w:t>
      </w:r>
    </w:p>
    <w:p w14:paraId="25CB8A49" w14:textId="544A3B0D" w:rsidR="00726970" w:rsidRPr="0085786F" w:rsidRDefault="00726970" w:rsidP="00CE34E3">
      <w:pPr>
        <w:spacing w:after="0" w:line="240" w:lineRule="auto"/>
        <w:jc w:val="both"/>
        <w:rPr>
          <w:rFonts w:eastAsia="Times New Roman" w:cstheme="minorHAnsi"/>
          <w:b/>
          <w:lang w:eastAsia="rw-RW"/>
        </w:rPr>
      </w:pPr>
      <w:r w:rsidRPr="0085786F">
        <w:rPr>
          <w:rFonts w:eastAsia="Times New Roman" w:cstheme="minorHAnsi"/>
          <w:b/>
          <w:lang w:eastAsia="rw-RW"/>
        </w:rPr>
        <w:t>Le/la Consultant (e) avec le cumul de notes (Technique pondérée + Financière) le plus élevé sera retenu pour le contrat.</w:t>
      </w:r>
    </w:p>
    <w:p w14:paraId="3EC8575C" w14:textId="77777777" w:rsidR="00515D6B" w:rsidRPr="0085786F" w:rsidRDefault="00515D6B" w:rsidP="00CE34E3">
      <w:pPr>
        <w:spacing w:after="0" w:line="240" w:lineRule="auto"/>
        <w:jc w:val="both"/>
        <w:rPr>
          <w:rFonts w:eastAsia="Times New Roman" w:cstheme="minorHAnsi"/>
          <w:b/>
          <w:lang w:eastAsia="rw-RW"/>
        </w:rPr>
      </w:pPr>
    </w:p>
    <w:p w14:paraId="0C84E83E" w14:textId="77777777" w:rsidR="00726970" w:rsidRPr="0085786F" w:rsidRDefault="00726970" w:rsidP="0085786F">
      <w:pPr>
        <w:pStyle w:val="Paragraphedeliste"/>
        <w:spacing w:after="0" w:line="240" w:lineRule="auto"/>
        <w:ind w:left="644"/>
        <w:contextualSpacing w:val="0"/>
        <w:jc w:val="both"/>
        <w:rPr>
          <w:rFonts w:eastAsia="Times New Roman" w:cstheme="minorHAnsi"/>
          <w:b/>
          <w:u w:val="single"/>
          <w:lang w:eastAsia="rw-RW"/>
        </w:rPr>
      </w:pPr>
      <w:r w:rsidRPr="0085786F">
        <w:rPr>
          <w:rFonts w:eastAsia="Times New Roman" w:cstheme="minorHAnsi"/>
          <w:b/>
          <w:u w:val="single"/>
          <w:lang w:eastAsia="rw-RW"/>
        </w:rPr>
        <w:t>Documents constitutifs de l’Offre</w:t>
      </w:r>
      <w:r w:rsidRPr="0085786F">
        <w:rPr>
          <w:rFonts w:eastAsia="Times New Roman" w:cstheme="minorHAnsi"/>
          <w:b/>
          <w:lang w:eastAsia="rw-RW"/>
        </w:rPr>
        <w:t xml:space="preserve"> :</w:t>
      </w:r>
    </w:p>
    <w:p w14:paraId="40354D1F" w14:textId="69202EA9" w:rsidR="00726970" w:rsidRPr="0085786F" w:rsidRDefault="00726970" w:rsidP="00CE34E3">
      <w:pPr>
        <w:spacing w:after="0" w:line="240" w:lineRule="auto"/>
        <w:jc w:val="both"/>
        <w:rPr>
          <w:rFonts w:eastAsia="Times New Roman" w:cstheme="minorHAnsi"/>
          <w:bCs/>
          <w:lang w:eastAsia="rw-RW"/>
        </w:rPr>
      </w:pPr>
      <w:r w:rsidRPr="0085786F">
        <w:rPr>
          <w:rFonts w:eastAsia="Times New Roman" w:cstheme="minorHAnsi"/>
          <w:bCs/>
          <w:lang w:eastAsia="rw-RW"/>
        </w:rPr>
        <w:t>Pour démontrer leurs qualifications, les candidat (e)s devront soumettre une offre qui comprendra les documents suivants :</w:t>
      </w:r>
    </w:p>
    <w:p w14:paraId="12AAF8AB" w14:textId="77777777" w:rsidR="0024200A" w:rsidRPr="0085786F" w:rsidRDefault="0024200A" w:rsidP="00CE34E3">
      <w:pPr>
        <w:spacing w:after="0" w:line="240" w:lineRule="auto"/>
        <w:jc w:val="both"/>
        <w:rPr>
          <w:rFonts w:eastAsia="Times New Roman" w:cstheme="minorHAnsi"/>
          <w:bCs/>
          <w:lang w:eastAsia="rw-RW"/>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5954"/>
        <w:gridCol w:w="1984"/>
      </w:tblGrid>
      <w:tr w:rsidR="00726970" w:rsidRPr="0085786F" w14:paraId="0F2F94BD" w14:textId="77777777" w:rsidTr="0046051E">
        <w:trPr>
          <w:trHeight w:val="452"/>
        </w:trPr>
        <w:tc>
          <w:tcPr>
            <w:tcW w:w="1956" w:type="dxa"/>
            <w:shd w:val="clear" w:color="auto" w:fill="auto"/>
            <w:vAlign w:val="center"/>
          </w:tcPr>
          <w:p w14:paraId="57DC7E3E" w14:textId="77777777" w:rsidR="00726970" w:rsidRPr="0085786F" w:rsidRDefault="00726970" w:rsidP="00CE34E3">
            <w:pPr>
              <w:autoSpaceDE w:val="0"/>
              <w:autoSpaceDN w:val="0"/>
              <w:adjustRightInd w:val="0"/>
              <w:spacing w:after="0" w:line="240" w:lineRule="auto"/>
              <w:jc w:val="both"/>
              <w:rPr>
                <w:rFonts w:eastAsia="Times New Roman" w:cstheme="minorHAnsi"/>
                <w:b/>
                <w:u w:val="single"/>
                <w:lang w:eastAsia="rw-RW"/>
              </w:rPr>
            </w:pPr>
            <w:r w:rsidRPr="0085786F">
              <w:rPr>
                <w:rFonts w:eastAsia="Times New Roman" w:cstheme="minorHAnsi"/>
                <w:b/>
                <w:u w:val="single"/>
                <w:lang w:eastAsia="rw-RW"/>
              </w:rPr>
              <w:t>Document</w:t>
            </w:r>
          </w:p>
        </w:tc>
        <w:tc>
          <w:tcPr>
            <w:tcW w:w="5954" w:type="dxa"/>
            <w:shd w:val="clear" w:color="auto" w:fill="auto"/>
            <w:vAlign w:val="center"/>
          </w:tcPr>
          <w:p w14:paraId="40E40483" w14:textId="77777777" w:rsidR="00726970" w:rsidRPr="0085786F" w:rsidRDefault="00726970" w:rsidP="00CE34E3">
            <w:pPr>
              <w:autoSpaceDE w:val="0"/>
              <w:autoSpaceDN w:val="0"/>
              <w:adjustRightInd w:val="0"/>
              <w:spacing w:after="0" w:line="240" w:lineRule="auto"/>
              <w:jc w:val="both"/>
              <w:rPr>
                <w:rFonts w:eastAsia="Times New Roman" w:cstheme="minorHAnsi"/>
                <w:b/>
                <w:u w:val="single"/>
                <w:lang w:eastAsia="rw-RW"/>
              </w:rPr>
            </w:pPr>
            <w:r w:rsidRPr="0085786F">
              <w:rPr>
                <w:rFonts w:eastAsia="Times New Roman" w:cstheme="minorHAnsi"/>
                <w:b/>
                <w:u w:val="single"/>
                <w:lang w:eastAsia="rw-RW"/>
              </w:rPr>
              <w:t>Description</w:t>
            </w:r>
          </w:p>
        </w:tc>
        <w:tc>
          <w:tcPr>
            <w:tcW w:w="1984" w:type="dxa"/>
            <w:shd w:val="clear" w:color="auto" w:fill="auto"/>
            <w:vAlign w:val="center"/>
          </w:tcPr>
          <w:p w14:paraId="068DF653" w14:textId="77777777" w:rsidR="00726970" w:rsidRPr="0085786F" w:rsidRDefault="00726970" w:rsidP="00CE34E3">
            <w:pPr>
              <w:autoSpaceDE w:val="0"/>
              <w:autoSpaceDN w:val="0"/>
              <w:adjustRightInd w:val="0"/>
              <w:spacing w:after="0" w:line="240" w:lineRule="auto"/>
              <w:jc w:val="both"/>
              <w:rPr>
                <w:rFonts w:eastAsia="Times New Roman" w:cstheme="minorHAnsi"/>
                <w:b/>
                <w:u w:val="single"/>
                <w:lang w:eastAsia="rw-RW"/>
              </w:rPr>
            </w:pPr>
            <w:r w:rsidRPr="0085786F">
              <w:rPr>
                <w:rFonts w:eastAsia="Times New Roman" w:cstheme="minorHAnsi"/>
                <w:b/>
                <w:u w:val="single"/>
                <w:lang w:eastAsia="rw-RW"/>
              </w:rPr>
              <w:t>Forme</w:t>
            </w:r>
          </w:p>
        </w:tc>
      </w:tr>
      <w:tr w:rsidR="00726970" w:rsidRPr="0085786F" w14:paraId="5A1B713B" w14:textId="77777777" w:rsidTr="0046051E">
        <w:trPr>
          <w:trHeight w:val="499"/>
        </w:trPr>
        <w:tc>
          <w:tcPr>
            <w:tcW w:w="1956" w:type="dxa"/>
            <w:shd w:val="clear" w:color="auto" w:fill="auto"/>
            <w:vAlign w:val="center"/>
          </w:tcPr>
          <w:p w14:paraId="2F69CE2F"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Curriculum Vitae ou P11</w:t>
            </w:r>
          </w:p>
        </w:tc>
        <w:tc>
          <w:tcPr>
            <w:tcW w:w="5954" w:type="dxa"/>
            <w:shd w:val="clear" w:color="auto" w:fill="auto"/>
            <w:vAlign w:val="center"/>
          </w:tcPr>
          <w:p w14:paraId="0917AB68"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Remplir le formulaire de P11 en annexe en y incluant surtout votre expérience des missions similaires et indiquant au moins 3 (trois) personnes de référence.</w:t>
            </w:r>
          </w:p>
        </w:tc>
        <w:tc>
          <w:tcPr>
            <w:tcW w:w="1984" w:type="dxa"/>
            <w:shd w:val="clear" w:color="auto" w:fill="auto"/>
            <w:vAlign w:val="center"/>
          </w:tcPr>
          <w:p w14:paraId="6C176F73" w14:textId="1BC0A361"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 xml:space="preserve">Annexe 3 : </w:t>
            </w:r>
          </w:p>
        </w:tc>
      </w:tr>
      <w:tr w:rsidR="00726970" w:rsidRPr="0085786F" w14:paraId="6B65A99A" w14:textId="77777777" w:rsidTr="0046051E">
        <w:trPr>
          <w:trHeight w:val="499"/>
        </w:trPr>
        <w:tc>
          <w:tcPr>
            <w:tcW w:w="1956" w:type="dxa"/>
            <w:shd w:val="clear" w:color="auto" w:fill="auto"/>
            <w:vAlign w:val="center"/>
          </w:tcPr>
          <w:p w14:paraId="69D3D858"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Diplômes</w:t>
            </w:r>
          </w:p>
        </w:tc>
        <w:tc>
          <w:tcPr>
            <w:tcW w:w="5954" w:type="dxa"/>
            <w:shd w:val="clear" w:color="auto" w:fill="auto"/>
            <w:vAlign w:val="center"/>
          </w:tcPr>
          <w:p w14:paraId="7F1FA818"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Envoyer les copies de vos diplômes</w:t>
            </w:r>
          </w:p>
        </w:tc>
        <w:tc>
          <w:tcPr>
            <w:tcW w:w="1984" w:type="dxa"/>
            <w:shd w:val="clear" w:color="auto" w:fill="auto"/>
            <w:vAlign w:val="center"/>
          </w:tcPr>
          <w:p w14:paraId="7C8091C8"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p>
        </w:tc>
      </w:tr>
      <w:tr w:rsidR="00726970" w:rsidRPr="0085786F" w14:paraId="3A8905DA" w14:textId="77777777" w:rsidTr="0046051E">
        <w:trPr>
          <w:trHeight w:val="548"/>
        </w:trPr>
        <w:tc>
          <w:tcPr>
            <w:tcW w:w="1956" w:type="dxa"/>
            <w:shd w:val="clear" w:color="auto" w:fill="auto"/>
            <w:vAlign w:val="center"/>
          </w:tcPr>
          <w:p w14:paraId="36287434"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Tableau des coûts</w:t>
            </w:r>
          </w:p>
        </w:tc>
        <w:tc>
          <w:tcPr>
            <w:tcW w:w="5954" w:type="dxa"/>
            <w:shd w:val="clear" w:color="auto" w:fill="auto"/>
            <w:vAlign w:val="center"/>
          </w:tcPr>
          <w:p w14:paraId="48FEC116"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Remplir le tableau</w:t>
            </w:r>
          </w:p>
        </w:tc>
        <w:tc>
          <w:tcPr>
            <w:tcW w:w="1984" w:type="dxa"/>
            <w:shd w:val="clear" w:color="auto" w:fill="auto"/>
            <w:vAlign w:val="center"/>
          </w:tcPr>
          <w:p w14:paraId="70424CCB" w14:textId="77777777" w:rsidR="00726970" w:rsidRPr="0085786F" w:rsidRDefault="00726970" w:rsidP="00CE34E3">
            <w:pPr>
              <w:autoSpaceDE w:val="0"/>
              <w:autoSpaceDN w:val="0"/>
              <w:adjustRightInd w:val="0"/>
              <w:spacing w:after="0" w:line="240" w:lineRule="auto"/>
              <w:jc w:val="both"/>
              <w:rPr>
                <w:rFonts w:eastAsia="Times New Roman" w:cstheme="minorHAnsi"/>
                <w:lang w:eastAsia="rw-RW"/>
              </w:rPr>
            </w:pPr>
            <w:r w:rsidRPr="0085786F">
              <w:rPr>
                <w:rFonts w:eastAsia="Times New Roman" w:cstheme="minorHAnsi"/>
                <w:lang w:eastAsia="rw-RW"/>
              </w:rPr>
              <w:t>Annexe 4 </w:t>
            </w:r>
          </w:p>
        </w:tc>
      </w:tr>
    </w:tbl>
    <w:p w14:paraId="1698B673" w14:textId="605710D9" w:rsidR="00FD0126" w:rsidRPr="0085786F" w:rsidRDefault="00FD0126" w:rsidP="0085786F">
      <w:pPr>
        <w:pStyle w:val="Heading51"/>
        <w:rPr>
          <w:rFonts w:asciiTheme="minorHAnsi" w:hAnsiTheme="minorHAnsi"/>
          <w:lang w:val="fr-FR"/>
        </w:rPr>
      </w:pPr>
      <w:r w:rsidRPr="0085786F">
        <w:rPr>
          <w:rFonts w:asciiTheme="minorHAnsi" w:hAnsiTheme="minorHAnsi"/>
          <w:lang w:val="fr-FR"/>
        </w:rPr>
        <w:t>Code de déontologie de l'évaluateur</w:t>
      </w:r>
    </w:p>
    <w:p w14:paraId="072E4275" w14:textId="77777777" w:rsidR="0085786F" w:rsidRPr="0085786F" w:rsidRDefault="0085786F" w:rsidP="0085786F">
      <w:pPr>
        <w:rPr>
          <w:lang w:bidi="en-US"/>
        </w:rPr>
      </w:pPr>
    </w:p>
    <w:p w14:paraId="7B9C1FE8" w14:textId="478DC483" w:rsidR="00FD0126" w:rsidRPr="0085786F" w:rsidRDefault="00FD0126" w:rsidP="00FD0126">
      <w:pPr>
        <w:rPr>
          <w:rStyle w:val="Lienhypertexte"/>
          <w:b/>
          <w:color w:val="0070C0"/>
        </w:rPr>
      </w:pPr>
      <w:r w:rsidRPr="0085786F">
        <w:t>Les consultants en évaluation sont tenus de respecter les normes éthiques les plus élevées et doivent signer un code de conduite à l’acceptation de la mission. Les évaluations du PNUD sont menées en conformité avec les principes énoncés dans les</w:t>
      </w:r>
      <w:r w:rsidRPr="0085786F">
        <w:rPr>
          <w:color w:val="00B0F0"/>
        </w:rPr>
        <w:t xml:space="preserve"> </w:t>
      </w:r>
      <w:hyperlink r:id="rId11">
        <w:r w:rsidRPr="0085786F">
          <w:rPr>
            <w:rStyle w:val="Lienhypertexte"/>
            <w:b/>
            <w:color w:val="0070C0"/>
          </w:rPr>
          <w:t>« Directives éthiques de l'UNEG pour les évaluations »</w:t>
        </w:r>
      </w:hyperlink>
    </w:p>
    <w:p w14:paraId="5AAAD217" w14:textId="77777777" w:rsidR="00FD0126" w:rsidRPr="0085786F" w:rsidRDefault="00FD0126" w:rsidP="00FD0126">
      <w:pPr>
        <w:pStyle w:val="Heading31"/>
        <w:rPr>
          <w:rFonts w:asciiTheme="minorHAnsi" w:hAnsiTheme="minorHAnsi"/>
          <w:lang w:val="fr-FR"/>
        </w:rPr>
      </w:pPr>
      <w:bookmarkStart w:id="8" w:name="_Toc299133045"/>
      <w:bookmarkStart w:id="9" w:name="_Toc321341557"/>
      <w:r w:rsidRPr="0085786F">
        <w:rPr>
          <w:rFonts w:asciiTheme="minorHAnsi" w:hAnsiTheme="minorHAnsi"/>
          <w:lang w:val="fr-FR"/>
        </w:rPr>
        <w:t>Produits livrables en vertu de l'évaluation</w:t>
      </w:r>
      <w:bookmarkEnd w:id="8"/>
      <w:bookmarkEnd w:id="9"/>
    </w:p>
    <w:p w14:paraId="664AA900" w14:textId="77777777" w:rsidR="00FD0126" w:rsidRPr="0085786F" w:rsidRDefault="00FD0126" w:rsidP="00FD0126">
      <w:pPr>
        <w:spacing w:before="200"/>
      </w:pPr>
      <w:r w:rsidRPr="0085786F">
        <w:t>Il est attendu trois (03) copies dures et une version électronique des documents suivant : le rapport initial, le projet de rapport final et le rapport final. Ces documents seront transmis au PNUD-Mali.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671"/>
        <w:gridCol w:w="2610"/>
        <w:gridCol w:w="3060"/>
      </w:tblGrid>
      <w:tr w:rsidR="00FD0126" w:rsidRPr="0085786F" w14:paraId="1AF552F6" w14:textId="77777777" w:rsidTr="00885796">
        <w:tc>
          <w:tcPr>
            <w:tcW w:w="1548" w:type="dxa"/>
            <w:shd w:val="clear" w:color="auto" w:fill="auto"/>
          </w:tcPr>
          <w:p w14:paraId="59424D60" w14:textId="77777777" w:rsidR="00FD0126" w:rsidRPr="0085786F" w:rsidRDefault="00FD0126" w:rsidP="00885796">
            <w:pPr>
              <w:spacing w:before="200"/>
              <w:jc w:val="center"/>
              <w:rPr>
                <w:rFonts w:eastAsia="Times New Roman"/>
                <w:b/>
              </w:rPr>
            </w:pPr>
            <w:r w:rsidRPr="0085786F">
              <w:rPr>
                <w:b/>
              </w:rPr>
              <w:t>PRODUITS LIVRABLES</w:t>
            </w:r>
          </w:p>
        </w:tc>
        <w:tc>
          <w:tcPr>
            <w:tcW w:w="2671" w:type="dxa"/>
            <w:shd w:val="clear" w:color="auto" w:fill="auto"/>
          </w:tcPr>
          <w:p w14:paraId="5F9F36B0" w14:textId="77777777" w:rsidR="00FD0126" w:rsidRPr="0085786F" w:rsidRDefault="00FD0126" w:rsidP="00885796">
            <w:pPr>
              <w:spacing w:before="200"/>
              <w:jc w:val="center"/>
              <w:rPr>
                <w:rFonts w:eastAsia="Times New Roman"/>
                <w:b/>
              </w:rPr>
            </w:pPr>
            <w:r w:rsidRPr="0085786F">
              <w:rPr>
                <w:b/>
              </w:rPr>
              <w:t xml:space="preserve">TABLE DES MATIÈRES </w:t>
            </w:r>
          </w:p>
        </w:tc>
        <w:tc>
          <w:tcPr>
            <w:tcW w:w="2610" w:type="dxa"/>
            <w:shd w:val="clear" w:color="auto" w:fill="auto"/>
          </w:tcPr>
          <w:p w14:paraId="7A01DD78" w14:textId="77777777" w:rsidR="00FD0126" w:rsidRPr="0085786F" w:rsidRDefault="00FD0126" w:rsidP="00885796">
            <w:pPr>
              <w:spacing w:before="200"/>
              <w:jc w:val="center"/>
              <w:rPr>
                <w:rFonts w:eastAsia="Times New Roman"/>
                <w:b/>
              </w:rPr>
            </w:pPr>
            <w:r w:rsidRPr="0085786F">
              <w:rPr>
                <w:b/>
              </w:rPr>
              <w:t>DURÉE</w:t>
            </w:r>
          </w:p>
        </w:tc>
        <w:tc>
          <w:tcPr>
            <w:tcW w:w="3060" w:type="dxa"/>
            <w:shd w:val="clear" w:color="auto" w:fill="auto"/>
          </w:tcPr>
          <w:p w14:paraId="349A3523" w14:textId="77777777" w:rsidR="00FD0126" w:rsidRPr="0085786F" w:rsidRDefault="00FD0126" w:rsidP="00885796">
            <w:pPr>
              <w:spacing w:before="200"/>
              <w:jc w:val="center"/>
              <w:rPr>
                <w:rFonts w:eastAsia="Times New Roman"/>
                <w:b/>
              </w:rPr>
            </w:pPr>
            <w:r w:rsidRPr="0085786F">
              <w:rPr>
                <w:b/>
              </w:rPr>
              <w:t>RESPONSABILITÉS</w:t>
            </w:r>
          </w:p>
        </w:tc>
      </w:tr>
      <w:tr w:rsidR="00FD0126" w:rsidRPr="0085786F" w14:paraId="09A125B4" w14:textId="77777777" w:rsidTr="00885796">
        <w:tc>
          <w:tcPr>
            <w:tcW w:w="1548" w:type="dxa"/>
          </w:tcPr>
          <w:p w14:paraId="507C79A3" w14:textId="77777777" w:rsidR="00FD0126" w:rsidRPr="0085786F" w:rsidRDefault="00FD0126" w:rsidP="00885796">
            <w:pPr>
              <w:spacing w:after="0"/>
              <w:rPr>
                <w:rFonts w:eastAsia="Times New Roman"/>
                <w:b/>
              </w:rPr>
            </w:pPr>
            <w:r w:rsidRPr="0085786F">
              <w:rPr>
                <w:b/>
              </w:rPr>
              <w:t>Rapport initial</w:t>
            </w:r>
          </w:p>
        </w:tc>
        <w:tc>
          <w:tcPr>
            <w:tcW w:w="2671" w:type="dxa"/>
          </w:tcPr>
          <w:p w14:paraId="52534CFD" w14:textId="77777777" w:rsidR="00FD0126" w:rsidRPr="0085786F" w:rsidRDefault="00FD0126" w:rsidP="00885796">
            <w:pPr>
              <w:spacing w:after="0"/>
              <w:rPr>
                <w:rFonts w:eastAsia="Times New Roman"/>
              </w:rPr>
            </w:pPr>
            <w:r w:rsidRPr="0085786F">
              <w:t xml:space="preserve">Les évaluateurs apportent des précisions sur le calendrier et la méthode </w:t>
            </w:r>
          </w:p>
        </w:tc>
        <w:tc>
          <w:tcPr>
            <w:tcW w:w="2610" w:type="dxa"/>
          </w:tcPr>
          <w:p w14:paraId="60BD5987" w14:textId="6E41CD7E" w:rsidR="00FD0126" w:rsidRPr="0085786F" w:rsidRDefault="00FD0126" w:rsidP="00D52AD9">
            <w:pPr>
              <w:spacing w:after="0"/>
              <w:rPr>
                <w:rFonts w:eastAsia="Times New Roman"/>
              </w:rPr>
            </w:pPr>
            <w:r w:rsidRPr="0085786F">
              <w:t xml:space="preserve">Au plus tard </w:t>
            </w:r>
            <w:r w:rsidR="00D52AD9">
              <w:t>une semaine</w:t>
            </w:r>
            <w:r w:rsidRPr="0085786F">
              <w:t xml:space="preserve"> avant la mission d’évaluation. </w:t>
            </w:r>
          </w:p>
        </w:tc>
        <w:tc>
          <w:tcPr>
            <w:tcW w:w="3060" w:type="dxa"/>
          </w:tcPr>
          <w:p w14:paraId="5B208528" w14:textId="77777777" w:rsidR="00FD0126" w:rsidRPr="0085786F" w:rsidRDefault="00FD0126" w:rsidP="00885796">
            <w:pPr>
              <w:spacing w:after="0"/>
              <w:rPr>
                <w:rFonts w:eastAsia="Times New Roman"/>
              </w:rPr>
            </w:pPr>
            <w:r w:rsidRPr="0085786F">
              <w:t xml:space="preserve">L’évaluateur envoie au BP du PNUD </w:t>
            </w:r>
          </w:p>
        </w:tc>
      </w:tr>
      <w:tr w:rsidR="00FD0126" w:rsidRPr="0085786F" w14:paraId="03F3176A" w14:textId="77777777" w:rsidTr="00885796">
        <w:tc>
          <w:tcPr>
            <w:tcW w:w="1548" w:type="dxa"/>
          </w:tcPr>
          <w:p w14:paraId="06301986" w14:textId="787D610D" w:rsidR="00FD0126" w:rsidRPr="0085786F" w:rsidRDefault="0085786F" w:rsidP="00885796">
            <w:pPr>
              <w:spacing w:after="0"/>
              <w:rPr>
                <w:rFonts w:eastAsia="Times New Roman"/>
                <w:b/>
              </w:rPr>
            </w:pPr>
            <w:r w:rsidRPr="0085786F">
              <w:rPr>
                <w:b/>
              </w:rPr>
              <w:t>Présentation</w:t>
            </w:r>
          </w:p>
        </w:tc>
        <w:tc>
          <w:tcPr>
            <w:tcW w:w="2671" w:type="dxa"/>
          </w:tcPr>
          <w:p w14:paraId="7E4FE6D1" w14:textId="77777777" w:rsidR="00FD0126" w:rsidRPr="0085786F" w:rsidRDefault="00FD0126" w:rsidP="00885796">
            <w:pPr>
              <w:spacing w:after="0"/>
              <w:rPr>
                <w:rFonts w:eastAsia="Times New Roman"/>
              </w:rPr>
            </w:pPr>
            <w:r w:rsidRPr="0085786F">
              <w:t xml:space="preserve">Conclusions initiales </w:t>
            </w:r>
          </w:p>
        </w:tc>
        <w:tc>
          <w:tcPr>
            <w:tcW w:w="2610" w:type="dxa"/>
          </w:tcPr>
          <w:p w14:paraId="5A56E885" w14:textId="77777777" w:rsidR="00FD0126" w:rsidRPr="0085786F" w:rsidRDefault="00FD0126" w:rsidP="00885796">
            <w:pPr>
              <w:spacing w:after="0"/>
              <w:rPr>
                <w:rFonts w:eastAsia="Times New Roman"/>
              </w:rPr>
            </w:pPr>
            <w:r w:rsidRPr="0085786F">
              <w:t>Fin de la mission d’évaluation</w:t>
            </w:r>
          </w:p>
        </w:tc>
        <w:tc>
          <w:tcPr>
            <w:tcW w:w="3060" w:type="dxa"/>
          </w:tcPr>
          <w:p w14:paraId="53231540" w14:textId="77777777" w:rsidR="00FD0126" w:rsidRPr="0085786F" w:rsidRDefault="00FD0126" w:rsidP="00885796">
            <w:pPr>
              <w:spacing w:after="0"/>
              <w:rPr>
                <w:rFonts w:eastAsia="Times New Roman"/>
              </w:rPr>
            </w:pPr>
            <w:r w:rsidRPr="0085786F">
              <w:t>À la direction du projet, BP du PNUD</w:t>
            </w:r>
          </w:p>
        </w:tc>
      </w:tr>
      <w:tr w:rsidR="00FD0126" w:rsidRPr="0085786F" w14:paraId="3DAE0687" w14:textId="77777777" w:rsidTr="00885796">
        <w:tc>
          <w:tcPr>
            <w:tcW w:w="1548" w:type="dxa"/>
          </w:tcPr>
          <w:p w14:paraId="1FD5E4D9" w14:textId="7BC0799C" w:rsidR="00FD0126" w:rsidRPr="0085786F" w:rsidRDefault="00FD0126" w:rsidP="00885796">
            <w:pPr>
              <w:spacing w:after="0"/>
              <w:rPr>
                <w:rFonts w:eastAsia="Times New Roman"/>
                <w:b/>
              </w:rPr>
            </w:pPr>
            <w:r w:rsidRPr="0085786F">
              <w:rPr>
                <w:b/>
              </w:rPr>
              <w:t xml:space="preserve">Projet de rapport </w:t>
            </w:r>
            <w:r w:rsidR="0085786F" w:rsidRPr="0085786F">
              <w:rPr>
                <w:b/>
              </w:rPr>
              <w:t>final (</w:t>
            </w:r>
            <w:r w:rsidRPr="0085786F">
              <w:t>Rapport provisoire)</w:t>
            </w:r>
          </w:p>
        </w:tc>
        <w:tc>
          <w:tcPr>
            <w:tcW w:w="2671" w:type="dxa"/>
          </w:tcPr>
          <w:p w14:paraId="6BB91A2B" w14:textId="77777777" w:rsidR="00FD0126" w:rsidRPr="0085786F" w:rsidRDefault="00FD0126" w:rsidP="00885796">
            <w:pPr>
              <w:spacing w:after="0"/>
              <w:rPr>
                <w:rFonts w:eastAsia="Times New Roman"/>
              </w:rPr>
            </w:pPr>
            <w:r w:rsidRPr="0085786F">
              <w:t>Rapport complet, (selon le modèle joint) avec les annexes</w:t>
            </w:r>
          </w:p>
        </w:tc>
        <w:tc>
          <w:tcPr>
            <w:tcW w:w="2610" w:type="dxa"/>
          </w:tcPr>
          <w:p w14:paraId="372DCC72" w14:textId="4ADC72CF" w:rsidR="00FD0126" w:rsidRPr="0085786F" w:rsidRDefault="00FD0126" w:rsidP="00D52AD9">
            <w:pPr>
              <w:spacing w:after="0"/>
              <w:rPr>
                <w:rFonts w:eastAsia="Times New Roman"/>
              </w:rPr>
            </w:pPr>
            <w:r w:rsidRPr="0085786F">
              <w:t xml:space="preserve">Dans un délai de </w:t>
            </w:r>
            <w:r w:rsidR="00D52AD9">
              <w:t>deux</w:t>
            </w:r>
            <w:r w:rsidRPr="0085786F">
              <w:t xml:space="preserve"> semaines suivant la mission d’évaluation</w:t>
            </w:r>
          </w:p>
        </w:tc>
        <w:tc>
          <w:tcPr>
            <w:tcW w:w="3060" w:type="dxa"/>
          </w:tcPr>
          <w:p w14:paraId="73090FBF" w14:textId="77777777" w:rsidR="00FD0126" w:rsidRPr="0085786F" w:rsidRDefault="00FD0126" w:rsidP="00885796">
            <w:pPr>
              <w:spacing w:after="0"/>
              <w:rPr>
                <w:rFonts w:eastAsia="Times New Roman"/>
              </w:rPr>
            </w:pPr>
            <w:r w:rsidRPr="0085786F">
              <w:t>Envoyé au BP, examiné par le CTR, le service de coordination du programme et les PFO du Fonds d’Adaptation</w:t>
            </w:r>
          </w:p>
        </w:tc>
      </w:tr>
      <w:tr w:rsidR="00FD0126" w:rsidRPr="0085786F" w14:paraId="4BBDA999" w14:textId="77777777" w:rsidTr="00885796">
        <w:tc>
          <w:tcPr>
            <w:tcW w:w="1548" w:type="dxa"/>
          </w:tcPr>
          <w:p w14:paraId="583D317F" w14:textId="6991D341" w:rsidR="00FD0126" w:rsidRPr="0085786F" w:rsidRDefault="00FD0126" w:rsidP="00885796">
            <w:pPr>
              <w:spacing w:after="0"/>
              <w:rPr>
                <w:rFonts w:eastAsia="Times New Roman"/>
                <w:b/>
              </w:rPr>
            </w:pPr>
            <w:r w:rsidRPr="0085786F">
              <w:rPr>
                <w:b/>
              </w:rPr>
              <w:t xml:space="preserve">Rapport final* </w:t>
            </w:r>
            <w:r w:rsidRPr="0085786F">
              <w:t xml:space="preserve">(Rapport </w:t>
            </w:r>
            <w:r w:rsidR="0085786F" w:rsidRPr="0085786F">
              <w:t>définitif</w:t>
            </w:r>
            <w:r w:rsidRPr="0085786F">
              <w:t>)</w:t>
            </w:r>
          </w:p>
        </w:tc>
        <w:tc>
          <w:tcPr>
            <w:tcW w:w="2671" w:type="dxa"/>
          </w:tcPr>
          <w:p w14:paraId="3EA0C7C7" w14:textId="77777777" w:rsidR="00FD0126" w:rsidRPr="0085786F" w:rsidRDefault="00FD0126" w:rsidP="00885796">
            <w:pPr>
              <w:spacing w:after="0"/>
              <w:rPr>
                <w:rFonts w:eastAsia="Times New Roman"/>
              </w:rPr>
            </w:pPr>
            <w:r w:rsidRPr="0085786F">
              <w:t xml:space="preserve">Rapport révisé </w:t>
            </w:r>
          </w:p>
        </w:tc>
        <w:tc>
          <w:tcPr>
            <w:tcW w:w="2610" w:type="dxa"/>
          </w:tcPr>
          <w:p w14:paraId="391CF3B0" w14:textId="77777777" w:rsidR="00FD0126" w:rsidRPr="0085786F" w:rsidRDefault="00FD0126" w:rsidP="00885796">
            <w:pPr>
              <w:spacing w:after="0"/>
              <w:rPr>
                <w:rFonts w:eastAsia="Times New Roman"/>
              </w:rPr>
            </w:pPr>
            <w:r w:rsidRPr="0085786F">
              <w:t xml:space="preserve">Dans un délai d’une semaine suivant la réception des commentaires du PNUD sur le projet </w:t>
            </w:r>
          </w:p>
        </w:tc>
        <w:tc>
          <w:tcPr>
            <w:tcW w:w="3060" w:type="dxa"/>
          </w:tcPr>
          <w:p w14:paraId="26BD6AF9" w14:textId="77777777" w:rsidR="00FD0126" w:rsidRPr="0085786F" w:rsidRDefault="00FD0126" w:rsidP="00885796">
            <w:pPr>
              <w:spacing w:after="0"/>
              <w:rPr>
                <w:rFonts w:eastAsia="Times New Roman"/>
              </w:rPr>
            </w:pPr>
            <w:r w:rsidRPr="0085786F">
              <w:t xml:space="preserve">Envoyé au BP aux fins de téléchargement sur le site du CGELE du PNUD. </w:t>
            </w:r>
          </w:p>
        </w:tc>
      </w:tr>
    </w:tbl>
    <w:p w14:paraId="24B8A551" w14:textId="77777777" w:rsidR="00FD0126" w:rsidRPr="0085786F" w:rsidRDefault="00FD0126" w:rsidP="00FD0126">
      <w:pPr>
        <w:rPr>
          <w:b/>
          <w:color w:val="0070C0"/>
          <w:u w:val="single"/>
        </w:rPr>
      </w:pPr>
    </w:p>
    <w:p w14:paraId="65AA4AF5" w14:textId="085CBCA7" w:rsidR="00552F23" w:rsidRPr="0085786F" w:rsidRDefault="00552F23" w:rsidP="00CE34E3">
      <w:pPr>
        <w:spacing w:after="0" w:line="240" w:lineRule="auto"/>
        <w:jc w:val="both"/>
        <w:rPr>
          <w:rFonts w:eastAsia="Times New Roman" w:cstheme="minorHAnsi"/>
          <w:b/>
          <w:u w:val="single"/>
          <w:lang w:eastAsia="rw-RW"/>
        </w:rPr>
      </w:pPr>
      <w:r w:rsidRPr="0085786F">
        <w:rPr>
          <w:rFonts w:eastAsia="Times New Roman" w:cstheme="minorHAnsi"/>
          <w:b/>
          <w:u w:val="single"/>
          <w:lang w:eastAsia="rw-RW"/>
        </w:rPr>
        <w:t>A</w:t>
      </w:r>
      <w:r w:rsidR="00822F47" w:rsidRPr="0085786F">
        <w:rPr>
          <w:rFonts w:eastAsia="Times New Roman" w:cstheme="minorHAnsi"/>
          <w:b/>
          <w:u w:val="single"/>
          <w:lang w:eastAsia="rw-RW"/>
        </w:rPr>
        <w:t>nnexes</w:t>
      </w:r>
    </w:p>
    <w:p w14:paraId="510A7D8F"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t xml:space="preserve">Annexe 1 - Terme de Références de la mission </w:t>
      </w:r>
      <w:r w:rsidRPr="0085786F">
        <w:rPr>
          <w:rFonts w:eastAsia="Times New Roman" w:cstheme="minorHAnsi"/>
          <w:lang w:eastAsia="rw-RW"/>
        </w:rPr>
        <w:t>(voir plus haut)</w:t>
      </w:r>
    </w:p>
    <w:p w14:paraId="1A7FA7A6"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t>Annexe 2 - Conditions générales des Contrats Individuels </w:t>
      </w:r>
    </w:p>
    <w:p w14:paraId="2E4F56D5"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object w:dxaOrig="1530" w:dyaOrig="990" w14:anchorId="677F9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2" o:title=""/>
          </v:shape>
          <o:OLEObject Type="Embed" ProgID="Word.Document.12" ShapeID="_x0000_i1025" DrawAspect="Icon" ObjectID="_1670925085" r:id="rId13">
            <o:FieldCodes>\s</o:FieldCodes>
          </o:OLEObject>
        </w:object>
      </w:r>
    </w:p>
    <w:p w14:paraId="02DE2550"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t xml:space="preserve">Annexe 3- Tableau des coûts </w:t>
      </w:r>
    </w:p>
    <w:p w14:paraId="1F4A20F1" w14:textId="77777777" w:rsidR="00552F23" w:rsidRPr="0085786F" w:rsidRDefault="00094264" w:rsidP="00CE34E3">
      <w:pPr>
        <w:spacing w:after="0" w:line="240" w:lineRule="auto"/>
        <w:jc w:val="both"/>
        <w:rPr>
          <w:rFonts w:eastAsia="Times New Roman" w:cstheme="minorHAnsi"/>
          <w:b/>
          <w:lang w:eastAsia="rw-RW"/>
        </w:rPr>
      </w:pPr>
      <w:r>
        <w:rPr>
          <w:rFonts w:eastAsia="Times New Roman" w:cstheme="minorHAnsi"/>
          <w:b/>
          <w:noProof/>
          <w:lang w:eastAsia="fr-FR"/>
        </w:rPr>
        <w:object w:dxaOrig="1440" w:dyaOrig="1440" w14:anchorId="79DE7DD7">
          <v:shape id="_x0000_s1038" type="#_x0000_t75" style="position:absolute;left:0;text-align:left;margin-left:0;margin-top:.5pt;width:79.9pt;height:51.7pt;z-index:251668480;mso-position-horizontal:left;mso-position-horizontal-relative:text;mso-position-vertical-relative:text">
            <v:imagedata r:id="rId14" o:title=""/>
            <w10:wrap type="square" side="right"/>
          </v:shape>
          <o:OLEObject Type="Embed" ProgID="Word.Document.12" ShapeID="_x0000_s1038" DrawAspect="Icon" ObjectID="_1670925088" r:id="rId15">
            <o:FieldCodes>\s</o:FieldCodes>
          </o:OLEObject>
        </w:object>
      </w:r>
    </w:p>
    <w:p w14:paraId="2486387E" w14:textId="77777777" w:rsidR="00552F23" w:rsidRPr="0085786F" w:rsidRDefault="00552F23" w:rsidP="00CE34E3">
      <w:pPr>
        <w:spacing w:after="0" w:line="240" w:lineRule="auto"/>
        <w:jc w:val="both"/>
        <w:rPr>
          <w:rFonts w:eastAsia="Times New Roman" w:cstheme="minorHAnsi"/>
          <w:b/>
          <w:lang w:eastAsia="rw-RW"/>
        </w:rPr>
      </w:pPr>
      <w:bookmarkStart w:id="10" w:name="_MON_1440321653"/>
      <w:bookmarkEnd w:id="10"/>
      <w:r w:rsidRPr="0085786F">
        <w:rPr>
          <w:rFonts w:eastAsia="Times New Roman" w:cstheme="minorHAnsi"/>
          <w:b/>
          <w:lang w:eastAsia="rw-RW"/>
        </w:rPr>
        <w:br w:type="textWrapping" w:clear="all"/>
        <w:t xml:space="preserve">Annexe 4 – P11 (SC &amp; IC) </w:t>
      </w:r>
    </w:p>
    <w:p w14:paraId="4C31F724"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object w:dxaOrig="1530" w:dyaOrig="990" w14:anchorId="680A18E7">
          <v:shape id="_x0000_i1027" type="#_x0000_t75" style="width:77pt;height:50pt" o:ole="">
            <v:imagedata r:id="rId16" o:title=""/>
          </v:shape>
          <o:OLEObject Type="Embed" ProgID="Word.Document.8" ShapeID="_x0000_i1027" DrawAspect="Icon" ObjectID="_1670925086" r:id="rId17">
            <o:FieldCodes>\s</o:FieldCodes>
          </o:OLEObject>
        </w:object>
      </w:r>
    </w:p>
    <w:p w14:paraId="16548D82" w14:textId="77777777" w:rsidR="00552F23" w:rsidRPr="0085786F" w:rsidRDefault="00552F23" w:rsidP="00CE34E3">
      <w:pPr>
        <w:spacing w:after="0" w:line="240" w:lineRule="auto"/>
        <w:jc w:val="both"/>
        <w:rPr>
          <w:rFonts w:eastAsia="Times New Roman" w:cstheme="minorHAnsi"/>
          <w:b/>
          <w:lang w:eastAsia="rw-RW"/>
        </w:rPr>
      </w:pPr>
      <w:r w:rsidRPr="0085786F">
        <w:rPr>
          <w:rFonts w:eastAsia="Times New Roman" w:cstheme="minorHAnsi"/>
          <w:b/>
          <w:lang w:eastAsia="rw-RW"/>
        </w:rPr>
        <w:t>Annexe 5- Type de contrat</w:t>
      </w:r>
    </w:p>
    <w:p w14:paraId="44C576FD" w14:textId="77777777" w:rsidR="00D95B75" w:rsidRPr="0085786F" w:rsidRDefault="00781599" w:rsidP="00CE34E3">
      <w:pPr>
        <w:spacing w:after="0" w:line="240" w:lineRule="auto"/>
        <w:jc w:val="both"/>
        <w:rPr>
          <w:rFonts w:cstheme="minorHAnsi"/>
        </w:rPr>
      </w:pPr>
      <w:r w:rsidRPr="0085786F">
        <w:rPr>
          <w:rFonts w:cstheme="minorHAnsi"/>
        </w:rPr>
        <w:object w:dxaOrig="1041" w:dyaOrig="674" w14:anchorId="621A77A2">
          <v:shape id="_x0000_i1028" type="#_x0000_t75" style="width:51.5pt;height:33.5pt" o:ole="">
            <v:imagedata r:id="rId18" o:title=""/>
          </v:shape>
          <o:OLEObject Type="Embed" ProgID="Word.Document.8" ShapeID="_x0000_i1028" DrawAspect="Icon" ObjectID="_1670925087" r:id="rId19">
            <o:FieldCodes>\s</o:FieldCodes>
          </o:OLEObject>
        </w:object>
      </w:r>
      <w:bookmarkEnd w:id="6"/>
    </w:p>
    <w:sectPr w:rsidR="00D95B75" w:rsidRPr="0085786F" w:rsidSect="00687B8E">
      <w:footerReference w:type="default" r:id="rId20"/>
      <w:pgSz w:w="11907" w:h="16839" w:code="9"/>
      <w:pgMar w:top="567" w:right="992"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1EC8E" w14:textId="77777777" w:rsidR="00094264" w:rsidRDefault="00094264">
      <w:pPr>
        <w:spacing w:after="0" w:line="240" w:lineRule="auto"/>
      </w:pPr>
      <w:r>
        <w:separator/>
      </w:r>
    </w:p>
  </w:endnote>
  <w:endnote w:type="continuationSeparator" w:id="0">
    <w:p w14:paraId="79092BDF" w14:textId="77777777" w:rsidR="00094264" w:rsidRDefault="0009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94D7" w14:textId="77777777" w:rsidR="001C4E07" w:rsidRDefault="005E501F">
    <w:pPr>
      <w:pStyle w:val="Pieddepage"/>
    </w:pPr>
    <w:r>
      <w:rPr>
        <w:noProof/>
        <w:lang w:eastAsia="fr-FR"/>
      </w:rPr>
      <mc:AlternateContent>
        <mc:Choice Requires="wps">
          <w:drawing>
            <wp:anchor distT="0" distB="0" distL="114300" distR="114300" simplePos="0" relativeHeight="251659264" behindDoc="0" locked="0" layoutInCell="0" allowOverlap="1" wp14:anchorId="24F72797" wp14:editId="38B68A59">
              <wp:simplePos x="0" y="0"/>
              <wp:positionH relativeFrom="page">
                <wp:posOffset>6867525</wp:posOffset>
              </wp:positionH>
              <wp:positionV relativeFrom="page">
                <wp:posOffset>9217660</wp:posOffset>
              </wp:positionV>
              <wp:extent cx="368300" cy="274320"/>
              <wp:effectExtent l="0" t="0" r="12700" b="11430"/>
              <wp:wrapNone/>
              <wp:docPr id="571" name="Carré corné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1139C11" w14:textId="7C7853C4" w:rsidR="001C4E07" w:rsidRDefault="005E501F">
                          <w:pPr>
                            <w:jc w:val="center"/>
                          </w:pPr>
                          <w:r>
                            <w:fldChar w:fldCharType="begin"/>
                          </w:r>
                          <w:r>
                            <w:instrText>PAGE    \* MERGEFORMAT</w:instrText>
                          </w:r>
                          <w:r>
                            <w:fldChar w:fldCharType="separate"/>
                          </w:r>
                          <w:r w:rsidR="00FC5A3D" w:rsidRPr="00FC5A3D">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7279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71" o:spid="_x0000_s1026" type="#_x0000_t65" style="position:absolute;margin-left:540.75pt;margin-top:725.8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" o:allowincell="f" adj="14135" strokecolor="gray" strokeweight=".25pt">
              <v:textbox>
                <w:txbxContent>
                  <w:p w14:paraId="31139C11" w14:textId="7C7853C4" w:rsidR="001C4E07" w:rsidRDefault="005E501F">
                    <w:pPr>
                      <w:jc w:val="center"/>
                    </w:pPr>
                    <w:r>
                      <w:fldChar w:fldCharType="begin"/>
                    </w:r>
                    <w:r>
                      <w:instrText>PAGE    \* MERGEFORMAT</w:instrText>
                    </w:r>
                    <w:r>
                      <w:fldChar w:fldCharType="separate"/>
                    </w:r>
                    <w:r w:rsidR="00FC5A3D" w:rsidRPr="00FC5A3D">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D6D25" w14:textId="77777777" w:rsidR="00094264" w:rsidRDefault="00094264">
      <w:pPr>
        <w:spacing w:after="0" w:line="240" w:lineRule="auto"/>
      </w:pPr>
      <w:r>
        <w:separator/>
      </w:r>
    </w:p>
  </w:footnote>
  <w:footnote w:type="continuationSeparator" w:id="0">
    <w:p w14:paraId="47521188" w14:textId="77777777" w:rsidR="00094264" w:rsidRDefault="00094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846C4A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B36E26"/>
    <w:multiLevelType w:val="hybridMultilevel"/>
    <w:tmpl w:val="509CD87E"/>
    <w:lvl w:ilvl="0" w:tplc="68144D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D620A"/>
    <w:multiLevelType w:val="hybridMultilevel"/>
    <w:tmpl w:val="ACC23C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CA5527"/>
    <w:multiLevelType w:val="hybridMultilevel"/>
    <w:tmpl w:val="2578EC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E618C1"/>
    <w:multiLevelType w:val="hybridMultilevel"/>
    <w:tmpl w:val="BC3E19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0E1DAA"/>
    <w:multiLevelType w:val="hybridMultilevel"/>
    <w:tmpl w:val="8E8AC4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B47272"/>
    <w:multiLevelType w:val="hybridMultilevel"/>
    <w:tmpl w:val="879AC0FC"/>
    <w:lvl w:ilvl="0" w:tplc="87FA0D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3A3618"/>
    <w:multiLevelType w:val="hybridMultilevel"/>
    <w:tmpl w:val="E4845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814217"/>
    <w:multiLevelType w:val="hybridMultilevel"/>
    <w:tmpl w:val="481E1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1C3B82"/>
    <w:multiLevelType w:val="hybridMultilevel"/>
    <w:tmpl w:val="DD94F9FA"/>
    <w:lvl w:ilvl="0" w:tplc="D6B8DEE6">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CA63FE"/>
    <w:multiLevelType w:val="multilevel"/>
    <w:tmpl w:val="A050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3440F"/>
    <w:multiLevelType w:val="hybridMultilevel"/>
    <w:tmpl w:val="6E0099A0"/>
    <w:lvl w:ilvl="0" w:tplc="F7702D3E">
      <w:start w:val="1"/>
      <w:numFmt w:val="bullet"/>
      <w:lvlText w:val="•"/>
      <w:lvlJc w:val="left"/>
      <w:pPr>
        <w:tabs>
          <w:tab w:val="num" w:pos="720"/>
        </w:tabs>
        <w:ind w:left="720" w:hanging="360"/>
      </w:pPr>
      <w:rPr>
        <w:rFonts w:ascii="Arial" w:hAnsi="Arial" w:hint="default"/>
      </w:rPr>
    </w:lvl>
    <w:lvl w:ilvl="1" w:tplc="F9BEA14E" w:tentative="1">
      <w:start w:val="1"/>
      <w:numFmt w:val="bullet"/>
      <w:lvlText w:val="•"/>
      <w:lvlJc w:val="left"/>
      <w:pPr>
        <w:tabs>
          <w:tab w:val="num" w:pos="1440"/>
        </w:tabs>
        <w:ind w:left="1440" w:hanging="360"/>
      </w:pPr>
      <w:rPr>
        <w:rFonts w:ascii="Arial" w:hAnsi="Arial" w:hint="default"/>
      </w:rPr>
    </w:lvl>
    <w:lvl w:ilvl="2" w:tplc="C1CC57BA" w:tentative="1">
      <w:start w:val="1"/>
      <w:numFmt w:val="bullet"/>
      <w:lvlText w:val="•"/>
      <w:lvlJc w:val="left"/>
      <w:pPr>
        <w:tabs>
          <w:tab w:val="num" w:pos="2160"/>
        </w:tabs>
        <w:ind w:left="2160" w:hanging="360"/>
      </w:pPr>
      <w:rPr>
        <w:rFonts w:ascii="Arial" w:hAnsi="Arial" w:hint="default"/>
      </w:rPr>
    </w:lvl>
    <w:lvl w:ilvl="3" w:tplc="FAB808DC" w:tentative="1">
      <w:start w:val="1"/>
      <w:numFmt w:val="bullet"/>
      <w:lvlText w:val="•"/>
      <w:lvlJc w:val="left"/>
      <w:pPr>
        <w:tabs>
          <w:tab w:val="num" w:pos="2880"/>
        </w:tabs>
        <w:ind w:left="2880" w:hanging="360"/>
      </w:pPr>
      <w:rPr>
        <w:rFonts w:ascii="Arial" w:hAnsi="Arial" w:hint="default"/>
      </w:rPr>
    </w:lvl>
    <w:lvl w:ilvl="4" w:tplc="35381598" w:tentative="1">
      <w:start w:val="1"/>
      <w:numFmt w:val="bullet"/>
      <w:lvlText w:val="•"/>
      <w:lvlJc w:val="left"/>
      <w:pPr>
        <w:tabs>
          <w:tab w:val="num" w:pos="3600"/>
        </w:tabs>
        <w:ind w:left="3600" w:hanging="360"/>
      </w:pPr>
      <w:rPr>
        <w:rFonts w:ascii="Arial" w:hAnsi="Arial" w:hint="default"/>
      </w:rPr>
    </w:lvl>
    <w:lvl w:ilvl="5" w:tplc="BD6C579A" w:tentative="1">
      <w:start w:val="1"/>
      <w:numFmt w:val="bullet"/>
      <w:lvlText w:val="•"/>
      <w:lvlJc w:val="left"/>
      <w:pPr>
        <w:tabs>
          <w:tab w:val="num" w:pos="4320"/>
        </w:tabs>
        <w:ind w:left="4320" w:hanging="360"/>
      </w:pPr>
      <w:rPr>
        <w:rFonts w:ascii="Arial" w:hAnsi="Arial" w:hint="default"/>
      </w:rPr>
    </w:lvl>
    <w:lvl w:ilvl="6" w:tplc="0D8052D2" w:tentative="1">
      <w:start w:val="1"/>
      <w:numFmt w:val="bullet"/>
      <w:lvlText w:val="•"/>
      <w:lvlJc w:val="left"/>
      <w:pPr>
        <w:tabs>
          <w:tab w:val="num" w:pos="5040"/>
        </w:tabs>
        <w:ind w:left="5040" w:hanging="360"/>
      </w:pPr>
      <w:rPr>
        <w:rFonts w:ascii="Arial" w:hAnsi="Arial" w:hint="default"/>
      </w:rPr>
    </w:lvl>
    <w:lvl w:ilvl="7" w:tplc="AF001810" w:tentative="1">
      <w:start w:val="1"/>
      <w:numFmt w:val="bullet"/>
      <w:lvlText w:val="•"/>
      <w:lvlJc w:val="left"/>
      <w:pPr>
        <w:tabs>
          <w:tab w:val="num" w:pos="5760"/>
        </w:tabs>
        <w:ind w:left="5760" w:hanging="360"/>
      </w:pPr>
      <w:rPr>
        <w:rFonts w:ascii="Arial" w:hAnsi="Arial" w:hint="default"/>
      </w:rPr>
    </w:lvl>
    <w:lvl w:ilvl="8" w:tplc="7102EB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1C2786"/>
    <w:multiLevelType w:val="hybridMultilevel"/>
    <w:tmpl w:val="DAAA5E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6E7056"/>
    <w:multiLevelType w:val="hybridMultilevel"/>
    <w:tmpl w:val="DC24F2C2"/>
    <w:lvl w:ilvl="0" w:tplc="8E362FA2">
      <w:start w:val="15"/>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5A418D7"/>
    <w:multiLevelType w:val="hybridMultilevel"/>
    <w:tmpl w:val="9E408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EB6892"/>
    <w:multiLevelType w:val="multilevel"/>
    <w:tmpl w:val="9AFE6C3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2D529B"/>
    <w:multiLevelType w:val="hybridMultilevel"/>
    <w:tmpl w:val="662C27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722F4A"/>
    <w:multiLevelType w:val="hybridMultilevel"/>
    <w:tmpl w:val="D486C612"/>
    <w:lvl w:ilvl="0" w:tplc="F7702D3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855FA1"/>
    <w:multiLevelType w:val="hybridMultilevel"/>
    <w:tmpl w:val="EF82F4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182CE3"/>
    <w:multiLevelType w:val="hybridMultilevel"/>
    <w:tmpl w:val="85408130"/>
    <w:lvl w:ilvl="0" w:tplc="A7EA69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62B11"/>
    <w:multiLevelType w:val="hybridMultilevel"/>
    <w:tmpl w:val="73C831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683D35"/>
    <w:multiLevelType w:val="hybridMultilevel"/>
    <w:tmpl w:val="BF0E23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8E59BB"/>
    <w:multiLevelType w:val="multilevel"/>
    <w:tmpl w:val="3782E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A2469"/>
    <w:multiLevelType w:val="hybridMultilevel"/>
    <w:tmpl w:val="56D810D6"/>
    <w:lvl w:ilvl="0" w:tplc="F7702D3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E82EFA"/>
    <w:multiLevelType w:val="hybridMultilevel"/>
    <w:tmpl w:val="AC34DBA0"/>
    <w:lvl w:ilvl="0" w:tplc="68144D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9FA"/>
    <w:multiLevelType w:val="hybridMultilevel"/>
    <w:tmpl w:val="2E72242C"/>
    <w:lvl w:ilvl="0" w:tplc="106EB510">
      <w:numFmt w:val="bullet"/>
      <w:lvlText w:val="-"/>
      <w:lvlJc w:val="left"/>
      <w:pPr>
        <w:ind w:left="720" w:hanging="360"/>
      </w:pPr>
      <w:rPr>
        <w:rFonts w:ascii="Calibri" w:eastAsiaTheme="minorEastAsia"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97111BF"/>
    <w:multiLevelType w:val="hybridMultilevel"/>
    <w:tmpl w:val="1AFC7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A671D6"/>
    <w:multiLevelType w:val="hybridMultilevel"/>
    <w:tmpl w:val="A4F4A6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7D23FB"/>
    <w:multiLevelType w:val="hybridMultilevel"/>
    <w:tmpl w:val="BA0A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16EBD"/>
    <w:multiLevelType w:val="hybridMultilevel"/>
    <w:tmpl w:val="2C5290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A4469B"/>
    <w:multiLevelType w:val="hybridMultilevel"/>
    <w:tmpl w:val="DBCCB2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9E4731"/>
    <w:multiLevelType w:val="hybridMultilevel"/>
    <w:tmpl w:val="CD62CC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D323F4"/>
    <w:multiLevelType w:val="multilevel"/>
    <w:tmpl w:val="F8462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F2DC6"/>
    <w:multiLevelType w:val="hybridMultilevel"/>
    <w:tmpl w:val="6D64F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521F8B"/>
    <w:multiLevelType w:val="hybridMultilevel"/>
    <w:tmpl w:val="86B8B72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7665B"/>
    <w:multiLevelType w:val="hybridMultilevel"/>
    <w:tmpl w:val="93A22400"/>
    <w:lvl w:ilvl="0" w:tplc="106EB510">
      <w:numFmt w:val="bullet"/>
      <w:lvlText w:val="-"/>
      <w:lvlJc w:val="left"/>
      <w:pPr>
        <w:ind w:left="720" w:hanging="360"/>
      </w:pPr>
      <w:rPr>
        <w:rFonts w:ascii="Calibri" w:eastAsiaTheme="minorEastAsia"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0"/>
  </w:num>
  <w:num w:numId="4">
    <w:abstractNumId w:val="2"/>
  </w:num>
  <w:num w:numId="5">
    <w:abstractNumId w:val="12"/>
  </w:num>
  <w:num w:numId="6">
    <w:abstractNumId w:val="20"/>
  </w:num>
  <w:num w:numId="7">
    <w:abstractNumId w:val="7"/>
  </w:num>
  <w:num w:numId="8">
    <w:abstractNumId w:val="29"/>
  </w:num>
  <w:num w:numId="9">
    <w:abstractNumId w:val="16"/>
  </w:num>
  <w:num w:numId="10">
    <w:abstractNumId w:val="14"/>
  </w:num>
  <w:num w:numId="11">
    <w:abstractNumId w:val="8"/>
  </w:num>
  <w:num w:numId="12">
    <w:abstractNumId w:val="21"/>
  </w:num>
  <w:num w:numId="13">
    <w:abstractNumId w:val="19"/>
  </w:num>
  <w:num w:numId="14">
    <w:abstractNumId w:val="25"/>
  </w:num>
  <w:num w:numId="15">
    <w:abstractNumId w:val="35"/>
  </w:num>
  <w:num w:numId="16">
    <w:abstractNumId w:val="1"/>
  </w:num>
  <w:num w:numId="17">
    <w:abstractNumId w:val="24"/>
  </w:num>
  <w:num w:numId="18">
    <w:abstractNumId w:val="6"/>
  </w:num>
  <w:num w:numId="19">
    <w:abstractNumId w:val="3"/>
  </w:num>
  <w:num w:numId="20">
    <w:abstractNumId w:val="4"/>
  </w:num>
  <w:num w:numId="21">
    <w:abstractNumId w:val="31"/>
  </w:num>
  <w:num w:numId="22">
    <w:abstractNumId w:val="18"/>
  </w:num>
  <w:num w:numId="23">
    <w:abstractNumId w:val="5"/>
  </w:num>
  <w:num w:numId="24">
    <w:abstractNumId w:val="26"/>
  </w:num>
  <w:num w:numId="25">
    <w:abstractNumId w:val="33"/>
  </w:num>
  <w:num w:numId="26">
    <w:abstractNumId w:val="11"/>
  </w:num>
  <w:num w:numId="27">
    <w:abstractNumId w:val="23"/>
  </w:num>
  <w:num w:numId="28">
    <w:abstractNumId w:val="32"/>
  </w:num>
  <w:num w:numId="29">
    <w:abstractNumId w:val="22"/>
  </w:num>
  <w:num w:numId="30">
    <w:abstractNumId w:val="28"/>
  </w:num>
  <w:num w:numId="31">
    <w:abstractNumId w:val="10"/>
  </w:num>
  <w:num w:numId="32">
    <w:abstractNumId w:val="17"/>
  </w:num>
  <w:num w:numId="33">
    <w:abstractNumId w:val="30"/>
  </w:num>
  <w:num w:numId="34">
    <w:abstractNumId w:val="34"/>
  </w:num>
  <w:num w:numId="35">
    <w:abstractNumId w:val="13"/>
  </w:num>
  <w:num w:numId="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47"/>
    <w:rsid w:val="000115B8"/>
    <w:rsid w:val="00012013"/>
    <w:rsid w:val="000175B7"/>
    <w:rsid w:val="0003170F"/>
    <w:rsid w:val="0003563B"/>
    <w:rsid w:val="00040805"/>
    <w:rsid w:val="000534AA"/>
    <w:rsid w:val="00053DD8"/>
    <w:rsid w:val="00061D29"/>
    <w:rsid w:val="00063F56"/>
    <w:rsid w:val="00083628"/>
    <w:rsid w:val="000906A3"/>
    <w:rsid w:val="00093AC1"/>
    <w:rsid w:val="00094264"/>
    <w:rsid w:val="000A2E7D"/>
    <w:rsid w:val="000A468E"/>
    <w:rsid w:val="000D208D"/>
    <w:rsid w:val="000D7675"/>
    <w:rsid w:val="000E4732"/>
    <w:rsid w:val="000E7BAF"/>
    <w:rsid w:val="000F3C77"/>
    <w:rsid w:val="00125596"/>
    <w:rsid w:val="00130A5D"/>
    <w:rsid w:val="00151CF6"/>
    <w:rsid w:val="0015648D"/>
    <w:rsid w:val="00157D38"/>
    <w:rsid w:val="00170022"/>
    <w:rsid w:val="00172EC7"/>
    <w:rsid w:val="00173F93"/>
    <w:rsid w:val="00175642"/>
    <w:rsid w:val="001A1B9B"/>
    <w:rsid w:val="001A4A5E"/>
    <w:rsid w:val="001C32AE"/>
    <w:rsid w:val="001D3069"/>
    <w:rsid w:val="001E107A"/>
    <w:rsid w:val="001E2302"/>
    <w:rsid w:val="001E28C2"/>
    <w:rsid w:val="001F142D"/>
    <w:rsid w:val="001F617F"/>
    <w:rsid w:val="00203050"/>
    <w:rsid w:val="0022045F"/>
    <w:rsid w:val="002273E2"/>
    <w:rsid w:val="00227A48"/>
    <w:rsid w:val="00233D01"/>
    <w:rsid w:val="00240DCF"/>
    <w:rsid w:val="00241D31"/>
    <w:rsid w:val="0024200A"/>
    <w:rsid w:val="002653D4"/>
    <w:rsid w:val="0028770C"/>
    <w:rsid w:val="0029021E"/>
    <w:rsid w:val="00293CB4"/>
    <w:rsid w:val="00297DF5"/>
    <w:rsid w:val="002A6AB4"/>
    <w:rsid w:val="002A6CF4"/>
    <w:rsid w:val="002B3950"/>
    <w:rsid w:val="002B5BD0"/>
    <w:rsid w:val="002C57B9"/>
    <w:rsid w:val="002C73F1"/>
    <w:rsid w:val="002C7AD0"/>
    <w:rsid w:val="003039E2"/>
    <w:rsid w:val="003059DE"/>
    <w:rsid w:val="00310510"/>
    <w:rsid w:val="00322715"/>
    <w:rsid w:val="00324CD2"/>
    <w:rsid w:val="0033315C"/>
    <w:rsid w:val="003335B8"/>
    <w:rsid w:val="00337FC0"/>
    <w:rsid w:val="00344E16"/>
    <w:rsid w:val="00361560"/>
    <w:rsid w:val="00373F11"/>
    <w:rsid w:val="003762F2"/>
    <w:rsid w:val="00392310"/>
    <w:rsid w:val="003A0AE5"/>
    <w:rsid w:val="003A2D7F"/>
    <w:rsid w:val="003C2EDD"/>
    <w:rsid w:val="003D1076"/>
    <w:rsid w:val="003E6F20"/>
    <w:rsid w:val="003E7C7D"/>
    <w:rsid w:val="003F1DDF"/>
    <w:rsid w:val="003F29B2"/>
    <w:rsid w:val="00414C2F"/>
    <w:rsid w:val="00431734"/>
    <w:rsid w:val="004346CD"/>
    <w:rsid w:val="00435EF0"/>
    <w:rsid w:val="004541C4"/>
    <w:rsid w:val="0046051E"/>
    <w:rsid w:val="004826FE"/>
    <w:rsid w:val="00485A12"/>
    <w:rsid w:val="004B016D"/>
    <w:rsid w:val="004B11E7"/>
    <w:rsid w:val="004C0230"/>
    <w:rsid w:val="004D08B5"/>
    <w:rsid w:val="004D52B2"/>
    <w:rsid w:val="004D6D7B"/>
    <w:rsid w:val="004F282F"/>
    <w:rsid w:val="004F3C42"/>
    <w:rsid w:val="004F45C6"/>
    <w:rsid w:val="004F6CF7"/>
    <w:rsid w:val="005016C4"/>
    <w:rsid w:val="00515D6B"/>
    <w:rsid w:val="00520740"/>
    <w:rsid w:val="00552F23"/>
    <w:rsid w:val="00572547"/>
    <w:rsid w:val="00575E4A"/>
    <w:rsid w:val="005845EE"/>
    <w:rsid w:val="0059373B"/>
    <w:rsid w:val="00597BA1"/>
    <w:rsid w:val="005B31A5"/>
    <w:rsid w:val="005C1123"/>
    <w:rsid w:val="005D6775"/>
    <w:rsid w:val="005E501F"/>
    <w:rsid w:val="005F07D6"/>
    <w:rsid w:val="005F19C3"/>
    <w:rsid w:val="005F62C7"/>
    <w:rsid w:val="00621055"/>
    <w:rsid w:val="00631369"/>
    <w:rsid w:val="00632418"/>
    <w:rsid w:val="00642590"/>
    <w:rsid w:val="006439C3"/>
    <w:rsid w:val="00656D9E"/>
    <w:rsid w:val="00656E79"/>
    <w:rsid w:val="00657C16"/>
    <w:rsid w:val="00661F30"/>
    <w:rsid w:val="0066262C"/>
    <w:rsid w:val="00675AE6"/>
    <w:rsid w:val="006855AC"/>
    <w:rsid w:val="00687B8E"/>
    <w:rsid w:val="0069015C"/>
    <w:rsid w:val="00690719"/>
    <w:rsid w:val="006A3CDA"/>
    <w:rsid w:val="006A7D94"/>
    <w:rsid w:val="006B063C"/>
    <w:rsid w:val="006B2293"/>
    <w:rsid w:val="006B2DD0"/>
    <w:rsid w:val="006B4917"/>
    <w:rsid w:val="006C5CC9"/>
    <w:rsid w:val="006C5DBF"/>
    <w:rsid w:val="006E27F7"/>
    <w:rsid w:val="006F7DD9"/>
    <w:rsid w:val="00726970"/>
    <w:rsid w:val="007359A7"/>
    <w:rsid w:val="00740BC6"/>
    <w:rsid w:val="0074619A"/>
    <w:rsid w:val="00754344"/>
    <w:rsid w:val="00765028"/>
    <w:rsid w:val="007736BD"/>
    <w:rsid w:val="00781599"/>
    <w:rsid w:val="00782ADB"/>
    <w:rsid w:val="0079156C"/>
    <w:rsid w:val="00795136"/>
    <w:rsid w:val="00795526"/>
    <w:rsid w:val="007A709F"/>
    <w:rsid w:val="007D17DD"/>
    <w:rsid w:val="007E6A2B"/>
    <w:rsid w:val="00806408"/>
    <w:rsid w:val="00811327"/>
    <w:rsid w:val="0081717A"/>
    <w:rsid w:val="00822F47"/>
    <w:rsid w:val="00836BB1"/>
    <w:rsid w:val="00841E17"/>
    <w:rsid w:val="008426AA"/>
    <w:rsid w:val="00852038"/>
    <w:rsid w:val="00856154"/>
    <w:rsid w:val="0085786F"/>
    <w:rsid w:val="00867E10"/>
    <w:rsid w:val="00875DD5"/>
    <w:rsid w:val="00877013"/>
    <w:rsid w:val="00894F9B"/>
    <w:rsid w:val="008A6872"/>
    <w:rsid w:val="008A6AA5"/>
    <w:rsid w:val="008B62B8"/>
    <w:rsid w:val="008B6CF4"/>
    <w:rsid w:val="008C0F0C"/>
    <w:rsid w:val="008C19A7"/>
    <w:rsid w:val="008C52B2"/>
    <w:rsid w:val="008F4967"/>
    <w:rsid w:val="008F56E4"/>
    <w:rsid w:val="00904A79"/>
    <w:rsid w:val="00904AEA"/>
    <w:rsid w:val="009066A4"/>
    <w:rsid w:val="009079B8"/>
    <w:rsid w:val="0092773D"/>
    <w:rsid w:val="009457F9"/>
    <w:rsid w:val="009509F2"/>
    <w:rsid w:val="00971E1A"/>
    <w:rsid w:val="00974204"/>
    <w:rsid w:val="00985F7C"/>
    <w:rsid w:val="009973E3"/>
    <w:rsid w:val="009A1D19"/>
    <w:rsid w:val="009A27E2"/>
    <w:rsid w:val="009A3927"/>
    <w:rsid w:val="009E6DA1"/>
    <w:rsid w:val="009F1082"/>
    <w:rsid w:val="009F2E08"/>
    <w:rsid w:val="009F30C3"/>
    <w:rsid w:val="00A00E45"/>
    <w:rsid w:val="00A02A7D"/>
    <w:rsid w:val="00A033AC"/>
    <w:rsid w:val="00A100BE"/>
    <w:rsid w:val="00A30DE2"/>
    <w:rsid w:val="00A469F4"/>
    <w:rsid w:val="00A54221"/>
    <w:rsid w:val="00A6157D"/>
    <w:rsid w:val="00A6770C"/>
    <w:rsid w:val="00A85DC4"/>
    <w:rsid w:val="00AB33D0"/>
    <w:rsid w:val="00AC6225"/>
    <w:rsid w:val="00AE4391"/>
    <w:rsid w:val="00AE48F7"/>
    <w:rsid w:val="00AE5393"/>
    <w:rsid w:val="00AF06D4"/>
    <w:rsid w:val="00AF2374"/>
    <w:rsid w:val="00AF6C90"/>
    <w:rsid w:val="00B04B57"/>
    <w:rsid w:val="00B133D2"/>
    <w:rsid w:val="00B17BC9"/>
    <w:rsid w:val="00B31B93"/>
    <w:rsid w:val="00B67494"/>
    <w:rsid w:val="00B8430D"/>
    <w:rsid w:val="00BA62E0"/>
    <w:rsid w:val="00BA668D"/>
    <w:rsid w:val="00BB4DCD"/>
    <w:rsid w:val="00BC32C2"/>
    <w:rsid w:val="00BD3A3A"/>
    <w:rsid w:val="00BD4357"/>
    <w:rsid w:val="00BF20E2"/>
    <w:rsid w:val="00BF45E8"/>
    <w:rsid w:val="00C1432C"/>
    <w:rsid w:val="00C206CC"/>
    <w:rsid w:val="00C22838"/>
    <w:rsid w:val="00C271DB"/>
    <w:rsid w:val="00C36C02"/>
    <w:rsid w:val="00C3753E"/>
    <w:rsid w:val="00C46F7B"/>
    <w:rsid w:val="00C73D79"/>
    <w:rsid w:val="00C73EBA"/>
    <w:rsid w:val="00C750FE"/>
    <w:rsid w:val="00C9059E"/>
    <w:rsid w:val="00C91B93"/>
    <w:rsid w:val="00CA0B8A"/>
    <w:rsid w:val="00CB6D86"/>
    <w:rsid w:val="00CC45DA"/>
    <w:rsid w:val="00CC7AAC"/>
    <w:rsid w:val="00CD4BA0"/>
    <w:rsid w:val="00CD6B14"/>
    <w:rsid w:val="00CE34E3"/>
    <w:rsid w:val="00CE52A3"/>
    <w:rsid w:val="00CF163B"/>
    <w:rsid w:val="00CF5760"/>
    <w:rsid w:val="00D12678"/>
    <w:rsid w:val="00D153C2"/>
    <w:rsid w:val="00D15CBB"/>
    <w:rsid w:val="00D25DAB"/>
    <w:rsid w:val="00D51F83"/>
    <w:rsid w:val="00D52AD9"/>
    <w:rsid w:val="00D531E0"/>
    <w:rsid w:val="00D53FEF"/>
    <w:rsid w:val="00D63C25"/>
    <w:rsid w:val="00D70D29"/>
    <w:rsid w:val="00D732AA"/>
    <w:rsid w:val="00D7589A"/>
    <w:rsid w:val="00D81302"/>
    <w:rsid w:val="00D85A48"/>
    <w:rsid w:val="00D95B75"/>
    <w:rsid w:val="00DA2550"/>
    <w:rsid w:val="00DB230E"/>
    <w:rsid w:val="00DB7F96"/>
    <w:rsid w:val="00DD7F19"/>
    <w:rsid w:val="00E12514"/>
    <w:rsid w:val="00E12D19"/>
    <w:rsid w:val="00E1750E"/>
    <w:rsid w:val="00E20049"/>
    <w:rsid w:val="00E2065A"/>
    <w:rsid w:val="00E210E1"/>
    <w:rsid w:val="00E23B30"/>
    <w:rsid w:val="00E23FFA"/>
    <w:rsid w:val="00E27C27"/>
    <w:rsid w:val="00E86713"/>
    <w:rsid w:val="00E87F66"/>
    <w:rsid w:val="00EA0786"/>
    <w:rsid w:val="00EB1F53"/>
    <w:rsid w:val="00EC63C8"/>
    <w:rsid w:val="00ED0D49"/>
    <w:rsid w:val="00EE0F62"/>
    <w:rsid w:val="00EE11BD"/>
    <w:rsid w:val="00EF192F"/>
    <w:rsid w:val="00EF527A"/>
    <w:rsid w:val="00F1315C"/>
    <w:rsid w:val="00F40786"/>
    <w:rsid w:val="00F52B82"/>
    <w:rsid w:val="00F63DE2"/>
    <w:rsid w:val="00F67A0A"/>
    <w:rsid w:val="00F868AD"/>
    <w:rsid w:val="00F92D3C"/>
    <w:rsid w:val="00F92FE6"/>
    <w:rsid w:val="00FC5A3D"/>
    <w:rsid w:val="00FC79FB"/>
    <w:rsid w:val="00FD0126"/>
    <w:rsid w:val="00FD2547"/>
    <w:rsid w:val="00FF2F92"/>
    <w:rsid w:val="00FF5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487E4E2"/>
  <w15:docId w15:val="{84D98E6D-7E42-45A5-BD87-8B4D605C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547"/>
  </w:style>
  <w:style w:type="paragraph" w:styleId="Titre1">
    <w:name w:val="heading 1"/>
    <w:basedOn w:val="Normal"/>
    <w:next w:val="Normal"/>
    <w:link w:val="Titre1Car"/>
    <w:uiPriority w:val="9"/>
    <w:qFormat/>
    <w:rsid w:val="00B8430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D254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2547"/>
  </w:style>
  <w:style w:type="paragraph" w:styleId="Paragraphedeliste">
    <w:name w:val="List Paragraph"/>
    <w:aliases w:val="References,List Paragraph1,Paragraphe de liste1,Liste couleur - Accent 11,Colorful List - Accent 11,Liste couleur - Accent 111,Bullets,List Bullet Mary,List Paragraph (numbered (a)),Numbered List Paragraph,ReferencesCxSpLast,Liste 1"/>
    <w:basedOn w:val="Normal"/>
    <w:link w:val="ParagraphedelisteCar"/>
    <w:uiPriority w:val="34"/>
    <w:qFormat/>
    <w:rsid w:val="00FD2547"/>
    <w:pPr>
      <w:ind w:left="720"/>
      <w:contextualSpacing/>
    </w:pPr>
  </w:style>
  <w:style w:type="paragraph" w:styleId="Textedebulles">
    <w:name w:val="Balloon Text"/>
    <w:basedOn w:val="Normal"/>
    <w:link w:val="TextedebullesCar"/>
    <w:uiPriority w:val="99"/>
    <w:unhideWhenUsed/>
    <w:rsid w:val="00FD25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FD2547"/>
    <w:rPr>
      <w:rFonts w:ascii="Tahoma" w:hAnsi="Tahoma" w:cs="Tahoma"/>
      <w:sz w:val="16"/>
      <w:szCs w:val="16"/>
    </w:rPr>
  </w:style>
  <w:style w:type="paragraph" w:styleId="Sansinterligne">
    <w:name w:val="No Spacing"/>
    <w:uiPriority w:val="1"/>
    <w:qFormat/>
    <w:rsid w:val="00D153C2"/>
    <w:pPr>
      <w:tabs>
        <w:tab w:val="left" w:pos="0"/>
        <w:tab w:val="left" w:pos="794"/>
        <w:tab w:val="left" w:pos="1588"/>
        <w:tab w:val="left" w:pos="2381"/>
        <w:tab w:val="left" w:pos="3175"/>
        <w:tab w:val="left" w:pos="3969"/>
        <w:tab w:val="left" w:pos="4763"/>
        <w:tab w:val="left" w:pos="5557"/>
        <w:tab w:val="left" w:pos="6350"/>
        <w:tab w:val="left" w:pos="7144"/>
      </w:tabs>
      <w:spacing w:after="0" w:line="240" w:lineRule="auto"/>
    </w:pPr>
    <w:rPr>
      <w:rFonts w:ascii="Verdana" w:eastAsia="MS Mincho" w:hAnsi="Verdana" w:cs="Times New Roman"/>
      <w:sz w:val="17"/>
      <w:szCs w:val="20"/>
      <w:lang w:val="en-GB" w:eastAsia="nl-NL"/>
    </w:rPr>
  </w:style>
  <w:style w:type="paragraph" w:styleId="Notedebasdepage">
    <w:name w:val="footnote text"/>
    <w:basedOn w:val="Normal"/>
    <w:link w:val="NotedebasdepageCar"/>
    <w:unhideWhenUsed/>
    <w:rsid w:val="00D153C2"/>
    <w:pPr>
      <w:spacing w:after="0" w:line="240" w:lineRule="auto"/>
    </w:pPr>
    <w:rPr>
      <w:rFonts w:ascii="Arial" w:eastAsia="MS Mincho" w:hAnsi="Arial" w:cs="Times New Roman"/>
      <w:sz w:val="20"/>
      <w:szCs w:val="20"/>
      <w:lang w:val="en-US"/>
    </w:rPr>
  </w:style>
  <w:style w:type="character" w:customStyle="1" w:styleId="NotedebasdepageCar">
    <w:name w:val="Note de bas de page Car"/>
    <w:basedOn w:val="Policepardfaut"/>
    <w:link w:val="Notedebasdepage"/>
    <w:rsid w:val="00D153C2"/>
    <w:rPr>
      <w:rFonts w:ascii="Arial" w:eastAsia="MS Mincho" w:hAnsi="Arial" w:cs="Times New Roman"/>
      <w:sz w:val="20"/>
      <w:szCs w:val="20"/>
      <w:lang w:val="en-US"/>
    </w:rPr>
  </w:style>
  <w:style w:type="character" w:styleId="Appelnotedebasdep">
    <w:name w:val="footnote reference"/>
    <w:aliases w:val="16 Point,Superscript 6 Point,Superscript 6 Point + 11 pt,ftref,Footnote Reference Number,SUPERS,SUPERS1,SUPERS2,SUPERS3,BVI fnr,BVI fnr Car Car,BVI fnr Car,BVI fnr Car Car Car Car,FNRefe Char Char Char,BVI fnr Char Char Char"/>
    <w:uiPriority w:val="99"/>
    <w:unhideWhenUsed/>
    <w:qFormat/>
    <w:rsid w:val="00D153C2"/>
    <w:rPr>
      <w:vertAlign w:val="superscript"/>
    </w:rPr>
  </w:style>
  <w:style w:type="character" w:styleId="Lienhypertexte">
    <w:name w:val="Hyperlink"/>
    <w:uiPriority w:val="99"/>
    <w:unhideWhenUsed/>
    <w:rsid w:val="00D153C2"/>
    <w:rPr>
      <w:color w:val="0000FF"/>
      <w:u w:val="single"/>
    </w:rPr>
  </w:style>
  <w:style w:type="paragraph" w:styleId="NormalWeb">
    <w:name w:val="Normal (Web)"/>
    <w:basedOn w:val="Normal"/>
    <w:rsid w:val="00EE0F62"/>
    <w:pPr>
      <w:spacing w:before="100" w:beforeAutospacing="1" w:after="100" w:afterAutospacing="1" w:line="240" w:lineRule="auto"/>
    </w:pPr>
    <w:rPr>
      <w:rFonts w:ascii="Times New Roman" w:eastAsia="MS Mincho" w:hAnsi="Times New Roman" w:cs="Times New Roman"/>
      <w:sz w:val="24"/>
      <w:szCs w:val="24"/>
      <w:lang w:eastAsia="fr-FR"/>
    </w:rPr>
  </w:style>
  <w:style w:type="character" w:customStyle="1" w:styleId="ParagraphedelisteCar">
    <w:name w:val="Paragraphe de liste Car"/>
    <w:aliases w:val="References Car,List Paragraph1 Car,Paragraphe de liste1 Car,Liste couleur - Accent 11 Car,Colorful List - Accent 11 Car,Liste couleur - Accent 111 Car,Bullets Car,List Bullet Mary Car,List Paragraph (numbered (a)) Car,Liste 1 Car"/>
    <w:link w:val="Paragraphedeliste"/>
    <w:uiPriority w:val="34"/>
    <w:rsid w:val="00B31B93"/>
  </w:style>
  <w:style w:type="paragraph" w:styleId="Retraitcorpsdetexte">
    <w:name w:val="Body Text Indent"/>
    <w:basedOn w:val="Normal"/>
    <w:link w:val="RetraitcorpsdetexteCar"/>
    <w:rsid w:val="005D6775"/>
    <w:pPr>
      <w:spacing w:after="0" w:line="240" w:lineRule="auto"/>
      <w:ind w:left="1440"/>
    </w:pPr>
    <w:rPr>
      <w:rFonts w:ascii="Times New Roman" w:eastAsia="Times New Roman" w:hAnsi="Times New Roman" w:cs="Times New Roman"/>
      <w:sz w:val="24"/>
      <w:szCs w:val="24"/>
      <w:lang w:eastAsia="rw-RW"/>
    </w:rPr>
  </w:style>
  <w:style w:type="character" w:customStyle="1" w:styleId="RetraitcorpsdetexteCar">
    <w:name w:val="Retrait corps de texte Car"/>
    <w:basedOn w:val="Policepardfaut"/>
    <w:link w:val="Retraitcorpsdetexte"/>
    <w:rsid w:val="005D6775"/>
    <w:rPr>
      <w:rFonts w:ascii="Times New Roman" w:eastAsia="Times New Roman" w:hAnsi="Times New Roman" w:cs="Times New Roman"/>
      <w:sz w:val="24"/>
      <w:szCs w:val="24"/>
      <w:lang w:eastAsia="rw-RW"/>
    </w:rPr>
  </w:style>
  <w:style w:type="paragraph" w:styleId="Commentaire">
    <w:name w:val="annotation text"/>
    <w:basedOn w:val="Normal"/>
    <w:link w:val="CommentaireCar"/>
    <w:uiPriority w:val="99"/>
    <w:rsid w:val="0081717A"/>
    <w:pPr>
      <w:spacing w:after="0" w:line="240" w:lineRule="auto"/>
    </w:pPr>
    <w:rPr>
      <w:rFonts w:ascii="Arial" w:eastAsia="Times New Roman" w:hAnsi="Arial" w:cs="Times New Roman"/>
      <w:sz w:val="20"/>
      <w:szCs w:val="20"/>
      <w:lang w:val="en-US"/>
    </w:rPr>
  </w:style>
  <w:style w:type="character" w:customStyle="1" w:styleId="CommentaireCar">
    <w:name w:val="Commentaire Car"/>
    <w:basedOn w:val="Policepardfaut"/>
    <w:link w:val="Commentaire"/>
    <w:uiPriority w:val="99"/>
    <w:rsid w:val="0081717A"/>
    <w:rPr>
      <w:rFonts w:ascii="Arial" w:eastAsia="Times New Roman" w:hAnsi="Arial" w:cs="Times New Roman"/>
      <w:sz w:val="20"/>
      <w:szCs w:val="20"/>
      <w:lang w:val="en-US"/>
    </w:rPr>
  </w:style>
  <w:style w:type="paragraph" w:customStyle="1" w:styleId="handbook">
    <w:name w:val="handbook"/>
    <w:basedOn w:val="Normal"/>
    <w:rsid w:val="008F56E4"/>
    <w:pPr>
      <w:shd w:val="pct5" w:color="auto" w:fill="FFFFFF"/>
      <w:spacing w:after="0" w:line="240" w:lineRule="auto"/>
    </w:pPr>
    <w:rPr>
      <w:rFonts w:ascii="Arial" w:eastAsia="Times New Roman" w:hAnsi="Arial" w:cs="Times New Roman"/>
      <w:sz w:val="20"/>
      <w:szCs w:val="20"/>
      <w:lang w:eastAsia="fr-FR"/>
    </w:rPr>
  </w:style>
  <w:style w:type="paragraph" w:styleId="Corpsdetexte3">
    <w:name w:val="Body Text 3"/>
    <w:basedOn w:val="Normal"/>
    <w:link w:val="Corpsdetexte3Car"/>
    <w:uiPriority w:val="99"/>
    <w:semiHidden/>
    <w:unhideWhenUsed/>
    <w:rsid w:val="008F56E4"/>
    <w:pPr>
      <w:spacing w:after="120"/>
    </w:pPr>
    <w:rPr>
      <w:sz w:val="16"/>
      <w:szCs w:val="16"/>
    </w:rPr>
  </w:style>
  <w:style w:type="character" w:customStyle="1" w:styleId="Corpsdetexte3Car">
    <w:name w:val="Corps de texte 3 Car"/>
    <w:basedOn w:val="Policepardfaut"/>
    <w:link w:val="Corpsdetexte3"/>
    <w:uiPriority w:val="99"/>
    <w:semiHidden/>
    <w:rsid w:val="008F56E4"/>
    <w:rPr>
      <w:sz w:val="16"/>
      <w:szCs w:val="16"/>
    </w:rPr>
  </w:style>
  <w:style w:type="character" w:customStyle="1" w:styleId="Titre1Car">
    <w:name w:val="Titre 1 Car"/>
    <w:basedOn w:val="Policepardfaut"/>
    <w:link w:val="Titre1"/>
    <w:uiPriority w:val="9"/>
    <w:rsid w:val="00B8430D"/>
    <w:rPr>
      <w:rFonts w:asciiTheme="majorHAnsi" w:eastAsiaTheme="majorEastAsia" w:hAnsiTheme="majorHAnsi" w:cstheme="majorBidi"/>
      <w:b/>
      <w:bCs/>
      <w:color w:val="365F91" w:themeColor="accent1" w:themeShade="BF"/>
      <w:sz w:val="28"/>
      <w:szCs w:val="28"/>
      <w:lang w:eastAsia="fr-FR"/>
    </w:rPr>
  </w:style>
  <w:style w:type="paragraph" w:styleId="Textebrut">
    <w:name w:val="Plain Text"/>
    <w:basedOn w:val="Normal"/>
    <w:link w:val="TextebrutCar"/>
    <w:uiPriority w:val="99"/>
    <w:unhideWhenUsed/>
    <w:rsid w:val="0003563B"/>
    <w:pPr>
      <w:spacing w:after="0" w:line="240" w:lineRule="auto"/>
    </w:pPr>
    <w:rPr>
      <w:rFonts w:ascii="Calibri" w:eastAsia="Calibri" w:hAnsi="Calibri" w:cs="Times New Roman"/>
      <w:szCs w:val="21"/>
    </w:rPr>
  </w:style>
  <w:style w:type="character" w:customStyle="1" w:styleId="TextebrutCar">
    <w:name w:val="Texte brut Car"/>
    <w:basedOn w:val="Policepardfaut"/>
    <w:link w:val="Textebrut"/>
    <w:uiPriority w:val="99"/>
    <w:rsid w:val="0003563B"/>
    <w:rPr>
      <w:rFonts w:ascii="Calibri" w:eastAsia="Calibri" w:hAnsi="Calibri" w:cs="Times New Roman"/>
      <w:szCs w:val="21"/>
    </w:rPr>
  </w:style>
  <w:style w:type="character" w:styleId="Lienhypertextesuivivisit">
    <w:name w:val="FollowedHyperlink"/>
    <w:basedOn w:val="Policepardfaut"/>
    <w:uiPriority w:val="99"/>
    <w:semiHidden/>
    <w:unhideWhenUsed/>
    <w:rsid w:val="00DD7F19"/>
    <w:rPr>
      <w:color w:val="800080" w:themeColor="followedHyperlink"/>
      <w:u w:val="single"/>
    </w:rPr>
  </w:style>
  <w:style w:type="paragraph" w:customStyle="1" w:styleId="Style3">
    <w:name w:val="Style3"/>
    <w:basedOn w:val="En-tte"/>
    <w:next w:val="Normal"/>
    <w:rsid w:val="00D95B75"/>
    <w:pPr>
      <w:tabs>
        <w:tab w:val="clear" w:pos="4536"/>
        <w:tab w:val="clear" w:pos="9072"/>
        <w:tab w:val="center" w:pos="4320"/>
        <w:tab w:val="right" w:pos="8640"/>
      </w:tabs>
      <w:suppressAutoHyphens/>
    </w:pPr>
    <w:rPr>
      <w:rFonts w:ascii="Times New Roman" w:eastAsia="Times New Roman" w:hAnsi="Times New Roman" w:cs="Times New Roman"/>
      <w:sz w:val="20"/>
      <w:szCs w:val="20"/>
      <w:lang w:val="en-US" w:eastAsia="ar-SA"/>
    </w:rPr>
  </w:style>
  <w:style w:type="paragraph" w:styleId="En-tte">
    <w:name w:val="header"/>
    <w:basedOn w:val="Normal"/>
    <w:link w:val="En-tteCar"/>
    <w:uiPriority w:val="99"/>
    <w:semiHidden/>
    <w:unhideWhenUsed/>
    <w:rsid w:val="00D95B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95B75"/>
  </w:style>
  <w:style w:type="table" w:styleId="Grilledutableau">
    <w:name w:val="Table Grid"/>
    <w:basedOn w:val="TableauNormal"/>
    <w:uiPriority w:val="59"/>
    <w:rsid w:val="00687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9A3927"/>
    <w:rPr>
      <w:color w:val="808080"/>
      <w:shd w:val="clear" w:color="auto" w:fill="E6E6E6"/>
    </w:rPr>
  </w:style>
  <w:style w:type="paragraph" w:styleId="Corpsdetexte">
    <w:name w:val="Body Text"/>
    <w:basedOn w:val="Normal"/>
    <w:link w:val="CorpsdetexteCar"/>
    <w:uiPriority w:val="99"/>
    <w:unhideWhenUsed/>
    <w:rsid w:val="009A3927"/>
    <w:pPr>
      <w:spacing w:after="120"/>
    </w:pPr>
  </w:style>
  <w:style w:type="character" w:customStyle="1" w:styleId="CorpsdetexteCar">
    <w:name w:val="Corps de texte Car"/>
    <w:basedOn w:val="Policepardfaut"/>
    <w:link w:val="Corpsdetexte"/>
    <w:uiPriority w:val="99"/>
    <w:rsid w:val="009A3927"/>
  </w:style>
  <w:style w:type="character" w:customStyle="1" w:styleId="st1">
    <w:name w:val="st1"/>
    <w:rsid w:val="002C73F1"/>
  </w:style>
  <w:style w:type="character" w:styleId="Accentuation">
    <w:name w:val="Emphasis"/>
    <w:basedOn w:val="Policepardfaut"/>
    <w:qFormat/>
    <w:rsid w:val="00E1750E"/>
    <w:rPr>
      <w:i/>
      <w:iCs/>
    </w:rPr>
  </w:style>
  <w:style w:type="paragraph" w:styleId="Listepuces">
    <w:name w:val="List Bullet"/>
    <w:basedOn w:val="Normal"/>
    <w:uiPriority w:val="99"/>
    <w:unhideWhenUsed/>
    <w:rsid w:val="00E1750E"/>
    <w:pPr>
      <w:numPr>
        <w:numId w:val="3"/>
      </w:numPr>
      <w:spacing w:line="240" w:lineRule="auto"/>
      <w:contextualSpacing/>
    </w:pPr>
    <w:rPr>
      <w:lang w:val="en-GB"/>
    </w:rPr>
  </w:style>
  <w:style w:type="paragraph" w:customStyle="1" w:styleId="Heading51">
    <w:name w:val="Heading 51"/>
    <w:basedOn w:val="Normal"/>
    <w:next w:val="Normal"/>
    <w:uiPriority w:val="9"/>
    <w:unhideWhenUsed/>
    <w:qFormat/>
    <w:rsid w:val="00FD0126"/>
    <w:pPr>
      <w:pBdr>
        <w:bottom w:val="single" w:sz="6" w:space="1" w:color="4F81BD"/>
      </w:pBdr>
      <w:spacing w:before="300" w:after="0"/>
      <w:outlineLvl w:val="4"/>
    </w:pPr>
    <w:rPr>
      <w:rFonts w:ascii="Calibri" w:eastAsia="Times New Roman" w:hAnsi="Calibri" w:cs="Times New Roman"/>
      <w:b/>
      <w:caps/>
      <w:spacing w:val="10"/>
      <w:lang w:val="en-US" w:bidi="en-US"/>
    </w:rPr>
  </w:style>
  <w:style w:type="paragraph" w:customStyle="1" w:styleId="Heading31">
    <w:name w:val="Heading 31"/>
    <w:basedOn w:val="Heading51"/>
    <w:next w:val="Normal"/>
    <w:uiPriority w:val="9"/>
    <w:unhideWhenUsed/>
    <w:qFormat/>
    <w:rsid w:val="00FD0126"/>
  </w:style>
  <w:style w:type="character" w:styleId="Marquedecommentaire">
    <w:name w:val="annotation reference"/>
    <w:uiPriority w:val="99"/>
    <w:semiHidden/>
    <w:unhideWhenUsed/>
    <w:rsid w:val="00FD01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8124">
      <w:bodyDiv w:val="1"/>
      <w:marLeft w:val="0"/>
      <w:marRight w:val="0"/>
      <w:marTop w:val="0"/>
      <w:marBottom w:val="0"/>
      <w:divBdr>
        <w:top w:val="none" w:sz="0" w:space="0" w:color="auto"/>
        <w:left w:val="none" w:sz="0" w:space="0" w:color="auto"/>
        <w:bottom w:val="none" w:sz="0" w:space="0" w:color="auto"/>
        <w:right w:val="none" w:sz="0" w:space="0" w:color="auto"/>
      </w:divBdr>
    </w:div>
    <w:div w:id="541794010">
      <w:bodyDiv w:val="1"/>
      <w:marLeft w:val="0"/>
      <w:marRight w:val="0"/>
      <w:marTop w:val="0"/>
      <w:marBottom w:val="0"/>
      <w:divBdr>
        <w:top w:val="none" w:sz="0" w:space="0" w:color="auto"/>
        <w:left w:val="none" w:sz="0" w:space="0" w:color="auto"/>
        <w:bottom w:val="none" w:sz="0" w:space="0" w:color="auto"/>
        <w:right w:val="none" w:sz="0" w:space="0" w:color="auto"/>
      </w:divBdr>
    </w:div>
    <w:div w:id="20649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aluation.org/ethicalguidelines"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mali.procurement@undp.org" TargetMode="External"/><Relationship Id="rId19"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cid:image001.png@01CD1D75.20A0F150"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3C19C-9AE9-45D6-8A34-02A915AB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2159</Words>
  <Characters>11875</Characters>
  <Application>Microsoft Office Word</Application>
  <DocSecurity>0</DocSecurity>
  <Lines>98</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Gisele Mpoyi</dc:creator>
  <cp:lastModifiedBy>Safia Guindo</cp:lastModifiedBy>
  <cp:revision>2</cp:revision>
  <cp:lastPrinted>2018-05-19T13:01:00Z</cp:lastPrinted>
  <dcterms:created xsi:type="dcterms:W3CDTF">2020-12-31T13:04:00Z</dcterms:created>
  <dcterms:modified xsi:type="dcterms:W3CDTF">2020-12-31T13:04:00Z</dcterms:modified>
</cp:coreProperties>
</file>