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3A056" w14:textId="77777777" w:rsidR="00D6638C"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r w:rsidRPr="00D6638C">
        <w:rPr>
          <w:rFonts w:ascii="Calibri" w:eastAsia="Times New Roman" w:hAnsi="Calibri" w:cs="Times New Roman"/>
          <w:caps/>
          <w:spacing w:val="15"/>
        </w:rPr>
        <w:t>Terminal Evaluation Terms of Reference</w:t>
      </w:r>
      <w:bookmarkEnd w:id="0"/>
      <w:bookmarkEnd w:id="1"/>
    </w:p>
    <w:p w14:paraId="27FAEE64" w14:textId="77777777" w:rsidR="006C1964" w:rsidRDefault="00B913F1" w:rsidP="00F05366">
      <w:pPr>
        <w:pStyle w:val="Heading51"/>
      </w:pPr>
      <w:bookmarkStart w:id="2" w:name="_Toc299126613"/>
      <w:r>
        <w:t>INTRODUCTION</w:t>
      </w:r>
    </w:p>
    <w:p w14:paraId="6098426D"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expectations for a Terminal Evaluation (TE) of the</w:t>
      </w:r>
      <w:r w:rsidR="000C7B2D">
        <w:rPr>
          <w:rFonts w:ascii="Calibri" w:eastAsia="Times New Roman" w:hAnsi="Calibri" w:cs="Times New Roman"/>
          <w:sz w:val="20"/>
          <w:szCs w:val="20"/>
        </w:rPr>
        <w:t xml:space="preserve"> following projects:</w:t>
      </w:r>
      <w:r w:rsidRPr="00224F9C">
        <w:rPr>
          <w:rFonts w:ascii="Calibri" w:eastAsia="Times New Roman" w:hAnsi="Calibri" w:cs="Times New Roman"/>
          <w:i/>
          <w:sz w:val="20"/>
          <w:szCs w:val="20"/>
        </w:rPr>
        <w:t xml:space="preserve"> </w:t>
      </w:r>
      <w:r w:rsidR="000C7B2D" w:rsidRPr="000C7B2D">
        <w:rPr>
          <w:rFonts w:cs="Times New Roman"/>
          <w:color w:val="000000"/>
        </w:rPr>
        <w:t>“International Waters Learning Exchange and Resource Network (IW:LEARN)” - PIMS no. 5337; and  (2) “</w:t>
      </w:r>
      <w:r w:rsidR="000C7B2D" w:rsidRPr="000C7B2D">
        <w:rPr>
          <w:rFonts w:cs="Times New Roman"/>
        </w:rPr>
        <w:t>Strengthening Global Governance of Large Marine Ecosystems and Their Coasts through Enhanced Sharing and</w:t>
      </w:r>
      <w:r w:rsidR="000C7B2D" w:rsidRPr="00E1477B">
        <w:rPr>
          <w:rFonts w:cs="Times New Roman"/>
          <w:b/>
        </w:rPr>
        <w:t xml:space="preserve"> </w:t>
      </w:r>
      <w:r w:rsidR="000C7B2D" w:rsidRPr="000C7B2D">
        <w:rPr>
          <w:rFonts w:cs="Times New Roman"/>
        </w:rPr>
        <w:t>Application of LME/ICM/MPA Knowledge and Information Tools” (LME:LEARN)” – PIMS no. 4481</w:t>
      </w:r>
      <w:r w:rsidR="000C7B2D">
        <w:rPr>
          <w:rFonts w:cs="Times New Roman"/>
        </w:rPr>
        <w:t>.</w:t>
      </w:r>
    </w:p>
    <w:p w14:paraId="4C39301B"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essentials of the project</w:t>
      </w:r>
      <w:r w:rsidR="000C7B2D">
        <w:rPr>
          <w:rFonts w:ascii="Calibri" w:eastAsia="Times New Roman" w:hAnsi="Calibri" w:cs="Times New Roman"/>
          <w:sz w:val="20"/>
          <w:szCs w:val="20"/>
        </w:rPr>
        <w:t>s</w:t>
      </w:r>
      <w:r w:rsidRPr="00D6638C">
        <w:rPr>
          <w:rFonts w:ascii="Calibri" w:eastAsia="Times New Roman" w:hAnsi="Calibri" w:cs="Times New Roman"/>
          <w:sz w:val="20"/>
          <w:szCs w:val="20"/>
        </w:rPr>
        <w:t xml:space="preserve"> to be evaluated are as follows:   </w:t>
      </w:r>
    </w:p>
    <w:p w14:paraId="48F753D9" w14:textId="77777777" w:rsidR="00D6638C" w:rsidRPr="00D6638C" w:rsidRDefault="000C7B2D" w:rsidP="00F05366">
      <w:pPr>
        <w:pStyle w:val="Heading51"/>
      </w:pPr>
      <w:bookmarkStart w:id="3" w:name="_Toc321341548"/>
      <w:r>
        <w:t xml:space="preserve">IW:LEARN </w:t>
      </w:r>
      <w:r w:rsidR="00D6638C" w:rsidRPr="00D6638C">
        <w:t>Project Summary Table</w:t>
      </w:r>
      <w:bookmarkEnd w:id="3"/>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66"/>
        <w:gridCol w:w="655"/>
        <w:gridCol w:w="1415"/>
        <w:gridCol w:w="2672"/>
        <w:gridCol w:w="364"/>
        <w:gridCol w:w="1682"/>
        <w:gridCol w:w="1868"/>
      </w:tblGrid>
      <w:tr w:rsidR="00D6638C" w:rsidRPr="00D6638C" w14:paraId="0E9612FB" w14:textId="77777777" w:rsidTr="00224F9C">
        <w:trPr>
          <w:trHeight w:val="359"/>
        </w:trPr>
        <w:tc>
          <w:tcPr>
            <w:tcW w:w="455" w:type="pct"/>
            <w:shd w:val="clear" w:color="auto" w:fill="7F7F7F"/>
            <w:vAlign w:val="center"/>
          </w:tcPr>
          <w:p w14:paraId="53589614" w14:textId="77777777" w:rsidR="00D6638C" w:rsidRPr="00D6638C" w:rsidRDefault="00D6638C" w:rsidP="00D6638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45" w:type="pct"/>
            <w:gridSpan w:val="6"/>
            <w:shd w:val="clear" w:color="auto" w:fill="FFFFFF"/>
            <w:vAlign w:val="center"/>
          </w:tcPr>
          <w:p w14:paraId="08826CD6" w14:textId="77777777" w:rsidR="00D6638C" w:rsidRPr="00D6638C" w:rsidRDefault="000C7B2D" w:rsidP="00D6638C">
            <w:pPr>
              <w:spacing w:after="0"/>
              <w:contextualSpacing/>
              <w:rPr>
                <w:rFonts w:ascii="Calibri" w:eastAsia="Times New Roman" w:hAnsi="Calibri" w:cs="Calibri"/>
                <w:bCs/>
                <w:sz w:val="20"/>
                <w:szCs w:val="20"/>
              </w:rPr>
            </w:pPr>
            <w:r w:rsidRPr="000C7B2D">
              <w:rPr>
                <w:rFonts w:cs="Times New Roman"/>
                <w:color w:val="000000"/>
              </w:rPr>
              <w:t>International Waters Learning Exchange and Resource Network (IW:LEARN)</w:t>
            </w:r>
          </w:p>
        </w:tc>
      </w:tr>
      <w:tr w:rsidR="00D6638C" w:rsidRPr="00D6638C" w14:paraId="2DC48B52" w14:textId="77777777" w:rsidTr="00224F9C">
        <w:tblPrEx>
          <w:shd w:val="clear" w:color="auto" w:fill="auto"/>
        </w:tblPrEx>
        <w:trPr>
          <w:trHeight w:val="553"/>
        </w:trPr>
        <w:tc>
          <w:tcPr>
            <w:tcW w:w="799" w:type="pct"/>
            <w:gridSpan w:val="2"/>
          </w:tcPr>
          <w:p w14:paraId="2E62D45E"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743" w:type="pct"/>
            <w:vAlign w:val="center"/>
          </w:tcPr>
          <w:p w14:paraId="2079E1EF" w14:textId="77777777" w:rsidR="00D6638C" w:rsidRPr="00D6638C" w:rsidRDefault="00520223"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5729</w:t>
            </w:r>
          </w:p>
        </w:tc>
        <w:tc>
          <w:tcPr>
            <w:tcW w:w="1403" w:type="pct"/>
          </w:tcPr>
          <w:p w14:paraId="7EDD41BF" w14:textId="77777777"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1074" w:type="pct"/>
            <w:gridSpan w:val="2"/>
          </w:tcPr>
          <w:p w14:paraId="093037DF" w14:textId="77777777"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981" w:type="pct"/>
          </w:tcPr>
          <w:p w14:paraId="19DC26AD" w14:textId="77777777"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(Million US$)</w:t>
            </w:r>
          </w:p>
        </w:tc>
      </w:tr>
      <w:tr w:rsidR="00D6638C" w:rsidRPr="00D6638C" w14:paraId="316C03E3" w14:textId="77777777" w:rsidTr="00224F9C">
        <w:tblPrEx>
          <w:shd w:val="clear" w:color="auto" w:fill="auto"/>
        </w:tblPrEx>
        <w:trPr>
          <w:trHeight w:val="278"/>
        </w:trPr>
        <w:tc>
          <w:tcPr>
            <w:tcW w:w="799" w:type="pct"/>
            <w:gridSpan w:val="2"/>
          </w:tcPr>
          <w:p w14:paraId="6821A5C6"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UNDP Project ID:</w:t>
            </w:r>
          </w:p>
        </w:tc>
        <w:tc>
          <w:tcPr>
            <w:tcW w:w="743" w:type="pct"/>
            <w:vAlign w:val="center"/>
          </w:tcPr>
          <w:p w14:paraId="6DE186BA" w14:textId="77777777" w:rsidR="00D6638C" w:rsidRPr="00D6638C" w:rsidRDefault="00520223" w:rsidP="00D6638C">
            <w:pPr>
              <w:tabs>
                <w:tab w:val="right" w:pos="0"/>
              </w:tabs>
              <w:spacing w:after="0"/>
              <w:rPr>
                <w:rFonts w:ascii="Calibri" w:eastAsia="Times New Roman" w:hAnsi="Calibri" w:cs="Times New Roman"/>
                <w:bCs/>
                <w:color w:val="000000"/>
                <w:sz w:val="20"/>
                <w:szCs w:val="20"/>
              </w:rPr>
            </w:pPr>
            <w:r>
              <w:rPr>
                <w:rFonts w:ascii="Calibri" w:eastAsia="Times New Roman" w:hAnsi="Calibri" w:cs="Times New Roman"/>
                <w:sz w:val="20"/>
                <w:szCs w:val="20"/>
              </w:rPr>
              <w:t>5337</w:t>
            </w:r>
          </w:p>
        </w:tc>
        <w:tc>
          <w:tcPr>
            <w:tcW w:w="1403" w:type="pct"/>
          </w:tcPr>
          <w:p w14:paraId="7FFA79B0"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 xml:space="preserve">GEF financing: </w:t>
            </w:r>
          </w:p>
        </w:tc>
        <w:tc>
          <w:tcPr>
            <w:tcW w:w="1074" w:type="pct"/>
            <w:gridSpan w:val="2"/>
            <w:vAlign w:val="center"/>
          </w:tcPr>
          <w:p w14:paraId="471B5956" w14:textId="77777777" w:rsidR="00D6638C" w:rsidRPr="00D6638C" w:rsidRDefault="00520223" w:rsidP="00D6638C">
            <w:pPr>
              <w:spacing w:after="0"/>
              <w:rPr>
                <w:rFonts w:ascii="Calibri" w:eastAsia="Arial Unicode MS" w:hAnsi="Calibri" w:cs="Times New Roman"/>
                <w:sz w:val="20"/>
                <w:szCs w:val="20"/>
              </w:rPr>
            </w:pPr>
            <w:r>
              <w:rPr>
                <w:rFonts w:ascii="Calibri" w:eastAsia="Times New Roman" w:hAnsi="Calibri" w:cs="Times New Roman"/>
                <w:sz w:val="20"/>
                <w:szCs w:val="20"/>
              </w:rPr>
              <w:t>4,987,500</w:t>
            </w:r>
          </w:p>
        </w:tc>
        <w:tc>
          <w:tcPr>
            <w:tcW w:w="981" w:type="pct"/>
          </w:tcPr>
          <w:p w14:paraId="7F3F1094" w14:textId="77777777"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5BC435F0" w14:textId="77777777" w:rsidTr="00224F9C">
        <w:tblPrEx>
          <w:shd w:val="clear" w:color="auto" w:fill="auto"/>
        </w:tblPrEx>
        <w:trPr>
          <w:trHeight w:val="269"/>
        </w:trPr>
        <w:tc>
          <w:tcPr>
            <w:tcW w:w="799" w:type="pct"/>
            <w:gridSpan w:val="2"/>
          </w:tcPr>
          <w:p w14:paraId="17DDFAB4"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Country:</w:t>
            </w:r>
          </w:p>
        </w:tc>
        <w:tc>
          <w:tcPr>
            <w:tcW w:w="743" w:type="pct"/>
            <w:vAlign w:val="center"/>
          </w:tcPr>
          <w:p w14:paraId="39E779B2" w14:textId="77777777"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1403" w:type="pct"/>
          </w:tcPr>
          <w:p w14:paraId="0034853F"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IA/EA own:</w:t>
            </w:r>
          </w:p>
        </w:tc>
        <w:tc>
          <w:tcPr>
            <w:tcW w:w="1074" w:type="pct"/>
            <w:gridSpan w:val="2"/>
            <w:vAlign w:val="center"/>
          </w:tcPr>
          <w:p w14:paraId="79E884B8" w14:textId="00E95D4E" w:rsidR="00D6638C" w:rsidRPr="00D6638C" w:rsidRDefault="00146F51" w:rsidP="00D6638C">
            <w:pPr>
              <w:spacing w:after="0"/>
              <w:rPr>
                <w:rFonts w:ascii="Calibri" w:eastAsia="Arial Unicode MS" w:hAnsi="Calibri" w:cs="Times New Roman"/>
                <w:sz w:val="20"/>
                <w:szCs w:val="20"/>
              </w:rPr>
            </w:pPr>
            <w:r>
              <w:rPr>
                <w:rFonts w:ascii="Calibri" w:eastAsia="Times New Roman" w:hAnsi="Calibri" w:cs="Times New Roman"/>
                <w:sz w:val="20"/>
                <w:szCs w:val="20"/>
              </w:rPr>
              <w:t>5,006,526</w:t>
            </w:r>
          </w:p>
        </w:tc>
        <w:tc>
          <w:tcPr>
            <w:tcW w:w="981" w:type="pct"/>
          </w:tcPr>
          <w:p w14:paraId="683887F2" w14:textId="1E82C9C7" w:rsidR="00D6638C" w:rsidRPr="00D6638C" w:rsidRDefault="00146F51" w:rsidP="00D6638C">
            <w:pPr>
              <w:spacing w:after="0"/>
              <w:jc w:val="both"/>
              <w:rPr>
                <w:rFonts w:ascii="Calibri" w:eastAsia="Arial Unicode MS" w:hAnsi="Calibri" w:cs="Times New Roman"/>
                <w:sz w:val="20"/>
                <w:szCs w:val="20"/>
              </w:rPr>
            </w:pPr>
            <w:r>
              <w:rPr>
                <w:rFonts w:ascii="Calibri" w:eastAsia="Times New Roman" w:hAnsi="Calibri" w:cs="Times New Roman"/>
                <w:sz w:val="20"/>
                <w:szCs w:val="20"/>
              </w:rPr>
              <w:t>1,715,442</w:t>
            </w:r>
          </w:p>
        </w:tc>
      </w:tr>
      <w:tr w:rsidR="00D6638C" w:rsidRPr="00D6638C" w14:paraId="19A0EE48" w14:textId="77777777" w:rsidTr="00224F9C">
        <w:tblPrEx>
          <w:shd w:val="clear" w:color="auto" w:fill="auto"/>
        </w:tblPrEx>
        <w:trPr>
          <w:trHeight w:val="296"/>
        </w:trPr>
        <w:tc>
          <w:tcPr>
            <w:tcW w:w="799" w:type="pct"/>
            <w:gridSpan w:val="2"/>
          </w:tcPr>
          <w:p w14:paraId="11562F07"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743" w:type="pct"/>
            <w:vAlign w:val="center"/>
          </w:tcPr>
          <w:p w14:paraId="3256D62B" w14:textId="77777777" w:rsidR="00D6638C" w:rsidRPr="00D6638C" w:rsidRDefault="00520223" w:rsidP="00D6638C">
            <w:pPr>
              <w:tabs>
                <w:tab w:val="right" w:pos="0"/>
              </w:tabs>
              <w:spacing w:after="0"/>
              <w:rPr>
                <w:rFonts w:ascii="Calibri" w:eastAsia="Times New Roman" w:hAnsi="Calibri" w:cs="Times New Roman"/>
                <w:sz w:val="20"/>
                <w:szCs w:val="20"/>
                <w:lang w:val="es-ES_tradnl"/>
              </w:rPr>
            </w:pPr>
            <w:r>
              <w:rPr>
                <w:rFonts w:ascii="Calibri" w:eastAsia="Times New Roman" w:hAnsi="Calibri" w:cs="Times New Roman"/>
                <w:sz w:val="20"/>
                <w:szCs w:val="20"/>
              </w:rPr>
              <w:t>Global</w:t>
            </w:r>
          </w:p>
        </w:tc>
        <w:tc>
          <w:tcPr>
            <w:tcW w:w="1403" w:type="pct"/>
          </w:tcPr>
          <w:p w14:paraId="4862F30E"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Government:</w:t>
            </w:r>
          </w:p>
        </w:tc>
        <w:tc>
          <w:tcPr>
            <w:tcW w:w="1074" w:type="pct"/>
            <w:gridSpan w:val="2"/>
            <w:vAlign w:val="center"/>
          </w:tcPr>
          <w:p w14:paraId="17134C36" w14:textId="77777777" w:rsidR="00D6638C" w:rsidRPr="00D6638C" w:rsidRDefault="00D6638C" w:rsidP="00D6638C">
            <w:pPr>
              <w:spacing w:after="0"/>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981" w:type="pct"/>
          </w:tcPr>
          <w:p w14:paraId="5A5F6B36" w14:textId="77777777"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157F04EE" w14:textId="77777777" w:rsidTr="00224F9C">
        <w:tblPrEx>
          <w:shd w:val="clear" w:color="auto" w:fill="auto"/>
        </w:tblPrEx>
        <w:trPr>
          <w:trHeight w:val="314"/>
        </w:trPr>
        <w:tc>
          <w:tcPr>
            <w:tcW w:w="799" w:type="pct"/>
            <w:gridSpan w:val="2"/>
          </w:tcPr>
          <w:p w14:paraId="4DE1F6B4"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743" w:type="pct"/>
            <w:vAlign w:val="center"/>
          </w:tcPr>
          <w:p w14:paraId="70C23A38" w14:textId="77777777" w:rsidR="00D6638C" w:rsidRPr="00D6638C" w:rsidRDefault="00520223"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International Waters</w:t>
            </w:r>
          </w:p>
        </w:tc>
        <w:tc>
          <w:tcPr>
            <w:tcW w:w="1403" w:type="pct"/>
          </w:tcPr>
          <w:p w14:paraId="66406696"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Other:</w:t>
            </w:r>
          </w:p>
        </w:tc>
        <w:tc>
          <w:tcPr>
            <w:tcW w:w="1074" w:type="pct"/>
            <w:gridSpan w:val="2"/>
            <w:vAlign w:val="center"/>
          </w:tcPr>
          <w:p w14:paraId="4FAC663A" w14:textId="4B9B4A75" w:rsidR="00D6638C" w:rsidRPr="00D6638C" w:rsidRDefault="00146F51" w:rsidP="00D6638C">
            <w:pPr>
              <w:spacing w:after="0"/>
              <w:rPr>
                <w:rFonts w:ascii="Calibri" w:eastAsia="Times New Roman" w:hAnsi="Calibri" w:cs="Times New Roman"/>
                <w:sz w:val="20"/>
                <w:szCs w:val="20"/>
              </w:rPr>
            </w:pPr>
            <w:r>
              <w:rPr>
                <w:rFonts w:ascii="Calibri" w:eastAsia="Times New Roman" w:hAnsi="Calibri" w:cs="Times New Roman"/>
                <w:sz w:val="20"/>
                <w:szCs w:val="20"/>
              </w:rPr>
              <w:t>7,145,790</w:t>
            </w:r>
          </w:p>
        </w:tc>
        <w:tc>
          <w:tcPr>
            <w:tcW w:w="981" w:type="pct"/>
          </w:tcPr>
          <w:p w14:paraId="23DAA1D4" w14:textId="38F307E9" w:rsidR="00D6638C" w:rsidRPr="00D6638C" w:rsidRDefault="00146F51" w:rsidP="00D6638C">
            <w:pPr>
              <w:spacing w:after="0"/>
              <w:jc w:val="both"/>
              <w:rPr>
                <w:rFonts w:ascii="Calibri" w:eastAsia="Times New Roman" w:hAnsi="Calibri" w:cs="Times New Roman"/>
                <w:sz w:val="20"/>
                <w:szCs w:val="20"/>
              </w:rPr>
            </w:pPr>
            <w:r>
              <w:rPr>
                <w:rFonts w:ascii="Calibri" w:eastAsia="Times New Roman" w:hAnsi="Calibri" w:cs="Times New Roman"/>
                <w:sz w:val="20"/>
                <w:szCs w:val="20"/>
              </w:rPr>
              <w:t>12,236,352</w:t>
            </w:r>
          </w:p>
        </w:tc>
      </w:tr>
      <w:tr w:rsidR="00D6638C" w:rsidRPr="00D6638C" w14:paraId="69D8015E" w14:textId="77777777" w:rsidTr="00224F9C">
        <w:tblPrEx>
          <w:shd w:val="clear" w:color="auto" w:fill="auto"/>
        </w:tblPrEx>
        <w:trPr>
          <w:trHeight w:val="553"/>
        </w:trPr>
        <w:tc>
          <w:tcPr>
            <w:tcW w:w="799" w:type="pct"/>
            <w:gridSpan w:val="2"/>
          </w:tcPr>
          <w:p w14:paraId="44ECD9CE"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FA Objectives, (OP/SP):</w:t>
            </w:r>
          </w:p>
        </w:tc>
        <w:tc>
          <w:tcPr>
            <w:tcW w:w="743" w:type="pct"/>
            <w:vAlign w:val="center"/>
          </w:tcPr>
          <w:p w14:paraId="4D6C8848" w14:textId="77777777"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1403" w:type="pct"/>
          </w:tcPr>
          <w:p w14:paraId="57B500D4"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Total co-financing:</w:t>
            </w:r>
          </w:p>
        </w:tc>
        <w:tc>
          <w:tcPr>
            <w:tcW w:w="1074" w:type="pct"/>
            <w:gridSpan w:val="2"/>
            <w:vAlign w:val="center"/>
          </w:tcPr>
          <w:p w14:paraId="55EDBA94" w14:textId="2E280DB2" w:rsidR="00D6638C" w:rsidRPr="00D6638C" w:rsidRDefault="00591997" w:rsidP="00146F51">
            <w:pPr>
              <w:spacing w:after="0"/>
              <w:rPr>
                <w:rFonts w:ascii="Calibri" w:eastAsia="Arial Unicode MS" w:hAnsi="Calibri" w:cs="Times New Roman"/>
                <w:sz w:val="20"/>
                <w:szCs w:val="20"/>
              </w:rPr>
            </w:pPr>
            <w:r>
              <w:rPr>
                <w:rFonts w:ascii="Calibri" w:eastAsia="Times New Roman" w:hAnsi="Calibri" w:cs="Times New Roman"/>
                <w:sz w:val="20"/>
                <w:szCs w:val="20"/>
              </w:rPr>
              <w:t>12,1</w:t>
            </w:r>
            <w:r w:rsidR="00146F51">
              <w:rPr>
                <w:rFonts w:ascii="Calibri" w:eastAsia="Times New Roman" w:hAnsi="Calibri" w:cs="Times New Roman"/>
                <w:sz w:val="20"/>
                <w:szCs w:val="20"/>
              </w:rPr>
              <w:t>5</w:t>
            </w:r>
            <w:r>
              <w:rPr>
                <w:rFonts w:ascii="Calibri" w:eastAsia="Times New Roman" w:hAnsi="Calibri" w:cs="Times New Roman"/>
                <w:sz w:val="20"/>
                <w:szCs w:val="20"/>
              </w:rPr>
              <w:t>2,316</w:t>
            </w:r>
          </w:p>
        </w:tc>
        <w:tc>
          <w:tcPr>
            <w:tcW w:w="981" w:type="pct"/>
          </w:tcPr>
          <w:p w14:paraId="1C1B9962" w14:textId="24E090F3" w:rsidR="00D6638C" w:rsidRPr="00D6638C" w:rsidRDefault="00146F51" w:rsidP="00D6638C">
            <w:pPr>
              <w:spacing w:after="0"/>
              <w:jc w:val="both"/>
              <w:rPr>
                <w:rFonts w:ascii="Calibri" w:eastAsia="Times New Roman" w:hAnsi="Calibri" w:cs="Times New Roman"/>
                <w:sz w:val="20"/>
                <w:szCs w:val="20"/>
              </w:rPr>
            </w:pPr>
            <w:r>
              <w:rPr>
                <w:rFonts w:ascii="Calibri" w:eastAsia="Times New Roman" w:hAnsi="Calibri" w:cs="Times New Roman"/>
                <w:sz w:val="20"/>
                <w:szCs w:val="20"/>
              </w:rPr>
              <w:t>13,951,794</w:t>
            </w:r>
          </w:p>
        </w:tc>
      </w:tr>
      <w:tr w:rsidR="00D6638C" w:rsidRPr="00D6638C" w14:paraId="6BEB9559" w14:textId="77777777" w:rsidTr="00224F9C">
        <w:tblPrEx>
          <w:shd w:val="clear" w:color="auto" w:fill="auto"/>
        </w:tblPrEx>
        <w:trPr>
          <w:trHeight w:val="341"/>
        </w:trPr>
        <w:tc>
          <w:tcPr>
            <w:tcW w:w="799" w:type="pct"/>
            <w:gridSpan w:val="2"/>
          </w:tcPr>
          <w:p w14:paraId="1EB958E7"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743" w:type="pct"/>
            <w:vAlign w:val="center"/>
          </w:tcPr>
          <w:p w14:paraId="47946305" w14:textId="77777777" w:rsidR="00D6638C" w:rsidRPr="00D6638C" w:rsidRDefault="00591997"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IOC/UNESCO</w:t>
            </w:r>
          </w:p>
        </w:tc>
        <w:tc>
          <w:tcPr>
            <w:tcW w:w="1403" w:type="pct"/>
          </w:tcPr>
          <w:p w14:paraId="22A78D23"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Total Project Cost:</w:t>
            </w:r>
          </w:p>
        </w:tc>
        <w:tc>
          <w:tcPr>
            <w:tcW w:w="1074" w:type="pct"/>
            <w:gridSpan w:val="2"/>
            <w:vAlign w:val="center"/>
          </w:tcPr>
          <w:p w14:paraId="10DE34C9" w14:textId="77777777" w:rsidR="00D6638C" w:rsidRPr="00D6638C" w:rsidRDefault="00591997" w:rsidP="00D6638C">
            <w:pPr>
              <w:spacing w:after="0"/>
              <w:rPr>
                <w:rFonts w:ascii="Calibri" w:eastAsia="Arial Unicode MS" w:hAnsi="Calibri" w:cs="Times New Roman"/>
                <w:sz w:val="20"/>
                <w:szCs w:val="20"/>
              </w:rPr>
            </w:pPr>
            <w:r>
              <w:rPr>
                <w:rFonts w:ascii="Calibri" w:eastAsia="Times New Roman" w:hAnsi="Calibri" w:cs="Times New Roman"/>
                <w:sz w:val="20"/>
                <w:szCs w:val="20"/>
              </w:rPr>
              <w:t>17,109,816</w:t>
            </w:r>
          </w:p>
        </w:tc>
        <w:tc>
          <w:tcPr>
            <w:tcW w:w="981" w:type="pct"/>
          </w:tcPr>
          <w:p w14:paraId="379BB7EB" w14:textId="77777777"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2"/>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6AFFC074" w14:textId="77777777" w:rsidTr="00224F9C">
        <w:tblPrEx>
          <w:shd w:val="clear" w:color="auto" w:fill="auto"/>
        </w:tblPrEx>
        <w:trPr>
          <w:trHeight w:val="368"/>
        </w:trPr>
        <w:tc>
          <w:tcPr>
            <w:tcW w:w="799" w:type="pct"/>
            <w:gridSpan w:val="2"/>
            <w:vMerge w:val="restart"/>
          </w:tcPr>
          <w:p w14:paraId="47CD7583" w14:textId="77777777"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Other Partners involved:</w:t>
            </w:r>
          </w:p>
        </w:tc>
        <w:tc>
          <w:tcPr>
            <w:tcW w:w="743" w:type="pct"/>
            <w:vMerge w:val="restart"/>
            <w:vAlign w:val="center"/>
          </w:tcPr>
          <w:p w14:paraId="3021F7EF" w14:textId="77777777" w:rsidR="00D6638C" w:rsidRDefault="00591997"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UN Environment,</w:t>
            </w:r>
          </w:p>
          <w:p w14:paraId="22316165" w14:textId="77777777" w:rsidR="00591997" w:rsidRDefault="00591997"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GRID Arendal,</w:t>
            </w:r>
          </w:p>
          <w:p w14:paraId="5B7223CD" w14:textId="77777777" w:rsidR="00591997" w:rsidRPr="00D6638C" w:rsidRDefault="00591997" w:rsidP="00591997">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CI, GWP, ICPDR, International River Foundation, IUCN, The Nature Conservancy, UNECE, UNESCO-WWAP, UNIDO, UNESCO-IHP, </w:t>
            </w:r>
            <w:r>
              <w:rPr>
                <w:rFonts w:ascii="Calibri" w:eastAsia="Times New Roman" w:hAnsi="Calibri" w:cs="Times New Roman"/>
                <w:color w:val="000000"/>
                <w:sz w:val="20"/>
                <w:szCs w:val="20"/>
              </w:rPr>
              <w:lastRenderedPageBreak/>
              <w:t>WWF</w:t>
            </w:r>
          </w:p>
        </w:tc>
        <w:tc>
          <w:tcPr>
            <w:tcW w:w="2477" w:type="pct"/>
            <w:gridSpan w:val="3"/>
          </w:tcPr>
          <w:p w14:paraId="44D44D95" w14:textId="77777777" w:rsidR="00D6638C" w:rsidRPr="00D6638C" w:rsidRDefault="00D6638C" w:rsidP="00D6638C">
            <w:pPr>
              <w:tabs>
                <w:tab w:val="right" w:pos="0"/>
              </w:tabs>
              <w:spacing w:after="0"/>
              <w:jc w:val="right"/>
              <w:rPr>
                <w:rFonts w:ascii="Calibri" w:eastAsia="Times New Roman" w:hAnsi="Calibri" w:cs="Times New Roman"/>
                <w:sz w:val="20"/>
                <w:szCs w:val="20"/>
              </w:rPr>
            </w:pPr>
            <w:r w:rsidRPr="00D6638C">
              <w:rPr>
                <w:rFonts w:ascii="Calibri" w:eastAsia="Times New Roman" w:hAnsi="Calibri" w:cs="Times New Roman"/>
                <w:color w:val="000000"/>
                <w:sz w:val="20"/>
                <w:szCs w:val="20"/>
              </w:rPr>
              <w:lastRenderedPageBreak/>
              <w:t xml:space="preserve">ProDoc Signature (date project began): </w:t>
            </w:r>
          </w:p>
        </w:tc>
        <w:tc>
          <w:tcPr>
            <w:tcW w:w="981" w:type="pct"/>
            <w:vAlign w:val="center"/>
          </w:tcPr>
          <w:p w14:paraId="1FB12C5D" w14:textId="77777777" w:rsidR="00D6638C" w:rsidRPr="00D6638C" w:rsidRDefault="00591997"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16 March 2016</w:t>
            </w:r>
          </w:p>
        </w:tc>
      </w:tr>
      <w:tr w:rsidR="00D6638C" w:rsidRPr="00D6638C" w14:paraId="4EB62122" w14:textId="77777777" w:rsidTr="00224F9C">
        <w:tblPrEx>
          <w:shd w:val="clear" w:color="auto" w:fill="auto"/>
        </w:tblPrEx>
        <w:trPr>
          <w:trHeight w:val="144"/>
        </w:trPr>
        <w:tc>
          <w:tcPr>
            <w:tcW w:w="799" w:type="pct"/>
            <w:gridSpan w:val="2"/>
            <w:vMerge/>
            <w:vAlign w:val="center"/>
          </w:tcPr>
          <w:p w14:paraId="708705B8" w14:textId="77777777" w:rsidR="00D6638C" w:rsidRPr="00D6638C" w:rsidRDefault="00D6638C" w:rsidP="00D6638C">
            <w:pPr>
              <w:spacing w:after="0"/>
              <w:rPr>
                <w:rFonts w:ascii="Calibri" w:eastAsia="Arial Unicode MS" w:hAnsi="Calibri" w:cs="Times New Roman"/>
                <w:sz w:val="20"/>
                <w:szCs w:val="20"/>
              </w:rPr>
            </w:pPr>
          </w:p>
        </w:tc>
        <w:tc>
          <w:tcPr>
            <w:tcW w:w="743" w:type="pct"/>
            <w:vMerge/>
          </w:tcPr>
          <w:p w14:paraId="06F34D1F" w14:textId="77777777" w:rsidR="00D6638C" w:rsidRPr="00D6638C" w:rsidRDefault="00D6638C" w:rsidP="00D6638C">
            <w:pPr>
              <w:tabs>
                <w:tab w:val="right" w:pos="0"/>
              </w:tabs>
              <w:spacing w:after="0"/>
              <w:jc w:val="center"/>
              <w:rPr>
                <w:rFonts w:ascii="Calibri" w:eastAsia="Times New Roman" w:hAnsi="Calibri" w:cs="Times New Roman"/>
                <w:sz w:val="20"/>
                <w:szCs w:val="20"/>
              </w:rPr>
            </w:pPr>
          </w:p>
        </w:tc>
        <w:tc>
          <w:tcPr>
            <w:tcW w:w="1594" w:type="pct"/>
            <w:gridSpan w:val="2"/>
          </w:tcPr>
          <w:p w14:paraId="3EE259AE"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Date:</w:t>
            </w:r>
          </w:p>
        </w:tc>
        <w:tc>
          <w:tcPr>
            <w:tcW w:w="883" w:type="pct"/>
          </w:tcPr>
          <w:p w14:paraId="0C9743A0" w14:textId="77777777"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Proposed:</w:t>
            </w:r>
          </w:p>
          <w:p w14:paraId="220A1BAE" w14:textId="77777777" w:rsidR="00D6638C" w:rsidRPr="00D6638C" w:rsidRDefault="00591997"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16 March 2020</w:t>
            </w:r>
          </w:p>
        </w:tc>
        <w:tc>
          <w:tcPr>
            <w:tcW w:w="981" w:type="pct"/>
          </w:tcPr>
          <w:p w14:paraId="78D4B1C8" w14:textId="77777777"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color w:val="000000"/>
                <w:sz w:val="20"/>
                <w:szCs w:val="20"/>
              </w:rPr>
              <w:t>Actual:</w:t>
            </w:r>
          </w:p>
          <w:p w14:paraId="12B5421E" w14:textId="77777777" w:rsidR="00D6638C" w:rsidRPr="00D6638C" w:rsidRDefault="00591997"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16 March 2020</w:t>
            </w:r>
          </w:p>
        </w:tc>
      </w:tr>
    </w:tbl>
    <w:p w14:paraId="3C2203F2" w14:textId="77777777" w:rsidR="000C7B2D" w:rsidRDefault="000C7B2D" w:rsidP="00F05366">
      <w:pPr>
        <w:pStyle w:val="Heading51"/>
      </w:pPr>
      <w:bookmarkStart w:id="4" w:name="_Toc321341549"/>
      <w:r>
        <w:lastRenderedPageBreak/>
        <w:t>LME:LEARN</w:t>
      </w: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66"/>
        <w:gridCol w:w="655"/>
        <w:gridCol w:w="1415"/>
        <w:gridCol w:w="2672"/>
        <w:gridCol w:w="364"/>
        <w:gridCol w:w="1682"/>
        <w:gridCol w:w="1868"/>
      </w:tblGrid>
      <w:tr w:rsidR="000C7B2D" w:rsidRPr="00D6638C" w14:paraId="08AAF7E1" w14:textId="77777777" w:rsidTr="000C7B2D">
        <w:trPr>
          <w:trHeight w:val="359"/>
        </w:trPr>
        <w:tc>
          <w:tcPr>
            <w:tcW w:w="455" w:type="pct"/>
            <w:shd w:val="clear" w:color="auto" w:fill="7F7F7F"/>
            <w:vAlign w:val="center"/>
          </w:tcPr>
          <w:p w14:paraId="7FFE38A5" w14:textId="77777777" w:rsidR="000C7B2D" w:rsidRPr="00D6638C" w:rsidRDefault="000C7B2D" w:rsidP="000C7B2D">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45" w:type="pct"/>
            <w:gridSpan w:val="6"/>
            <w:shd w:val="clear" w:color="auto" w:fill="FFFFFF"/>
            <w:vAlign w:val="center"/>
          </w:tcPr>
          <w:p w14:paraId="56D01B0F" w14:textId="77777777" w:rsidR="000C7B2D" w:rsidRPr="00D6638C" w:rsidRDefault="000C7B2D" w:rsidP="000C7B2D">
            <w:pPr>
              <w:spacing w:after="0"/>
              <w:contextualSpacing/>
              <w:rPr>
                <w:rFonts w:ascii="Calibri" w:eastAsia="Times New Roman" w:hAnsi="Calibri" w:cs="Calibri"/>
                <w:bCs/>
                <w:sz w:val="20"/>
                <w:szCs w:val="20"/>
              </w:rPr>
            </w:pPr>
            <w:r w:rsidRPr="000C7B2D">
              <w:rPr>
                <w:rFonts w:cs="Times New Roman"/>
              </w:rPr>
              <w:t>Strengthening Global Governance of Large Marine Ecosystems and Their Coasts through Enhanced Sharing and</w:t>
            </w:r>
            <w:r w:rsidRPr="00E1477B">
              <w:rPr>
                <w:rFonts w:cs="Times New Roman"/>
                <w:b/>
              </w:rPr>
              <w:t xml:space="preserve"> </w:t>
            </w:r>
            <w:r w:rsidRPr="000C7B2D">
              <w:rPr>
                <w:rFonts w:cs="Times New Roman"/>
              </w:rPr>
              <w:t>Application of LME/ICM/MPA Knowledge and Information Tools</w:t>
            </w:r>
          </w:p>
        </w:tc>
      </w:tr>
      <w:tr w:rsidR="000C7B2D" w:rsidRPr="00D6638C" w14:paraId="088DF7C1" w14:textId="77777777" w:rsidTr="000C7B2D">
        <w:tblPrEx>
          <w:shd w:val="clear" w:color="auto" w:fill="auto"/>
        </w:tblPrEx>
        <w:trPr>
          <w:trHeight w:val="553"/>
        </w:trPr>
        <w:tc>
          <w:tcPr>
            <w:tcW w:w="799" w:type="pct"/>
            <w:gridSpan w:val="2"/>
          </w:tcPr>
          <w:p w14:paraId="21F415A8" w14:textId="77777777" w:rsidR="000C7B2D" w:rsidRPr="00D6638C" w:rsidRDefault="000C7B2D" w:rsidP="000C7B2D">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743" w:type="pct"/>
            <w:vAlign w:val="center"/>
          </w:tcPr>
          <w:p w14:paraId="2BEF9A3C" w14:textId="77777777" w:rsidR="000C7B2D" w:rsidRPr="00D6638C" w:rsidRDefault="000C7B2D" w:rsidP="000C7B2D">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5278</w:t>
            </w:r>
          </w:p>
        </w:tc>
        <w:tc>
          <w:tcPr>
            <w:tcW w:w="1403" w:type="pct"/>
          </w:tcPr>
          <w:p w14:paraId="21FCBF39" w14:textId="77777777" w:rsidR="000C7B2D" w:rsidRPr="00D6638C" w:rsidRDefault="000C7B2D" w:rsidP="000C7B2D">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1074" w:type="pct"/>
            <w:gridSpan w:val="2"/>
          </w:tcPr>
          <w:p w14:paraId="7840B5DC" w14:textId="77777777" w:rsidR="000C7B2D" w:rsidRPr="00D6638C" w:rsidRDefault="000C7B2D" w:rsidP="000C7B2D">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981" w:type="pct"/>
          </w:tcPr>
          <w:p w14:paraId="658DB60D" w14:textId="77777777" w:rsidR="000C7B2D" w:rsidRPr="00D6638C" w:rsidRDefault="000C7B2D" w:rsidP="000C7B2D">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(Million US$)</w:t>
            </w:r>
          </w:p>
        </w:tc>
      </w:tr>
      <w:tr w:rsidR="000C7B2D" w:rsidRPr="00D6638C" w14:paraId="0B580B7F" w14:textId="77777777" w:rsidTr="000C7B2D">
        <w:tblPrEx>
          <w:shd w:val="clear" w:color="auto" w:fill="auto"/>
        </w:tblPrEx>
        <w:trPr>
          <w:trHeight w:val="278"/>
        </w:trPr>
        <w:tc>
          <w:tcPr>
            <w:tcW w:w="799" w:type="pct"/>
            <w:gridSpan w:val="2"/>
          </w:tcPr>
          <w:p w14:paraId="49665139" w14:textId="77777777" w:rsidR="000C7B2D" w:rsidRPr="00D6638C" w:rsidRDefault="000C7B2D" w:rsidP="000C7B2D">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UNDP Project ID:</w:t>
            </w:r>
          </w:p>
        </w:tc>
        <w:tc>
          <w:tcPr>
            <w:tcW w:w="743" w:type="pct"/>
            <w:vAlign w:val="center"/>
          </w:tcPr>
          <w:p w14:paraId="7546D4B1" w14:textId="77777777" w:rsidR="000C7B2D" w:rsidRPr="00D6638C" w:rsidRDefault="000C7B2D" w:rsidP="000C7B2D">
            <w:pPr>
              <w:tabs>
                <w:tab w:val="right" w:pos="0"/>
              </w:tabs>
              <w:spacing w:after="0"/>
              <w:rPr>
                <w:rFonts w:ascii="Calibri" w:eastAsia="Times New Roman" w:hAnsi="Calibri" w:cs="Times New Roman"/>
                <w:bCs/>
                <w:color w:val="000000"/>
                <w:sz w:val="20"/>
                <w:szCs w:val="20"/>
              </w:rPr>
            </w:pPr>
            <w:r>
              <w:rPr>
                <w:rFonts w:ascii="Calibri" w:eastAsia="Times New Roman" w:hAnsi="Calibri" w:cs="Times New Roman"/>
                <w:sz w:val="20"/>
                <w:szCs w:val="20"/>
              </w:rPr>
              <w:t>4481</w:t>
            </w:r>
          </w:p>
        </w:tc>
        <w:tc>
          <w:tcPr>
            <w:tcW w:w="1403" w:type="pct"/>
          </w:tcPr>
          <w:p w14:paraId="395A741A" w14:textId="77777777" w:rsidR="000C7B2D" w:rsidRPr="00D6638C" w:rsidRDefault="000C7B2D" w:rsidP="000C7B2D">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 xml:space="preserve">GEF financing: </w:t>
            </w:r>
          </w:p>
        </w:tc>
        <w:tc>
          <w:tcPr>
            <w:tcW w:w="1074" w:type="pct"/>
            <w:gridSpan w:val="2"/>
            <w:vAlign w:val="center"/>
          </w:tcPr>
          <w:p w14:paraId="5E24CF34" w14:textId="77777777" w:rsidR="000C7B2D" w:rsidRPr="00D6638C" w:rsidRDefault="000C7B2D" w:rsidP="000C7B2D">
            <w:pPr>
              <w:spacing w:after="0"/>
              <w:rPr>
                <w:rFonts w:ascii="Calibri" w:eastAsia="Arial Unicode MS" w:hAnsi="Calibri" w:cs="Times New Roman"/>
                <w:sz w:val="20"/>
                <w:szCs w:val="20"/>
              </w:rPr>
            </w:pPr>
            <w:r>
              <w:rPr>
                <w:rFonts w:ascii="Calibri" w:eastAsia="Times New Roman" w:hAnsi="Calibri" w:cs="Times New Roman"/>
                <w:sz w:val="20"/>
                <w:szCs w:val="20"/>
              </w:rPr>
              <w:t>2,500,000</w:t>
            </w:r>
          </w:p>
        </w:tc>
        <w:tc>
          <w:tcPr>
            <w:tcW w:w="981" w:type="pct"/>
          </w:tcPr>
          <w:p w14:paraId="452DDBDA" w14:textId="77777777" w:rsidR="000C7B2D" w:rsidRPr="00D6638C" w:rsidRDefault="000C7B2D" w:rsidP="000C7B2D">
            <w:pPr>
              <w:spacing w:after="0"/>
              <w:jc w:val="both"/>
              <w:rPr>
                <w:rFonts w:ascii="Calibri" w:eastAsia="Arial Unicode MS" w:hAnsi="Calibri" w:cs="Times New Roman"/>
                <w:sz w:val="20"/>
                <w:szCs w:val="20"/>
              </w:rPr>
            </w:pPr>
          </w:p>
        </w:tc>
      </w:tr>
      <w:tr w:rsidR="000C7B2D" w:rsidRPr="00D6638C" w14:paraId="1D23BB85" w14:textId="77777777" w:rsidTr="000C7B2D">
        <w:tblPrEx>
          <w:shd w:val="clear" w:color="auto" w:fill="auto"/>
        </w:tblPrEx>
        <w:trPr>
          <w:trHeight w:val="269"/>
        </w:trPr>
        <w:tc>
          <w:tcPr>
            <w:tcW w:w="799" w:type="pct"/>
            <w:gridSpan w:val="2"/>
          </w:tcPr>
          <w:p w14:paraId="4BBDBDAF" w14:textId="77777777" w:rsidR="000C7B2D" w:rsidRPr="00D6638C" w:rsidRDefault="000C7B2D" w:rsidP="000C7B2D">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Country:</w:t>
            </w:r>
          </w:p>
        </w:tc>
        <w:tc>
          <w:tcPr>
            <w:tcW w:w="743" w:type="pct"/>
            <w:vAlign w:val="center"/>
          </w:tcPr>
          <w:p w14:paraId="4922C568" w14:textId="77777777" w:rsidR="000C7B2D" w:rsidRPr="00D6638C" w:rsidRDefault="000C7B2D" w:rsidP="000C7B2D">
            <w:pPr>
              <w:tabs>
                <w:tab w:val="right" w:pos="0"/>
              </w:tabs>
              <w:spacing w:after="0"/>
              <w:rPr>
                <w:rFonts w:ascii="Calibri" w:eastAsia="Times New Roman" w:hAnsi="Calibri" w:cs="Times New Roman"/>
                <w:color w:val="000000"/>
                <w:sz w:val="20"/>
                <w:szCs w:val="20"/>
              </w:rPr>
            </w:pPr>
          </w:p>
        </w:tc>
        <w:tc>
          <w:tcPr>
            <w:tcW w:w="1403" w:type="pct"/>
          </w:tcPr>
          <w:p w14:paraId="55FBF0A9" w14:textId="77777777" w:rsidR="000C7B2D" w:rsidRPr="00D6638C" w:rsidRDefault="000C7B2D" w:rsidP="000C7B2D">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IA/EA own:</w:t>
            </w:r>
          </w:p>
        </w:tc>
        <w:tc>
          <w:tcPr>
            <w:tcW w:w="1074" w:type="pct"/>
            <w:gridSpan w:val="2"/>
            <w:vAlign w:val="center"/>
          </w:tcPr>
          <w:p w14:paraId="3D4C60FB" w14:textId="1983A469" w:rsidR="000C7B2D" w:rsidRPr="00D6638C" w:rsidRDefault="00247925" w:rsidP="00247925">
            <w:pPr>
              <w:spacing w:after="0"/>
              <w:rPr>
                <w:rFonts w:ascii="Calibri" w:eastAsia="Arial Unicode MS" w:hAnsi="Calibri" w:cs="Times New Roman"/>
                <w:sz w:val="20"/>
                <w:szCs w:val="20"/>
              </w:rPr>
            </w:pPr>
            <w:r>
              <w:rPr>
                <w:rFonts w:ascii="Calibri" w:eastAsia="Times New Roman" w:hAnsi="Calibri" w:cs="Times New Roman"/>
                <w:sz w:val="20"/>
                <w:szCs w:val="20"/>
              </w:rPr>
              <w:t>3,530,500</w:t>
            </w:r>
          </w:p>
        </w:tc>
        <w:tc>
          <w:tcPr>
            <w:tcW w:w="981" w:type="pct"/>
          </w:tcPr>
          <w:p w14:paraId="36315201" w14:textId="1B520A04" w:rsidR="000C7B2D" w:rsidRPr="00D6638C" w:rsidRDefault="00247925" w:rsidP="000C7B2D">
            <w:pPr>
              <w:spacing w:after="0"/>
              <w:jc w:val="both"/>
              <w:rPr>
                <w:rFonts w:ascii="Calibri" w:eastAsia="Arial Unicode MS" w:hAnsi="Calibri" w:cs="Times New Roman"/>
                <w:sz w:val="20"/>
                <w:szCs w:val="20"/>
              </w:rPr>
            </w:pPr>
            <w:r>
              <w:rPr>
                <w:rFonts w:ascii="Calibri" w:eastAsia="Times New Roman" w:hAnsi="Calibri" w:cs="Times New Roman"/>
                <w:sz w:val="20"/>
                <w:szCs w:val="20"/>
              </w:rPr>
              <w:t>3,183,070</w:t>
            </w:r>
          </w:p>
        </w:tc>
      </w:tr>
      <w:tr w:rsidR="000C7B2D" w:rsidRPr="00D6638C" w14:paraId="5D093954" w14:textId="77777777" w:rsidTr="000C7B2D">
        <w:tblPrEx>
          <w:shd w:val="clear" w:color="auto" w:fill="auto"/>
        </w:tblPrEx>
        <w:trPr>
          <w:trHeight w:val="296"/>
        </w:trPr>
        <w:tc>
          <w:tcPr>
            <w:tcW w:w="799" w:type="pct"/>
            <w:gridSpan w:val="2"/>
          </w:tcPr>
          <w:p w14:paraId="7EDD97E8" w14:textId="77777777" w:rsidR="000C7B2D" w:rsidRPr="00D6638C" w:rsidRDefault="000C7B2D" w:rsidP="000C7B2D">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743" w:type="pct"/>
            <w:vAlign w:val="center"/>
          </w:tcPr>
          <w:p w14:paraId="1619A123" w14:textId="77777777" w:rsidR="000C7B2D" w:rsidRPr="00D6638C" w:rsidRDefault="00520223" w:rsidP="000C7B2D">
            <w:pPr>
              <w:tabs>
                <w:tab w:val="right" w:pos="0"/>
              </w:tabs>
              <w:spacing w:after="0"/>
              <w:rPr>
                <w:rFonts w:ascii="Calibri" w:eastAsia="Times New Roman" w:hAnsi="Calibri" w:cs="Times New Roman"/>
                <w:sz w:val="20"/>
                <w:szCs w:val="20"/>
                <w:lang w:val="es-ES_tradnl"/>
              </w:rPr>
            </w:pPr>
            <w:r>
              <w:rPr>
                <w:rFonts w:ascii="Calibri" w:eastAsia="Times New Roman" w:hAnsi="Calibri" w:cs="Times New Roman"/>
                <w:sz w:val="20"/>
                <w:szCs w:val="20"/>
              </w:rPr>
              <w:t>Global</w:t>
            </w:r>
          </w:p>
        </w:tc>
        <w:tc>
          <w:tcPr>
            <w:tcW w:w="1403" w:type="pct"/>
          </w:tcPr>
          <w:p w14:paraId="704766F2" w14:textId="77777777" w:rsidR="000C7B2D" w:rsidRPr="00D6638C" w:rsidRDefault="000C7B2D" w:rsidP="000C7B2D">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Government:</w:t>
            </w:r>
          </w:p>
        </w:tc>
        <w:tc>
          <w:tcPr>
            <w:tcW w:w="1074" w:type="pct"/>
            <w:gridSpan w:val="2"/>
            <w:vAlign w:val="center"/>
          </w:tcPr>
          <w:p w14:paraId="7E454AB2" w14:textId="77777777" w:rsidR="000C7B2D" w:rsidRPr="00D6638C" w:rsidRDefault="000C7B2D" w:rsidP="000C7B2D">
            <w:pPr>
              <w:spacing w:after="0"/>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981" w:type="pct"/>
          </w:tcPr>
          <w:p w14:paraId="434F8760" w14:textId="77777777" w:rsidR="000C7B2D" w:rsidRPr="00D6638C" w:rsidRDefault="000C7B2D" w:rsidP="000C7B2D">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0C7B2D" w:rsidRPr="00D6638C" w14:paraId="12829B77" w14:textId="77777777" w:rsidTr="000C7B2D">
        <w:tblPrEx>
          <w:shd w:val="clear" w:color="auto" w:fill="auto"/>
        </w:tblPrEx>
        <w:trPr>
          <w:trHeight w:val="314"/>
        </w:trPr>
        <w:tc>
          <w:tcPr>
            <w:tcW w:w="799" w:type="pct"/>
            <w:gridSpan w:val="2"/>
          </w:tcPr>
          <w:p w14:paraId="45E921FC" w14:textId="77777777" w:rsidR="000C7B2D" w:rsidRPr="00D6638C" w:rsidRDefault="000C7B2D" w:rsidP="000C7B2D">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743" w:type="pct"/>
            <w:vAlign w:val="center"/>
          </w:tcPr>
          <w:p w14:paraId="1BC98B8D" w14:textId="77777777" w:rsidR="000C7B2D" w:rsidRPr="00D6638C" w:rsidRDefault="00520223" w:rsidP="000C7B2D">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International Waters</w:t>
            </w:r>
          </w:p>
        </w:tc>
        <w:tc>
          <w:tcPr>
            <w:tcW w:w="1403" w:type="pct"/>
          </w:tcPr>
          <w:p w14:paraId="1DFB733F" w14:textId="77777777" w:rsidR="000C7B2D" w:rsidRPr="00D6638C" w:rsidRDefault="000C7B2D" w:rsidP="000C7B2D">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Other:</w:t>
            </w:r>
          </w:p>
        </w:tc>
        <w:tc>
          <w:tcPr>
            <w:tcW w:w="1074" w:type="pct"/>
            <w:gridSpan w:val="2"/>
            <w:vAlign w:val="center"/>
          </w:tcPr>
          <w:p w14:paraId="5280F541" w14:textId="21EED139" w:rsidR="000C7B2D" w:rsidRPr="00D6638C" w:rsidRDefault="00247925" w:rsidP="000C7B2D">
            <w:pPr>
              <w:spacing w:after="0"/>
              <w:rPr>
                <w:rFonts w:ascii="Calibri" w:eastAsia="Times New Roman" w:hAnsi="Calibri" w:cs="Times New Roman"/>
                <w:sz w:val="20"/>
                <w:szCs w:val="20"/>
              </w:rPr>
            </w:pPr>
            <w:r w:rsidRPr="00247925">
              <w:rPr>
                <w:rFonts w:ascii="Calibri" w:eastAsia="Times New Roman" w:hAnsi="Calibri" w:cs="Times New Roman"/>
                <w:sz w:val="20"/>
                <w:szCs w:val="20"/>
              </w:rPr>
              <w:t>9</w:t>
            </w:r>
            <w:r>
              <w:rPr>
                <w:rFonts w:ascii="Calibri" w:eastAsia="Times New Roman" w:hAnsi="Calibri" w:cs="Times New Roman"/>
                <w:sz w:val="20"/>
                <w:szCs w:val="20"/>
              </w:rPr>
              <w:t>,</w:t>
            </w:r>
            <w:r w:rsidRPr="00247925">
              <w:rPr>
                <w:rFonts w:ascii="Calibri" w:eastAsia="Times New Roman" w:hAnsi="Calibri" w:cs="Times New Roman"/>
                <w:sz w:val="20"/>
                <w:szCs w:val="20"/>
              </w:rPr>
              <w:t>824</w:t>
            </w:r>
            <w:r>
              <w:rPr>
                <w:rFonts w:ascii="Calibri" w:eastAsia="Times New Roman" w:hAnsi="Calibri" w:cs="Times New Roman"/>
                <w:sz w:val="20"/>
                <w:szCs w:val="20"/>
              </w:rPr>
              <w:t>,</w:t>
            </w:r>
            <w:r w:rsidRPr="00247925">
              <w:rPr>
                <w:rFonts w:ascii="Calibri" w:eastAsia="Times New Roman" w:hAnsi="Calibri" w:cs="Times New Roman"/>
                <w:sz w:val="20"/>
                <w:szCs w:val="20"/>
              </w:rPr>
              <w:t>099</w:t>
            </w:r>
          </w:p>
        </w:tc>
        <w:tc>
          <w:tcPr>
            <w:tcW w:w="981" w:type="pct"/>
          </w:tcPr>
          <w:p w14:paraId="384D8F63" w14:textId="328E42E3" w:rsidR="000C7B2D" w:rsidRPr="00D6638C" w:rsidRDefault="00247925" w:rsidP="000C7B2D">
            <w:pPr>
              <w:spacing w:after="0"/>
              <w:jc w:val="both"/>
              <w:rPr>
                <w:rFonts w:ascii="Calibri" w:eastAsia="Times New Roman" w:hAnsi="Calibri" w:cs="Times New Roman"/>
                <w:sz w:val="20"/>
                <w:szCs w:val="20"/>
              </w:rPr>
            </w:pPr>
            <w:r>
              <w:rPr>
                <w:rFonts w:ascii="Calibri" w:eastAsia="Times New Roman" w:hAnsi="Calibri" w:cs="Times New Roman"/>
                <w:sz w:val="20"/>
                <w:szCs w:val="20"/>
              </w:rPr>
              <w:t>1,868,249</w:t>
            </w:r>
          </w:p>
        </w:tc>
      </w:tr>
      <w:tr w:rsidR="000C7B2D" w:rsidRPr="00D6638C" w14:paraId="3DF0BF3A" w14:textId="77777777" w:rsidTr="000C7B2D">
        <w:tblPrEx>
          <w:shd w:val="clear" w:color="auto" w:fill="auto"/>
        </w:tblPrEx>
        <w:trPr>
          <w:trHeight w:val="553"/>
        </w:trPr>
        <w:tc>
          <w:tcPr>
            <w:tcW w:w="799" w:type="pct"/>
            <w:gridSpan w:val="2"/>
          </w:tcPr>
          <w:p w14:paraId="3792D72F" w14:textId="77777777" w:rsidR="000C7B2D" w:rsidRPr="00D6638C" w:rsidRDefault="000C7B2D" w:rsidP="000C7B2D">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FA Objectives, (OP/SP):</w:t>
            </w:r>
          </w:p>
        </w:tc>
        <w:tc>
          <w:tcPr>
            <w:tcW w:w="743" w:type="pct"/>
            <w:vAlign w:val="center"/>
          </w:tcPr>
          <w:p w14:paraId="1755ED55" w14:textId="77777777" w:rsidR="000C7B2D" w:rsidRPr="00D6638C" w:rsidRDefault="000C7B2D" w:rsidP="000C7B2D">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1403" w:type="pct"/>
          </w:tcPr>
          <w:p w14:paraId="567EA5C0" w14:textId="77777777" w:rsidR="000C7B2D" w:rsidRPr="00D6638C" w:rsidRDefault="000C7B2D" w:rsidP="000C7B2D">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Total co-financing:</w:t>
            </w:r>
          </w:p>
        </w:tc>
        <w:tc>
          <w:tcPr>
            <w:tcW w:w="1074" w:type="pct"/>
            <w:gridSpan w:val="2"/>
            <w:vAlign w:val="center"/>
          </w:tcPr>
          <w:p w14:paraId="53A9A8B7" w14:textId="77777777" w:rsidR="000C7B2D" w:rsidRPr="00D6638C" w:rsidRDefault="00520223" w:rsidP="000C7B2D">
            <w:pPr>
              <w:spacing w:after="0"/>
              <w:rPr>
                <w:rFonts w:ascii="Calibri" w:eastAsia="Arial Unicode MS" w:hAnsi="Calibri" w:cs="Times New Roman"/>
                <w:sz w:val="20"/>
                <w:szCs w:val="20"/>
              </w:rPr>
            </w:pPr>
            <w:r>
              <w:rPr>
                <w:rFonts w:ascii="Calibri" w:eastAsia="Times New Roman" w:hAnsi="Calibri" w:cs="Times New Roman"/>
                <w:sz w:val="20"/>
                <w:szCs w:val="20"/>
              </w:rPr>
              <w:t>13,354,599</w:t>
            </w:r>
          </w:p>
        </w:tc>
        <w:tc>
          <w:tcPr>
            <w:tcW w:w="981" w:type="pct"/>
          </w:tcPr>
          <w:p w14:paraId="2EBA58E3" w14:textId="63A6C9F5" w:rsidR="000C7B2D" w:rsidRPr="00D6638C" w:rsidRDefault="00247925" w:rsidP="00247925">
            <w:pPr>
              <w:spacing w:after="0"/>
              <w:jc w:val="both"/>
              <w:rPr>
                <w:rFonts w:ascii="Calibri" w:eastAsia="Times New Roman" w:hAnsi="Calibri" w:cs="Times New Roman"/>
                <w:sz w:val="20"/>
                <w:szCs w:val="20"/>
              </w:rPr>
            </w:pPr>
            <w:r>
              <w:rPr>
                <w:rFonts w:ascii="Calibri" w:eastAsia="Times New Roman" w:hAnsi="Calibri" w:cs="Times New Roman"/>
                <w:sz w:val="20"/>
                <w:szCs w:val="20"/>
              </w:rPr>
              <w:t>5,051,319</w:t>
            </w:r>
          </w:p>
        </w:tc>
      </w:tr>
      <w:tr w:rsidR="000C7B2D" w:rsidRPr="00D6638C" w14:paraId="5006264A" w14:textId="77777777" w:rsidTr="000C7B2D">
        <w:tblPrEx>
          <w:shd w:val="clear" w:color="auto" w:fill="auto"/>
        </w:tblPrEx>
        <w:trPr>
          <w:trHeight w:val="341"/>
        </w:trPr>
        <w:tc>
          <w:tcPr>
            <w:tcW w:w="799" w:type="pct"/>
            <w:gridSpan w:val="2"/>
          </w:tcPr>
          <w:p w14:paraId="57E4E7D7" w14:textId="77777777" w:rsidR="000C7B2D" w:rsidRPr="00D6638C" w:rsidRDefault="000C7B2D" w:rsidP="000C7B2D">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743" w:type="pct"/>
            <w:vAlign w:val="center"/>
          </w:tcPr>
          <w:p w14:paraId="039EFFCC" w14:textId="77777777" w:rsidR="000C7B2D" w:rsidRPr="00D6638C" w:rsidRDefault="00520223" w:rsidP="000C7B2D">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IOC/UNESCO</w:t>
            </w:r>
          </w:p>
        </w:tc>
        <w:tc>
          <w:tcPr>
            <w:tcW w:w="1403" w:type="pct"/>
          </w:tcPr>
          <w:p w14:paraId="05C7DCAD" w14:textId="77777777" w:rsidR="000C7B2D" w:rsidRPr="00D6638C" w:rsidRDefault="000C7B2D" w:rsidP="000C7B2D">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Total Project Cost:</w:t>
            </w:r>
          </w:p>
        </w:tc>
        <w:tc>
          <w:tcPr>
            <w:tcW w:w="1074" w:type="pct"/>
            <w:gridSpan w:val="2"/>
            <w:vAlign w:val="center"/>
          </w:tcPr>
          <w:p w14:paraId="5F6988BA" w14:textId="77777777" w:rsidR="000C7B2D" w:rsidRPr="00D6638C" w:rsidRDefault="00520223" w:rsidP="000C7B2D">
            <w:pPr>
              <w:spacing w:after="0"/>
              <w:rPr>
                <w:rFonts w:ascii="Calibri" w:eastAsia="Arial Unicode MS" w:hAnsi="Calibri" w:cs="Times New Roman"/>
                <w:sz w:val="20"/>
                <w:szCs w:val="20"/>
              </w:rPr>
            </w:pPr>
            <w:r>
              <w:rPr>
                <w:rFonts w:ascii="Calibri" w:eastAsia="Times New Roman" w:hAnsi="Calibri" w:cs="Times New Roman"/>
                <w:sz w:val="20"/>
                <w:szCs w:val="20"/>
              </w:rPr>
              <w:t>15,854,599</w:t>
            </w:r>
          </w:p>
        </w:tc>
        <w:tc>
          <w:tcPr>
            <w:tcW w:w="981" w:type="pct"/>
          </w:tcPr>
          <w:p w14:paraId="6EAF2408" w14:textId="77777777" w:rsidR="000C7B2D" w:rsidRPr="00D6638C" w:rsidRDefault="000C7B2D" w:rsidP="000C7B2D">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2"/>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0C7B2D" w:rsidRPr="00D6638C" w14:paraId="0AA8393D" w14:textId="77777777" w:rsidTr="000C7B2D">
        <w:tblPrEx>
          <w:shd w:val="clear" w:color="auto" w:fill="auto"/>
        </w:tblPrEx>
        <w:trPr>
          <w:trHeight w:val="368"/>
        </w:trPr>
        <w:tc>
          <w:tcPr>
            <w:tcW w:w="799" w:type="pct"/>
            <w:gridSpan w:val="2"/>
            <w:vMerge w:val="restart"/>
          </w:tcPr>
          <w:p w14:paraId="16F7C791" w14:textId="77777777" w:rsidR="000C7B2D" w:rsidRPr="00D6638C" w:rsidRDefault="000C7B2D" w:rsidP="000C7B2D">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Other Partners involved:</w:t>
            </w:r>
          </w:p>
        </w:tc>
        <w:tc>
          <w:tcPr>
            <w:tcW w:w="743" w:type="pct"/>
            <w:vMerge w:val="restart"/>
            <w:vAlign w:val="center"/>
          </w:tcPr>
          <w:p w14:paraId="3AAFC19E" w14:textId="77777777" w:rsidR="00520223" w:rsidRDefault="00520223" w:rsidP="000C7B2D">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ICES</w:t>
            </w:r>
            <w:r w:rsidR="008F1D8B">
              <w:rPr>
                <w:rFonts w:ascii="Calibri" w:eastAsia="Times New Roman" w:hAnsi="Calibri" w:cs="Times New Roman"/>
                <w:sz w:val="20"/>
                <w:szCs w:val="20"/>
              </w:rPr>
              <w:t xml:space="preserve">, </w:t>
            </w:r>
            <w:r>
              <w:rPr>
                <w:rFonts w:ascii="Calibri" w:eastAsia="Times New Roman" w:hAnsi="Calibri" w:cs="Times New Roman"/>
                <w:color w:val="000000"/>
                <w:sz w:val="20"/>
                <w:szCs w:val="20"/>
              </w:rPr>
              <w:t>NOAA</w:t>
            </w:r>
            <w:r w:rsidR="008F1D8B">
              <w:rPr>
                <w:rFonts w:ascii="Calibri" w:eastAsia="Times New Roman" w:hAnsi="Calibri" w:cs="Times New Roman"/>
                <w:color w:val="000000"/>
                <w:sz w:val="20"/>
                <w:szCs w:val="20"/>
              </w:rPr>
              <w:t>,</w:t>
            </w:r>
          </w:p>
          <w:p w14:paraId="03A3B03B" w14:textId="77777777" w:rsidR="00520223" w:rsidRPr="00D6638C" w:rsidRDefault="00520223" w:rsidP="008F1D8B">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IUCN</w:t>
            </w:r>
            <w:r w:rsidR="008F1D8B">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CI</w:t>
            </w:r>
          </w:p>
        </w:tc>
        <w:tc>
          <w:tcPr>
            <w:tcW w:w="2477" w:type="pct"/>
            <w:gridSpan w:val="3"/>
          </w:tcPr>
          <w:p w14:paraId="39AC7524" w14:textId="77777777" w:rsidR="000C7B2D" w:rsidRPr="00D6638C" w:rsidRDefault="000C7B2D" w:rsidP="000C7B2D">
            <w:pPr>
              <w:tabs>
                <w:tab w:val="right" w:pos="0"/>
              </w:tabs>
              <w:spacing w:after="0"/>
              <w:jc w:val="right"/>
              <w:rPr>
                <w:rFonts w:ascii="Calibri" w:eastAsia="Times New Roman" w:hAnsi="Calibri" w:cs="Times New Roman"/>
                <w:sz w:val="20"/>
                <w:szCs w:val="20"/>
              </w:rPr>
            </w:pPr>
            <w:r w:rsidRPr="00D6638C">
              <w:rPr>
                <w:rFonts w:ascii="Calibri" w:eastAsia="Times New Roman" w:hAnsi="Calibri" w:cs="Times New Roman"/>
                <w:color w:val="000000"/>
                <w:sz w:val="20"/>
                <w:szCs w:val="20"/>
              </w:rPr>
              <w:t xml:space="preserve">ProDoc Signature (date project began): </w:t>
            </w:r>
          </w:p>
        </w:tc>
        <w:tc>
          <w:tcPr>
            <w:tcW w:w="981" w:type="pct"/>
            <w:vAlign w:val="center"/>
          </w:tcPr>
          <w:p w14:paraId="2816B847" w14:textId="77777777" w:rsidR="000C7B2D" w:rsidRPr="00D6638C" w:rsidRDefault="00520223" w:rsidP="000C7B2D">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17 March 2016</w:t>
            </w:r>
          </w:p>
        </w:tc>
      </w:tr>
      <w:tr w:rsidR="000C7B2D" w:rsidRPr="00D6638C" w14:paraId="7B0609A1" w14:textId="77777777" w:rsidTr="000C7B2D">
        <w:tblPrEx>
          <w:shd w:val="clear" w:color="auto" w:fill="auto"/>
        </w:tblPrEx>
        <w:trPr>
          <w:trHeight w:val="144"/>
        </w:trPr>
        <w:tc>
          <w:tcPr>
            <w:tcW w:w="799" w:type="pct"/>
            <w:gridSpan w:val="2"/>
            <w:vMerge/>
            <w:vAlign w:val="center"/>
          </w:tcPr>
          <w:p w14:paraId="72A88A89" w14:textId="77777777" w:rsidR="000C7B2D" w:rsidRPr="00D6638C" w:rsidRDefault="000C7B2D" w:rsidP="000C7B2D">
            <w:pPr>
              <w:spacing w:after="0"/>
              <w:rPr>
                <w:rFonts w:ascii="Calibri" w:eastAsia="Arial Unicode MS" w:hAnsi="Calibri" w:cs="Times New Roman"/>
                <w:sz w:val="20"/>
                <w:szCs w:val="20"/>
              </w:rPr>
            </w:pPr>
          </w:p>
        </w:tc>
        <w:tc>
          <w:tcPr>
            <w:tcW w:w="743" w:type="pct"/>
            <w:vMerge/>
          </w:tcPr>
          <w:p w14:paraId="46D79E82" w14:textId="77777777" w:rsidR="000C7B2D" w:rsidRPr="00D6638C" w:rsidRDefault="000C7B2D" w:rsidP="000C7B2D">
            <w:pPr>
              <w:tabs>
                <w:tab w:val="right" w:pos="0"/>
              </w:tabs>
              <w:spacing w:after="0"/>
              <w:jc w:val="center"/>
              <w:rPr>
                <w:rFonts w:ascii="Calibri" w:eastAsia="Times New Roman" w:hAnsi="Calibri" w:cs="Times New Roman"/>
                <w:sz w:val="20"/>
                <w:szCs w:val="20"/>
              </w:rPr>
            </w:pPr>
          </w:p>
        </w:tc>
        <w:tc>
          <w:tcPr>
            <w:tcW w:w="1594" w:type="pct"/>
            <w:gridSpan w:val="2"/>
          </w:tcPr>
          <w:p w14:paraId="58E8BB10" w14:textId="77777777" w:rsidR="000C7B2D" w:rsidRPr="00D6638C" w:rsidRDefault="000C7B2D" w:rsidP="000C7B2D">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Date:</w:t>
            </w:r>
          </w:p>
        </w:tc>
        <w:tc>
          <w:tcPr>
            <w:tcW w:w="883" w:type="pct"/>
          </w:tcPr>
          <w:p w14:paraId="735D4CD8" w14:textId="77777777" w:rsidR="000C7B2D" w:rsidRPr="00D6638C" w:rsidRDefault="000C7B2D" w:rsidP="000C7B2D">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Proposed:</w:t>
            </w:r>
          </w:p>
          <w:p w14:paraId="5D59FA38" w14:textId="77777777" w:rsidR="000C7B2D" w:rsidRPr="00D6638C" w:rsidRDefault="00520223" w:rsidP="000C7B2D">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17 March 2020</w:t>
            </w:r>
          </w:p>
        </w:tc>
        <w:tc>
          <w:tcPr>
            <w:tcW w:w="981" w:type="pct"/>
          </w:tcPr>
          <w:p w14:paraId="5FE12B01" w14:textId="77777777" w:rsidR="000C7B2D" w:rsidRPr="00D6638C" w:rsidRDefault="000C7B2D" w:rsidP="000C7B2D">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color w:val="000000"/>
                <w:sz w:val="20"/>
                <w:szCs w:val="20"/>
              </w:rPr>
              <w:t>Actual:</w:t>
            </w:r>
          </w:p>
          <w:p w14:paraId="5C3BBE72" w14:textId="77777777" w:rsidR="000C7B2D" w:rsidRPr="00D6638C" w:rsidRDefault="00520223" w:rsidP="000C7B2D">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17 March 2020</w:t>
            </w:r>
          </w:p>
        </w:tc>
      </w:tr>
    </w:tbl>
    <w:p w14:paraId="31AC6D1C" w14:textId="77777777" w:rsidR="000C7B2D" w:rsidRDefault="000C7B2D" w:rsidP="000C7B2D"/>
    <w:p w14:paraId="3EE29C52" w14:textId="77777777" w:rsidR="008F1D8B" w:rsidRPr="008F1D8B" w:rsidRDefault="008F1D8B" w:rsidP="000C7B2D">
      <w:pPr>
        <w:rPr>
          <w:b/>
        </w:rPr>
      </w:pPr>
      <w:r w:rsidRPr="008F1D8B">
        <w:rPr>
          <w:b/>
        </w:rPr>
        <w:t>PROJECT</w:t>
      </w:r>
      <w:r>
        <w:rPr>
          <w:b/>
        </w:rPr>
        <w:t>S</w:t>
      </w:r>
      <w:r w:rsidRPr="008F1D8B">
        <w:rPr>
          <w:b/>
        </w:rPr>
        <w:t xml:space="preserve"> BACKGROUND</w:t>
      </w:r>
    </w:p>
    <w:bookmarkEnd w:id="4"/>
    <w:p w14:paraId="1693C4C4" w14:textId="77777777" w:rsidR="00591997" w:rsidRPr="00591997" w:rsidRDefault="00591997" w:rsidP="00DA6855">
      <w:pPr>
        <w:rPr>
          <w:rFonts w:cstheme="minorHAnsi"/>
          <w:sz w:val="20"/>
          <w:szCs w:val="20"/>
        </w:rPr>
      </w:pPr>
      <w:r w:rsidRPr="00591997">
        <w:rPr>
          <w:rFonts w:cstheme="minorHAnsi"/>
          <w:sz w:val="20"/>
          <w:szCs w:val="20"/>
        </w:rPr>
        <w:t xml:space="preserve">For seventeen years, </w:t>
      </w:r>
      <w:r w:rsidRPr="00591997">
        <w:rPr>
          <w:rFonts w:cstheme="minorHAnsi"/>
          <w:b/>
          <w:sz w:val="20"/>
          <w:szCs w:val="20"/>
        </w:rPr>
        <w:t>IW:LEARN</w:t>
      </w:r>
      <w:r w:rsidRPr="00591997">
        <w:rPr>
          <w:rFonts w:cstheme="minorHAnsi"/>
          <w:sz w:val="20"/>
          <w:szCs w:val="20"/>
        </w:rPr>
        <w:t xml:space="preserve"> has helped strengthen transboundary water management around the globe by collecting and sharing best practices, lessons learned, and innovative solutions to common problems across the GEF International Waters portfolio. The latest round of the project, started in 2016, marks the beginning of the new phase of IW:LEARN and the start of its co-executed sister project, </w:t>
      </w:r>
      <w:r w:rsidRPr="00591997">
        <w:rPr>
          <w:rFonts w:cstheme="minorHAnsi"/>
          <w:b/>
          <w:sz w:val="20"/>
          <w:szCs w:val="20"/>
        </w:rPr>
        <w:t>LME:LEARN</w:t>
      </w:r>
      <w:r w:rsidRPr="00591997">
        <w:rPr>
          <w:rFonts w:cstheme="minorHAnsi"/>
          <w:sz w:val="20"/>
          <w:szCs w:val="20"/>
        </w:rPr>
        <w:t>. Together, the two projects help promote learning among project managers, country officials, implementing agencies, and other partners in GEF International Waters projects.</w:t>
      </w:r>
    </w:p>
    <w:p w14:paraId="3DF057EA" w14:textId="77777777" w:rsidR="00591997" w:rsidRDefault="00591997" w:rsidP="00DA6855">
      <w:pPr>
        <w:rPr>
          <w:rFonts w:cstheme="minorHAnsi"/>
          <w:sz w:val="20"/>
          <w:szCs w:val="20"/>
        </w:rPr>
      </w:pPr>
      <w:r w:rsidRPr="00591997">
        <w:rPr>
          <w:rFonts w:cstheme="minorHAnsi"/>
          <w:sz w:val="20"/>
          <w:szCs w:val="20"/>
        </w:rPr>
        <w:t>Both projects offer a suite of technical and financial assistance that have become standardized as IW:LEARN enters into its seventeenth year of operations. While IW:LEARN provides support to the entire portfolio of GEF International Waters projects, this phase contains additional support aimed at building the capacity of river and lake basin projects in areas such as the water-energy-food nexus, climate change and variability, benefit sharing, legal and institutional support for basin organizations, sustainable infrastructure, and conjunctive management of surface and groundwater. For its part, LME:LEARN will undertake additional activities in support of the marine portfolio. In order to carry out proper regional governance of Large Marine Ecosystem regions, coordination between LME, Marine Protected Area, and Integrated Coastal Management projects will be supported.</w:t>
      </w:r>
    </w:p>
    <w:p w14:paraId="48697523" w14:textId="77777777" w:rsidR="00DA6855" w:rsidRDefault="00DA6855" w:rsidP="00DA6855">
      <w:pPr>
        <w:rPr>
          <w:rFonts w:cstheme="minorHAnsi"/>
          <w:sz w:val="20"/>
          <w:szCs w:val="20"/>
        </w:rPr>
      </w:pPr>
      <w:r>
        <w:rPr>
          <w:rFonts w:cstheme="minorHAnsi"/>
          <w:sz w:val="20"/>
          <w:szCs w:val="20"/>
        </w:rPr>
        <w:t xml:space="preserve">The outcomes of the IW:LEARN are as follows: </w:t>
      </w:r>
    </w:p>
    <w:p w14:paraId="10BFA459" w14:textId="77777777" w:rsidR="00DA6855" w:rsidRPr="00DA6855" w:rsidRDefault="00DA6855" w:rsidP="00DA6855">
      <w:pPr>
        <w:pStyle w:val="NormalWeb"/>
        <w:numPr>
          <w:ilvl w:val="0"/>
          <w:numId w:val="32"/>
        </w:numPr>
        <w:spacing w:line="276" w:lineRule="auto"/>
        <w:rPr>
          <w:rFonts w:asciiTheme="minorHAnsi" w:hAnsiTheme="minorHAnsi" w:cstheme="minorHAnsi"/>
          <w:lang w:val="en-US"/>
        </w:rPr>
      </w:pPr>
      <w:r w:rsidRPr="00DA6855">
        <w:rPr>
          <w:rFonts w:asciiTheme="minorHAnsi" w:hAnsiTheme="minorHAnsi" w:cstheme="minorHAnsi"/>
          <w:b/>
          <w:bCs/>
          <w:sz w:val="20"/>
          <w:szCs w:val="20"/>
          <w:lang w:val="en-US"/>
        </w:rPr>
        <w:t xml:space="preserve">Outcome 1: </w:t>
      </w:r>
      <w:r w:rsidRPr="00DA6855">
        <w:rPr>
          <w:rFonts w:asciiTheme="minorHAnsi" w:hAnsiTheme="minorHAnsi" w:cstheme="minorHAnsi"/>
          <w:sz w:val="20"/>
          <w:szCs w:val="20"/>
          <w:lang w:val="en-US"/>
        </w:rPr>
        <w:t xml:space="preserve">Increased experience sharing and replication of successes throughout and beyond the IW portfolio, as well as enhanced stakeholder buy‐in to GEF IW project interventions </w:t>
      </w:r>
    </w:p>
    <w:p w14:paraId="23109BA3" w14:textId="77777777" w:rsidR="00DA6855" w:rsidRPr="00DA6855" w:rsidRDefault="00DA6855" w:rsidP="00DA6855">
      <w:pPr>
        <w:pStyle w:val="NormalWeb"/>
        <w:numPr>
          <w:ilvl w:val="0"/>
          <w:numId w:val="32"/>
        </w:numPr>
        <w:spacing w:line="276" w:lineRule="auto"/>
        <w:rPr>
          <w:rFonts w:asciiTheme="minorHAnsi" w:hAnsiTheme="minorHAnsi" w:cstheme="minorHAnsi"/>
          <w:lang w:val="en-US"/>
        </w:rPr>
      </w:pPr>
      <w:r w:rsidRPr="00DA6855">
        <w:rPr>
          <w:rFonts w:asciiTheme="minorHAnsi" w:hAnsiTheme="minorHAnsi" w:cstheme="minorHAnsi"/>
          <w:b/>
          <w:bCs/>
          <w:sz w:val="20"/>
          <w:szCs w:val="20"/>
          <w:lang w:val="en-US"/>
        </w:rPr>
        <w:lastRenderedPageBreak/>
        <w:t xml:space="preserve">Outcome 2a: </w:t>
      </w:r>
      <w:r w:rsidRPr="00DA6855">
        <w:rPr>
          <w:rFonts w:asciiTheme="minorHAnsi" w:hAnsiTheme="minorHAnsi" w:cstheme="minorHAnsi"/>
          <w:sz w:val="20"/>
          <w:szCs w:val="20"/>
          <w:lang w:val="en-US"/>
        </w:rPr>
        <w:t xml:space="preserve">Enhanced portfolio and partner capacity at the regional and global levels, and portfolio‐wide dialogue opportunities for increased transboundary cooperation </w:t>
      </w:r>
    </w:p>
    <w:p w14:paraId="4F2F839F" w14:textId="77777777" w:rsidR="00DA6855" w:rsidRPr="00DA6855" w:rsidRDefault="00DA6855" w:rsidP="00DA6855">
      <w:pPr>
        <w:pStyle w:val="NormalWeb"/>
        <w:numPr>
          <w:ilvl w:val="0"/>
          <w:numId w:val="32"/>
        </w:numPr>
        <w:spacing w:line="276" w:lineRule="auto"/>
        <w:rPr>
          <w:rFonts w:asciiTheme="minorHAnsi" w:hAnsiTheme="minorHAnsi" w:cstheme="minorHAnsi"/>
          <w:lang w:val="en-US"/>
        </w:rPr>
      </w:pPr>
      <w:r w:rsidRPr="00DA6855">
        <w:rPr>
          <w:rFonts w:asciiTheme="minorHAnsi" w:hAnsiTheme="minorHAnsi" w:cstheme="minorHAnsi"/>
          <w:b/>
          <w:bCs/>
          <w:sz w:val="20"/>
          <w:szCs w:val="20"/>
          <w:lang w:val="en-US"/>
        </w:rPr>
        <w:t xml:space="preserve">Outcome 2b: </w:t>
      </w:r>
      <w:r w:rsidRPr="00DA6855">
        <w:rPr>
          <w:rFonts w:asciiTheme="minorHAnsi" w:hAnsiTheme="minorHAnsi" w:cstheme="minorHAnsi"/>
          <w:sz w:val="20"/>
          <w:szCs w:val="20"/>
          <w:lang w:val="en-US"/>
        </w:rPr>
        <w:t xml:space="preserve">Increased global awareness of GEF results and additional partner collaboration with GEF projects </w:t>
      </w:r>
    </w:p>
    <w:p w14:paraId="6CD94892" w14:textId="77777777" w:rsidR="00DA6855" w:rsidRPr="00DA6855" w:rsidRDefault="00DA6855" w:rsidP="00DA6855">
      <w:pPr>
        <w:pStyle w:val="NormalWeb"/>
        <w:numPr>
          <w:ilvl w:val="0"/>
          <w:numId w:val="32"/>
        </w:numPr>
        <w:spacing w:line="276" w:lineRule="auto"/>
        <w:rPr>
          <w:rFonts w:asciiTheme="minorHAnsi" w:hAnsiTheme="minorHAnsi" w:cstheme="minorHAnsi"/>
          <w:lang w:val="en-US"/>
        </w:rPr>
      </w:pPr>
      <w:r w:rsidRPr="00DA6855">
        <w:rPr>
          <w:rFonts w:asciiTheme="minorHAnsi" w:hAnsiTheme="minorHAnsi" w:cstheme="minorHAnsi"/>
          <w:b/>
          <w:bCs/>
          <w:sz w:val="20"/>
          <w:szCs w:val="20"/>
          <w:lang w:val="en-US"/>
        </w:rPr>
        <w:t xml:space="preserve">Outcome 3: </w:t>
      </w:r>
      <w:r w:rsidRPr="00DA6855">
        <w:rPr>
          <w:rFonts w:asciiTheme="minorHAnsi" w:hAnsiTheme="minorHAnsi" w:cstheme="minorHAnsi"/>
          <w:sz w:val="20"/>
          <w:szCs w:val="20"/>
          <w:lang w:val="en-US"/>
        </w:rPr>
        <w:t xml:space="preserve">External partnerships mobilized and working together for improved learning and knowledge management, through an enhanced global freshwater Community of Practice—to impact results and advance conjunctive management of water resources </w:t>
      </w:r>
    </w:p>
    <w:p w14:paraId="66C1F2C3" w14:textId="77777777" w:rsidR="00DA6855" w:rsidRPr="00DA6855" w:rsidRDefault="00DA6855" w:rsidP="00DA6855">
      <w:pPr>
        <w:pStyle w:val="NormalWeb"/>
        <w:numPr>
          <w:ilvl w:val="0"/>
          <w:numId w:val="32"/>
        </w:numPr>
        <w:spacing w:line="276" w:lineRule="auto"/>
        <w:rPr>
          <w:rFonts w:asciiTheme="minorHAnsi" w:hAnsiTheme="minorHAnsi" w:cstheme="minorHAnsi"/>
          <w:lang w:val="en-US"/>
        </w:rPr>
      </w:pPr>
      <w:r w:rsidRPr="00DA6855">
        <w:rPr>
          <w:rFonts w:asciiTheme="minorHAnsi" w:hAnsiTheme="minorHAnsi" w:cstheme="minorHAnsi"/>
          <w:b/>
          <w:bCs/>
          <w:sz w:val="20"/>
          <w:szCs w:val="20"/>
          <w:lang w:val="en-US"/>
        </w:rPr>
        <w:t xml:space="preserve">Outcome 4: </w:t>
      </w:r>
      <w:r w:rsidRPr="00DA6855">
        <w:rPr>
          <w:rFonts w:asciiTheme="minorHAnsi" w:hAnsiTheme="minorHAnsi" w:cstheme="minorHAnsi"/>
          <w:sz w:val="20"/>
          <w:szCs w:val="20"/>
          <w:lang w:val="en-US"/>
        </w:rPr>
        <w:t xml:space="preserve">Increased capacity of beneficiary governments, intergovernmental bodies and GEF projects to implement agreed actions identified in existing Strategic Action Programs, with an eye to long‐term sustainability </w:t>
      </w:r>
    </w:p>
    <w:p w14:paraId="398B0812" w14:textId="77777777" w:rsidR="00DA6855" w:rsidRDefault="00DA6855" w:rsidP="00DA6855">
      <w:pPr>
        <w:rPr>
          <w:rFonts w:cstheme="minorHAnsi"/>
          <w:sz w:val="20"/>
          <w:szCs w:val="20"/>
        </w:rPr>
      </w:pPr>
      <w:r>
        <w:rPr>
          <w:rFonts w:cstheme="minorHAnsi"/>
          <w:sz w:val="20"/>
          <w:szCs w:val="20"/>
        </w:rPr>
        <w:t xml:space="preserve">The outcomes of LME:LEARN are as follows: </w:t>
      </w:r>
    </w:p>
    <w:p w14:paraId="25C15D3A" w14:textId="77777777" w:rsidR="00DA6855" w:rsidRPr="00EF5EDA" w:rsidRDefault="00DA6855" w:rsidP="00DA6855">
      <w:pPr>
        <w:pStyle w:val="ListParagraph"/>
        <w:numPr>
          <w:ilvl w:val="0"/>
          <w:numId w:val="34"/>
        </w:numPr>
        <w:spacing w:before="0" w:after="60"/>
        <w:rPr>
          <w:b/>
          <w:sz w:val="22"/>
          <w:szCs w:val="22"/>
        </w:rPr>
      </w:pPr>
      <w:r>
        <w:rPr>
          <w:b/>
          <w:sz w:val="22"/>
          <w:szCs w:val="22"/>
        </w:rPr>
        <w:t xml:space="preserve">Outcome 1: </w:t>
      </w:r>
      <w:r w:rsidRPr="00DA6855">
        <w:t>Global and regional network of partners to enhance ecosystem-based management and to provide support for the GEF LME/ICM/MPA projects to address their needs and incorporate climate variability and change.</w:t>
      </w:r>
      <w:r w:rsidRPr="00EF5EDA">
        <w:rPr>
          <w:b/>
          <w:sz w:val="22"/>
          <w:szCs w:val="22"/>
        </w:rPr>
        <w:t xml:space="preserve"> </w:t>
      </w:r>
    </w:p>
    <w:p w14:paraId="062246E0" w14:textId="77777777" w:rsidR="00DA6855" w:rsidRPr="00DA6855" w:rsidRDefault="00DA6855" w:rsidP="00DA6855">
      <w:pPr>
        <w:pStyle w:val="ListParagraph"/>
        <w:numPr>
          <w:ilvl w:val="0"/>
          <w:numId w:val="34"/>
        </w:numPr>
        <w:spacing w:before="0" w:after="60"/>
      </w:pPr>
      <w:r>
        <w:rPr>
          <w:b/>
          <w:sz w:val="22"/>
          <w:szCs w:val="22"/>
        </w:rPr>
        <w:t xml:space="preserve">Outcome 2: </w:t>
      </w:r>
      <w:r w:rsidRPr="00DA6855">
        <w:t>Synthesis and incorporation of knowledge into policy-making, capture of best LME governance practices, and development of new methods and tools to enhance the management effectiveness of LMEs and</w:t>
      </w:r>
      <w:r w:rsidRPr="00EF5EDA">
        <w:rPr>
          <w:b/>
          <w:sz w:val="22"/>
          <w:szCs w:val="22"/>
        </w:rPr>
        <w:t xml:space="preserve"> </w:t>
      </w:r>
      <w:r w:rsidRPr="00DA6855">
        <w:t>to incorporate ICM, MPAs and climate variability and change including the 5 LME modules.</w:t>
      </w:r>
    </w:p>
    <w:p w14:paraId="6C05B9D1" w14:textId="77777777" w:rsidR="00DA6855" w:rsidRPr="00EF5EDA" w:rsidRDefault="00DA6855" w:rsidP="00DA6855">
      <w:pPr>
        <w:pStyle w:val="ListParagraph"/>
        <w:numPr>
          <w:ilvl w:val="0"/>
          <w:numId w:val="34"/>
        </w:numPr>
        <w:spacing w:before="0" w:after="60"/>
        <w:rPr>
          <w:b/>
          <w:sz w:val="22"/>
          <w:szCs w:val="22"/>
        </w:rPr>
      </w:pPr>
      <w:r>
        <w:rPr>
          <w:b/>
          <w:sz w:val="22"/>
          <w:szCs w:val="22"/>
        </w:rPr>
        <w:t xml:space="preserve">Outcome 3: </w:t>
      </w:r>
      <w:r w:rsidRPr="00DA6855">
        <w:t>Capacity and partnership building through twinning and learning exchanges, workshops, and training among LMEs and similar initiatives (e.g., Seascapes).</w:t>
      </w:r>
      <w:r w:rsidRPr="00EF5EDA">
        <w:rPr>
          <w:b/>
          <w:sz w:val="22"/>
          <w:szCs w:val="22"/>
        </w:rPr>
        <w:t xml:space="preserve"> </w:t>
      </w:r>
    </w:p>
    <w:p w14:paraId="32B67AD7" w14:textId="77777777" w:rsidR="00DA6855" w:rsidRPr="00EF5EDA" w:rsidRDefault="00DA6855" w:rsidP="00DA6855">
      <w:pPr>
        <w:pStyle w:val="ListParagraph"/>
        <w:numPr>
          <w:ilvl w:val="0"/>
          <w:numId w:val="34"/>
        </w:numPr>
        <w:spacing w:before="0" w:after="60"/>
        <w:jc w:val="both"/>
        <w:rPr>
          <w:b/>
          <w:sz w:val="22"/>
          <w:szCs w:val="22"/>
        </w:rPr>
      </w:pPr>
      <w:r>
        <w:rPr>
          <w:b/>
          <w:sz w:val="22"/>
          <w:szCs w:val="22"/>
        </w:rPr>
        <w:t xml:space="preserve">Outcome 4: </w:t>
      </w:r>
      <w:r w:rsidRPr="00DA6855">
        <w:t>Communication, dissemination and outreach of GEF LME/ICM/MPA project achievements and lessons learned.</w:t>
      </w:r>
      <w:r w:rsidRPr="00EF5EDA">
        <w:rPr>
          <w:b/>
          <w:sz w:val="22"/>
          <w:szCs w:val="22"/>
        </w:rPr>
        <w:t xml:space="preserve"> </w:t>
      </w:r>
    </w:p>
    <w:p w14:paraId="1D9363F2" w14:textId="77777777" w:rsidR="00DA6855" w:rsidRDefault="00DA6855" w:rsidP="00DA6855">
      <w:pPr>
        <w:rPr>
          <w:rFonts w:cstheme="minorHAnsi"/>
          <w:sz w:val="20"/>
          <w:szCs w:val="20"/>
        </w:rPr>
      </w:pPr>
    </w:p>
    <w:p w14:paraId="3A6E0C96" w14:textId="77777777" w:rsidR="00591997" w:rsidRPr="00591997" w:rsidRDefault="00591997" w:rsidP="00DA6855">
      <w:pPr>
        <w:rPr>
          <w:rFonts w:cstheme="minorHAnsi"/>
          <w:sz w:val="20"/>
          <w:szCs w:val="20"/>
        </w:rPr>
      </w:pPr>
      <w:r w:rsidRPr="00591997">
        <w:rPr>
          <w:rFonts w:cstheme="minorHAnsi"/>
          <w:sz w:val="20"/>
          <w:szCs w:val="20"/>
        </w:rPr>
        <w:t>The focal point of the projects is the IW:LEARN website which serves as the premiere results archive and data collection service for the GEF International Waters portfolio. The site makes available case studies and best practices, Transboundary Diagnostic Analyses and Strategic Action Programmes from projects around the world, news and events related to International Waters, and targeted knowledge sharing tools to practitioners and the wider public. The website also hosts a unique Portfolio Visualization Tool and Portfolio Results Archive that allows users to quickly discover and analyze the impacts of GEF interventions across the world. Guidance documents and other resources are also made available here to further disseminate the experiences of International Waters projects. LME:LEARN holds a special section of that web site, with a structure that is similar to IW:LEARN but adapted to marine issues.</w:t>
      </w:r>
    </w:p>
    <w:p w14:paraId="2AE5AFE2" w14:textId="77777777" w:rsidR="00591997" w:rsidRPr="00591997" w:rsidRDefault="00591997" w:rsidP="00DA6855">
      <w:pPr>
        <w:rPr>
          <w:rFonts w:cstheme="minorHAnsi"/>
          <w:sz w:val="20"/>
          <w:szCs w:val="20"/>
        </w:rPr>
      </w:pPr>
      <w:r w:rsidRPr="00591997">
        <w:rPr>
          <w:rFonts w:cstheme="minorHAnsi"/>
          <w:sz w:val="20"/>
          <w:szCs w:val="20"/>
        </w:rPr>
        <w:t>In addition to the website, both IW:LEARN and LME:LEARN support GEF International Waters projects through activities such as face-to-face training and knowledge sharing activities. The GEF Biennial International Waters Conference (IWC) is the signature learning event for the GEF International Waters portfolio. Bringing together a broad range of stakeholders, the conference aims to facilitate cross-sectoral and portfolio-wide learning and experience sharing, and to assist in building capacity in key management and technical areas. The Ninth GEF IWC took place in 2018 in Marrakech, Morocco. In addition to the IWC, both projects also support Targeted Training activities on water resources management and capacity building, Regional Dialogues and Workshops to help foster transboundary cooperation, Project Twinning for face-to-face engagement between project sharing common objectives or challenges and Global Dialogue Participation support to build partnerships with organizations working outside the immediate GEF IW portfolio</w:t>
      </w:r>
    </w:p>
    <w:p w14:paraId="48993F54" w14:textId="77777777" w:rsidR="00591997" w:rsidRPr="00591997" w:rsidRDefault="00591997" w:rsidP="008F1D8B">
      <w:pPr>
        <w:rPr>
          <w:rFonts w:cstheme="minorHAnsi"/>
          <w:sz w:val="20"/>
          <w:szCs w:val="20"/>
        </w:rPr>
      </w:pPr>
      <w:r w:rsidRPr="00591997">
        <w:rPr>
          <w:rFonts w:cstheme="minorHAnsi"/>
          <w:sz w:val="20"/>
          <w:szCs w:val="20"/>
        </w:rPr>
        <w:lastRenderedPageBreak/>
        <w:t>IW:LEARN has been a leader in designing and delivering new management tools, guidance and approaches for International Waters projects. The new phase of IW:LEARN undertook activities to support gender mainstreaming by introducing systematic consideration of gender equity, women's empowerment, and social inclusion into International Waters projects for the improved management of transboundary waters. IW:LEARN will also supported private sector engagement to help facilitate effective partnerships between projects and private enterprises. Activities included training on water stewardship and risk tools, dialogues on business participation in water resource management, and multi-stakeholder basin funds. IW:LEARN has also worked to integrate the economic valuation of natural resources into the Transboundary Diagnostic Analysis/Strategic Action Plan (TDA/SAP) process to influence decision-making and helping to bridge the science-policy gap. IW:LEARN also aimed to improve the quality of the SAPs to ensure that they focus on actions that can realistically be implemented through new guidance. LME:LEARN has provided additional value-added support in terms of governance, ecosystem-based management, environmental economics, data and information management, marine spatial planning and stakeholder engagement.</w:t>
      </w:r>
    </w:p>
    <w:p w14:paraId="3A1F4545" w14:textId="77777777" w:rsidR="00591997" w:rsidRPr="00591997" w:rsidRDefault="00591997" w:rsidP="00DA6855">
      <w:pPr>
        <w:rPr>
          <w:rFonts w:cstheme="minorHAnsi"/>
          <w:sz w:val="20"/>
          <w:szCs w:val="20"/>
        </w:rPr>
      </w:pPr>
      <w:r w:rsidRPr="00591997">
        <w:rPr>
          <w:rFonts w:cstheme="minorHAnsi"/>
          <w:sz w:val="20"/>
          <w:szCs w:val="20"/>
        </w:rPr>
        <w:t>A joint Project Coordination Unit (PCU) for IW:LEARN and LME:LEARN was established at IOC of UNESCO in Paris, France. The PCU has a joint Project Manager, Deputy Project Manager and the Administrative Assistant, while a Chief Technical Advisor has been hired as a long-term consultant to assist implementation of LME:LEARN.</w:t>
      </w:r>
    </w:p>
    <w:p w14:paraId="5CB1340B" w14:textId="77777777" w:rsidR="008F1D8B" w:rsidRPr="00B913F1" w:rsidRDefault="008F1D8B" w:rsidP="008F1D8B">
      <w:pPr>
        <w:pStyle w:val="Heading51"/>
        <w:pBdr>
          <w:bottom w:val="single" w:sz="6" w:space="3" w:color="4F81BD"/>
        </w:pBdr>
      </w:pPr>
      <w:r>
        <w:t xml:space="preserve">EVALUATION </w:t>
      </w:r>
      <w:r w:rsidRPr="00B913F1">
        <w:t>Objective</w:t>
      </w:r>
      <w:r>
        <w:t>S</w:t>
      </w:r>
      <w:r w:rsidRPr="00B913F1">
        <w:t xml:space="preserve"> and Scope</w:t>
      </w:r>
    </w:p>
    <w:p w14:paraId="15266AE2" w14:textId="77777777" w:rsidR="008F1D8B" w:rsidRDefault="008F1D8B" w:rsidP="008F1D8B">
      <w:pPr>
        <w:rPr>
          <w:rFonts w:ascii="Calibri" w:eastAsia="Times New Roman" w:hAnsi="Calibri" w:cs="Times New Roman"/>
          <w:sz w:val="20"/>
          <w:szCs w:val="20"/>
        </w:rPr>
      </w:pPr>
    </w:p>
    <w:p w14:paraId="7DDF0E41" w14:textId="77777777" w:rsidR="00D6638C" w:rsidRPr="00D6638C" w:rsidRDefault="00D6638C" w:rsidP="008F1D8B">
      <w:pPr>
        <w:rPr>
          <w:rFonts w:ascii="Calibri" w:eastAsia="Times New Roman" w:hAnsi="Calibri" w:cs="Times New Roman"/>
          <w:i/>
          <w:sz w:val="20"/>
          <w:szCs w:val="20"/>
        </w:rPr>
      </w:pPr>
      <w:r w:rsidRPr="00D6638C">
        <w:rPr>
          <w:rFonts w:ascii="Calibri" w:eastAsia="Times New Roman" w:hAnsi="Calibri" w:cs="Times New Roman"/>
          <w:sz w:val="20"/>
          <w:szCs w:val="20"/>
        </w:rPr>
        <w:t>The TE will be conducted according to the guidance, rules and procedures established by UNDP and GEF as reflected in the UNDP Evaluation Guidance for GEF Financed Projects</w:t>
      </w:r>
      <w:r w:rsidR="00022F8E">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p>
    <w:p w14:paraId="7132CF9E" w14:textId="77777777" w:rsidR="008F1D8B" w:rsidRPr="008F1D8B" w:rsidRDefault="008F1D8B" w:rsidP="008F1D8B">
      <w:pPr>
        <w:rPr>
          <w:rFonts w:eastAsia="Times New Roman" w:cstheme="minorHAnsi"/>
          <w:sz w:val="20"/>
          <w:szCs w:val="20"/>
        </w:rPr>
      </w:pPr>
      <w:r w:rsidRPr="008F1D8B">
        <w:rPr>
          <w:rFonts w:eastAsia="Times New Roman" w:cstheme="minorHAnsi"/>
          <w:sz w:val="20"/>
          <w:szCs w:val="20"/>
        </w:rPr>
        <w:t>The</w:t>
      </w:r>
      <w:r w:rsidRPr="008F1D8B">
        <w:rPr>
          <w:rFonts w:eastAsia="Times New Roman" w:cstheme="minorHAnsi"/>
          <w:b/>
          <w:sz w:val="20"/>
          <w:szCs w:val="20"/>
        </w:rPr>
        <w:t xml:space="preserve"> purpose</w:t>
      </w:r>
      <w:r w:rsidRPr="008F1D8B">
        <w:rPr>
          <w:rFonts w:eastAsia="Times New Roman" w:cstheme="minorHAnsi"/>
          <w:sz w:val="20"/>
          <w:szCs w:val="20"/>
        </w:rPr>
        <w:t xml:space="preserve"> of the TE is to provide an impartial review of both projects in terms of their relevance, effectiveness, efficiency, impact, sustainability, overall performance, management and achievements. The information, findings, lessons learned, and recommendations generated by the TE will be used by the UNDP and the executing partners to strengthen the remaining projects’ implementation and inform prospects for eventual replication and sustainability of the intervention.</w:t>
      </w:r>
    </w:p>
    <w:p w14:paraId="4553D1EA" w14:textId="77777777" w:rsidR="008F1D8B" w:rsidRPr="008F1D8B" w:rsidRDefault="008F1D8B" w:rsidP="008F1D8B">
      <w:pPr>
        <w:autoSpaceDE w:val="0"/>
        <w:autoSpaceDN w:val="0"/>
        <w:adjustRightInd w:val="0"/>
        <w:rPr>
          <w:rFonts w:cstheme="minorHAnsi"/>
          <w:sz w:val="20"/>
          <w:szCs w:val="20"/>
        </w:rPr>
      </w:pPr>
      <w:r w:rsidRPr="008F1D8B">
        <w:rPr>
          <w:rFonts w:eastAsia="ACaslon-Regular" w:cstheme="minorHAnsi"/>
          <w:sz w:val="20"/>
          <w:szCs w:val="20"/>
        </w:rPr>
        <w:t xml:space="preserve">The </w:t>
      </w:r>
      <w:r w:rsidRPr="008F1D8B">
        <w:rPr>
          <w:rFonts w:eastAsia="ACaslon-Regular" w:cstheme="minorHAnsi"/>
          <w:b/>
          <w:sz w:val="20"/>
          <w:szCs w:val="20"/>
        </w:rPr>
        <w:t>objectives</w:t>
      </w:r>
      <w:r w:rsidRPr="008F1D8B">
        <w:rPr>
          <w:rFonts w:eastAsia="ACaslon-Regular" w:cstheme="minorHAnsi"/>
          <w:sz w:val="20"/>
          <w:szCs w:val="20"/>
        </w:rPr>
        <w:t xml:space="preserve"> of the evaluation are to assess the achievement of projects’ results, and to draw lessons that can both improve the sustainability of benefits from these projects, and aid in the overall enhancement of UNDP programming.</w:t>
      </w:r>
      <w:r w:rsidRPr="008F1D8B">
        <w:rPr>
          <w:rFonts w:cstheme="minorHAnsi"/>
          <w:sz w:val="20"/>
          <w:szCs w:val="20"/>
        </w:rPr>
        <w:t xml:space="preserve">  </w:t>
      </w:r>
    </w:p>
    <w:p w14:paraId="3BA8DF0A" w14:textId="77777777" w:rsidR="008F1D8B" w:rsidRPr="008F1D8B" w:rsidRDefault="008F1D8B" w:rsidP="008F1D8B">
      <w:pPr>
        <w:rPr>
          <w:rFonts w:eastAsia="Times New Roman" w:cstheme="minorHAnsi"/>
          <w:sz w:val="20"/>
          <w:szCs w:val="20"/>
        </w:rPr>
      </w:pPr>
      <w:r w:rsidRPr="008F1D8B">
        <w:rPr>
          <w:rFonts w:eastAsia="Times New Roman" w:cstheme="minorHAnsi"/>
          <w:sz w:val="20"/>
          <w:szCs w:val="20"/>
        </w:rPr>
        <w:t>The TE will assess the extent to which planned project results have been achieved since the beginning of the projects in March 2016 and likelihood for their full achievement by the end of the projects in March 2020 (based on their Project Document and Project Results Framework). Also, the TE will assess the monitoring and evaluation aspect of both projects and their compliance with UNDP and GEF minimum standards, including SMART criteria for indicators.</w:t>
      </w:r>
    </w:p>
    <w:p w14:paraId="58816516" w14:textId="77777777" w:rsidR="008F1D8B" w:rsidRPr="008F1D8B" w:rsidRDefault="008F1D8B" w:rsidP="008F1D8B">
      <w:pPr>
        <w:rPr>
          <w:rFonts w:eastAsia="Times New Roman" w:cstheme="minorHAnsi"/>
          <w:sz w:val="20"/>
          <w:szCs w:val="20"/>
        </w:rPr>
      </w:pPr>
      <w:r w:rsidRPr="008F1D8B">
        <w:rPr>
          <w:rFonts w:eastAsia="Times New Roman" w:cstheme="minorHAnsi"/>
          <w:sz w:val="20"/>
          <w:szCs w:val="20"/>
        </w:rPr>
        <w:t xml:space="preserve">The </w:t>
      </w:r>
      <w:r w:rsidRPr="008F1D8B">
        <w:rPr>
          <w:rFonts w:eastAsia="Times New Roman" w:cstheme="minorHAnsi"/>
          <w:b/>
          <w:sz w:val="20"/>
          <w:szCs w:val="20"/>
        </w:rPr>
        <w:t>scope</w:t>
      </w:r>
      <w:r w:rsidRPr="008F1D8B">
        <w:rPr>
          <w:rFonts w:eastAsia="Times New Roman" w:cstheme="minorHAnsi"/>
          <w:sz w:val="20"/>
          <w:szCs w:val="20"/>
        </w:rPr>
        <w:t xml:space="preserve"> of the evaluation covers the following specific aspects, integrating the GEF’s Operational Principles</w:t>
      </w:r>
      <w:r w:rsidRPr="008F1D8B">
        <w:rPr>
          <w:rStyle w:val="FootnoteReference"/>
          <w:rFonts w:eastAsia="Times New Roman" w:cstheme="minorHAnsi"/>
          <w:sz w:val="20"/>
          <w:szCs w:val="20"/>
        </w:rPr>
        <w:footnoteReference w:id="1"/>
      </w:r>
      <w:r w:rsidRPr="008F1D8B">
        <w:rPr>
          <w:rFonts w:eastAsia="Times New Roman" w:cstheme="minorHAnsi"/>
          <w:sz w:val="20"/>
          <w:szCs w:val="20"/>
        </w:rPr>
        <w:t xml:space="preserve"> as appropriate:</w:t>
      </w:r>
    </w:p>
    <w:p w14:paraId="770FF0C1" w14:textId="77777777" w:rsidR="008F1D8B" w:rsidRPr="008F1D8B" w:rsidRDefault="008F1D8B" w:rsidP="008F1D8B">
      <w:pPr>
        <w:pStyle w:val="ListParagraph"/>
        <w:numPr>
          <w:ilvl w:val="0"/>
          <w:numId w:val="35"/>
        </w:numPr>
        <w:spacing w:before="0"/>
        <w:rPr>
          <w:rFonts w:cstheme="minorHAnsi"/>
        </w:rPr>
      </w:pPr>
      <w:r w:rsidRPr="008F1D8B">
        <w:rPr>
          <w:rFonts w:cstheme="minorHAnsi"/>
        </w:rPr>
        <w:t xml:space="preserve">Project design, risk assessment/management; </w:t>
      </w:r>
    </w:p>
    <w:p w14:paraId="39940E4E" w14:textId="77777777" w:rsidR="008F1D8B" w:rsidRPr="008F1D8B" w:rsidRDefault="008F1D8B" w:rsidP="008F1D8B">
      <w:pPr>
        <w:pStyle w:val="ListParagraph"/>
        <w:numPr>
          <w:ilvl w:val="0"/>
          <w:numId w:val="35"/>
        </w:numPr>
        <w:spacing w:before="0"/>
        <w:rPr>
          <w:rFonts w:cstheme="minorHAnsi"/>
        </w:rPr>
      </w:pPr>
      <w:r w:rsidRPr="008F1D8B">
        <w:rPr>
          <w:rFonts w:cstheme="minorHAnsi"/>
        </w:rPr>
        <w:lastRenderedPageBreak/>
        <w:t>Progress toward results, outputs, outcomes and impacts;</w:t>
      </w:r>
    </w:p>
    <w:p w14:paraId="7FF59947" w14:textId="77777777" w:rsidR="008F1D8B" w:rsidRPr="008F1D8B" w:rsidRDefault="008F1D8B" w:rsidP="008F1D8B">
      <w:pPr>
        <w:pStyle w:val="ListParagraph"/>
        <w:numPr>
          <w:ilvl w:val="0"/>
          <w:numId w:val="35"/>
        </w:numPr>
        <w:spacing w:before="0"/>
        <w:rPr>
          <w:rFonts w:cstheme="minorHAnsi"/>
        </w:rPr>
      </w:pPr>
      <w:r w:rsidRPr="008F1D8B">
        <w:rPr>
          <w:rFonts w:cstheme="minorHAnsi"/>
        </w:rPr>
        <w:t>Implementation and execution arrangements, including GEF Agency oversight;</w:t>
      </w:r>
    </w:p>
    <w:p w14:paraId="0C063BEC" w14:textId="77777777" w:rsidR="008F1D8B" w:rsidRPr="008F1D8B" w:rsidRDefault="008F1D8B" w:rsidP="008F1D8B">
      <w:pPr>
        <w:pStyle w:val="ListParagraph"/>
        <w:numPr>
          <w:ilvl w:val="0"/>
          <w:numId w:val="35"/>
        </w:numPr>
        <w:spacing w:before="0"/>
        <w:rPr>
          <w:rFonts w:cstheme="minorHAnsi"/>
        </w:rPr>
      </w:pPr>
      <w:r w:rsidRPr="008F1D8B">
        <w:rPr>
          <w:rFonts w:cstheme="minorHAnsi"/>
        </w:rPr>
        <w:t xml:space="preserve">Partnership approach and stakeholder participation; </w:t>
      </w:r>
    </w:p>
    <w:p w14:paraId="66357B6A" w14:textId="77777777" w:rsidR="008F1D8B" w:rsidRPr="008F1D8B" w:rsidRDefault="008F1D8B" w:rsidP="008F1D8B">
      <w:pPr>
        <w:pStyle w:val="ListParagraph"/>
        <w:numPr>
          <w:ilvl w:val="0"/>
          <w:numId w:val="35"/>
        </w:numPr>
        <w:spacing w:before="0"/>
        <w:rPr>
          <w:rFonts w:cstheme="minorHAnsi"/>
        </w:rPr>
      </w:pPr>
      <w:r w:rsidRPr="008F1D8B">
        <w:rPr>
          <w:rFonts w:cstheme="minorHAnsi"/>
        </w:rPr>
        <w:t>Communications and public awareness;</w:t>
      </w:r>
    </w:p>
    <w:p w14:paraId="2CCC7191" w14:textId="77777777" w:rsidR="008F1D8B" w:rsidRPr="008F1D8B" w:rsidRDefault="008F1D8B" w:rsidP="008F1D8B">
      <w:pPr>
        <w:pStyle w:val="ListParagraph"/>
        <w:numPr>
          <w:ilvl w:val="0"/>
          <w:numId w:val="35"/>
        </w:numPr>
        <w:spacing w:before="0"/>
        <w:rPr>
          <w:rFonts w:cstheme="minorHAnsi"/>
        </w:rPr>
      </w:pPr>
      <w:r w:rsidRPr="008F1D8B">
        <w:rPr>
          <w:rFonts w:cstheme="minorHAnsi"/>
        </w:rPr>
        <w:t>Work planning, financial management/planning, co-financing;</w:t>
      </w:r>
    </w:p>
    <w:p w14:paraId="3A2D9C45" w14:textId="77777777" w:rsidR="008F1D8B" w:rsidRPr="008F1D8B" w:rsidRDefault="008F1D8B" w:rsidP="008F1D8B">
      <w:pPr>
        <w:pStyle w:val="ListParagraph"/>
        <w:numPr>
          <w:ilvl w:val="0"/>
          <w:numId w:val="35"/>
        </w:numPr>
        <w:spacing w:before="0"/>
        <w:rPr>
          <w:rFonts w:cstheme="minorHAnsi"/>
        </w:rPr>
      </w:pPr>
      <w:r w:rsidRPr="008F1D8B">
        <w:rPr>
          <w:rFonts w:cstheme="minorHAnsi"/>
        </w:rPr>
        <w:t>Flexibility, innovation and adaptive management;</w:t>
      </w:r>
    </w:p>
    <w:p w14:paraId="02D0DFAF" w14:textId="77777777" w:rsidR="008F1D8B" w:rsidRPr="008F1D8B" w:rsidRDefault="008F1D8B" w:rsidP="008F1D8B">
      <w:pPr>
        <w:pStyle w:val="ListParagraph"/>
        <w:numPr>
          <w:ilvl w:val="0"/>
          <w:numId w:val="35"/>
        </w:numPr>
        <w:spacing w:before="0"/>
        <w:rPr>
          <w:rFonts w:cstheme="minorHAnsi"/>
        </w:rPr>
      </w:pPr>
      <w:r w:rsidRPr="008F1D8B">
        <w:rPr>
          <w:rFonts w:cstheme="minorHAnsi"/>
        </w:rPr>
        <w:t>Gender and human rights integration and mainstreaming in implementation;</w:t>
      </w:r>
    </w:p>
    <w:p w14:paraId="2221DD2C" w14:textId="77777777" w:rsidR="00DA6855" w:rsidRPr="008F1D8B" w:rsidRDefault="008F1D8B" w:rsidP="008F1D8B">
      <w:pPr>
        <w:pStyle w:val="ListParagraph"/>
        <w:numPr>
          <w:ilvl w:val="0"/>
          <w:numId w:val="35"/>
        </w:numPr>
        <w:spacing w:before="0"/>
        <w:rPr>
          <w:rFonts w:cstheme="minorHAnsi"/>
        </w:rPr>
      </w:pPr>
      <w:r w:rsidRPr="008F1D8B">
        <w:rPr>
          <w:rFonts w:cstheme="minorHAnsi"/>
        </w:rPr>
        <w:t xml:space="preserve">Catalytic role: Replication and up-scaling. </w:t>
      </w:r>
      <w:r w:rsidR="00D6638C" w:rsidRPr="008F1D8B">
        <w:rPr>
          <w:rFonts w:cstheme="minorHAnsi"/>
        </w:rPr>
        <w:t xml:space="preserve">  </w:t>
      </w:r>
      <w:bookmarkStart w:id="5" w:name="_Toc299133043"/>
      <w:bookmarkStart w:id="6" w:name="_Toc321341550"/>
    </w:p>
    <w:p w14:paraId="082E94FE" w14:textId="77777777" w:rsidR="00D6638C" w:rsidRPr="00D6638C" w:rsidRDefault="00D6638C" w:rsidP="00F05366">
      <w:pPr>
        <w:pStyle w:val="Heading51"/>
      </w:pPr>
      <w:r w:rsidRPr="00D6638C">
        <w:t>Eva</w:t>
      </w:r>
      <w:r w:rsidR="002602B6">
        <w:t>L</w:t>
      </w:r>
      <w:r w:rsidRPr="00D6638C">
        <w:t>uation approach and method</w:t>
      </w:r>
      <w:bookmarkEnd w:id="5"/>
      <w:bookmarkEnd w:id="6"/>
    </w:p>
    <w:p w14:paraId="7E167AA2"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2"/>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UNDP Guidance for Conducting Terminal Evaluations of  UNDP-supported, GEF-financed Projects</w:t>
      </w:r>
      <w:r w:rsidRPr="00D6638C">
        <w:rPr>
          <w:rFonts w:ascii="Calibri" w:eastAsia="Times New Roman" w:hAnsi="Calibri" w:cs="Times New Roman"/>
          <w:sz w:val="20"/>
          <w:szCs w:val="20"/>
        </w:rPr>
        <w:t xml:space="preserve">.    A  set of questions covering each of these criteria have been drafted and are included with this TOR </w:t>
      </w:r>
      <w:r w:rsidRPr="00D6638C">
        <w:rPr>
          <w:rFonts w:ascii="Calibri" w:eastAsia="Times New Roman" w:hAnsi="Calibri" w:cs="Times New Roman"/>
          <w:sz w:val="20"/>
          <w:szCs w:val="20"/>
          <w:shd w:val="clear" w:color="auto" w:fill="BFBFBF"/>
        </w:rPr>
        <w:t>(</w:t>
      </w:r>
      <w:hyperlink w:anchor="_TOR_Annex_C:" w:history="1">
        <w:r w:rsidRPr="00D6638C">
          <w:rPr>
            <w:rFonts w:ascii="Calibri" w:eastAsia="Times New Roman" w:hAnsi="Calibri" w:cs="Times New Roman"/>
            <w:i/>
            <w:color w:val="0000FF"/>
            <w:sz w:val="20"/>
            <w:szCs w:val="20"/>
            <w:u w:val="single"/>
            <w:shd w:val="clear" w:color="auto" w:fill="BFBFBF"/>
          </w:rPr>
          <w:t>Annex C</w:t>
        </w:r>
      </w:hyperlink>
      <w:r w:rsidRPr="00D6638C">
        <w:rPr>
          <w:rFonts w:ascii="Calibri" w:eastAsia="Times New Roman" w:hAnsi="Calibri" w:cs="Times New Roman"/>
          <w:sz w:val="20"/>
          <w:szCs w:val="20"/>
          <w:shd w:val="clear" w:color="auto" w:fill="D9D9D9"/>
        </w:rPr>
        <w:t>)</w:t>
      </w:r>
      <w:r w:rsidRPr="00D6638C">
        <w:rPr>
          <w:rFonts w:ascii="Calibri" w:eastAsia="Times New Roman" w:hAnsi="Calibri" w:cs="Times New Roman"/>
          <w:sz w:val="20"/>
          <w:szCs w:val="20"/>
        </w:rPr>
        <w:t xml:space="preserve"> The evaluator is expected to amend, complete and submit this matrix as part of  an evaluation inception report, and shall include it as an annex to the final report.  </w:t>
      </w:r>
    </w:p>
    <w:p w14:paraId="3F6B990E" w14:textId="77777777" w:rsidR="00FA0835"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w:t>
      </w:r>
      <w:r w:rsidR="008F1D8B" w:rsidRPr="008F1D8B">
        <w:rPr>
          <w:sz w:val="20"/>
          <w:szCs w:val="20"/>
        </w:rPr>
        <w:t>Project Coordination Unit (PCU), project partners, UNDP-GEF Regional Technical Advisor, and other key stakeholders</w:t>
      </w:r>
      <w:r w:rsidR="008F1D8B" w:rsidRPr="00D75A6C">
        <w:t>.</w:t>
      </w:r>
      <w:r w:rsidRPr="00D6638C">
        <w:rPr>
          <w:rFonts w:ascii="Calibri" w:eastAsia="Times New Roman" w:hAnsi="Calibri" w:cs="Times New Roman"/>
          <w:sz w:val="20"/>
          <w:szCs w:val="20"/>
        </w:rPr>
        <w:t xml:space="preserve"> The evaluator is expected to conduct a field mission to </w:t>
      </w:r>
      <w:r w:rsidR="008F1D8B" w:rsidRPr="008F1D8B">
        <w:rPr>
          <w:rFonts w:eastAsia="ACaslon-Regular" w:cs="ACaslon-Regular"/>
          <w:sz w:val="20"/>
          <w:szCs w:val="20"/>
        </w:rPr>
        <w:t>Cartagena, Colombia in September 2019 during the 21</w:t>
      </w:r>
      <w:r w:rsidR="008F1D8B" w:rsidRPr="008F1D8B">
        <w:rPr>
          <w:rFonts w:eastAsia="ACaslon-Regular" w:cs="ACaslon-Regular"/>
          <w:sz w:val="20"/>
          <w:szCs w:val="20"/>
          <w:vertAlign w:val="superscript"/>
        </w:rPr>
        <w:t>st</w:t>
      </w:r>
      <w:r w:rsidR="008F1D8B" w:rsidRPr="008F1D8B">
        <w:rPr>
          <w:rFonts w:eastAsia="ACaslon-Regular" w:cs="ACaslon-Regular"/>
          <w:sz w:val="20"/>
          <w:szCs w:val="20"/>
        </w:rPr>
        <w:t xml:space="preserve"> LME Annual Consultative Meeting. The meeting will be the opportunity to meet stakeholders</w:t>
      </w:r>
      <w:r w:rsidR="00FA0835">
        <w:rPr>
          <w:rFonts w:eastAsia="ACaslon-Regular" w:cs="ACaslon-Regular"/>
          <w:sz w:val="20"/>
          <w:szCs w:val="20"/>
        </w:rPr>
        <w:t xml:space="preserve"> FOR BOTH PROJECTS</w:t>
      </w:r>
      <w:r w:rsidR="008F1D8B" w:rsidRPr="008F1D8B">
        <w:rPr>
          <w:rFonts w:eastAsia="ACaslon-Regular" w:cs="ACaslon-Regular"/>
          <w:sz w:val="20"/>
          <w:szCs w:val="20"/>
        </w:rPr>
        <w:t>. If necessary, the consultant will carry out other missions agreed with the PCU.</w:t>
      </w:r>
      <w:r w:rsidR="008F1D8B">
        <w:rPr>
          <w:rFonts w:eastAsia="ACaslon-Regular" w:cs="ACaslon-Regular"/>
          <w:sz w:val="20"/>
          <w:szCs w:val="20"/>
        </w:rPr>
        <w:t xml:space="preserve"> </w:t>
      </w:r>
    </w:p>
    <w:p w14:paraId="1DDB7FD6" w14:textId="77777777" w:rsid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w:t>
      </w:r>
      <w:r w:rsidR="00FA0835">
        <w:rPr>
          <w:rFonts w:ascii="Calibri" w:eastAsia="Times New Roman" w:hAnsi="Calibri" w:cs="Times New Roman"/>
          <w:sz w:val="20"/>
          <w:szCs w:val="20"/>
        </w:rPr>
        <w:t>S</w:t>
      </w:r>
      <w:r w:rsidRPr="00D6638C">
        <w:rPr>
          <w:rFonts w:ascii="Calibri" w:eastAsia="Times New Roman" w:hAnsi="Calibri" w:cs="Times New Roman"/>
          <w:sz w:val="20"/>
          <w:szCs w:val="20"/>
        </w:rPr>
        <w: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GEF focal area tracking tools, project files,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D6638C">
          <w:rPr>
            <w:rFonts w:ascii="Calibri" w:eastAsia="Times New Roman" w:hAnsi="Calibri" w:cs="Times New Roman"/>
            <w:color w:val="0000FF"/>
            <w:sz w:val="20"/>
            <w:szCs w:val="20"/>
            <w:u w:val="single"/>
            <w:shd w:val="clear" w:color="auto" w:fill="FFFFFF"/>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14:paraId="08C3EEBE" w14:textId="77777777" w:rsidR="00FA0835" w:rsidRPr="00FA0835" w:rsidRDefault="00FA0835" w:rsidP="00FA0835">
      <w:pPr>
        <w:rPr>
          <w:rFonts w:eastAsia="Times New Roman" w:cstheme="minorHAnsi"/>
          <w:sz w:val="20"/>
          <w:szCs w:val="20"/>
        </w:rPr>
      </w:pPr>
      <w:r w:rsidRPr="00FA0835">
        <w:rPr>
          <w:rFonts w:eastAsia="Times New Roman" w:cstheme="minorHAnsi"/>
          <w:sz w:val="20"/>
          <w:szCs w:val="20"/>
        </w:rPr>
        <w:t xml:space="preserve">As a part of the evaluation </w:t>
      </w:r>
      <w:r w:rsidRPr="00FA0835">
        <w:rPr>
          <w:rFonts w:eastAsia="Times New Roman" w:cstheme="minorHAnsi"/>
          <w:b/>
          <w:sz w:val="20"/>
          <w:szCs w:val="20"/>
        </w:rPr>
        <w:t>inception report</w:t>
      </w:r>
      <w:r w:rsidRPr="00FA0835">
        <w:rPr>
          <w:rFonts w:eastAsia="Times New Roman" w:cstheme="minorHAnsi"/>
          <w:sz w:val="20"/>
          <w:szCs w:val="20"/>
        </w:rPr>
        <w:t xml:space="preserve">, the evaluator will propose a detailed evaluation methodology and agree on a plan for the assignment. The proposed methodology may employ any relevant and appropriate quantitative, qualitative or combined methods to conduct the TE. </w:t>
      </w:r>
    </w:p>
    <w:p w14:paraId="5FAA92C3" w14:textId="77777777" w:rsidR="00FA0835" w:rsidRPr="00FA0835" w:rsidRDefault="00FA0835" w:rsidP="00FA0835">
      <w:pPr>
        <w:autoSpaceDE w:val="0"/>
        <w:autoSpaceDN w:val="0"/>
        <w:adjustRightInd w:val="0"/>
        <w:rPr>
          <w:rFonts w:eastAsia="ACaslon-Regular" w:cstheme="minorHAnsi"/>
          <w:sz w:val="20"/>
          <w:szCs w:val="20"/>
        </w:rPr>
      </w:pPr>
      <w:r w:rsidRPr="00FA0835">
        <w:rPr>
          <w:rFonts w:eastAsia="Times New Roman" w:cstheme="minorHAnsi"/>
          <w:sz w:val="20"/>
          <w:szCs w:val="20"/>
        </w:rPr>
        <w:t xml:space="preserve">As a part of </w:t>
      </w:r>
      <w:r w:rsidRPr="00FA0835">
        <w:rPr>
          <w:rFonts w:eastAsia="Times New Roman" w:cstheme="minorHAnsi"/>
          <w:b/>
          <w:sz w:val="20"/>
          <w:szCs w:val="20"/>
        </w:rPr>
        <w:t>desk review,</w:t>
      </w:r>
      <w:r w:rsidRPr="00FA0835">
        <w:rPr>
          <w:rFonts w:eastAsia="ACaslon-Regular" w:cstheme="minorHAnsi"/>
          <w:sz w:val="20"/>
          <w:szCs w:val="20"/>
        </w:rPr>
        <w:t xml:space="preserve"> the evaluator will review for each project all relevant sources of information, such as the project document, project reports – incl. Annual PIR and other reports, project budget revisions, midterm review, progress reports, GEF focal area tracking tools, project files, and any other material that the evaluator considers useful for this evidence-based assessment. A list of documents that the PCU will provide to the evaluator for review is included in Annex A of this Terms of Reference. </w:t>
      </w:r>
      <w:r w:rsidRPr="00FA0835">
        <w:rPr>
          <w:rFonts w:cstheme="minorHAnsi"/>
          <w:b/>
          <w:sz w:val="20"/>
          <w:szCs w:val="20"/>
        </w:rPr>
        <w:t>Data analysis</w:t>
      </w:r>
      <w:r w:rsidRPr="00FA0835">
        <w:rPr>
          <w:rFonts w:cstheme="minorHAnsi"/>
          <w:sz w:val="20"/>
          <w:szCs w:val="20"/>
        </w:rPr>
        <w:t xml:space="preserve"> should be conducted in a systematic manner to ensure that all the findings, conclusions and recommendations are substantiated by evidence. Appropriate tools should be used to ensure proper analysis (e.g. data analysis matrix).</w:t>
      </w:r>
    </w:p>
    <w:p w14:paraId="2DCD3555" w14:textId="77777777" w:rsidR="00FA0835" w:rsidRDefault="00FA0835" w:rsidP="00FA0835">
      <w:pPr>
        <w:rPr>
          <w:rFonts w:eastAsia="Times New Roman" w:cs="Times New Roman"/>
        </w:rPr>
      </w:pPr>
      <w:r w:rsidRPr="00FA0835">
        <w:rPr>
          <w:rFonts w:eastAsia="Times New Roman" w:cstheme="minorHAnsi"/>
          <w:sz w:val="20"/>
          <w:szCs w:val="20"/>
        </w:rPr>
        <w:lastRenderedPageBreak/>
        <w:t>The final TE report should describe the full TE approach taken and the rationale for the approach making explicit the underlying assumptions, challenges, strengths and weaknesses about the methods and approach of the evaluation.</w:t>
      </w:r>
    </w:p>
    <w:p w14:paraId="3483C656" w14:textId="77777777" w:rsidR="00D6638C" w:rsidRPr="00D6638C" w:rsidRDefault="00D6638C" w:rsidP="00F05366">
      <w:pPr>
        <w:pStyle w:val="Heading51"/>
      </w:pPr>
      <w:bookmarkStart w:id="7" w:name="_Toc321341551"/>
      <w:r w:rsidRPr="00D6638C">
        <w:t>Evaluation Criteria &amp; Ratings</w:t>
      </w:r>
      <w:bookmarkEnd w:id="7"/>
    </w:p>
    <w:p w14:paraId="3E5C9D85" w14:textId="77777777" w:rsidR="00D6638C" w:rsidRDefault="00D6638C" w:rsidP="00D6638C">
      <w:pPr>
        <w:autoSpaceDE w:val="0"/>
        <w:autoSpaceDN w:val="0"/>
        <w:adjustRightInd w:val="0"/>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w:t>
      </w:r>
      <w:r w:rsidR="00FA0835">
        <w:rPr>
          <w:rFonts w:ascii="Calibri" w:eastAsia="Times New Roman" w:hAnsi="Calibri" w:cs="Times New Roman"/>
          <w:sz w:val="20"/>
          <w:szCs w:val="20"/>
        </w:rPr>
        <w:t xml:space="preserve">both </w:t>
      </w:r>
      <w:r w:rsidRPr="00D6638C">
        <w:rPr>
          <w:rFonts w:ascii="Calibri" w:eastAsia="Times New Roman" w:hAnsi="Calibri" w:cs="Times New Roman"/>
          <w:sz w:val="20"/>
          <w:szCs w:val="20"/>
        </w:rPr>
        <w:t>project</w:t>
      </w:r>
      <w:r w:rsidR="00FA0835">
        <w:rPr>
          <w:rFonts w:ascii="Calibri" w:eastAsia="Times New Roman" w:hAnsi="Calibri" w:cs="Times New Roman"/>
          <w:sz w:val="20"/>
          <w:szCs w:val="20"/>
        </w:rPr>
        <w:t>s’</w:t>
      </w:r>
      <w:r w:rsidRPr="00D6638C">
        <w:rPr>
          <w:rFonts w:ascii="Calibri" w:eastAsia="Times New Roman" w:hAnsi="Calibri" w:cs="Times New Roman"/>
          <w:sz w:val="20"/>
          <w:szCs w:val="20"/>
        </w:rPr>
        <w:t xml:space="preserve"> performance will be carried out, based against expectations set out in the Project Logical Framework/Results Framework </w:t>
      </w:r>
      <w:r w:rsidRPr="00D6638C">
        <w:rPr>
          <w:rFonts w:ascii="Calibri" w:eastAsia="Times New Roman" w:hAnsi="Calibri" w:cs="Times New Roman"/>
          <w:sz w:val="20"/>
          <w:szCs w:val="20"/>
          <w:highlight w:val="lightGray"/>
        </w:rPr>
        <w:t xml:space="preserve">(see </w:t>
      </w:r>
      <w:hyperlink w:anchor="_TOR_Annex_A:" w:history="1">
        <w:r w:rsidRPr="00D6638C">
          <w:rPr>
            <w:rFonts w:ascii="Calibri" w:eastAsia="Times New Roman" w:hAnsi="Calibri" w:cs="Times New Roman"/>
            <w:color w:val="0000FF"/>
            <w:sz w:val="20"/>
            <w:szCs w:val="20"/>
            <w:u w:val="single"/>
          </w:rPr>
          <w:t xml:space="preserve"> Annex A</w:t>
        </w:r>
      </w:hyperlink>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14:paraId="0213CDB6" w14:textId="77777777" w:rsidR="00FA0835" w:rsidRDefault="00FA0835"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748"/>
        <w:gridCol w:w="4366"/>
        <w:gridCol w:w="750"/>
      </w:tblGrid>
      <w:tr w:rsidR="00FA0835" w:rsidRPr="00CF7EDB" w14:paraId="1CFF4650" w14:textId="77777777" w:rsidTr="00146F51">
        <w:trPr>
          <w:trHeight w:val="206"/>
        </w:trPr>
        <w:tc>
          <w:tcPr>
            <w:tcW w:w="5000" w:type="pct"/>
            <w:gridSpan w:val="4"/>
            <w:vAlign w:val="center"/>
          </w:tcPr>
          <w:p w14:paraId="4CC78327" w14:textId="77777777" w:rsidR="00FA0835" w:rsidRPr="00CF7EDB" w:rsidRDefault="00FA0835" w:rsidP="00146F51">
            <w:pPr>
              <w:tabs>
                <w:tab w:val="right" w:pos="0"/>
              </w:tabs>
              <w:spacing w:after="0"/>
              <w:rPr>
                <w:rFonts w:ascii="Calibri" w:eastAsia="Times New Roman" w:hAnsi="Calibri" w:cs="Times New Roman"/>
                <w:b/>
                <w:color w:val="000000"/>
                <w:sz w:val="20"/>
                <w:szCs w:val="20"/>
              </w:rPr>
            </w:pPr>
            <w:r w:rsidRPr="00CF7EDB">
              <w:rPr>
                <w:rFonts w:ascii="Calibri" w:eastAsia="Times New Roman" w:hAnsi="Calibri" w:cs="Times New Roman"/>
                <w:b/>
                <w:color w:val="000000"/>
                <w:sz w:val="20"/>
                <w:szCs w:val="20"/>
              </w:rPr>
              <w:t>Evaluation Ratings</w:t>
            </w:r>
            <w:r>
              <w:rPr>
                <w:rFonts w:ascii="Calibri" w:eastAsia="Times New Roman" w:hAnsi="Calibri" w:cs="Times New Roman"/>
                <w:b/>
                <w:color w:val="000000"/>
                <w:sz w:val="20"/>
                <w:szCs w:val="20"/>
              </w:rPr>
              <w:t xml:space="preserve"> (to be developed for each project separately)</w:t>
            </w:r>
            <w:r w:rsidRPr="00CF7EDB">
              <w:rPr>
                <w:rFonts w:ascii="Calibri" w:eastAsia="Times New Roman" w:hAnsi="Calibri" w:cs="Times New Roman"/>
                <w:b/>
                <w:color w:val="000000"/>
                <w:sz w:val="20"/>
                <w:szCs w:val="20"/>
              </w:rPr>
              <w:t>:</w:t>
            </w:r>
          </w:p>
        </w:tc>
      </w:tr>
      <w:tr w:rsidR="00FA0835" w:rsidRPr="00CF7EDB" w14:paraId="152CE182" w14:textId="77777777" w:rsidTr="00146F51">
        <w:tblPrEx>
          <w:shd w:val="clear" w:color="auto" w:fill="4F81BD"/>
        </w:tblPrEx>
        <w:tc>
          <w:tcPr>
            <w:tcW w:w="1904" w:type="pct"/>
            <w:shd w:val="clear" w:color="auto" w:fill="7F7F7F"/>
          </w:tcPr>
          <w:p w14:paraId="08393F10" w14:textId="77777777" w:rsidR="00FA0835" w:rsidRPr="00CF7EDB" w:rsidRDefault="00FA0835" w:rsidP="00146F51">
            <w:pPr>
              <w:spacing w:after="0"/>
              <w:rPr>
                <w:rFonts w:ascii="Calibri" w:eastAsia="Times New Roman" w:hAnsi="Calibri" w:cs="Times New Roman"/>
                <w:b/>
                <w:bCs/>
                <w:color w:val="FFFFFF"/>
                <w:sz w:val="20"/>
                <w:szCs w:val="20"/>
              </w:rPr>
            </w:pPr>
            <w:r w:rsidRPr="00CF7EDB">
              <w:rPr>
                <w:rFonts w:ascii="Calibri" w:eastAsia="Times New Roman" w:hAnsi="Calibri" w:cs="Times New Roman"/>
                <w:b/>
                <w:color w:val="FFFFFF"/>
                <w:sz w:val="20"/>
                <w:szCs w:val="20"/>
              </w:rPr>
              <w:t>1. Monitoring and Evaluation</w:t>
            </w:r>
          </w:p>
        </w:tc>
        <w:tc>
          <w:tcPr>
            <w:tcW w:w="395" w:type="pct"/>
            <w:shd w:val="clear" w:color="auto" w:fill="7F7F7F"/>
          </w:tcPr>
          <w:p w14:paraId="1734EDAE" w14:textId="77777777" w:rsidR="00FA0835" w:rsidRPr="00CF7EDB" w:rsidRDefault="00FA0835" w:rsidP="00146F51">
            <w:pPr>
              <w:spacing w:after="0"/>
              <w:jc w:val="center"/>
              <w:rPr>
                <w:rFonts w:ascii="Calibri" w:eastAsia="Times New Roman" w:hAnsi="Calibri" w:cs="Times New Roman"/>
                <w:b/>
                <w:bCs/>
                <w:color w:val="FFFFFF"/>
                <w:sz w:val="20"/>
                <w:szCs w:val="20"/>
              </w:rPr>
            </w:pPr>
            <w:r w:rsidRPr="00CF7EDB">
              <w:rPr>
                <w:rFonts w:ascii="Calibri" w:eastAsia="Times New Roman" w:hAnsi="Calibri" w:cs="Times New Roman"/>
                <w:b/>
                <w:i/>
                <w:color w:val="FFFFFF"/>
                <w:sz w:val="20"/>
                <w:szCs w:val="20"/>
              </w:rPr>
              <w:t>rating</w:t>
            </w:r>
          </w:p>
        </w:tc>
        <w:tc>
          <w:tcPr>
            <w:tcW w:w="2305" w:type="pct"/>
            <w:shd w:val="clear" w:color="auto" w:fill="7F7F7F"/>
          </w:tcPr>
          <w:p w14:paraId="648EEDC5" w14:textId="77777777" w:rsidR="00FA0835" w:rsidRPr="00CF7EDB" w:rsidRDefault="00FA0835" w:rsidP="00146F51">
            <w:pPr>
              <w:spacing w:after="0"/>
              <w:rPr>
                <w:rFonts w:ascii="Calibri" w:eastAsia="Times New Roman" w:hAnsi="Calibri" w:cs="Times New Roman"/>
                <w:b/>
                <w:i/>
                <w:color w:val="FFFFFF"/>
                <w:sz w:val="20"/>
                <w:szCs w:val="20"/>
              </w:rPr>
            </w:pPr>
            <w:r w:rsidRPr="00CF7EDB">
              <w:rPr>
                <w:rFonts w:ascii="Calibri" w:eastAsia="Times New Roman" w:hAnsi="Calibri" w:cs="Times New Roman"/>
                <w:b/>
                <w:color w:val="FFFFFF"/>
                <w:sz w:val="20"/>
                <w:szCs w:val="20"/>
              </w:rPr>
              <w:t>2. IA&amp; EA Execution</w:t>
            </w:r>
          </w:p>
        </w:tc>
        <w:tc>
          <w:tcPr>
            <w:tcW w:w="395" w:type="pct"/>
            <w:shd w:val="clear" w:color="auto" w:fill="7F7F7F"/>
          </w:tcPr>
          <w:p w14:paraId="5A449C4B" w14:textId="77777777" w:rsidR="00FA0835" w:rsidRPr="00CF7EDB" w:rsidRDefault="00FA0835" w:rsidP="00146F51">
            <w:pPr>
              <w:spacing w:after="0"/>
              <w:jc w:val="center"/>
              <w:rPr>
                <w:rFonts w:ascii="Calibri" w:eastAsia="Times New Roman" w:hAnsi="Calibri" w:cs="Times New Roman"/>
                <w:b/>
                <w:i/>
                <w:color w:val="FFFFFF"/>
                <w:sz w:val="20"/>
                <w:szCs w:val="20"/>
              </w:rPr>
            </w:pPr>
            <w:r w:rsidRPr="00CF7EDB">
              <w:rPr>
                <w:rFonts w:ascii="Calibri" w:eastAsia="Times New Roman" w:hAnsi="Calibri" w:cs="Times New Roman"/>
                <w:b/>
                <w:i/>
                <w:color w:val="FFFFFF"/>
                <w:sz w:val="20"/>
                <w:szCs w:val="20"/>
              </w:rPr>
              <w:t>rating</w:t>
            </w:r>
          </w:p>
        </w:tc>
      </w:tr>
      <w:tr w:rsidR="00FA0835" w:rsidRPr="00CF7EDB" w14:paraId="46793E47" w14:textId="77777777" w:rsidTr="00146F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904" w:type="pct"/>
          </w:tcPr>
          <w:p w14:paraId="75D40028" w14:textId="77777777" w:rsidR="00FA0835" w:rsidRPr="00CF7EDB" w:rsidRDefault="00FA0835" w:rsidP="00146F51">
            <w:pPr>
              <w:spacing w:after="0"/>
              <w:rPr>
                <w:rFonts w:ascii="Calibri" w:eastAsia="Times New Roman" w:hAnsi="Calibri" w:cs="Times New Roman"/>
                <w:sz w:val="20"/>
                <w:szCs w:val="20"/>
              </w:rPr>
            </w:pPr>
            <w:r w:rsidRPr="00CF7EDB">
              <w:rPr>
                <w:rFonts w:ascii="Calibri" w:eastAsia="Times New Roman" w:hAnsi="Calibri" w:cs="Times New Roman"/>
                <w:sz w:val="20"/>
                <w:szCs w:val="20"/>
              </w:rPr>
              <w:t>M&amp;E design at entry</w:t>
            </w:r>
          </w:p>
        </w:tc>
        <w:tc>
          <w:tcPr>
            <w:tcW w:w="395" w:type="pct"/>
            <w:tcBorders>
              <w:bottom w:val="single" w:sz="4" w:space="0" w:color="auto"/>
            </w:tcBorders>
          </w:tcPr>
          <w:p w14:paraId="6116E6C1" w14:textId="77777777" w:rsidR="00FA0835" w:rsidRPr="00CF7EDB" w:rsidRDefault="00FA0835" w:rsidP="00146F51">
            <w:pPr>
              <w:spacing w:after="0"/>
              <w:rPr>
                <w:rFonts w:ascii="Calibri" w:eastAsia="Times New Roman" w:hAnsi="Calibri" w:cs="Times New Roman"/>
                <w:sz w:val="20"/>
                <w:szCs w:val="20"/>
              </w:rPr>
            </w:pPr>
            <w:r w:rsidRPr="00CF7EDB">
              <w:rPr>
                <w:rFonts w:ascii="Calibri" w:eastAsia="Times New Roman" w:hAnsi="Calibri" w:cs="Times New Roman"/>
                <w:sz w:val="20"/>
                <w:szCs w:val="20"/>
              </w:rPr>
              <w:fldChar w:fldCharType="begin">
                <w:ffData>
                  <w:name w:val="Text1"/>
                  <w:enabled/>
                  <w:calcOnExit w:val="0"/>
                  <w:textInput/>
                </w:ffData>
              </w:fldChar>
            </w:r>
            <w:r w:rsidRPr="00CF7EDB">
              <w:rPr>
                <w:rFonts w:ascii="Calibri" w:eastAsia="Times New Roman" w:hAnsi="Calibri" w:cs="Times New Roman"/>
                <w:sz w:val="20"/>
                <w:szCs w:val="20"/>
              </w:rPr>
              <w:instrText xml:space="preserve"> FORMTEXT </w:instrText>
            </w:r>
            <w:r w:rsidRPr="00CF7EDB">
              <w:rPr>
                <w:rFonts w:ascii="Calibri" w:eastAsia="Times New Roman" w:hAnsi="Calibri" w:cs="Times New Roman"/>
                <w:sz w:val="20"/>
                <w:szCs w:val="20"/>
              </w:rPr>
            </w:r>
            <w:r w:rsidRPr="00CF7EDB">
              <w:rPr>
                <w:rFonts w:ascii="Calibri" w:eastAsia="Times New Roman" w:hAnsi="Calibri" w:cs="Times New Roman"/>
                <w:sz w:val="20"/>
                <w:szCs w:val="20"/>
              </w:rPr>
              <w:fldChar w:fldCharType="separate"/>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sz w:val="20"/>
                <w:szCs w:val="20"/>
              </w:rPr>
              <w:fldChar w:fldCharType="end"/>
            </w:r>
          </w:p>
        </w:tc>
        <w:tc>
          <w:tcPr>
            <w:tcW w:w="2305" w:type="pct"/>
            <w:tcBorders>
              <w:bottom w:val="single" w:sz="4" w:space="0" w:color="auto"/>
            </w:tcBorders>
          </w:tcPr>
          <w:p w14:paraId="469F6D6E" w14:textId="77777777" w:rsidR="00FA0835" w:rsidRPr="00CF7EDB" w:rsidRDefault="00FA0835" w:rsidP="00146F51">
            <w:pPr>
              <w:spacing w:after="0"/>
              <w:rPr>
                <w:rFonts w:ascii="Calibri" w:eastAsia="Times New Roman" w:hAnsi="Calibri" w:cs="Times New Roman"/>
                <w:sz w:val="20"/>
                <w:szCs w:val="20"/>
              </w:rPr>
            </w:pPr>
            <w:r w:rsidRPr="00CF7EDB">
              <w:rPr>
                <w:rFonts w:ascii="Calibri" w:eastAsia="Times New Roman" w:hAnsi="Calibri" w:cs="Times New Roman"/>
                <w:sz w:val="20"/>
                <w:szCs w:val="20"/>
              </w:rPr>
              <w:t>Quality of UNDP Implementation</w:t>
            </w:r>
          </w:p>
        </w:tc>
        <w:tc>
          <w:tcPr>
            <w:tcW w:w="395" w:type="pct"/>
            <w:tcBorders>
              <w:bottom w:val="single" w:sz="4" w:space="0" w:color="auto"/>
            </w:tcBorders>
          </w:tcPr>
          <w:p w14:paraId="6D35DD57" w14:textId="77777777" w:rsidR="00FA0835" w:rsidRPr="00CF7EDB" w:rsidRDefault="00FA0835" w:rsidP="00146F51">
            <w:pPr>
              <w:spacing w:after="0"/>
              <w:rPr>
                <w:rFonts w:ascii="Calibri" w:eastAsia="Times New Roman" w:hAnsi="Calibri" w:cs="Times New Roman"/>
                <w:sz w:val="20"/>
                <w:szCs w:val="20"/>
              </w:rPr>
            </w:pPr>
            <w:r w:rsidRPr="00CF7EDB">
              <w:rPr>
                <w:rFonts w:ascii="Calibri" w:eastAsia="Times New Roman" w:hAnsi="Calibri" w:cs="Times New Roman"/>
                <w:sz w:val="20"/>
                <w:szCs w:val="20"/>
              </w:rPr>
              <w:fldChar w:fldCharType="begin">
                <w:ffData>
                  <w:name w:val="Text1"/>
                  <w:enabled/>
                  <w:calcOnExit w:val="0"/>
                  <w:textInput/>
                </w:ffData>
              </w:fldChar>
            </w:r>
            <w:r w:rsidRPr="00CF7EDB">
              <w:rPr>
                <w:rFonts w:ascii="Calibri" w:eastAsia="Times New Roman" w:hAnsi="Calibri" w:cs="Times New Roman"/>
                <w:sz w:val="20"/>
                <w:szCs w:val="20"/>
              </w:rPr>
              <w:instrText xml:space="preserve"> FORMTEXT </w:instrText>
            </w:r>
            <w:r w:rsidRPr="00CF7EDB">
              <w:rPr>
                <w:rFonts w:ascii="Calibri" w:eastAsia="Times New Roman" w:hAnsi="Calibri" w:cs="Times New Roman"/>
                <w:sz w:val="20"/>
                <w:szCs w:val="20"/>
              </w:rPr>
            </w:r>
            <w:r w:rsidRPr="00CF7EDB">
              <w:rPr>
                <w:rFonts w:ascii="Calibri" w:eastAsia="Times New Roman" w:hAnsi="Calibri" w:cs="Times New Roman"/>
                <w:sz w:val="20"/>
                <w:szCs w:val="20"/>
              </w:rPr>
              <w:fldChar w:fldCharType="separate"/>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sz w:val="20"/>
                <w:szCs w:val="20"/>
              </w:rPr>
              <w:fldChar w:fldCharType="end"/>
            </w:r>
          </w:p>
        </w:tc>
      </w:tr>
      <w:tr w:rsidR="00FA0835" w:rsidRPr="00CF7EDB" w14:paraId="155CDDA6" w14:textId="77777777" w:rsidTr="00146F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904" w:type="pct"/>
          </w:tcPr>
          <w:p w14:paraId="34570462" w14:textId="77777777" w:rsidR="00FA0835" w:rsidRPr="00CF7EDB" w:rsidRDefault="00FA0835" w:rsidP="00146F51">
            <w:pPr>
              <w:spacing w:after="0"/>
              <w:rPr>
                <w:rFonts w:ascii="Calibri" w:eastAsia="Times New Roman" w:hAnsi="Calibri" w:cs="Times New Roman"/>
                <w:sz w:val="20"/>
                <w:szCs w:val="20"/>
              </w:rPr>
            </w:pPr>
            <w:r w:rsidRPr="00CF7EDB">
              <w:rPr>
                <w:rFonts w:ascii="Calibri" w:eastAsia="Times New Roman" w:hAnsi="Calibri" w:cs="Times New Roman"/>
                <w:sz w:val="20"/>
                <w:szCs w:val="20"/>
              </w:rPr>
              <w:t>M&amp;E Plan Implementation</w:t>
            </w:r>
          </w:p>
        </w:tc>
        <w:tc>
          <w:tcPr>
            <w:tcW w:w="395" w:type="pct"/>
            <w:tcBorders>
              <w:bottom w:val="single" w:sz="4" w:space="0" w:color="auto"/>
            </w:tcBorders>
          </w:tcPr>
          <w:p w14:paraId="094FEE3C" w14:textId="77777777" w:rsidR="00FA0835" w:rsidRPr="00CF7EDB" w:rsidRDefault="00FA0835" w:rsidP="00146F51">
            <w:pPr>
              <w:spacing w:after="0"/>
              <w:rPr>
                <w:rFonts w:ascii="Calibri" w:eastAsia="Times New Roman" w:hAnsi="Calibri" w:cs="Times New Roman"/>
                <w:sz w:val="20"/>
                <w:szCs w:val="20"/>
              </w:rPr>
            </w:pPr>
            <w:r w:rsidRPr="00CF7EDB">
              <w:rPr>
                <w:rFonts w:ascii="Calibri" w:eastAsia="Times New Roman" w:hAnsi="Calibri" w:cs="Times New Roman"/>
                <w:sz w:val="20"/>
                <w:szCs w:val="20"/>
              </w:rPr>
              <w:fldChar w:fldCharType="begin">
                <w:ffData>
                  <w:name w:val="Text1"/>
                  <w:enabled/>
                  <w:calcOnExit w:val="0"/>
                  <w:textInput/>
                </w:ffData>
              </w:fldChar>
            </w:r>
            <w:r w:rsidRPr="00CF7EDB">
              <w:rPr>
                <w:rFonts w:ascii="Calibri" w:eastAsia="Times New Roman" w:hAnsi="Calibri" w:cs="Times New Roman"/>
                <w:sz w:val="20"/>
                <w:szCs w:val="20"/>
              </w:rPr>
              <w:instrText xml:space="preserve"> FORMTEXT </w:instrText>
            </w:r>
            <w:r w:rsidRPr="00CF7EDB">
              <w:rPr>
                <w:rFonts w:ascii="Calibri" w:eastAsia="Times New Roman" w:hAnsi="Calibri" w:cs="Times New Roman"/>
                <w:sz w:val="20"/>
                <w:szCs w:val="20"/>
              </w:rPr>
            </w:r>
            <w:r w:rsidRPr="00CF7EDB">
              <w:rPr>
                <w:rFonts w:ascii="Calibri" w:eastAsia="Times New Roman" w:hAnsi="Calibri" w:cs="Times New Roman"/>
                <w:sz w:val="20"/>
                <w:szCs w:val="20"/>
              </w:rPr>
              <w:fldChar w:fldCharType="separate"/>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sz w:val="20"/>
                <w:szCs w:val="20"/>
              </w:rPr>
              <w:fldChar w:fldCharType="end"/>
            </w:r>
          </w:p>
        </w:tc>
        <w:tc>
          <w:tcPr>
            <w:tcW w:w="2305" w:type="pct"/>
            <w:tcBorders>
              <w:bottom w:val="single" w:sz="4" w:space="0" w:color="auto"/>
            </w:tcBorders>
          </w:tcPr>
          <w:p w14:paraId="5A7323F9" w14:textId="77777777" w:rsidR="00FA0835" w:rsidRPr="00CF7EDB" w:rsidRDefault="00FA0835" w:rsidP="00146F51">
            <w:pPr>
              <w:spacing w:after="0"/>
              <w:rPr>
                <w:rFonts w:ascii="Calibri" w:eastAsia="Times New Roman" w:hAnsi="Calibri" w:cs="Times New Roman"/>
                <w:sz w:val="20"/>
                <w:szCs w:val="20"/>
              </w:rPr>
            </w:pPr>
            <w:r w:rsidRPr="00CF7EDB">
              <w:rPr>
                <w:rFonts w:ascii="Calibri" w:eastAsia="Times New Roman" w:hAnsi="Calibri" w:cs="Times New Roman"/>
                <w:sz w:val="20"/>
                <w:szCs w:val="20"/>
              </w:rPr>
              <w:t xml:space="preserve">Quality of </w:t>
            </w:r>
            <w:r>
              <w:rPr>
                <w:rFonts w:ascii="Calibri" w:eastAsia="Times New Roman" w:hAnsi="Calibri" w:cs="Times New Roman"/>
                <w:sz w:val="20"/>
                <w:szCs w:val="20"/>
              </w:rPr>
              <w:t xml:space="preserve">IOC/UNESCO </w:t>
            </w:r>
            <w:r w:rsidRPr="00CF7EDB">
              <w:rPr>
                <w:rFonts w:ascii="Calibri" w:eastAsia="Times New Roman" w:hAnsi="Calibri" w:cs="Times New Roman"/>
                <w:sz w:val="20"/>
                <w:szCs w:val="20"/>
              </w:rPr>
              <w:t xml:space="preserve">Execution </w:t>
            </w:r>
          </w:p>
        </w:tc>
        <w:tc>
          <w:tcPr>
            <w:tcW w:w="395" w:type="pct"/>
            <w:tcBorders>
              <w:bottom w:val="single" w:sz="4" w:space="0" w:color="auto"/>
            </w:tcBorders>
          </w:tcPr>
          <w:p w14:paraId="0E37FFCC" w14:textId="77777777" w:rsidR="00FA0835" w:rsidRPr="00CF7EDB" w:rsidRDefault="00FA0835" w:rsidP="00146F51">
            <w:pPr>
              <w:spacing w:after="0"/>
              <w:rPr>
                <w:rFonts w:ascii="Calibri" w:eastAsia="Times New Roman" w:hAnsi="Calibri" w:cs="Times New Roman"/>
                <w:sz w:val="20"/>
                <w:szCs w:val="20"/>
              </w:rPr>
            </w:pPr>
            <w:r w:rsidRPr="00CF7EDB">
              <w:rPr>
                <w:rFonts w:ascii="Calibri" w:eastAsia="Times New Roman" w:hAnsi="Calibri" w:cs="Times New Roman"/>
                <w:sz w:val="20"/>
                <w:szCs w:val="20"/>
              </w:rPr>
              <w:fldChar w:fldCharType="begin">
                <w:ffData>
                  <w:name w:val="Text1"/>
                  <w:enabled/>
                  <w:calcOnExit w:val="0"/>
                  <w:textInput/>
                </w:ffData>
              </w:fldChar>
            </w:r>
            <w:r w:rsidRPr="00CF7EDB">
              <w:rPr>
                <w:rFonts w:ascii="Calibri" w:eastAsia="Times New Roman" w:hAnsi="Calibri" w:cs="Times New Roman"/>
                <w:sz w:val="20"/>
                <w:szCs w:val="20"/>
              </w:rPr>
              <w:instrText xml:space="preserve"> FORMTEXT </w:instrText>
            </w:r>
            <w:r w:rsidRPr="00CF7EDB">
              <w:rPr>
                <w:rFonts w:ascii="Calibri" w:eastAsia="Times New Roman" w:hAnsi="Calibri" w:cs="Times New Roman"/>
                <w:sz w:val="20"/>
                <w:szCs w:val="20"/>
              </w:rPr>
            </w:r>
            <w:r w:rsidRPr="00CF7EDB">
              <w:rPr>
                <w:rFonts w:ascii="Calibri" w:eastAsia="Times New Roman" w:hAnsi="Calibri" w:cs="Times New Roman"/>
                <w:sz w:val="20"/>
                <w:szCs w:val="20"/>
              </w:rPr>
              <w:fldChar w:fldCharType="separate"/>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sz w:val="20"/>
                <w:szCs w:val="20"/>
              </w:rPr>
              <w:fldChar w:fldCharType="end"/>
            </w:r>
          </w:p>
        </w:tc>
      </w:tr>
      <w:tr w:rsidR="00FA0835" w:rsidRPr="00CF7EDB" w14:paraId="40CF4788" w14:textId="77777777" w:rsidTr="00146F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904" w:type="pct"/>
          </w:tcPr>
          <w:p w14:paraId="26AFE70C" w14:textId="77777777" w:rsidR="00FA0835" w:rsidRPr="00CF7EDB" w:rsidRDefault="00FA0835" w:rsidP="00146F51">
            <w:pPr>
              <w:spacing w:after="0"/>
              <w:rPr>
                <w:rFonts w:ascii="Calibri" w:eastAsia="Times New Roman" w:hAnsi="Calibri" w:cs="Times New Roman"/>
                <w:sz w:val="20"/>
                <w:szCs w:val="20"/>
              </w:rPr>
            </w:pPr>
            <w:r w:rsidRPr="00CF7EDB">
              <w:rPr>
                <w:rFonts w:ascii="Calibri" w:eastAsia="Times New Roman" w:hAnsi="Calibri" w:cs="Times New Roman"/>
                <w:sz w:val="20"/>
                <w:szCs w:val="20"/>
              </w:rPr>
              <w:t>Overall quality of M&amp;E</w:t>
            </w:r>
          </w:p>
        </w:tc>
        <w:tc>
          <w:tcPr>
            <w:tcW w:w="395" w:type="pct"/>
            <w:tcBorders>
              <w:bottom w:val="single" w:sz="4" w:space="0" w:color="auto"/>
            </w:tcBorders>
          </w:tcPr>
          <w:p w14:paraId="453F849C" w14:textId="77777777" w:rsidR="00FA0835" w:rsidRPr="00CF7EDB" w:rsidRDefault="00FA0835" w:rsidP="00146F51">
            <w:pPr>
              <w:spacing w:after="0"/>
              <w:rPr>
                <w:rFonts w:ascii="Calibri" w:eastAsia="Times New Roman" w:hAnsi="Calibri" w:cs="Times New Roman"/>
                <w:sz w:val="20"/>
                <w:szCs w:val="20"/>
              </w:rPr>
            </w:pPr>
            <w:r w:rsidRPr="00CF7EDB">
              <w:rPr>
                <w:rFonts w:ascii="Calibri" w:eastAsia="Times New Roman" w:hAnsi="Calibri" w:cs="Times New Roman"/>
                <w:sz w:val="20"/>
                <w:szCs w:val="20"/>
              </w:rPr>
              <w:fldChar w:fldCharType="begin">
                <w:ffData>
                  <w:name w:val="Text1"/>
                  <w:enabled/>
                  <w:calcOnExit w:val="0"/>
                  <w:textInput/>
                </w:ffData>
              </w:fldChar>
            </w:r>
            <w:r w:rsidRPr="00CF7EDB">
              <w:rPr>
                <w:rFonts w:ascii="Calibri" w:eastAsia="Times New Roman" w:hAnsi="Calibri" w:cs="Times New Roman"/>
                <w:sz w:val="20"/>
                <w:szCs w:val="20"/>
              </w:rPr>
              <w:instrText xml:space="preserve"> FORMTEXT </w:instrText>
            </w:r>
            <w:r w:rsidRPr="00CF7EDB">
              <w:rPr>
                <w:rFonts w:ascii="Calibri" w:eastAsia="Times New Roman" w:hAnsi="Calibri" w:cs="Times New Roman"/>
                <w:sz w:val="20"/>
                <w:szCs w:val="20"/>
              </w:rPr>
            </w:r>
            <w:r w:rsidRPr="00CF7EDB">
              <w:rPr>
                <w:rFonts w:ascii="Calibri" w:eastAsia="Times New Roman" w:hAnsi="Calibri" w:cs="Times New Roman"/>
                <w:sz w:val="20"/>
                <w:szCs w:val="20"/>
              </w:rPr>
              <w:fldChar w:fldCharType="separate"/>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sz w:val="20"/>
                <w:szCs w:val="20"/>
              </w:rPr>
              <w:fldChar w:fldCharType="end"/>
            </w:r>
          </w:p>
        </w:tc>
        <w:tc>
          <w:tcPr>
            <w:tcW w:w="2305" w:type="pct"/>
            <w:tcBorders>
              <w:bottom w:val="single" w:sz="4" w:space="0" w:color="auto"/>
            </w:tcBorders>
          </w:tcPr>
          <w:p w14:paraId="30CF38ED" w14:textId="77777777" w:rsidR="00FA0835" w:rsidRPr="00CF7EDB" w:rsidRDefault="00FA0835" w:rsidP="00146F51">
            <w:pPr>
              <w:spacing w:after="0"/>
              <w:rPr>
                <w:rFonts w:ascii="Calibri" w:eastAsia="Times New Roman" w:hAnsi="Calibri" w:cs="Times New Roman"/>
                <w:sz w:val="20"/>
                <w:szCs w:val="20"/>
              </w:rPr>
            </w:pPr>
            <w:r w:rsidRPr="00CF7EDB">
              <w:rPr>
                <w:rFonts w:ascii="Calibri" w:eastAsia="Times New Roman" w:hAnsi="Calibri" w:cs="Times New Roman"/>
                <w:sz w:val="20"/>
                <w:szCs w:val="20"/>
              </w:rPr>
              <w:t>Overall quality of Implementation / Execution</w:t>
            </w:r>
          </w:p>
        </w:tc>
        <w:tc>
          <w:tcPr>
            <w:tcW w:w="395" w:type="pct"/>
            <w:tcBorders>
              <w:bottom w:val="single" w:sz="4" w:space="0" w:color="auto"/>
            </w:tcBorders>
          </w:tcPr>
          <w:p w14:paraId="18C7B74A" w14:textId="77777777" w:rsidR="00FA0835" w:rsidRPr="00CF7EDB" w:rsidRDefault="00FA0835" w:rsidP="00146F51">
            <w:pPr>
              <w:spacing w:after="0"/>
              <w:rPr>
                <w:rFonts w:ascii="Calibri" w:eastAsia="Times New Roman" w:hAnsi="Calibri" w:cs="Times New Roman"/>
                <w:sz w:val="20"/>
                <w:szCs w:val="20"/>
              </w:rPr>
            </w:pPr>
            <w:r w:rsidRPr="00CF7EDB">
              <w:rPr>
                <w:rFonts w:ascii="Calibri" w:eastAsia="Times New Roman" w:hAnsi="Calibri" w:cs="Times New Roman"/>
                <w:sz w:val="20"/>
                <w:szCs w:val="20"/>
              </w:rPr>
              <w:fldChar w:fldCharType="begin">
                <w:ffData>
                  <w:name w:val="Text1"/>
                  <w:enabled/>
                  <w:calcOnExit w:val="0"/>
                  <w:textInput/>
                </w:ffData>
              </w:fldChar>
            </w:r>
            <w:r w:rsidRPr="00CF7EDB">
              <w:rPr>
                <w:rFonts w:ascii="Calibri" w:eastAsia="Times New Roman" w:hAnsi="Calibri" w:cs="Times New Roman"/>
                <w:sz w:val="20"/>
                <w:szCs w:val="20"/>
              </w:rPr>
              <w:instrText xml:space="preserve"> FORMTEXT </w:instrText>
            </w:r>
            <w:r w:rsidRPr="00CF7EDB">
              <w:rPr>
                <w:rFonts w:ascii="Calibri" w:eastAsia="Times New Roman" w:hAnsi="Calibri" w:cs="Times New Roman"/>
                <w:sz w:val="20"/>
                <w:szCs w:val="20"/>
              </w:rPr>
            </w:r>
            <w:r w:rsidRPr="00CF7EDB">
              <w:rPr>
                <w:rFonts w:ascii="Calibri" w:eastAsia="Times New Roman" w:hAnsi="Calibri" w:cs="Times New Roman"/>
                <w:sz w:val="20"/>
                <w:szCs w:val="20"/>
              </w:rPr>
              <w:fldChar w:fldCharType="separate"/>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sz w:val="20"/>
                <w:szCs w:val="20"/>
              </w:rPr>
              <w:fldChar w:fldCharType="end"/>
            </w:r>
          </w:p>
        </w:tc>
      </w:tr>
      <w:tr w:rsidR="00FA0835" w:rsidRPr="00CF7EDB" w14:paraId="24D9233F" w14:textId="77777777" w:rsidTr="00146F51">
        <w:tblPrEx>
          <w:shd w:val="clear" w:color="auto" w:fill="4F81BD"/>
        </w:tblPrEx>
        <w:tc>
          <w:tcPr>
            <w:tcW w:w="1904" w:type="pct"/>
            <w:shd w:val="clear" w:color="auto" w:fill="7F7F7F"/>
          </w:tcPr>
          <w:p w14:paraId="6AF80857" w14:textId="77777777" w:rsidR="00FA0835" w:rsidRPr="00CF7EDB" w:rsidRDefault="00FA0835" w:rsidP="00146F51">
            <w:pPr>
              <w:spacing w:after="0" w:line="240" w:lineRule="auto"/>
              <w:contextualSpacing/>
              <w:rPr>
                <w:rFonts w:ascii="Calibri" w:eastAsia="Times New Roman" w:hAnsi="Calibri" w:cs="Calibri"/>
                <w:b/>
                <w:bCs/>
                <w:color w:val="FFFFFF"/>
                <w:sz w:val="20"/>
                <w:szCs w:val="20"/>
              </w:rPr>
            </w:pPr>
            <w:r w:rsidRPr="00CF7EDB">
              <w:rPr>
                <w:rFonts w:ascii="Calibri" w:eastAsia="Times New Roman" w:hAnsi="Calibri" w:cs="Calibri"/>
                <w:b/>
                <w:bCs/>
                <w:color w:val="FFFFFF"/>
                <w:sz w:val="20"/>
                <w:szCs w:val="20"/>
              </w:rPr>
              <w:t xml:space="preserve">3. Assessment of Outcomes </w:t>
            </w:r>
          </w:p>
        </w:tc>
        <w:tc>
          <w:tcPr>
            <w:tcW w:w="395" w:type="pct"/>
            <w:shd w:val="clear" w:color="auto" w:fill="7F7F7F"/>
          </w:tcPr>
          <w:p w14:paraId="4864ECF0" w14:textId="77777777" w:rsidR="00FA0835" w:rsidRPr="00CF7EDB" w:rsidRDefault="00FA0835" w:rsidP="00146F51">
            <w:pPr>
              <w:spacing w:after="0" w:line="240" w:lineRule="auto"/>
              <w:contextualSpacing/>
              <w:jc w:val="center"/>
              <w:rPr>
                <w:rFonts w:ascii="Calibri" w:eastAsia="Times New Roman" w:hAnsi="Calibri" w:cs="Calibri"/>
                <w:b/>
                <w:bCs/>
                <w:color w:val="FFFFFF"/>
                <w:sz w:val="20"/>
                <w:szCs w:val="20"/>
              </w:rPr>
            </w:pPr>
            <w:r w:rsidRPr="00CF7EDB">
              <w:rPr>
                <w:rFonts w:ascii="Calibri" w:eastAsia="Times New Roman" w:hAnsi="Calibri" w:cs="Calibri"/>
                <w:b/>
                <w:bCs/>
                <w:color w:val="FFFFFF"/>
                <w:sz w:val="20"/>
                <w:szCs w:val="20"/>
              </w:rPr>
              <w:t>rating</w:t>
            </w:r>
          </w:p>
        </w:tc>
        <w:tc>
          <w:tcPr>
            <w:tcW w:w="2305" w:type="pct"/>
            <w:shd w:val="clear" w:color="auto" w:fill="7F7F7F"/>
          </w:tcPr>
          <w:p w14:paraId="62E28C6D" w14:textId="77777777" w:rsidR="00FA0835" w:rsidRPr="00CF7EDB" w:rsidRDefault="00FA0835" w:rsidP="00146F51">
            <w:pPr>
              <w:spacing w:after="0" w:line="240" w:lineRule="auto"/>
              <w:contextualSpacing/>
              <w:rPr>
                <w:rFonts w:ascii="Calibri" w:eastAsia="Times New Roman" w:hAnsi="Calibri" w:cs="Calibri"/>
                <w:b/>
                <w:bCs/>
                <w:color w:val="FFFFFF"/>
                <w:sz w:val="20"/>
                <w:szCs w:val="20"/>
              </w:rPr>
            </w:pPr>
            <w:r w:rsidRPr="00CF7EDB">
              <w:rPr>
                <w:rFonts w:ascii="Calibri" w:eastAsia="Times New Roman" w:hAnsi="Calibri" w:cs="Calibri"/>
                <w:b/>
                <w:bCs/>
                <w:color w:val="FFFFFF"/>
                <w:sz w:val="20"/>
                <w:szCs w:val="20"/>
              </w:rPr>
              <w:t>4. Sustainability</w:t>
            </w:r>
          </w:p>
        </w:tc>
        <w:tc>
          <w:tcPr>
            <w:tcW w:w="395" w:type="pct"/>
            <w:shd w:val="clear" w:color="auto" w:fill="7F7F7F"/>
          </w:tcPr>
          <w:p w14:paraId="28321840" w14:textId="77777777" w:rsidR="00FA0835" w:rsidRPr="00CF7EDB" w:rsidRDefault="00FA0835" w:rsidP="00146F51">
            <w:pPr>
              <w:spacing w:after="0" w:line="240" w:lineRule="auto"/>
              <w:contextualSpacing/>
              <w:jc w:val="center"/>
              <w:rPr>
                <w:rFonts w:ascii="Calibri" w:eastAsia="Times New Roman" w:hAnsi="Calibri" w:cs="Calibri"/>
                <w:b/>
                <w:bCs/>
                <w:color w:val="FFFFFF"/>
                <w:sz w:val="20"/>
                <w:szCs w:val="20"/>
              </w:rPr>
            </w:pPr>
            <w:r w:rsidRPr="00CF7EDB">
              <w:rPr>
                <w:rFonts w:ascii="Calibri" w:eastAsia="Times New Roman" w:hAnsi="Calibri" w:cs="Calibri"/>
                <w:b/>
                <w:bCs/>
                <w:color w:val="FFFFFF"/>
                <w:sz w:val="20"/>
                <w:szCs w:val="20"/>
              </w:rPr>
              <w:t>rating</w:t>
            </w:r>
          </w:p>
        </w:tc>
      </w:tr>
      <w:tr w:rsidR="00FA0835" w:rsidRPr="00CF7EDB" w14:paraId="2A0D8099" w14:textId="77777777" w:rsidTr="00146F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904" w:type="pct"/>
          </w:tcPr>
          <w:p w14:paraId="3929F31E" w14:textId="77777777" w:rsidR="00FA0835" w:rsidRPr="00CF7EDB" w:rsidRDefault="00FA0835" w:rsidP="00146F51">
            <w:pPr>
              <w:spacing w:after="0"/>
              <w:rPr>
                <w:rFonts w:ascii="Calibri" w:eastAsia="Times New Roman" w:hAnsi="Calibri" w:cs="Times New Roman"/>
                <w:sz w:val="20"/>
                <w:szCs w:val="20"/>
              </w:rPr>
            </w:pPr>
            <w:r w:rsidRPr="00CF7EDB">
              <w:rPr>
                <w:rFonts w:ascii="Calibri" w:eastAsia="Times New Roman" w:hAnsi="Calibri" w:cs="Times New Roman"/>
                <w:sz w:val="20"/>
                <w:szCs w:val="20"/>
              </w:rPr>
              <w:t xml:space="preserve">Relevance </w:t>
            </w:r>
          </w:p>
        </w:tc>
        <w:tc>
          <w:tcPr>
            <w:tcW w:w="395" w:type="pct"/>
          </w:tcPr>
          <w:p w14:paraId="19608777" w14:textId="77777777" w:rsidR="00FA0835" w:rsidRPr="00CF7EDB" w:rsidRDefault="00FA0835" w:rsidP="00146F51">
            <w:pPr>
              <w:spacing w:after="0"/>
              <w:rPr>
                <w:rFonts w:ascii="Calibri" w:eastAsia="Times New Roman" w:hAnsi="Calibri" w:cs="Times New Roman"/>
                <w:sz w:val="20"/>
                <w:szCs w:val="20"/>
              </w:rPr>
            </w:pPr>
            <w:r w:rsidRPr="00CF7EDB">
              <w:rPr>
                <w:rFonts w:ascii="Calibri" w:eastAsia="Times New Roman" w:hAnsi="Calibri" w:cs="Times New Roman"/>
                <w:sz w:val="20"/>
                <w:szCs w:val="20"/>
              </w:rPr>
              <w:fldChar w:fldCharType="begin">
                <w:ffData>
                  <w:name w:val="Text1"/>
                  <w:enabled/>
                  <w:calcOnExit w:val="0"/>
                  <w:textInput/>
                </w:ffData>
              </w:fldChar>
            </w:r>
            <w:r w:rsidRPr="00CF7EDB">
              <w:rPr>
                <w:rFonts w:ascii="Calibri" w:eastAsia="Times New Roman" w:hAnsi="Calibri" w:cs="Times New Roman"/>
                <w:sz w:val="20"/>
                <w:szCs w:val="20"/>
              </w:rPr>
              <w:instrText xml:space="preserve"> FORMTEXT </w:instrText>
            </w:r>
            <w:r w:rsidRPr="00CF7EDB">
              <w:rPr>
                <w:rFonts w:ascii="Calibri" w:eastAsia="Times New Roman" w:hAnsi="Calibri" w:cs="Times New Roman"/>
                <w:sz w:val="20"/>
                <w:szCs w:val="20"/>
              </w:rPr>
            </w:r>
            <w:r w:rsidRPr="00CF7EDB">
              <w:rPr>
                <w:rFonts w:ascii="Calibri" w:eastAsia="Times New Roman" w:hAnsi="Calibri" w:cs="Times New Roman"/>
                <w:sz w:val="20"/>
                <w:szCs w:val="20"/>
              </w:rPr>
              <w:fldChar w:fldCharType="separate"/>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sz w:val="20"/>
                <w:szCs w:val="20"/>
              </w:rPr>
              <w:fldChar w:fldCharType="end"/>
            </w:r>
          </w:p>
        </w:tc>
        <w:tc>
          <w:tcPr>
            <w:tcW w:w="2305" w:type="pct"/>
          </w:tcPr>
          <w:p w14:paraId="2739913C" w14:textId="77777777" w:rsidR="00FA0835" w:rsidRPr="00CF7EDB" w:rsidRDefault="00FA0835" w:rsidP="00146F51">
            <w:pPr>
              <w:spacing w:after="0"/>
              <w:rPr>
                <w:rFonts w:ascii="Calibri" w:eastAsia="Times New Roman" w:hAnsi="Calibri" w:cs="Times New Roman"/>
                <w:sz w:val="20"/>
                <w:szCs w:val="20"/>
              </w:rPr>
            </w:pPr>
            <w:r w:rsidRPr="00CF7EDB">
              <w:rPr>
                <w:rFonts w:ascii="Calibri" w:eastAsia="Times New Roman" w:hAnsi="Calibri" w:cs="Times New Roman"/>
                <w:sz w:val="20"/>
                <w:szCs w:val="20"/>
              </w:rPr>
              <w:t>Financial resources</w:t>
            </w:r>
          </w:p>
        </w:tc>
        <w:tc>
          <w:tcPr>
            <w:tcW w:w="395" w:type="pct"/>
          </w:tcPr>
          <w:p w14:paraId="66857CB1" w14:textId="77777777" w:rsidR="00FA0835" w:rsidRPr="00CF7EDB" w:rsidRDefault="00FA0835" w:rsidP="00146F51">
            <w:pPr>
              <w:spacing w:after="0"/>
              <w:rPr>
                <w:rFonts w:ascii="Calibri" w:eastAsia="Times New Roman" w:hAnsi="Calibri" w:cs="Times New Roman"/>
                <w:sz w:val="20"/>
                <w:szCs w:val="20"/>
              </w:rPr>
            </w:pPr>
            <w:r w:rsidRPr="00CF7EDB">
              <w:rPr>
                <w:rFonts w:ascii="Calibri" w:eastAsia="Times New Roman" w:hAnsi="Calibri" w:cs="Times New Roman"/>
                <w:sz w:val="20"/>
                <w:szCs w:val="20"/>
              </w:rPr>
              <w:fldChar w:fldCharType="begin">
                <w:ffData>
                  <w:name w:val="Text1"/>
                  <w:enabled/>
                  <w:calcOnExit w:val="0"/>
                  <w:textInput/>
                </w:ffData>
              </w:fldChar>
            </w:r>
            <w:r w:rsidRPr="00CF7EDB">
              <w:rPr>
                <w:rFonts w:ascii="Calibri" w:eastAsia="Times New Roman" w:hAnsi="Calibri" w:cs="Times New Roman"/>
                <w:sz w:val="20"/>
                <w:szCs w:val="20"/>
              </w:rPr>
              <w:instrText xml:space="preserve"> FORMTEXT </w:instrText>
            </w:r>
            <w:r w:rsidRPr="00CF7EDB">
              <w:rPr>
                <w:rFonts w:ascii="Calibri" w:eastAsia="Times New Roman" w:hAnsi="Calibri" w:cs="Times New Roman"/>
                <w:sz w:val="20"/>
                <w:szCs w:val="20"/>
              </w:rPr>
            </w:r>
            <w:r w:rsidRPr="00CF7EDB">
              <w:rPr>
                <w:rFonts w:ascii="Calibri" w:eastAsia="Times New Roman" w:hAnsi="Calibri" w:cs="Times New Roman"/>
                <w:sz w:val="20"/>
                <w:szCs w:val="20"/>
              </w:rPr>
              <w:fldChar w:fldCharType="separate"/>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sz w:val="20"/>
                <w:szCs w:val="20"/>
              </w:rPr>
              <w:fldChar w:fldCharType="end"/>
            </w:r>
          </w:p>
        </w:tc>
      </w:tr>
      <w:tr w:rsidR="00FA0835" w:rsidRPr="00CF7EDB" w14:paraId="00B8DBCC" w14:textId="77777777" w:rsidTr="00146F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904" w:type="pct"/>
          </w:tcPr>
          <w:p w14:paraId="630B2F71" w14:textId="77777777" w:rsidR="00FA0835" w:rsidRPr="00CF7EDB" w:rsidRDefault="00FA0835" w:rsidP="00146F51">
            <w:pPr>
              <w:spacing w:after="0"/>
              <w:rPr>
                <w:rFonts w:ascii="Calibri" w:eastAsia="Times New Roman" w:hAnsi="Calibri" w:cs="Times New Roman"/>
                <w:sz w:val="20"/>
                <w:szCs w:val="20"/>
              </w:rPr>
            </w:pPr>
            <w:r w:rsidRPr="00CF7EDB">
              <w:rPr>
                <w:rFonts w:ascii="Calibri" w:eastAsia="Times New Roman" w:hAnsi="Calibri" w:cs="Times New Roman"/>
                <w:sz w:val="20"/>
                <w:szCs w:val="20"/>
              </w:rPr>
              <w:t>Effectiveness</w:t>
            </w:r>
          </w:p>
        </w:tc>
        <w:tc>
          <w:tcPr>
            <w:tcW w:w="395" w:type="pct"/>
          </w:tcPr>
          <w:p w14:paraId="3F27F54A" w14:textId="77777777" w:rsidR="00FA0835" w:rsidRPr="00CF7EDB" w:rsidRDefault="00FA0835" w:rsidP="00146F51">
            <w:pPr>
              <w:spacing w:after="0"/>
              <w:rPr>
                <w:rFonts w:ascii="Calibri" w:eastAsia="Times New Roman" w:hAnsi="Calibri" w:cs="Times New Roman"/>
                <w:sz w:val="20"/>
                <w:szCs w:val="20"/>
              </w:rPr>
            </w:pPr>
            <w:r w:rsidRPr="00CF7EDB">
              <w:rPr>
                <w:rFonts w:ascii="Calibri" w:eastAsia="Times New Roman" w:hAnsi="Calibri" w:cs="Times New Roman"/>
                <w:sz w:val="20"/>
                <w:szCs w:val="20"/>
              </w:rPr>
              <w:fldChar w:fldCharType="begin">
                <w:ffData>
                  <w:name w:val="Text1"/>
                  <w:enabled/>
                  <w:calcOnExit w:val="0"/>
                  <w:textInput/>
                </w:ffData>
              </w:fldChar>
            </w:r>
            <w:r w:rsidRPr="00CF7EDB">
              <w:rPr>
                <w:rFonts w:ascii="Calibri" w:eastAsia="Times New Roman" w:hAnsi="Calibri" w:cs="Times New Roman"/>
                <w:sz w:val="20"/>
                <w:szCs w:val="20"/>
              </w:rPr>
              <w:instrText xml:space="preserve"> FORMTEXT </w:instrText>
            </w:r>
            <w:r w:rsidRPr="00CF7EDB">
              <w:rPr>
                <w:rFonts w:ascii="Calibri" w:eastAsia="Times New Roman" w:hAnsi="Calibri" w:cs="Times New Roman"/>
                <w:sz w:val="20"/>
                <w:szCs w:val="20"/>
              </w:rPr>
            </w:r>
            <w:r w:rsidRPr="00CF7EDB">
              <w:rPr>
                <w:rFonts w:ascii="Calibri" w:eastAsia="Times New Roman" w:hAnsi="Calibri" w:cs="Times New Roman"/>
                <w:sz w:val="20"/>
                <w:szCs w:val="20"/>
              </w:rPr>
              <w:fldChar w:fldCharType="separate"/>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sz w:val="20"/>
                <w:szCs w:val="20"/>
              </w:rPr>
              <w:fldChar w:fldCharType="end"/>
            </w:r>
          </w:p>
        </w:tc>
        <w:tc>
          <w:tcPr>
            <w:tcW w:w="2305" w:type="pct"/>
          </w:tcPr>
          <w:p w14:paraId="7AF9FFA8" w14:textId="77777777" w:rsidR="00FA0835" w:rsidRPr="00CF7EDB" w:rsidRDefault="00FA0835" w:rsidP="00146F51">
            <w:pPr>
              <w:spacing w:after="0"/>
              <w:rPr>
                <w:rFonts w:ascii="Calibri" w:eastAsia="Times New Roman" w:hAnsi="Calibri" w:cs="Times New Roman"/>
                <w:sz w:val="20"/>
                <w:szCs w:val="20"/>
              </w:rPr>
            </w:pPr>
            <w:r w:rsidRPr="00CF7EDB">
              <w:rPr>
                <w:rFonts w:ascii="Calibri" w:eastAsia="Times New Roman" w:hAnsi="Calibri" w:cs="Times New Roman"/>
                <w:sz w:val="20"/>
                <w:szCs w:val="20"/>
              </w:rPr>
              <w:t>Socio-</w:t>
            </w:r>
            <w:r>
              <w:rPr>
                <w:rFonts w:ascii="Calibri" w:eastAsia="Times New Roman" w:hAnsi="Calibri" w:cs="Times New Roman"/>
                <w:sz w:val="20"/>
                <w:szCs w:val="20"/>
              </w:rPr>
              <w:t>economic</w:t>
            </w:r>
          </w:p>
        </w:tc>
        <w:tc>
          <w:tcPr>
            <w:tcW w:w="395" w:type="pct"/>
          </w:tcPr>
          <w:p w14:paraId="63D1BFD3" w14:textId="77777777" w:rsidR="00FA0835" w:rsidRPr="00CF7EDB" w:rsidRDefault="00FA0835" w:rsidP="00146F51">
            <w:pPr>
              <w:spacing w:after="0"/>
              <w:rPr>
                <w:rFonts w:ascii="Calibri" w:eastAsia="Times New Roman" w:hAnsi="Calibri" w:cs="Times New Roman"/>
                <w:sz w:val="20"/>
                <w:szCs w:val="20"/>
              </w:rPr>
            </w:pPr>
            <w:r w:rsidRPr="00CF7EDB">
              <w:rPr>
                <w:rFonts w:ascii="Calibri" w:eastAsia="Times New Roman" w:hAnsi="Calibri" w:cs="Times New Roman"/>
                <w:sz w:val="20"/>
                <w:szCs w:val="20"/>
              </w:rPr>
              <w:fldChar w:fldCharType="begin">
                <w:ffData>
                  <w:name w:val="Text1"/>
                  <w:enabled/>
                  <w:calcOnExit w:val="0"/>
                  <w:textInput/>
                </w:ffData>
              </w:fldChar>
            </w:r>
            <w:r w:rsidRPr="00CF7EDB">
              <w:rPr>
                <w:rFonts w:ascii="Calibri" w:eastAsia="Times New Roman" w:hAnsi="Calibri" w:cs="Times New Roman"/>
                <w:sz w:val="20"/>
                <w:szCs w:val="20"/>
              </w:rPr>
              <w:instrText xml:space="preserve"> FORMTEXT </w:instrText>
            </w:r>
            <w:r w:rsidRPr="00CF7EDB">
              <w:rPr>
                <w:rFonts w:ascii="Calibri" w:eastAsia="Times New Roman" w:hAnsi="Calibri" w:cs="Times New Roman"/>
                <w:sz w:val="20"/>
                <w:szCs w:val="20"/>
              </w:rPr>
            </w:r>
            <w:r w:rsidRPr="00CF7EDB">
              <w:rPr>
                <w:rFonts w:ascii="Calibri" w:eastAsia="Times New Roman" w:hAnsi="Calibri" w:cs="Times New Roman"/>
                <w:sz w:val="20"/>
                <w:szCs w:val="20"/>
              </w:rPr>
              <w:fldChar w:fldCharType="separate"/>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sz w:val="20"/>
                <w:szCs w:val="20"/>
              </w:rPr>
              <w:fldChar w:fldCharType="end"/>
            </w:r>
          </w:p>
        </w:tc>
      </w:tr>
      <w:tr w:rsidR="00FA0835" w:rsidRPr="00CF7EDB" w14:paraId="0102058E" w14:textId="77777777" w:rsidTr="00146F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904" w:type="pct"/>
          </w:tcPr>
          <w:p w14:paraId="4ED4C1ED" w14:textId="77777777" w:rsidR="00FA0835" w:rsidRPr="00CF7EDB" w:rsidRDefault="00FA0835" w:rsidP="00146F51">
            <w:pPr>
              <w:spacing w:after="0"/>
              <w:rPr>
                <w:rFonts w:ascii="Calibri" w:eastAsia="Times New Roman" w:hAnsi="Calibri" w:cs="Times New Roman"/>
                <w:sz w:val="20"/>
                <w:szCs w:val="20"/>
              </w:rPr>
            </w:pPr>
            <w:r w:rsidRPr="00CF7EDB">
              <w:rPr>
                <w:rFonts w:ascii="Calibri" w:eastAsia="Times New Roman" w:hAnsi="Calibri" w:cs="Times New Roman"/>
                <w:sz w:val="20"/>
                <w:szCs w:val="20"/>
              </w:rPr>
              <w:t xml:space="preserve">Efficiency </w:t>
            </w:r>
          </w:p>
        </w:tc>
        <w:tc>
          <w:tcPr>
            <w:tcW w:w="395" w:type="pct"/>
          </w:tcPr>
          <w:p w14:paraId="5320905E" w14:textId="77777777" w:rsidR="00FA0835" w:rsidRPr="00CF7EDB" w:rsidRDefault="00FA0835" w:rsidP="00146F51">
            <w:pPr>
              <w:spacing w:after="0"/>
              <w:rPr>
                <w:rFonts w:ascii="Calibri" w:eastAsia="Times New Roman" w:hAnsi="Calibri" w:cs="Times New Roman"/>
                <w:sz w:val="20"/>
                <w:szCs w:val="20"/>
              </w:rPr>
            </w:pPr>
            <w:r w:rsidRPr="00CF7EDB">
              <w:rPr>
                <w:rFonts w:ascii="Calibri" w:eastAsia="Times New Roman" w:hAnsi="Calibri" w:cs="Times New Roman"/>
                <w:sz w:val="20"/>
                <w:szCs w:val="20"/>
              </w:rPr>
              <w:fldChar w:fldCharType="begin">
                <w:ffData>
                  <w:name w:val="Text1"/>
                  <w:enabled/>
                  <w:calcOnExit w:val="0"/>
                  <w:textInput/>
                </w:ffData>
              </w:fldChar>
            </w:r>
            <w:r w:rsidRPr="00CF7EDB">
              <w:rPr>
                <w:rFonts w:ascii="Calibri" w:eastAsia="Times New Roman" w:hAnsi="Calibri" w:cs="Times New Roman"/>
                <w:sz w:val="20"/>
                <w:szCs w:val="20"/>
              </w:rPr>
              <w:instrText xml:space="preserve"> FORMTEXT </w:instrText>
            </w:r>
            <w:r w:rsidRPr="00CF7EDB">
              <w:rPr>
                <w:rFonts w:ascii="Calibri" w:eastAsia="Times New Roman" w:hAnsi="Calibri" w:cs="Times New Roman"/>
                <w:sz w:val="20"/>
                <w:szCs w:val="20"/>
              </w:rPr>
            </w:r>
            <w:r w:rsidRPr="00CF7EDB">
              <w:rPr>
                <w:rFonts w:ascii="Calibri" w:eastAsia="Times New Roman" w:hAnsi="Calibri" w:cs="Times New Roman"/>
                <w:sz w:val="20"/>
                <w:szCs w:val="20"/>
              </w:rPr>
              <w:fldChar w:fldCharType="separate"/>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sz w:val="20"/>
                <w:szCs w:val="20"/>
              </w:rPr>
              <w:fldChar w:fldCharType="end"/>
            </w:r>
          </w:p>
        </w:tc>
        <w:tc>
          <w:tcPr>
            <w:tcW w:w="2305" w:type="pct"/>
          </w:tcPr>
          <w:p w14:paraId="234F4157" w14:textId="77777777" w:rsidR="00FA0835" w:rsidRPr="00CF7EDB" w:rsidRDefault="00FA0835" w:rsidP="00146F51">
            <w:pPr>
              <w:spacing w:after="0"/>
              <w:rPr>
                <w:rFonts w:ascii="Calibri" w:eastAsia="Times New Roman" w:hAnsi="Calibri" w:cs="Times New Roman"/>
                <w:sz w:val="20"/>
                <w:szCs w:val="20"/>
              </w:rPr>
            </w:pPr>
            <w:r w:rsidRPr="00CF7EDB">
              <w:rPr>
                <w:rFonts w:ascii="Calibri" w:eastAsia="Times New Roman" w:hAnsi="Calibri" w:cs="Times New Roman"/>
                <w:sz w:val="20"/>
                <w:szCs w:val="20"/>
              </w:rPr>
              <w:t>Institutional framework and governance</w:t>
            </w:r>
          </w:p>
        </w:tc>
        <w:tc>
          <w:tcPr>
            <w:tcW w:w="395" w:type="pct"/>
          </w:tcPr>
          <w:p w14:paraId="328A5C41" w14:textId="77777777" w:rsidR="00FA0835" w:rsidRPr="00CF7EDB" w:rsidRDefault="00FA0835" w:rsidP="00146F51">
            <w:pPr>
              <w:spacing w:after="0"/>
              <w:rPr>
                <w:rFonts w:ascii="Calibri" w:eastAsia="Times New Roman" w:hAnsi="Calibri" w:cs="Times New Roman"/>
                <w:sz w:val="20"/>
                <w:szCs w:val="20"/>
              </w:rPr>
            </w:pPr>
            <w:r w:rsidRPr="00CF7EDB">
              <w:rPr>
                <w:rFonts w:ascii="Calibri" w:eastAsia="Times New Roman" w:hAnsi="Calibri" w:cs="Times New Roman"/>
                <w:sz w:val="20"/>
                <w:szCs w:val="20"/>
              </w:rPr>
              <w:fldChar w:fldCharType="begin">
                <w:ffData>
                  <w:name w:val="Text1"/>
                  <w:enabled/>
                  <w:calcOnExit w:val="0"/>
                  <w:textInput/>
                </w:ffData>
              </w:fldChar>
            </w:r>
            <w:r w:rsidRPr="00CF7EDB">
              <w:rPr>
                <w:rFonts w:ascii="Calibri" w:eastAsia="Times New Roman" w:hAnsi="Calibri" w:cs="Times New Roman"/>
                <w:sz w:val="20"/>
                <w:szCs w:val="20"/>
              </w:rPr>
              <w:instrText xml:space="preserve"> FORMTEXT </w:instrText>
            </w:r>
            <w:r w:rsidRPr="00CF7EDB">
              <w:rPr>
                <w:rFonts w:ascii="Calibri" w:eastAsia="Times New Roman" w:hAnsi="Calibri" w:cs="Times New Roman"/>
                <w:sz w:val="20"/>
                <w:szCs w:val="20"/>
              </w:rPr>
            </w:r>
            <w:r w:rsidRPr="00CF7EDB">
              <w:rPr>
                <w:rFonts w:ascii="Calibri" w:eastAsia="Times New Roman" w:hAnsi="Calibri" w:cs="Times New Roman"/>
                <w:sz w:val="20"/>
                <w:szCs w:val="20"/>
              </w:rPr>
              <w:fldChar w:fldCharType="separate"/>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sz w:val="20"/>
                <w:szCs w:val="20"/>
              </w:rPr>
              <w:fldChar w:fldCharType="end"/>
            </w:r>
          </w:p>
        </w:tc>
      </w:tr>
      <w:tr w:rsidR="00FA0835" w:rsidRPr="00CF7EDB" w14:paraId="66DEF20C" w14:textId="77777777" w:rsidTr="00146F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904" w:type="pct"/>
          </w:tcPr>
          <w:p w14:paraId="459BC731" w14:textId="77777777" w:rsidR="00FA0835" w:rsidRPr="00CF7EDB" w:rsidRDefault="00FA0835" w:rsidP="00146F51">
            <w:pPr>
              <w:spacing w:after="0"/>
              <w:rPr>
                <w:rFonts w:ascii="Calibri" w:eastAsia="Times New Roman" w:hAnsi="Calibri" w:cs="Times New Roman"/>
                <w:sz w:val="20"/>
                <w:szCs w:val="20"/>
              </w:rPr>
            </w:pPr>
            <w:r w:rsidRPr="00CF7EDB">
              <w:rPr>
                <w:rFonts w:ascii="Calibri" w:eastAsia="Times New Roman" w:hAnsi="Calibri" w:cs="Times New Roman"/>
                <w:sz w:val="20"/>
                <w:szCs w:val="20"/>
              </w:rPr>
              <w:t>Overall Project Outcome Rating</w:t>
            </w:r>
          </w:p>
        </w:tc>
        <w:tc>
          <w:tcPr>
            <w:tcW w:w="395" w:type="pct"/>
          </w:tcPr>
          <w:p w14:paraId="04357BE5" w14:textId="77777777" w:rsidR="00FA0835" w:rsidRPr="00CF7EDB" w:rsidRDefault="00FA0835" w:rsidP="00146F51">
            <w:pPr>
              <w:spacing w:after="0"/>
              <w:rPr>
                <w:rFonts w:ascii="Calibri" w:eastAsia="Times New Roman" w:hAnsi="Calibri" w:cs="Times New Roman"/>
                <w:sz w:val="20"/>
                <w:szCs w:val="20"/>
              </w:rPr>
            </w:pPr>
            <w:r w:rsidRPr="00CF7EDB">
              <w:rPr>
                <w:rFonts w:ascii="Calibri" w:eastAsia="Times New Roman" w:hAnsi="Calibri" w:cs="Times New Roman"/>
                <w:sz w:val="20"/>
                <w:szCs w:val="20"/>
              </w:rPr>
              <w:fldChar w:fldCharType="begin">
                <w:ffData>
                  <w:name w:val="Text1"/>
                  <w:enabled/>
                  <w:calcOnExit w:val="0"/>
                  <w:textInput/>
                </w:ffData>
              </w:fldChar>
            </w:r>
            <w:r w:rsidRPr="00CF7EDB">
              <w:rPr>
                <w:rFonts w:ascii="Calibri" w:eastAsia="Times New Roman" w:hAnsi="Calibri" w:cs="Times New Roman"/>
                <w:sz w:val="20"/>
                <w:szCs w:val="20"/>
              </w:rPr>
              <w:instrText xml:space="preserve"> FORMTEXT </w:instrText>
            </w:r>
            <w:r w:rsidRPr="00CF7EDB">
              <w:rPr>
                <w:rFonts w:ascii="Calibri" w:eastAsia="Times New Roman" w:hAnsi="Calibri" w:cs="Times New Roman"/>
                <w:sz w:val="20"/>
                <w:szCs w:val="20"/>
              </w:rPr>
            </w:r>
            <w:r w:rsidRPr="00CF7EDB">
              <w:rPr>
                <w:rFonts w:ascii="Calibri" w:eastAsia="Times New Roman" w:hAnsi="Calibri" w:cs="Times New Roman"/>
                <w:sz w:val="20"/>
                <w:szCs w:val="20"/>
              </w:rPr>
              <w:fldChar w:fldCharType="separate"/>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sz w:val="20"/>
                <w:szCs w:val="20"/>
              </w:rPr>
              <w:fldChar w:fldCharType="end"/>
            </w:r>
          </w:p>
        </w:tc>
        <w:tc>
          <w:tcPr>
            <w:tcW w:w="2305" w:type="pct"/>
          </w:tcPr>
          <w:p w14:paraId="12DEBE03" w14:textId="77777777" w:rsidR="00FA0835" w:rsidRPr="00CF7EDB" w:rsidRDefault="00FA0835" w:rsidP="00146F51">
            <w:pPr>
              <w:spacing w:after="0"/>
              <w:rPr>
                <w:rFonts w:ascii="Calibri" w:eastAsia="Times New Roman" w:hAnsi="Calibri" w:cs="Times New Roman"/>
                <w:sz w:val="20"/>
                <w:szCs w:val="20"/>
              </w:rPr>
            </w:pPr>
            <w:r w:rsidRPr="00CF7EDB">
              <w:rPr>
                <w:rFonts w:ascii="Calibri" w:eastAsia="Times New Roman" w:hAnsi="Calibri" w:cs="Times New Roman"/>
                <w:sz w:val="20"/>
                <w:szCs w:val="20"/>
              </w:rPr>
              <w:t>Environmental</w:t>
            </w:r>
          </w:p>
        </w:tc>
        <w:tc>
          <w:tcPr>
            <w:tcW w:w="395" w:type="pct"/>
          </w:tcPr>
          <w:p w14:paraId="062C26F3" w14:textId="77777777" w:rsidR="00FA0835" w:rsidRPr="00CF7EDB" w:rsidRDefault="00FA0835" w:rsidP="00146F51">
            <w:pPr>
              <w:spacing w:after="0"/>
              <w:rPr>
                <w:rFonts w:ascii="Calibri" w:eastAsia="Times New Roman" w:hAnsi="Calibri" w:cs="Times New Roman"/>
                <w:sz w:val="20"/>
                <w:szCs w:val="20"/>
              </w:rPr>
            </w:pPr>
            <w:r w:rsidRPr="00CF7EDB">
              <w:rPr>
                <w:rFonts w:ascii="Calibri" w:eastAsia="Times New Roman" w:hAnsi="Calibri" w:cs="Times New Roman"/>
                <w:sz w:val="20"/>
                <w:szCs w:val="20"/>
              </w:rPr>
              <w:fldChar w:fldCharType="begin">
                <w:ffData>
                  <w:name w:val="Text1"/>
                  <w:enabled/>
                  <w:calcOnExit w:val="0"/>
                  <w:textInput/>
                </w:ffData>
              </w:fldChar>
            </w:r>
            <w:r w:rsidRPr="00CF7EDB">
              <w:rPr>
                <w:rFonts w:ascii="Calibri" w:eastAsia="Times New Roman" w:hAnsi="Calibri" w:cs="Times New Roman"/>
                <w:sz w:val="20"/>
                <w:szCs w:val="20"/>
              </w:rPr>
              <w:instrText xml:space="preserve"> FORMTEXT </w:instrText>
            </w:r>
            <w:r w:rsidRPr="00CF7EDB">
              <w:rPr>
                <w:rFonts w:ascii="Calibri" w:eastAsia="Times New Roman" w:hAnsi="Calibri" w:cs="Times New Roman"/>
                <w:sz w:val="20"/>
                <w:szCs w:val="20"/>
              </w:rPr>
            </w:r>
            <w:r w:rsidRPr="00CF7EDB">
              <w:rPr>
                <w:rFonts w:ascii="Calibri" w:eastAsia="Times New Roman" w:hAnsi="Calibri" w:cs="Times New Roman"/>
                <w:sz w:val="20"/>
                <w:szCs w:val="20"/>
              </w:rPr>
              <w:fldChar w:fldCharType="separate"/>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sz w:val="20"/>
                <w:szCs w:val="20"/>
              </w:rPr>
              <w:fldChar w:fldCharType="end"/>
            </w:r>
          </w:p>
        </w:tc>
      </w:tr>
      <w:tr w:rsidR="00FA0835" w:rsidRPr="00CF7EDB" w14:paraId="4E99E6E5" w14:textId="77777777" w:rsidTr="00146F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904" w:type="pct"/>
          </w:tcPr>
          <w:p w14:paraId="11F891ED" w14:textId="77777777" w:rsidR="00FA0835" w:rsidRPr="00CF7EDB" w:rsidRDefault="00FA0835" w:rsidP="00146F51">
            <w:pPr>
              <w:spacing w:after="0"/>
              <w:rPr>
                <w:rFonts w:ascii="Calibri" w:eastAsia="Times New Roman" w:hAnsi="Calibri" w:cs="Times New Roman"/>
                <w:sz w:val="20"/>
                <w:szCs w:val="20"/>
              </w:rPr>
            </w:pPr>
          </w:p>
        </w:tc>
        <w:tc>
          <w:tcPr>
            <w:tcW w:w="395" w:type="pct"/>
          </w:tcPr>
          <w:p w14:paraId="0802E33A" w14:textId="77777777" w:rsidR="00FA0835" w:rsidRPr="00CF7EDB" w:rsidRDefault="00FA0835" w:rsidP="00146F51">
            <w:pPr>
              <w:spacing w:after="0"/>
              <w:rPr>
                <w:rFonts w:ascii="Calibri" w:eastAsia="Times New Roman" w:hAnsi="Calibri" w:cs="Times New Roman"/>
                <w:sz w:val="20"/>
                <w:szCs w:val="20"/>
              </w:rPr>
            </w:pPr>
          </w:p>
        </w:tc>
        <w:tc>
          <w:tcPr>
            <w:tcW w:w="2305" w:type="pct"/>
          </w:tcPr>
          <w:p w14:paraId="71D3EF66" w14:textId="77777777" w:rsidR="00FA0835" w:rsidRPr="00CF7EDB" w:rsidRDefault="00FA0835" w:rsidP="00146F51">
            <w:pPr>
              <w:spacing w:after="0"/>
              <w:rPr>
                <w:rFonts w:ascii="Calibri" w:eastAsia="Times New Roman" w:hAnsi="Calibri" w:cs="Times New Roman"/>
                <w:sz w:val="20"/>
                <w:szCs w:val="20"/>
              </w:rPr>
            </w:pPr>
            <w:r w:rsidRPr="00CF7EDB">
              <w:rPr>
                <w:rFonts w:ascii="Calibri" w:eastAsia="Times New Roman" w:hAnsi="Calibri" w:cs="Times New Roman"/>
                <w:sz w:val="20"/>
                <w:szCs w:val="20"/>
              </w:rPr>
              <w:t xml:space="preserve">Overall likelihood of </w:t>
            </w:r>
            <w:r>
              <w:rPr>
                <w:rFonts w:ascii="Calibri" w:eastAsia="Times New Roman" w:hAnsi="Calibri" w:cs="Times New Roman"/>
                <w:sz w:val="20"/>
                <w:szCs w:val="20"/>
              </w:rPr>
              <w:t xml:space="preserve">risks to </w:t>
            </w:r>
            <w:r w:rsidRPr="00CF7EDB">
              <w:rPr>
                <w:rFonts w:ascii="Calibri" w:eastAsia="Times New Roman" w:hAnsi="Calibri" w:cs="Times New Roman"/>
                <w:sz w:val="20"/>
                <w:szCs w:val="20"/>
              </w:rPr>
              <w:t>sustainability</w:t>
            </w:r>
          </w:p>
        </w:tc>
        <w:tc>
          <w:tcPr>
            <w:tcW w:w="395" w:type="pct"/>
          </w:tcPr>
          <w:p w14:paraId="6A941942" w14:textId="77777777" w:rsidR="00FA0835" w:rsidRPr="00CF7EDB" w:rsidRDefault="00FA0835" w:rsidP="00146F51">
            <w:pPr>
              <w:spacing w:after="0"/>
              <w:rPr>
                <w:rFonts w:ascii="Calibri" w:eastAsia="Times New Roman" w:hAnsi="Calibri" w:cs="Times New Roman"/>
                <w:sz w:val="20"/>
                <w:szCs w:val="20"/>
              </w:rPr>
            </w:pPr>
            <w:r w:rsidRPr="00CF7EDB">
              <w:rPr>
                <w:rFonts w:ascii="Calibri" w:eastAsia="Times New Roman" w:hAnsi="Calibri" w:cs="Times New Roman"/>
                <w:sz w:val="20"/>
                <w:szCs w:val="20"/>
              </w:rPr>
              <w:fldChar w:fldCharType="begin">
                <w:ffData>
                  <w:name w:val="Text1"/>
                  <w:enabled/>
                  <w:calcOnExit w:val="0"/>
                  <w:textInput/>
                </w:ffData>
              </w:fldChar>
            </w:r>
            <w:r w:rsidRPr="00CF7EDB">
              <w:rPr>
                <w:rFonts w:ascii="Calibri" w:eastAsia="Times New Roman" w:hAnsi="Calibri" w:cs="Times New Roman"/>
                <w:sz w:val="20"/>
                <w:szCs w:val="20"/>
              </w:rPr>
              <w:instrText xml:space="preserve"> FORMTEXT </w:instrText>
            </w:r>
            <w:r w:rsidRPr="00CF7EDB">
              <w:rPr>
                <w:rFonts w:ascii="Calibri" w:eastAsia="Times New Roman" w:hAnsi="Calibri" w:cs="Times New Roman"/>
                <w:sz w:val="20"/>
                <w:szCs w:val="20"/>
              </w:rPr>
            </w:r>
            <w:r w:rsidRPr="00CF7EDB">
              <w:rPr>
                <w:rFonts w:ascii="Calibri" w:eastAsia="Times New Roman" w:hAnsi="Calibri" w:cs="Times New Roman"/>
                <w:sz w:val="20"/>
                <w:szCs w:val="20"/>
              </w:rPr>
              <w:fldChar w:fldCharType="separate"/>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sz w:val="20"/>
                <w:szCs w:val="20"/>
              </w:rPr>
              <w:fldChar w:fldCharType="end"/>
            </w:r>
          </w:p>
        </w:tc>
      </w:tr>
      <w:tr w:rsidR="00FA0835" w:rsidRPr="00CF7EDB" w14:paraId="406C5381" w14:textId="77777777" w:rsidTr="00146F51">
        <w:tblPrEx>
          <w:shd w:val="clear" w:color="auto" w:fill="4F81BD"/>
        </w:tblPrEx>
        <w:tc>
          <w:tcPr>
            <w:tcW w:w="1904" w:type="pct"/>
            <w:shd w:val="clear" w:color="auto" w:fill="7F7F7F"/>
          </w:tcPr>
          <w:p w14:paraId="013BCAF1" w14:textId="77777777" w:rsidR="00FA0835" w:rsidRPr="00CF7EDB" w:rsidRDefault="00FA0835" w:rsidP="00146F51">
            <w:pPr>
              <w:spacing w:after="0" w:line="240" w:lineRule="auto"/>
              <w:contextualSpacing/>
              <w:rPr>
                <w:rFonts w:ascii="Calibri" w:eastAsia="Times New Roman" w:hAnsi="Calibri" w:cs="Times New Roman"/>
                <w:sz w:val="20"/>
                <w:szCs w:val="20"/>
              </w:rPr>
            </w:pPr>
            <w:r w:rsidRPr="00CF7EDB">
              <w:rPr>
                <w:rFonts w:ascii="Calibri" w:eastAsia="Times New Roman" w:hAnsi="Calibri" w:cs="Calibri"/>
                <w:b/>
                <w:bCs/>
                <w:color w:val="FFFFFF"/>
                <w:sz w:val="20"/>
                <w:szCs w:val="20"/>
              </w:rPr>
              <w:t>5. Impact</w:t>
            </w:r>
            <w:r w:rsidRPr="00CF7EDB">
              <w:rPr>
                <w:rFonts w:ascii="Calibri" w:eastAsia="Times New Roman" w:hAnsi="Calibri" w:cs="Times New Roman"/>
                <w:sz w:val="20"/>
                <w:szCs w:val="20"/>
              </w:rPr>
              <w:t xml:space="preserve"> </w:t>
            </w:r>
          </w:p>
        </w:tc>
        <w:tc>
          <w:tcPr>
            <w:tcW w:w="395" w:type="pct"/>
            <w:shd w:val="clear" w:color="auto" w:fill="7F7F7F"/>
          </w:tcPr>
          <w:p w14:paraId="6DE53AAB" w14:textId="77777777" w:rsidR="00FA0835" w:rsidRPr="00CF7EDB" w:rsidRDefault="00FA0835" w:rsidP="00146F51">
            <w:pPr>
              <w:spacing w:after="0" w:line="240" w:lineRule="auto"/>
              <w:contextualSpacing/>
              <w:jc w:val="center"/>
              <w:rPr>
                <w:rFonts w:ascii="Calibri" w:eastAsia="Times New Roman" w:hAnsi="Calibri" w:cs="Calibri"/>
                <w:b/>
                <w:bCs/>
                <w:color w:val="FFFFFF"/>
                <w:sz w:val="20"/>
                <w:szCs w:val="20"/>
              </w:rPr>
            </w:pPr>
            <w:r w:rsidRPr="00CF7EDB">
              <w:rPr>
                <w:rFonts w:ascii="Calibri" w:eastAsia="Times New Roman" w:hAnsi="Calibri" w:cs="Calibri"/>
                <w:b/>
                <w:bCs/>
                <w:color w:val="FFFFFF"/>
                <w:sz w:val="20"/>
                <w:szCs w:val="20"/>
              </w:rPr>
              <w:t>rating</w:t>
            </w:r>
          </w:p>
        </w:tc>
        <w:tc>
          <w:tcPr>
            <w:tcW w:w="2305" w:type="pct"/>
            <w:shd w:val="clear" w:color="auto" w:fill="7F7F7F"/>
          </w:tcPr>
          <w:p w14:paraId="0E089807" w14:textId="77777777" w:rsidR="00FA0835" w:rsidRPr="00CF7EDB" w:rsidRDefault="00FA0835" w:rsidP="00146F51">
            <w:pPr>
              <w:spacing w:after="0" w:line="240" w:lineRule="auto"/>
              <w:contextualSpacing/>
              <w:rPr>
                <w:rFonts w:ascii="Calibri" w:eastAsia="Times New Roman" w:hAnsi="Calibri" w:cs="Calibri"/>
                <w:b/>
                <w:bCs/>
                <w:color w:val="FFFFFF"/>
                <w:sz w:val="20"/>
                <w:szCs w:val="20"/>
              </w:rPr>
            </w:pPr>
            <w:r w:rsidRPr="00CF7EDB">
              <w:rPr>
                <w:rFonts w:ascii="Calibri" w:eastAsia="Times New Roman" w:hAnsi="Calibri" w:cs="Calibri"/>
                <w:b/>
                <w:bCs/>
                <w:color w:val="FFFFFF"/>
                <w:sz w:val="20"/>
                <w:szCs w:val="20"/>
              </w:rPr>
              <w:t xml:space="preserve">6. Overall </w:t>
            </w:r>
            <w:r>
              <w:rPr>
                <w:rFonts w:ascii="Calibri" w:eastAsia="Times New Roman" w:hAnsi="Calibri" w:cs="Calibri"/>
                <w:b/>
                <w:bCs/>
                <w:color w:val="FFFFFF"/>
                <w:sz w:val="20"/>
                <w:szCs w:val="20"/>
              </w:rPr>
              <w:t>P</w:t>
            </w:r>
            <w:r w:rsidRPr="00CF7EDB">
              <w:rPr>
                <w:rFonts w:ascii="Calibri" w:eastAsia="Times New Roman" w:hAnsi="Calibri" w:cs="Calibri"/>
                <w:b/>
                <w:bCs/>
                <w:color w:val="FFFFFF"/>
                <w:sz w:val="20"/>
                <w:szCs w:val="20"/>
              </w:rPr>
              <w:t xml:space="preserve">roject </w:t>
            </w:r>
            <w:r>
              <w:rPr>
                <w:rFonts w:ascii="Calibri" w:eastAsia="Times New Roman" w:hAnsi="Calibri" w:cs="Calibri"/>
                <w:b/>
                <w:bCs/>
                <w:color w:val="FFFFFF"/>
                <w:sz w:val="20"/>
                <w:szCs w:val="20"/>
              </w:rPr>
              <w:t>R</w:t>
            </w:r>
            <w:r w:rsidRPr="00CF7EDB">
              <w:rPr>
                <w:rFonts w:ascii="Calibri" w:eastAsia="Times New Roman" w:hAnsi="Calibri" w:cs="Calibri"/>
                <w:b/>
                <w:bCs/>
                <w:color w:val="FFFFFF"/>
                <w:sz w:val="20"/>
                <w:szCs w:val="20"/>
              </w:rPr>
              <w:t>esults</w:t>
            </w:r>
          </w:p>
        </w:tc>
        <w:tc>
          <w:tcPr>
            <w:tcW w:w="395" w:type="pct"/>
            <w:shd w:val="clear" w:color="auto" w:fill="7F7F7F"/>
          </w:tcPr>
          <w:p w14:paraId="7ABD04C1" w14:textId="77777777" w:rsidR="00FA0835" w:rsidRPr="00CF7EDB" w:rsidRDefault="00FA0835" w:rsidP="00146F51">
            <w:pPr>
              <w:spacing w:after="0" w:line="240" w:lineRule="auto"/>
              <w:contextualSpacing/>
              <w:jc w:val="center"/>
              <w:rPr>
                <w:rFonts w:ascii="Calibri" w:eastAsia="Times New Roman" w:hAnsi="Calibri" w:cs="Calibri"/>
                <w:b/>
                <w:bCs/>
                <w:color w:val="FFFFFF"/>
                <w:sz w:val="20"/>
                <w:szCs w:val="20"/>
              </w:rPr>
            </w:pPr>
            <w:r w:rsidRPr="00CF7EDB">
              <w:rPr>
                <w:rFonts w:ascii="Calibri" w:eastAsia="Times New Roman" w:hAnsi="Calibri" w:cs="Calibri"/>
                <w:b/>
                <w:bCs/>
                <w:color w:val="FFFFFF"/>
                <w:sz w:val="20"/>
                <w:szCs w:val="20"/>
              </w:rPr>
              <w:t>rating</w:t>
            </w:r>
          </w:p>
        </w:tc>
      </w:tr>
      <w:tr w:rsidR="00FA0835" w:rsidRPr="00CF7EDB" w14:paraId="442BEAFE" w14:textId="77777777" w:rsidTr="00146F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904" w:type="pct"/>
          </w:tcPr>
          <w:p w14:paraId="16CC4B37" w14:textId="77777777" w:rsidR="00FA0835" w:rsidRPr="00CF7EDB" w:rsidRDefault="00FA0835" w:rsidP="00146F51">
            <w:pPr>
              <w:spacing w:after="0"/>
              <w:rPr>
                <w:rFonts w:ascii="Calibri" w:eastAsia="Times New Roman" w:hAnsi="Calibri" w:cs="Times New Roman"/>
                <w:sz w:val="20"/>
                <w:szCs w:val="20"/>
              </w:rPr>
            </w:pPr>
            <w:r>
              <w:rPr>
                <w:rFonts w:ascii="Calibri" w:eastAsia="Times New Roman" w:hAnsi="Calibri" w:cs="Times New Roman"/>
                <w:sz w:val="20"/>
                <w:szCs w:val="20"/>
              </w:rPr>
              <w:t>Contribution to knowledge and experience exchange</w:t>
            </w:r>
          </w:p>
        </w:tc>
        <w:tc>
          <w:tcPr>
            <w:tcW w:w="395" w:type="pct"/>
          </w:tcPr>
          <w:p w14:paraId="366E3E2B" w14:textId="77777777" w:rsidR="00FA0835" w:rsidRPr="00CF7EDB" w:rsidRDefault="00FA0835" w:rsidP="00146F51">
            <w:pPr>
              <w:spacing w:after="0"/>
              <w:rPr>
                <w:rFonts w:ascii="Calibri" w:eastAsia="Times New Roman" w:hAnsi="Calibri" w:cs="Times New Roman"/>
                <w:sz w:val="20"/>
                <w:szCs w:val="20"/>
              </w:rPr>
            </w:pPr>
          </w:p>
        </w:tc>
        <w:tc>
          <w:tcPr>
            <w:tcW w:w="2305" w:type="pct"/>
          </w:tcPr>
          <w:p w14:paraId="3E53D282" w14:textId="77777777" w:rsidR="00FA0835" w:rsidRPr="00CF7EDB" w:rsidRDefault="00FA0835" w:rsidP="00146F51">
            <w:pPr>
              <w:spacing w:after="0"/>
              <w:rPr>
                <w:rFonts w:ascii="Calibri" w:eastAsia="Times New Roman" w:hAnsi="Calibri" w:cs="Times New Roman"/>
                <w:sz w:val="20"/>
                <w:szCs w:val="20"/>
              </w:rPr>
            </w:pPr>
            <w:r w:rsidRPr="00CF7EDB">
              <w:rPr>
                <w:rFonts w:ascii="Calibri" w:eastAsia="Times New Roman" w:hAnsi="Calibri" w:cs="Times New Roman"/>
                <w:sz w:val="20"/>
                <w:szCs w:val="20"/>
              </w:rPr>
              <w:t xml:space="preserve">Enabling environment for </w:t>
            </w:r>
            <w:r>
              <w:rPr>
                <w:rFonts w:ascii="Calibri" w:eastAsia="Times New Roman" w:hAnsi="Calibri" w:cs="Times New Roman"/>
                <w:sz w:val="20"/>
                <w:szCs w:val="20"/>
              </w:rPr>
              <w:t>knowledge</w:t>
            </w:r>
            <w:r w:rsidRPr="00CF7EDB">
              <w:rPr>
                <w:rFonts w:ascii="Calibri" w:eastAsia="Times New Roman" w:hAnsi="Calibri" w:cs="Times New Roman"/>
                <w:sz w:val="20"/>
                <w:szCs w:val="20"/>
              </w:rPr>
              <w:t xml:space="preserve"> management improved</w:t>
            </w:r>
          </w:p>
        </w:tc>
        <w:tc>
          <w:tcPr>
            <w:tcW w:w="395" w:type="pct"/>
          </w:tcPr>
          <w:p w14:paraId="30BFABBB" w14:textId="77777777" w:rsidR="00FA0835" w:rsidRPr="00CF7EDB" w:rsidRDefault="00FA0835" w:rsidP="00146F51">
            <w:pPr>
              <w:spacing w:after="0"/>
              <w:rPr>
                <w:rFonts w:ascii="Calibri" w:eastAsia="Times New Roman" w:hAnsi="Calibri" w:cs="Times New Roman"/>
                <w:sz w:val="20"/>
                <w:szCs w:val="20"/>
              </w:rPr>
            </w:pPr>
            <w:r w:rsidRPr="00CF7EDB">
              <w:rPr>
                <w:rFonts w:ascii="Calibri" w:eastAsia="Times New Roman" w:hAnsi="Calibri" w:cs="Times New Roman"/>
                <w:sz w:val="20"/>
                <w:szCs w:val="20"/>
              </w:rPr>
              <w:fldChar w:fldCharType="begin">
                <w:ffData>
                  <w:name w:val="Text1"/>
                  <w:enabled/>
                  <w:calcOnExit w:val="0"/>
                  <w:textInput/>
                </w:ffData>
              </w:fldChar>
            </w:r>
            <w:r w:rsidRPr="00CF7EDB">
              <w:rPr>
                <w:rFonts w:ascii="Calibri" w:eastAsia="Times New Roman" w:hAnsi="Calibri" w:cs="Times New Roman"/>
                <w:sz w:val="20"/>
                <w:szCs w:val="20"/>
              </w:rPr>
              <w:instrText xml:space="preserve"> FORMTEXT </w:instrText>
            </w:r>
            <w:r w:rsidRPr="00CF7EDB">
              <w:rPr>
                <w:rFonts w:ascii="Calibri" w:eastAsia="Times New Roman" w:hAnsi="Calibri" w:cs="Times New Roman"/>
                <w:sz w:val="20"/>
                <w:szCs w:val="20"/>
              </w:rPr>
            </w:r>
            <w:r w:rsidRPr="00CF7EDB">
              <w:rPr>
                <w:rFonts w:ascii="Calibri" w:eastAsia="Times New Roman" w:hAnsi="Calibri" w:cs="Times New Roman"/>
                <w:sz w:val="20"/>
                <w:szCs w:val="20"/>
              </w:rPr>
              <w:fldChar w:fldCharType="separate"/>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sz w:val="20"/>
                <w:szCs w:val="20"/>
              </w:rPr>
              <w:fldChar w:fldCharType="end"/>
            </w:r>
          </w:p>
        </w:tc>
      </w:tr>
      <w:tr w:rsidR="00FA0835" w:rsidRPr="00CF7EDB" w14:paraId="104F3B03" w14:textId="77777777" w:rsidTr="00146F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904" w:type="pct"/>
          </w:tcPr>
          <w:p w14:paraId="63E2E5BE" w14:textId="77777777" w:rsidR="00FA0835" w:rsidRPr="00CF7EDB" w:rsidRDefault="00FA0835" w:rsidP="00146F51">
            <w:pPr>
              <w:spacing w:after="0"/>
              <w:rPr>
                <w:rFonts w:ascii="Calibri" w:eastAsia="Times New Roman" w:hAnsi="Calibri" w:cs="Times New Roman"/>
                <w:sz w:val="20"/>
                <w:szCs w:val="20"/>
              </w:rPr>
            </w:pPr>
            <w:r w:rsidRPr="00CF7EDB">
              <w:rPr>
                <w:rFonts w:ascii="Calibri" w:eastAsia="Times New Roman" w:hAnsi="Calibri" w:cs="Times New Roman"/>
                <w:sz w:val="20"/>
                <w:szCs w:val="20"/>
              </w:rPr>
              <w:t xml:space="preserve">Contribution to </w:t>
            </w:r>
            <w:r>
              <w:rPr>
                <w:rFonts w:ascii="Calibri" w:eastAsia="Times New Roman" w:hAnsi="Calibri" w:cs="Times New Roman"/>
                <w:sz w:val="20"/>
                <w:szCs w:val="20"/>
              </w:rPr>
              <w:t>c</w:t>
            </w:r>
            <w:r w:rsidRPr="00CF7EDB">
              <w:rPr>
                <w:rFonts w:ascii="Calibri" w:eastAsia="Times New Roman" w:hAnsi="Calibri" w:cs="Times New Roman"/>
                <w:sz w:val="20"/>
                <w:szCs w:val="20"/>
              </w:rPr>
              <w:t>apacity development</w:t>
            </w:r>
          </w:p>
        </w:tc>
        <w:tc>
          <w:tcPr>
            <w:tcW w:w="395" w:type="pct"/>
          </w:tcPr>
          <w:p w14:paraId="12949134" w14:textId="77777777" w:rsidR="00FA0835" w:rsidRPr="00CF7EDB" w:rsidRDefault="00FA0835" w:rsidP="00146F51">
            <w:pPr>
              <w:spacing w:after="0"/>
              <w:rPr>
                <w:rFonts w:ascii="Calibri" w:eastAsia="Times New Roman" w:hAnsi="Calibri" w:cs="Times New Roman"/>
                <w:sz w:val="20"/>
                <w:szCs w:val="20"/>
              </w:rPr>
            </w:pPr>
          </w:p>
        </w:tc>
        <w:tc>
          <w:tcPr>
            <w:tcW w:w="2305" w:type="pct"/>
          </w:tcPr>
          <w:p w14:paraId="68932FEF" w14:textId="77777777" w:rsidR="00FA0835" w:rsidRPr="00CF7EDB" w:rsidRDefault="00FA0835" w:rsidP="00146F51">
            <w:pPr>
              <w:spacing w:after="0"/>
              <w:rPr>
                <w:rFonts w:ascii="Calibri" w:eastAsia="Times New Roman" w:hAnsi="Calibri" w:cs="Times New Roman"/>
                <w:sz w:val="20"/>
                <w:szCs w:val="20"/>
              </w:rPr>
            </w:pPr>
            <w:r>
              <w:rPr>
                <w:rFonts w:ascii="Calibri" w:eastAsia="Times New Roman" w:hAnsi="Calibri" w:cs="Times New Roman"/>
                <w:sz w:val="20"/>
                <w:szCs w:val="20"/>
              </w:rPr>
              <w:t>Capacities improved</w:t>
            </w:r>
          </w:p>
        </w:tc>
        <w:tc>
          <w:tcPr>
            <w:tcW w:w="395" w:type="pct"/>
          </w:tcPr>
          <w:p w14:paraId="71A2DEEE" w14:textId="77777777" w:rsidR="00FA0835" w:rsidRPr="00CF7EDB" w:rsidRDefault="00FA0835" w:rsidP="00146F51">
            <w:pPr>
              <w:spacing w:after="0"/>
              <w:rPr>
                <w:rFonts w:ascii="Calibri" w:eastAsia="Times New Roman" w:hAnsi="Calibri" w:cs="Times New Roman"/>
                <w:sz w:val="20"/>
                <w:szCs w:val="20"/>
              </w:rPr>
            </w:pPr>
            <w:r w:rsidRPr="00CF7EDB">
              <w:rPr>
                <w:rFonts w:ascii="Calibri" w:eastAsia="Times New Roman" w:hAnsi="Calibri" w:cs="Times New Roman"/>
                <w:sz w:val="20"/>
                <w:szCs w:val="20"/>
              </w:rPr>
              <w:fldChar w:fldCharType="begin">
                <w:ffData>
                  <w:name w:val="Text1"/>
                  <w:enabled/>
                  <w:calcOnExit w:val="0"/>
                  <w:textInput/>
                </w:ffData>
              </w:fldChar>
            </w:r>
            <w:r w:rsidRPr="00CF7EDB">
              <w:rPr>
                <w:rFonts w:ascii="Calibri" w:eastAsia="Times New Roman" w:hAnsi="Calibri" w:cs="Times New Roman"/>
                <w:sz w:val="20"/>
                <w:szCs w:val="20"/>
              </w:rPr>
              <w:instrText xml:space="preserve"> FORMTEXT </w:instrText>
            </w:r>
            <w:r w:rsidRPr="00CF7EDB">
              <w:rPr>
                <w:rFonts w:ascii="Calibri" w:eastAsia="Times New Roman" w:hAnsi="Calibri" w:cs="Times New Roman"/>
                <w:sz w:val="20"/>
                <w:szCs w:val="20"/>
              </w:rPr>
            </w:r>
            <w:r w:rsidRPr="00CF7EDB">
              <w:rPr>
                <w:rFonts w:ascii="Calibri" w:eastAsia="Times New Roman" w:hAnsi="Calibri" w:cs="Times New Roman"/>
                <w:sz w:val="20"/>
                <w:szCs w:val="20"/>
              </w:rPr>
              <w:fldChar w:fldCharType="separate"/>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sz w:val="20"/>
                <w:szCs w:val="20"/>
              </w:rPr>
              <w:fldChar w:fldCharType="end"/>
            </w:r>
          </w:p>
        </w:tc>
      </w:tr>
      <w:tr w:rsidR="00FA0835" w:rsidRPr="00CF7EDB" w14:paraId="0562A12B" w14:textId="77777777" w:rsidTr="00146F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904" w:type="pct"/>
          </w:tcPr>
          <w:p w14:paraId="4A97A0F4" w14:textId="77777777" w:rsidR="00FA0835" w:rsidRPr="00CF7EDB" w:rsidRDefault="00FA0835" w:rsidP="00146F51">
            <w:pPr>
              <w:spacing w:after="0"/>
              <w:rPr>
                <w:rFonts w:ascii="Calibri" w:eastAsia="Times New Roman" w:hAnsi="Calibri" w:cs="Times New Roman"/>
                <w:sz w:val="20"/>
                <w:szCs w:val="20"/>
              </w:rPr>
            </w:pPr>
            <w:r w:rsidRPr="00CF7EDB">
              <w:rPr>
                <w:rFonts w:ascii="Calibri" w:eastAsia="Times New Roman" w:hAnsi="Calibri" w:cs="Times New Roman"/>
                <w:sz w:val="20"/>
                <w:szCs w:val="20"/>
              </w:rPr>
              <w:t>Progress towards status change</w:t>
            </w:r>
          </w:p>
        </w:tc>
        <w:tc>
          <w:tcPr>
            <w:tcW w:w="395" w:type="pct"/>
          </w:tcPr>
          <w:p w14:paraId="360699B1" w14:textId="77777777" w:rsidR="00FA0835" w:rsidRPr="00CF7EDB" w:rsidRDefault="00FA0835" w:rsidP="00146F51">
            <w:pPr>
              <w:spacing w:after="0"/>
              <w:rPr>
                <w:rFonts w:ascii="Calibri" w:eastAsia="Times New Roman" w:hAnsi="Calibri" w:cs="Times New Roman"/>
                <w:sz w:val="20"/>
                <w:szCs w:val="20"/>
              </w:rPr>
            </w:pPr>
          </w:p>
        </w:tc>
        <w:tc>
          <w:tcPr>
            <w:tcW w:w="2305" w:type="pct"/>
          </w:tcPr>
          <w:p w14:paraId="3642E81A" w14:textId="77777777" w:rsidR="00FA0835" w:rsidRPr="00CF7EDB" w:rsidRDefault="00FA0835" w:rsidP="00146F51">
            <w:pPr>
              <w:spacing w:after="0"/>
              <w:rPr>
                <w:rFonts w:ascii="Calibri" w:eastAsia="Times New Roman" w:hAnsi="Calibri" w:cs="Times New Roman"/>
                <w:sz w:val="20"/>
                <w:szCs w:val="20"/>
              </w:rPr>
            </w:pPr>
            <w:r>
              <w:rPr>
                <w:rFonts w:ascii="Calibri" w:eastAsia="Times New Roman" w:hAnsi="Calibri" w:cs="Times New Roman"/>
                <w:sz w:val="20"/>
                <w:szCs w:val="20"/>
              </w:rPr>
              <w:t>Progress towards better management and implementation of international waters projects</w:t>
            </w:r>
          </w:p>
        </w:tc>
        <w:tc>
          <w:tcPr>
            <w:tcW w:w="395" w:type="pct"/>
          </w:tcPr>
          <w:p w14:paraId="3FCF0E41" w14:textId="77777777" w:rsidR="00FA0835" w:rsidRPr="00CF7EDB" w:rsidRDefault="00FA0835" w:rsidP="00146F51">
            <w:pPr>
              <w:spacing w:after="0"/>
              <w:rPr>
                <w:rFonts w:ascii="Calibri" w:eastAsia="Times New Roman" w:hAnsi="Calibri" w:cs="Times New Roman"/>
                <w:sz w:val="20"/>
                <w:szCs w:val="20"/>
              </w:rPr>
            </w:pPr>
            <w:r w:rsidRPr="00CF7EDB">
              <w:rPr>
                <w:rFonts w:ascii="Calibri" w:eastAsia="Times New Roman" w:hAnsi="Calibri" w:cs="Times New Roman"/>
                <w:sz w:val="20"/>
                <w:szCs w:val="20"/>
              </w:rPr>
              <w:fldChar w:fldCharType="begin">
                <w:ffData>
                  <w:name w:val="Text1"/>
                  <w:enabled/>
                  <w:calcOnExit w:val="0"/>
                  <w:textInput/>
                </w:ffData>
              </w:fldChar>
            </w:r>
            <w:r w:rsidRPr="00CF7EDB">
              <w:rPr>
                <w:rFonts w:ascii="Calibri" w:eastAsia="Times New Roman" w:hAnsi="Calibri" w:cs="Times New Roman"/>
                <w:sz w:val="20"/>
                <w:szCs w:val="20"/>
              </w:rPr>
              <w:instrText xml:space="preserve"> FORMTEXT </w:instrText>
            </w:r>
            <w:r w:rsidRPr="00CF7EDB">
              <w:rPr>
                <w:rFonts w:ascii="Calibri" w:eastAsia="Times New Roman" w:hAnsi="Calibri" w:cs="Times New Roman"/>
                <w:sz w:val="20"/>
                <w:szCs w:val="20"/>
              </w:rPr>
            </w:r>
            <w:r w:rsidRPr="00CF7EDB">
              <w:rPr>
                <w:rFonts w:ascii="Calibri" w:eastAsia="Times New Roman" w:hAnsi="Calibri" w:cs="Times New Roman"/>
                <w:sz w:val="20"/>
                <w:szCs w:val="20"/>
              </w:rPr>
              <w:fldChar w:fldCharType="separate"/>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noProof/>
                <w:sz w:val="20"/>
                <w:szCs w:val="20"/>
              </w:rPr>
              <w:t> </w:t>
            </w:r>
            <w:r w:rsidRPr="00CF7EDB">
              <w:rPr>
                <w:rFonts w:ascii="Calibri" w:eastAsia="Times New Roman" w:hAnsi="Calibri" w:cs="Times New Roman"/>
                <w:sz w:val="20"/>
                <w:szCs w:val="20"/>
              </w:rPr>
              <w:fldChar w:fldCharType="end"/>
            </w:r>
          </w:p>
        </w:tc>
      </w:tr>
    </w:tbl>
    <w:p w14:paraId="33CDA206" w14:textId="77777777" w:rsidR="00FA0835" w:rsidRPr="00D6638C" w:rsidRDefault="00FA0835" w:rsidP="00D6638C">
      <w:pPr>
        <w:autoSpaceDE w:val="0"/>
        <w:autoSpaceDN w:val="0"/>
        <w:adjustRightInd w:val="0"/>
        <w:spacing w:after="0"/>
        <w:rPr>
          <w:rFonts w:ascii="Calibri" w:eastAsia="Times New Roman" w:hAnsi="Calibri" w:cs="Times New Roman"/>
          <w:sz w:val="20"/>
          <w:szCs w:val="20"/>
        </w:rPr>
      </w:pPr>
    </w:p>
    <w:p w14:paraId="72CD8AE1" w14:textId="77777777" w:rsidR="00D6638C" w:rsidRPr="00D6638C" w:rsidRDefault="00D6638C" w:rsidP="00F05366">
      <w:pPr>
        <w:pStyle w:val="Heading51"/>
      </w:pPr>
      <w:bookmarkStart w:id="8" w:name="_Toc321341552"/>
      <w:bookmarkStart w:id="9" w:name="_Toc277677977"/>
      <w:bookmarkStart w:id="10" w:name="_Toc299122831"/>
      <w:bookmarkStart w:id="11" w:name="_Toc299122853"/>
      <w:bookmarkStart w:id="12" w:name="_Toc299122832"/>
      <w:bookmarkStart w:id="13" w:name="_Toc299122854"/>
      <w:bookmarkStart w:id="14" w:name="_Toc299126619"/>
      <w:bookmarkEnd w:id="2"/>
      <w:r w:rsidRPr="00D6638C">
        <w:t>Project finance / cofinance</w:t>
      </w:r>
      <w:bookmarkEnd w:id="8"/>
    </w:p>
    <w:p w14:paraId="5255DD9C" w14:textId="77777777" w:rsidR="00D6638C" w:rsidRPr="00D6638C" w:rsidRDefault="00D6638C" w:rsidP="00D6638C">
      <w:pPr>
        <w:spacing w:before="200"/>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w:t>
      </w:r>
      <w:r w:rsidR="00FA0835">
        <w:rPr>
          <w:rFonts w:ascii="Calibri" w:eastAsia="Times New Roman" w:hAnsi="Calibri" w:cs="Times New Roman"/>
          <w:sz w:val="20"/>
          <w:szCs w:val="20"/>
          <w:lang w:val="en-GB"/>
        </w:rPr>
        <w:t xml:space="preserve"> </w:t>
      </w:r>
      <w:r w:rsidRPr="00D6638C">
        <w:rPr>
          <w:rFonts w:ascii="Calibri" w:eastAsia="Times New Roman" w:hAnsi="Calibri" w:cs="Times New Roman"/>
          <w:sz w:val="20"/>
          <w:szCs w:val="20"/>
          <w:lang w:val="en-GB"/>
        </w:rPr>
        <w:t xml:space="preserve">will receive assistance from the </w:t>
      </w:r>
      <w:r w:rsidR="00FA0835">
        <w:rPr>
          <w:rFonts w:ascii="Calibri" w:eastAsia="Times New Roman" w:hAnsi="Calibri" w:cs="Times New Roman"/>
          <w:sz w:val="20"/>
          <w:szCs w:val="20"/>
          <w:lang w:val="en-GB"/>
        </w:rPr>
        <w:t>PCU</w:t>
      </w:r>
      <w:r w:rsidRPr="00D6638C">
        <w:rPr>
          <w:rFonts w:ascii="Calibri" w:eastAsia="Times New Roman" w:hAnsi="Calibri" w:cs="Times New Roman"/>
          <w:sz w:val="20"/>
          <w:szCs w:val="20"/>
          <w:lang w:val="en-GB"/>
        </w:rPr>
        <w:t xml:space="preserve"> to obtain financial data in order to complete the co-financing table below, which will be included in the terminal evaluation report.  </w:t>
      </w:r>
    </w:p>
    <w:tbl>
      <w:tblPr>
        <w:tblpPr w:leftFromText="180" w:rightFromText="180" w:vertAnchor="text" w:horzAnchor="margin" w:tblpY="79"/>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0"/>
        <w:gridCol w:w="871"/>
        <w:gridCol w:w="1045"/>
        <w:gridCol w:w="1045"/>
        <w:gridCol w:w="1045"/>
        <w:gridCol w:w="1045"/>
        <w:gridCol w:w="958"/>
        <w:gridCol w:w="1132"/>
        <w:gridCol w:w="899"/>
      </w:tblGrid>
      <w:tr w:rsidR="00D6638C" w:rsidRPr="00D6638C" w14:paraId="5546525A" w14:textId="77777777" w:rsidTr="00FA0835">
        <w:trPr>
          <w:trHeight w:val="841"/>
        </w:trPr>
        <w:tc>
          <w:tcPr>
            <w:tcW w:w="2020" w:type="dxa"/>
            <w:vMerge w:val="restart"/>
          </w:tcPr>
          <w:p w14:paraId="43239DE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14:paraId="486CDCB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16" w:type="dxa"/>
            <w:gridSpan w:val="2"/>
          </w:tcPr>
          <w:p w14:paraId="135D1F3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090" w:type="dxa"/>
            <w:gridSpan w:val="2"/>
          </w:tcPr>
          <w:p w14:paraId="76846C8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14:paraId="5144838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03" w:type="dxa"/>
            <w:gridSpan w:val="2"/>
          </w:tcPr>
          <w:p w14:paraId="4C76E86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14:paraId="08BF664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31" w:type="dxa"/>
            <w:gridSpan w:val="2"/>
          </w:tcPr>
          <w:p w14:paraId="31C392F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14:paraId="36EA4AD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D6638C" w:rsidRPr="00D6638C" w14:paraId="034D22D6" w14:textId="77777777" w:rsidTr="00FA0835">
        <w:trPr>
          <w:trHeight w:val="326"/>
        </w:trPr>
        <w:tc>
          <w:tcPr>
            <w:tcW w:w="2020" w:type="dxa"/>
            <w:vMerge/>
          </w:tcPr>
          <w:p w14:paraId="05D239A4" w14:textId="77777777" w:rsidR="00D6638C" w:rsidRPr="00D6638C" w:rsidRDefault="00D6638C" w:rsidP="00D6638C">
            <w:pPr>
              <w:spacing w:after="0"/>
              <w:rPr>
                <w:rFonts w:ascii="Calibri" w:eastAsia="Times New Roman" w:hAnsi="Calibri" w:cs="Times New Roman"/>
                <w:sz w:val="20"/>
                <w:szCs w:val="20"/>
              </w:rPr>
            </w:pPr>
          </w:p>
        </w:tc>
        <w:tc>
          <w:tcPr>
            <w:tcW w:w="871" w:type="dxa"/>
          </w:tcPr>
          <w:p w14:paraId="6CF9EE1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45" w:type="dxa"/>
          </w:tcPr>
          <w:p w14:paraId="4B30CED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45" w:type="dxa"/>
          </w:tcPr>
          <w:p w14:paraId="2A7ADA3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45" w:type="dxa"/>
          </w:tcPr>
          <w:p w14:paraId="4611D22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45" w:type="dxa"/>
          </w:tcPr>
          <w:p w14:paraId="34B83D7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58" w:type="dxa"/>
          </w:tcPr>
          <w:p w14:paraId="1B1BF95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32" w:type="dxa"/>
          </w:tcPr>
          <w:p w14:paraId="1B3A68E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899" w:type="dxa"/>
          </w:tcPr>
          <w:p w14:paraId="2AD688D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D6638C" w:rsidRPr="00D6638C" w14:paraId="4C9E7A38" w14:textId="77777777" w:rsidTr="00FA0835">
        <w:trPr>
          <w:trHeight w:val="558"/>
        </w:trPr>
        <w:tc>
          <w:tcPr>
            <w:tcW w:w="2020" w:type="dxa"/>
          </w:tcPr>
          <w:p w14:paraId="413E271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871" w:type="dxa"/>
          </w:tcPr>
          <w:p w14:paraId="086E4B71" w14:textId="77777777" w:rsidR="00D6638C" w:rsidRPr="00D6638C" w:rsidRDefault="00D6638C" w:rsidP="00D6638C">
            <w:pPr>
              <w:spacing w:after="0"/>
              <w:rPr>
                <w:rFonts w:ascii="Calibri" w:eastAsia="Times New Roman" w:hAnsi="Calibri" w:cs="Times New Roman"/>
                <w:sz w:val="20"/>
                <w:szCs w:val="20"/>
              </w:rPr>
            </w:pPr>
          </w:p>
        </w:tc>
        <w:tc>
          <w:tcPr>
            <w:tcW w:w="1045" w:type="dxa"/>
          </w:tcPr>
          <w:p w14:paraId="0A50ED5E" w14:textId="77777777" w:rsidR="00D6638C" w:rsidRPr="00D6638C" w:rsidRDefault="00D6638C" w:rsidP="00D6638C">
            <w:pPr>
              <w:spacing w:after="0"/>
              <w:rPr>
                <w:rFonts w:ascii="Calibri" w:eastAsia="Times New Roman" w:hAnsi="Calibri" w:cs="Times New Roman"/>
                <w:sz w:val="20"/>
                <w:szCs w:val="20"/>
              </w:rPr>
            </w:pPr>
          </w:p>
        </w:tc>
        <w:tc>
          <w:tcPr>
            <w:tcW w:w="1045" w:type="dxa"/>
          </w:tcPr>
          <w:p w14:paraId="5DAEF548" w14:textId="77777777" w:rsidR="00D6638C" w:rsidRPr="00D6638C" w:rsidRDefault="00D6638C" w:rsidP="00D6638C">
            <w:pPr>
              <w:spacing w:after="0"/>
              <w:rPr>
                <w:rFonts w:ascii="Calibri" w:eastAsia="Times New Roman" w:hAnsi="Calibri" w:cs="Times New Roman"/>
                <w:sz w:val="20"/>
                <w:szCs w:val="20"/>
              </w:rPr>
            </w:pPr>
          </w:p>
        </w:tc>
        <w:tc>
          <w:tcPr>
            <w:tcW w:w="1045" w:type="dxa"/>
          </w:tcPr>
          <w:p w14:paraId="1C04A599" w14:textId="77777777" w:rsidR="00D6638C" w:rsidRPr="00D6638C" w:rsidRDefault="00D6638C" w:rsidP="00D6638C">
            <w:pPr>
              <w:spacing w:after="0"/>
              <w:rPr>
                <w:rFonts w:ascii="Calibri" w:eastAsia="Times New Roman" w:hAnsi="Calibri" w:cs="Times New Roman"/>
                <w:sz w:val="20"/>
                <w:szCs w:val="20"/>
              </w:rPr>
            </w:pPr>
          </w:p>
        </w:tc>
        <w:tc>
          <w:tcPr>
            <w:tcW w:w="1045" w:type="dxa"/>
          </w:tcPr>
          <w:p w14:paraId="79519B45" w14:textId="77777777" w:rsidR="00D6638C" w:rsidRPr="00D6638C" w:rsidRDefault="00D6638C" w:rsidP="00D6638C">
            <w:pPr>
              <w:spacing w:after="0"/>
              <w:rPr>
                <w:rFonts w:ascii="Calibri" w:eastAsia="Times New Roman" w:hAnsi="Calibri" w:cs="Times New Roman"/>
                <w:sz w:val="20"/>
                <w:szCs w:val="20"/>
              </w:rPr>
            </w:pPr>
          </w:p>
        </w:tc>
        <w:tc>
          <w:tcPr>
            <w:tcW w:w="958" w:type="dxa"/>
          </w:tcPr>
          <w:p w14:paraId="4ABEAB37" w14:textId="77777777" w:rsidR="00D6638C" w:rsidRPr="00D6638C" w:rsidRDefault="00D6638C" w:rsidP="00D6638C">
            <w:pPr>
              <w:spacing w:after="0"/>
              <w:rPr>
                <w:rFonts w:ascii="Calibri" w:eastAsia="Times New Roman" w:hAnsi="Calibri" w:cs="Times New Roman"/>
                <w:sz w:val="20"/>
                <w:szCs w:val="20"/>
              </w:rPr>
            </w:pPr>
          </w:p>
        </w:tc>
        <w:tc>
          <w:tcPr>
            <w:tcW w:w="1132" w:type="dxa"/>
          </w:tcPr>
          <w:p w14:paraId="0FBB2E48" w14:textId="77777777" w:rsidR="00D6638C" w:rsidRPr="00D6638C" w:rsidRDefault="00D6638C" w:rsidP="00D6638C">
            <w:pPr>
              <w:spacing w:after="0"/>
              <w:rPr>
                <w:rFonts w:ascii="Calibri" w:eastAsia="Times New Roman" w:hAnsi="Calibri" w:cs="Times New Roman"/>
                <w:sz w:val="20"/>
                <w:szCs w:val="20"/>
              </w:rPr>
            </w:pPr>
          </w:p>
        </w:tc>
        <w:tc>
          <w:tcPr>
            <w:tcW w:w="899" w:type="dxa"/>
          </w:tcPr>
          <w:p w14:paraId="1AEB36B5"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37232CFE" w14:textId="77777777" w:rsidTr="00FA0835">
        <w:trPr>
          <w:trHeight w:val="416"/>
        </w:trPr>
        <w:tc>
          <w:tcPr>
            <w:tcW w:w="2020" w:type="dxa"/>
          </w:tcPr>
          <w:p w14:paraId="76C3A69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lastRenderedPageBreak/>
              <w:t xml:space="preserve">Loans/Concessions </w:t>
            </w:r>
          </w:p>
        </w:tc>
        <w:tc>
          <w:tcPr>
            <w:tcW w:w="871" w:type="dxa"/>
          </w:tcPr>
          <w:p w14:paraId="4ADAA614" w14:textId="77777777" w:rsidR="00D6638C" w:rsidRPr="00D6638C" w:rsidRDefault="00D6638C" w:rsidP="00D6638C">
            <w:pPr>
              <w:spacing w:after="0"/>
              <w:rPr>
                <w:rFonts w:ascii="Calibri" w:eastAsia="Times New Roman" w:hAnsi="Calibri" w:cs="Times New Roman"/>
                <w:sz w:val="20"/>
                <w:szCs w:val="20"/>
              </w:rPr>
            </w:pPr>
          </w:p>
        </w:tc>
        <w:tc>
          <w:tcPr>
            <w:tcW w:w="1045" w:type="dxa"/>
          </w:tcPr>
          <w:p w14:paraId="41222229" w14:textId="77777777" w:rsidR="00D6638C" w:rsidRPr="00D6638C" w:rsidRDefault="00D6638C" w:rsidP="00D6638C">
            <w:pPr>
              <w:spacing w:after="0"/>
              <w:rPr>
                <w:rFonts w:ascii="Calibri" w:eastAsia="Times New Roman" w:hAnsi="Calibri" w:cs="Times New Roman"/>
                <w:sz w:val="20"/>
                <w:szCs w:val="20"/>
              </w:rPr>
            </w:pPr>
          </w:p>
        </w:tc>
        <w:tc>
          <w:tcPr>
            <w:tcW w:w="1045" w:type="dxa"/>
          </w:tcPr>
          <w:p w14:paraId="55855104" w14:textId="77777777" w:rsidR="00D6638C" w:rsidRPr="00D6638C" w:rsidRDefault="00D6638C" w:rsidP="00D6638C">
            <w:pPr>
              <w:spacing w:after="0"/>
              <w:rPr>
                <w:rFonts w:ascii="Calibri" w:eastAsia="Times New Roman" w:hAnsi="Calibri" w:cs="Times New Roman"/>
                <w:sz w:val="20"/>
                <w:szCs w:val="20"/>
              </w:rPr>
            </w:pPr>
          </w:p>
        </w:tc>
        <w:tc>
          <w:tcPr>
            <w:tcW w:w="1045" w:type="dxa"/>
          </w:tcPr>
          <w:p w14:paraId="7681E349" w14:textId="77777777" w:rsidR="00D6638C" w:rsidRPr="00D6638C" w:rsidRDefault="00D6638C" w:rsidP="00D6638C">
            <w:pPr>
              <w:spacing w:after="0"/>
              <w:rPr>
                <w:rFonts w:ascii="Calibri" w:eastAsia="Times New Roman" w:hAnsi="Calibri" w:cs="Times New Roman"/>
                <w:sz w:val="20"/>
                <w:szCs w:val="20"/>
              </w:rPr>
            </w:pPr>
          </w:p>
        </w:tc>
        <w:tc>
          <w:tcPr>
            <w:tcW w:w="1045" w:type="dxa"/>
          </w:tcPr>
          <w:p w14:paraId="6FF969BE" w14:textId="77777777" w:rsidR="00D6638C" w:rsidRPr="00D6638C" w:rsidRDefault="00D6638C" w:rsidP="00D6638C">
            <w:pPr>
              <w:spacing w:after="0"/>
              <w:rPr>
                <w:rFonts w:ascii="Calibri" w:eastAsia="Times New Roman" w:hAnsi="Calibri" w:cs="Times New Roman"/>
                <w:sz w:val="20"/>
                <w:szCs w:val="20"/>
              </w:rPr>
            </w:pPr>
          </w:p>
        </w:tc>
        <w:tc>
          <w:tcPr>
            <w:tcW w:w="958" w:type="dxa"/>
          </w:tcPr>
          <w:p w14:paraId="4E5A9289" w14:textId="77777777" w:rsidR="00D6638C" w:rsidRPr="00D6638C" w:rsidRDefault="00D6638C" w:rsidP="00D6638C">
            <w:pPr>
              <w:spacing w:after="0"/>
              <w:rPr>
                <w:rFonts w:ascii="Calibri" w:eastAsia="Times New Roman" w:hAnsi="Calibri" w:cs="Times New Roman"/>
                <w:sz w:val="20"/>
                <w:szCs w:val="20"/>
              </w:rPr>
            </w:pPr>
          </w:p>
        </w:tc>
        <w:tc>
          <w:tcPr>
            <w:tcW w:w="1132" w:type="dxa"/>
          </w:tcPr>
          <w:p w14:paraId="03B47CFF" w14:textId="77777777" w:rsidR="00D6638C" w:rsidRPr="00D6638C" w:rsidRDefault="00D6638C" w:rsidP="00D6638C">
            <w:pPr>
              <w:spacing w:after="0"/>
              <w:rPr>
                <w:rFonts w:ascii="Calibri" w:eastAsia="Times New Roman" w:hAnsi="Calibri" w:cs="Times New Roman"/>
                <w:sz w:val="20"/>
                <w:szCs w:val="20"/>
              </w:rPr>
            </w:pPr>
          </w:p>
        </w:tc>
        <w:tc>
          <w:tcPr>
            <w:tcW w:w="899" w:type="dxa"/>
          </w:tcPr>
          <w:p w14:paraId="3E2BF357"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41DBBBCE" w14:textId="77777777" w:rsidTr="00FA0835">
        <w:trPr>
          <w:trHeight w:val="706"/>
        </w:trPr>
        <w:tc>
          <w:tcPr>
            <w:tcW w:w="2020" w:type="dxa"/>
          </w:tcPr>
          <w:p w14:paraId="5B81E4B0"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871" w:type="dxa"/>
          </w:tcPr>
          <w:p w14:paraId="212F1AAB" w14:textId="77777777" w:rsidR="00D6638C" w:rsidRPr="00D6638C" w:rsidRDefault="00D6638C" w:rsidP="00D6638C">
            <w:pPr>
              <w:spacing w:after="0"/>
              <w:rPr>
                <w:rFonts w:ascii="Calibri" w:eastAsia="Times New Roman" w:hAnsi="Calibri" w:cs="Times New Roman"/>
                <w:sz w:val="20"/>
                <w:szCs w:val="20"/>
              </w:rPr>
            </w:pPr>
          </w:p>
        </w:tc>
        <w:tc>
          <w:tcPr>
            <w:tcW w:w="1045" w:type="dxa"/>
          </w:tcPr>
          <w:p w14:paraId="271EC6B9" w14:textId="77777777" w:rsidR="00D6638C" w:rsidRPr="00D6638C" w:rsidRDefault="00D6638C" w:rsidP="00D6638C">
            <w:pPr>
              <w:spacing w:after="0"/>
              <w:rPr>
                <w:rFonts w:ascii="Calibri" w:eastAsia="Times New Roman" w:hAnsi="Calibri" w:cs="Times New Roman"/>
                <w:sz w:val="20"/>
                <w:szCs w:val="20"/>
              </w:rPr>
            </w:pPr>
          </w:p>
        </w:tc>
        <w:tc>
          <w:tcPr>
            <w:tcW w:w="1045" w:type="dxa"/>
          </w:tcPr>
          <w:p w14:paraId="62BA6E50" w14:textId="77777777" w:rsidR="00D6638C" w:rsidRPr="00D6638C" w:rsidRDefault="00D6638C" w:rsidP="00D6638C">
            <w:pPr>
              <w:spacing w:after="0"/>
              <w:rPr>
                <w:rFonts w:ascii="Calibri" w:eastAsia="Times New Roman" w:hAnsi="Calibri" w:cs="Times New Roman"/>
                <w:sz w:val="20"/>
                <w:szCs w:val="20"/>
              </w:rPr>
            </w:pPr>
          </w:p>
        </w:tc>
        <w:tc>
          <w:tcPr>
            <w:tcW w:w="1045" w:type="dxa"/>
          </w:tcPr>
          <w:p w14:paraId="2526DB5D" w14:textId="77777777" w:rsidR="00D6638C" w:rsidRPr="00D6638C" w:rsidRDefault="00D6638C" w:rsidP="00D6638C">
            <w:pPr>
              <w:spacing w:after="0"/>
              <w:rPr>
                <w:rFonts w:ascii="Calibri" w:eastAsia="Times New Roman" w:hAnsi="Calibri" w:cs="Times New Roman"/>
                <w:sz w:val="20"/>
                <w:szCs w:val="20"/>
              </w:rPr>
            </w:pPr>
          </w:p>
        </w:tc>
        <w:tc>
          <w:tcPr>
            <w:tcW w:w="1045" w:type="dxa"/>
          </w:tcPr>
          <w:p w14:paraId="5EBA52A1" w14:textId="77777777" w:rsidR="00D6638C" w:rsidRPr="00D6638C" w:rsidRDefault="00D6638C" w:rsidP="00D6638C">
            <w:pPr>
              <w:spacing w:after="0"/>
              <w:rPr>
                <w:rFonts w:ascii="Calibri" w:eastAsia="Times New Roman" w:hAnsi="Calibri" w:cs="Times New Roman"/>
                <w:sz w:val="20"/>
                <w:szCs w:val="20"/>
              </w:rPr>
            </w:pPr>
          </w:p>
        </w:tc>
        <w:tc>
          <w:tcPr>
            <w:tcW w:w="958" w:type="dxa"/>
          </w:tcPr>
          <w:p w14:paraId="2D00CE25" w14:textId="77777777" w:rsidR="00D6638C" w:rsidRPr="00D6638C" w:rsidRDefault="00D6638C" w:rsidP="00D6638C">
            <w:pPr>
              <w:spacing w:after="0"/>
              <w:rPr>
                <w:rFonts w:ascii="Calibri" w:eastAsia="Times New Roman" w:hAnsi="Calibri" w:cs="Times New Roman"/>
                <w:sz w:val="20"/>
                <w:szCs w:val="20"/>
              </w:rPr>
            </w:pPr>
          </w:p>
        </w:tc>
        <w:tc>
          <w:tcPr>
            <w:tcW w:w="1132" w:type="dxa"/>
          </w:tcPr>
          <w:p w14:paraId="12F12B40" w14:textId="77777777" w:rsidR="00D6638C" w:rsidRPr="00D6638C" w:rsidRDefault="00D6638C" w:rsidP="00D6638C">
            <w:pPr>
              <w:spacing w:after="0"/>
              <w:rPr>
                <w:rFonts w:ascii="Calibri" w:eastAsia="Times New Roman" w:hAnsi="Calibri" w:cs="Times New Roman"/>
                <w:sz w:val="20"/>
                <w:szCs w:val="20"/>
              </w:rPr>
            </w:pPr>
          </w:p>
        </w:tc>
        <w:tc>
          <w:tcPr>
            <w:tcW w:w="899" w:type="dxa"/>
          </w:tcPr>
          <w:p w14:paraId="4914E681"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545A6098" w14:textId="77777777" w:rsidTr="00FA0835">
        <w:trPr>
          <w:trHeight w:val="404"/>
        </w:trPr>
        <w:tc>
          <w:tcPr>
            <w:tcW w:w="2020" w:type="dxa"/>
          </w:tcPr>
          <w:p w14:paraId="25C0989E"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871" w:type="dxa"/>
          </w:tcPr>
          <w:p w14:paraId="68ABA383" w14:textId="77777777" w:rsidR="00D6638C" w:rsidRPr="00D6638C" w:rsidRDefault="00D6638C" w:rsidP="00D6638C">
            <w:pPr>
              <w:spacing w:after="0"/>
              <w:rPr>
                <w:rFonts w:ascii="Calibri" w:eastAsia="Times New Roman" w:hAnsi="Calibri" w:cs="Times New Roman"/>
                <w:sz w:val="20"/>
                <w:szCs w:val="20"/>
              </w:rPr>
            </w:pPr>
          </w:p>
        </w:tc>
        <w:tc>
          <w:tcPr>
            <w:tcW w:w="1045" w:type="dxa"/>
          </w:tcPr>
          <w:p w14:paraId="1BACC8AF" w14:textId="77777777" w:rsidR="00D6638C" w:rsidRPr="00D6638C" w:rsidRDefault="00D6638C" w:rsidP="00D6638C">
            <w:pPr>
              <w:spacing w:after="0"/>
              <w:rPr>
                <w:rFonts w:ascii="Calibri" w:eastAsia="Times New Roman" w:hAnsi="Calibri" w:cs="Times New Roman"/>
                <w:sz w:val="20"/>
                <w:szCs w:val="20"/>
              </w:rPr>
            </w:pPr>
          </w:p>
        </w:tc>
        <w:tc>
          <w:tcPr>
            <w:tcW w:w="1045" w:type="dxa"/>
          </w:tcPr>
          <w:p w14:paraId="4E9BB139" w14:textId="77777777" w:rsidR="00D6638C" w:rsidRPr="00D6638C" w:rsidRDefault="00D6638C" w:rsidP="00D6638C">
            <w:pPr>
              <w:spacing w:after="0"/>
              <w:rPr>
                <w:rFonts w:ascii="Calibri" w:eastAsia="Times New Roman" w:hAnsi="Calibri" w:cs="Times New Roman"/>
                <w:sz w:val="20"/>
                <w:szCs w:val="20"/>
              </w:rPr>
            </w:pPr>
          </w:p>
        </w:tc>
        <w:tc>
          <w:tcPr>
            <w:tcW w:w="1045" w:type="dxa"/>
          </w:tcPr>
          <w:p w14:paraId="45EAB4C5" w14:textId="77777777" w:rsidR="00D6638C" w:rsidRPr="00D6638C" w:rsidRDefault="00D6638C" w:rsidP="00D6638C">
            <w:pPr>
              <w:spacing w:after="0"/>
              <w:rPr>
                <w:rFonts w:ascii="Calibri" w:eastAsia="Times New Roman" w:hAnsi="Calibri" w:cs="Times New Roman"/>
                <w:sz w:val="20"/>
                <w:szCs w:val="20"/>
              </w:rPr>
            </w:pPr>
          </w:p>
        </w:tc>
        <w:tc>
          <w:tcPr>
            <w:tcW w:w="1045" w:type="dxa"/>
          </w:tcPr>
          <w:p w14:paraId="5825B3F8" w14:textId="77777777" w:rsidR="00D6638C" w:rsidRPr="00D6638C" w:rsidRDefault="00D6638C" w:rsidP="00D6638C">
            <w:pPr>
              <w:spacing w:after="0"/>
              <w:rPr>
                <w:rFonts w:ascii="Calibri" w:eastAsia="Times New Roman" w:hAnsi="Calibri" w:cs="Times New Roman"/>
                <w:sz w:val="20"/>
                <w:szCs w:val="20"/>
              </w:rPr>
            </w:pPr>
          </w:p>
        </w:tc>
        <w:tc>
          <w:tcPr>
            <w:tcW w:w="958" w:type="dxa"/>
          </w:tcPr>
          <w:p w14:paraId="39761918" w14:textId="77777777" w:rsidR="00D6638C" w:rsidRPr="00D6638C" w:rsidRDefault="00D6638C" w:rsidP="00D6638C">
            <w:pPr>
              <w:spacing w:after="0"/>
              <w:rPr>
                <w:rFonts w:ascii="Calibri" w:eastAsia="Times New Roman" w:hAnsi="Calibri" w:cs="Times New Roman"/>
                <w:sz w:val="20"/>
                <w:szCs w:val="20"/>
              </w:rPr>
            </w:pPr>
          </w:p>
        </w:tc>
        <w:tc>
          <w:tcPr>
            <w:tcW w:w="1132" w:type="dxa"/>
          </w:tcPr>
          <w:p w14:paraId="02AD8C0F" w14:textId="77777777" w:rsidR="00D6638C" w:rsidRPr="00D6638C" w:rsidRDefault="00D6638C" w:rsidP="00D6638C">
            <w:pPr>
              <w:spacing w:after="0"/>
              <w:rPr>
                <w:rFonts w:ascii="Calibri" w:eastAsia="Times New Roman" w:hAnsi="Calibri" w:cs="Times New Roman"/>
                <w:sz w:val="20"/>
                <w:szCs w:val="20"/>
              </w:rPr>
            </w:pPr>
          </w:p>
        </w:tc>
        <w:tc>
          <w:tcPr>
            <w:tcW w:w="899" w:type="dxa"/>
          </w:tcPr>
          <w:p w14:paraId="56E2C2DC"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2229CCC6" w14:textId="77777777" w:rsidTr="00FA0835">
        <w:trPr>
          <w:trHeight w:val="267"/>
        </w:trPr>
        <w:tc>
          <w:tcPr>
            <w:tcW w:w="2020" w:type="dxa"/>
          </w:tcPr>
          <w:p w14:paraId="2A387C9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871" w:type="dxa"/>
          </w:tcPr>
          <w:p w14:paraId="540F75E1" w14:textId="77777777" w:rsidR="00D6638C" w:rsidRPr="00D6638C" w:rsidRDefault="00D6638C" w:rsidP="00D6638C">
            <w:pPr>
              <w:spacing w:after="0"/>
              <w:rPr>
                <w:rFonts w:ascii="Calibri" w:eastAsia="Times New Roman" w:hAnsi="Calibri" w:cs="Times New Roman"/>
                <w:sz w:val="20"/>
                <w:szCs w:val="20"/>
              </w:rPr>
            </w:pPr>
          </w:p>
        </w:tc>
        <w:tc>
          <w:tcPr>
            <w:tcW w:w="1045" w:type="dxa"/>
          </w:tcPr>
          <w:p w14:paraId="702A2335" w14:textId="77777777" w:rsidR="00D6638C" w:rsidRPr="00D6638C" w:rsidRDefault="00D6638C" w:rsidP="00D6638C">
            <w:pPr>
              <w:spacing w:after="0"/>
              <w:rPr>
                <w:rFonts w:ascii="Calibri" w:eastAsia="Times New Roman" w:hAnsi="Calibri" w:cs="Times New Roman"/>
                <w:sz w:val="20"/>
                <w:szCs w:val="20"/>
              </w:rPr>
            </w:pPr>
          </w:p>
        </w:tc>
        <w:tc>
          <w:tcPr>
            <w:tcW w:w="1045" w:type="dxa"/>
          </w:tcPr>
          <w:p w14:paraId="1B95ACBB" w14:textId="77777777" w:rsidR="00D6638C" w:rsidRPr="00D6638C" w:rsidRDefault="00D6638C" w:rsidP="00D6638C">
            <w:pPr>
              <w:spacing w:after="0"/>
              <w:rPr>
                <w:rFonts w:ascii="Calibri" w:eastAsia="Times New Roman" w:hAnsi="Calibri" w:cs="Times New Roman"/>
                <w:sz w:val="20"/>
                <w:szCs w:val="20"/>
              </w:rPr>
            </w:pPr>
          </w:p>
        </w:tc>
        <w:tc>
          <w:tcPr>
            <w:tcW w:w="1045" w:type="dxa"/>
          </w:tcPr>
          <w:p w14:paraId="58103ACE" w14:textId="77777777" w:rsidR="00D6638C" w:rsidRPr="00D6638C" w:rsidRDefault="00D6638C" w:rsidP="00D6638C">
            <w:pPr>
              <w:spacing w:after="0"/>
              <w:rPr>
                <w:rFonts w:ascii="Calibri" w:eastAsia="Times New Roman" w:hAnsi="Calibri" w:cs="Times New Roman"/>
                <w:sz w:val="20"/>
                <w:szCs w:val="20"/>
              </w:rPr>
            </w:pPr>
          </w:p>
        </w:tc>
        <w:tc>
          <w:tcPr>
            <w:tcW w:w="1045" w:type="dxa"/>
          </w:tcPr>
          <w:p w14:paraId="01ACC582" w14:textId="77777777" w:rsidR="00D6638C" w:rsidRPr="00D6638C" w:rsidRDefault="00D6638C" w:rsidP="00D6638C">
            <w:pPr>
              <w:spacing w:after="0"/>
              <w:rPr>
                <w:rFonts w:ascii="Calibri" w:eastAsia="Times New Roman" w:hAnsi="Calibri" w:cs="Times New Roman"/>
                <w:sz w:val="20"/>
                <w:szCs w:val="20"/>
              </w:rPr>
            </w:pPr>
          </w:p>
        </w:tc>
        <w:tc>
          <w:tcPr>
            <w:tcW w:w="958" w:type="dxa"/>
          </w:tcPr>
          <w:p w14:paraId="5C21C971" w14:textId="77777777" w:rsidR="00D6638C" w:rsidRPr="00D6638C" w:rsidRDefault="00D6638C" w:rsidP="00D6638C">
            <w:pPr>
              <w:spacing w:after="0"/>
              <w:rPr>
                <w:rFonts w:ascii="Calibri" w:eastAsia="Times New Roman" w:hAnsi="Calibri" w:cs="Times New Roman"/>
                <w:sz w:val="20"/>
                <w:szCs w:val="20"/>
              </w:rPr>
            </w:pPr>
          </w:p>
        </w:tc>
        <w:tc>
          <w:tcPr>
            <w:tcW w:w="1132" w:type="dxa"/>
          </w:tcPr>
          <w:p w14:paraId="1739DD41" w14:textId="77777777" w:rsidR="00D6638C" w:rsidRPr="00D6638C" w:rsidRDefault="00D6638C" w:rsidP="00D6638C">
            <w:pPr>
              <w:spacing w:after="0"/>
              <w:rPr>
                <w:rFonts w:ascii="Calibri" w:eastAsia="Times New Roman" w:hAnsi="Calibri" w:cs="Times New Roman"/>
                <w:sz w:val="20"/>
                <w:szCs w:val="20"/>
              </w:rPr>
            </w:pPr>
          </w:p>
        </w:tc>
        <w:tc>
          <w:tcPr>
            <w:tcW w:w="899" w:type="dxa"/>
          </w:tcPr>
          <w:p w14:paraId="21E9D1FE" w14:textId="77777777" w:rsidR="00D6638C" w:rsidRPr="00D6638C" w:rsidRDefault="00D6638C" w:rsidP="00D6638C">
            <w:pPr>
              <w:spacing w:after="0"/>
              <w:rPr>
                <w:rFonts w:ascii="Calibri" w:eastAsia="Times New Roman" w:hAnsi="Calibri" w:cs="Times New Roman"/>
                <w:sz w:val="20"/>
                <w:szCs w:val="20"/>
              </w:rPr>
            </w:pPr>
          </w:p>
        </w:tc>
      </w:tr>
    </w:tbl>
    <w:p w14:paraId="38A1970E" w14:textId="77777777" w:rsidR="00D6638C" w:rsidRPr="00D6638C" w:rsidRDefault="00D6638C" w:rsidP="00F05366">
      <w:pPr>
        <w:pStyle w:val="Heading51"/>
      </w:pPr>
      <w:bookmarkStart w:id="15" w:name="_Toc321341553"/>
      <w:r w:rsidRPr="00D6638C">
        <w:t>Mainstreaming</w:t>
      </w:r>
      <w:bookmarkEnd w:id="9"/>
      <w:bookmarkEnd w:id="15"/>
    </w:p>
    <w:p w14:paraId="2A2CC6BC"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14:paraId="12D0DB30" w14:textId="77777777" w:rsidR="00D6638C" w:rsidRPr="00D6638C" w:rsidRDefault="00D6638C" w:rsidP="00F05366">
      <w:pPr>
        <w:pStyle w:val="Heading51"/>
      </w:pPr>
      <w:bookmarkStart w:id="16" w:name="_Toc277677980"/>
      <w:bookmarkStart w:id="17" w:name="_Toc321341554"/>
      <w:r w:rsidRPr="00D6638C">
        <w:t>Impact</w:t>
      </w:r>
      <w:bookmarkEnd w:id="16"/>
      <w:bookmarkEnd w:id="17"/>
    </w:p>
    <w:p w14:paraId="71757F73"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w:t>
      </w:r>
      <w:r w:rsidR="00FA0835">
        <w:rPr>
          <w:rFonts w:ascii="Calibri" w:eastAsia="Times New Roman" w:hAnsi="Calibri" w:cs="Times New Roman"/>
          <w:sz w:val="20"/>
          <w:szCs w:val="20"/>
        </w:rPr>
        <w:t>s</w:t>
      </w:r>
      <w:r w:rsidRPr="00D6638C">
        <w:rPr>
          <w:rFonts w:ascii="Calibri" w:eastAsia="Times New Roman" w:hAnsi="Calibri" w:cs="Times New Roman"/>
          <w:sz w:val="20"/>
          <w:szCs w:val="20"/>
        </w:rPr>
        <w:t xml:space="preserve"> </w:t>
      </w:r>
      <w:r w:rsidR="00FA0835">
        <w:rPr>
          <w:rFonts w:ascii="Calibri" w:eastAsia="Times New Roman" w:hAnsi="Calibri" w:cs="Times New Roman"/>
          <w:sz w:val="20"/>
          <w:szCs w:val="20"/>
        </w:rPr>
        <w:t>are</w:t>
      </w:r>
      <w:r w:rsidRPr="00D6638C">
        <w:rPr>
          <w:rFonts w:ascii="Calibri" w:eastAsia="Times New Roman" w:hAnsi="Calibri" w:cs="Times New Roman"/>
          <w:sz w:val="20"/>
          <w:szCs w:val="20"/>
        </w:rPr>
        <w:t xml:space="preserve">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ey findings that should be brought out in the evaluations include whether the project</w:t>
      </w:r>
      <w:r w:rsidR="00FA0835">
        <w:rPr>
          <w:rFonts w:ascii="Calibri" w:eastAsia="Times New Roman" w:hAnsi="Calibri" w:cs="Times New Roman"/>
          <w:sz w:val="20"/>
          <w:szCs w:val="20"/>
        </w:rPr>
        <w:t>s</w:t>
      </w:r>
      <w:r w:rsidRPr="00D6638C">
        <w:rPr>
          <w:rFonts w:ascii="Calibri" w:eastAsia="Times New Roman" w:hAnsi="Calibri" w:cs="Times New Roman"/>
          <w:sz w:val="20"/>
          <w:szCs w:val="20"/>
        </w:rPr>
        <w:t xml:space="preserve"> ha</w:t>
      </w:r>
      <w:r w:rsidR="00FA0835">
        <w:rPr>
          <w:rFonts w:ascii="Calibri" w:eastAsia="Times New Roman" w:hAnsi="Calibri" w:cs="Times New Roman"/>
          <w:sz w:val="20"/>
          <w:szCs w:val="20"/>
        </w:rPr>
        <w:t>ve</w:t>
      </w:r>
      <w:r w:rsidRPr="00D6638C">
        <w:rPr>
          <w:rFonts w:ascii="Calibri" w:eastAsia="Times New Roman" w:hAnsi="Calibri" w:cs="Times New Roman"/>
          <w:sz w:val="20"/>
          <w:szCs w:val="20"/>
        </w:rPr>
        <w:t xml:space="preserve"> demonstrated: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3"/>
      </w:r>
      <w:r w:rsidRPr="00D6638C">
        <w:rPr>
          <w:rFonts w:ascii="Calibri" w:eastAsia="Times New Roman" w:hAnsi="Calibri" w:cs="Times New Roman"/>
          <w:sz w:val="20"/>
          <w:szCs w:val="20"/>
        </w:rPr>
        <w:t xml:space="preserve"> </w:t>
      </w:r>
    </w:p>
    <w:p w14:paraId="43A755C3" w14:textId="77777777" w:rsidR="00D6638C" w:rsidRPr="00D6638C" w:rsidRDefault="00D6638C" w:rsidP="00F05366">
      <w:pPr>
        <w:pStyle w:val="Heading51"/>
      </w:pPr>
      <w:bookmarkStart w:id="18" w:name="_Toc278193982"/>
      <w:bookmarkStart w:id="19" w:name="_Toc299133042"/>
      <w:bookmarkStart w:id="20" w:name="_Toc321341555"/>
      <w:bookmarkStart w:id="21" w:name="_Toc299126621"/>
      <w:bookmarkEnd w:id="10"/>
      <w:bookmarkEnd w:id="11"/>
      <w:bookmarkEnd w:id="12"/>
      <w:bookmarkEnd w:id="13"/>
      <w:bookmarkEnd w:id="14"/>
      <w:r w:rsidRPr="00D6638C">
        <w:t>Conclusions</w:t>
      </w:r>
      <w:bookmarkStart w:id="22" w:name="_Toc277677982"/>
      <w:r w:rsidRPr="00D6638C">
        <w:t>, recommendations &amp; lessons</w:t>
      </w:r>
      <w:bookmarkEnd w:id="18"/>
      <w:bookmarkEnd w:id="19"/>
      <w:bookmarkEnd w:id="20"/>
      <w:bookmarkEnd w:id="22"/>
    </w:p>
    <w:p w14:paraId="059204C4"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p>
    <w:p w14:paraId="4DCD8E65" w14:textId="77777777" w:rsidR="00D6638C" w:rsidRPr="00D6638C" w:rsidRDefault="00D6638C" w:rsidP="00F05366">
      <w:pPr>
        <w:pStyle w:val="Heading51"/>
      </w:pPr>
      <w:bookmarkStart w:id="23" w:name="_Toc299126625"/>
      <w:bookmarkStart w:id="24" w:name="_Toc299133044"/>
      <w:bookmarkStart w:id="25" w:name="_Toc321341556"/>
      <w:r w:rsidRPr="00D6638C">
        <w:t>Implementation arrangements</w:t>
      </w:r>
      <w:bookmarkEnd w:id="23"/>
      <w:bookmarkEnd w:id="24"/>
      <w:bookmarkEnd w:id="25"/>
    </w:p>
    <w:p w14:paraId="61DCA58F" w14:textId="77777777" w:rsidR="00313340" w:rsidRDefault="00313340" w:rsidP="00313340">
      <w:pPr>
        <w:shd w:val="clear" w:color="auto" w:fill="FFFFFF"/>
        <w:spacing w:after="0" w:line="240" w:lineRule="auto"/>
        <w:jc w:val="both"/>
        <w:rPr>
          <w:rFonts w:eastAsia="Times New Roman" w:cstheme="minorHAnsi"/>
        </w:rPr>
      </w:pPr>
      <w:bookmarkStart w:id="26" w:name="_Toc299133047"/>
      <w:bookmarkStart w:id="27" w:name="_Toc299122838"/>
      <w:bookmarkStart w:id="28" w:name="_Toc299122860"/>
      <w:bookmarkStart w:id="29" w:name="_Toc299126629"/>
      <w:bookmarkEnd w:id="21"/>
    </w:p>
    <w:p w14:paraId="68C85C3A" w14:textId="77777777" w:rsidR="00313340" w:rsidRPr="00313340" w:rsidRDefault="00313340" w:rsidP="00313340">
      <w:pPr>
        <w:shd w:val="clear" w:color="auto" w:fill="FFFFFF"/>
        <w:rPr>
          <w:rFonts w:eastAsia="Times New Roman" w:cstheme="minorHAnsi"/>
          <w:i/>
          <w:sz w:val="20"/>
          <w:szCs w:val="20"/>
        </w:rPr>
      </w:pPr>
      <w:r w:rsidRPr="00313340">
        <w:rPr>
          <w:rFonts w:eastAsia="Times New Roman" w:cstheme="minorHAnsi"/>
          <w:sz w:val="20"/>
          <w:szCs w:val="20"/>
        </w:rPr>
        <w:t>The principal responsibility for managing this TE resides with the Commissioning Unit. The Commissioning Unit for these projects’ TE is IOC of UNESCO.</w:t>
      </w:r>
    </w:p>
    <w:p w14:paraId="698711E2" w14:textId="77777777" w:rsidR="00313340" w:rsidRPr="00313340" w:rsidRDefault="00313340" w:rsidP="00313340">
      <w:pPr>
        <w:rPr>
          <w:rFonts w:eastAsia="Times New Roman" w:cstheme="minorHAnsi"/>
          <w:sz w:val="20"/>
          <w:szCs w:val="20"/>
        </w:rPr>
      </w:pPr>
      <w:r w:rsidRPr="00313340">
        <w:rPr>
          <w:rFonts w:eastAsia="Times New Roman" w:cstheme="minorHAnsi"/>
          <w:sz w:val="20"/>
          <w:szCs w:val="20"/>
        </w:rPr>
        <w:t xml:space="preserve">The Commissioning Unit will contract the consultant and ensure the timely provision of per diems and travel arrangements for the TE consultant. The PCU will be responsible for liaising with the TE consultant to provide all relevant documents, set up stakeholder interviews, and arrange the mission. </w:t>
      </w:r>
    </w:p>
    <w:p w14:paraId="7DC5EBC1" w14:textId="77777777" w:rsidR="00313340" w:rsidRPr="00313340" w:rsidRDefault="00313340" w:rsidP="00313340">
      <w:pPr>
        <w:ind w:left="630" w:hanging="360"/>
        <w:rPr>
          <w:rFonts w:eastAsia="Calibri" w:cstheme="minorHAnsi"/>
          <w:b/>
          <w:sz w:val="20"/>
          <w:szCs w:val="20"/>
        </w:rPr>
      </w:pPr>
      <w:r w:rsidRPr="00313340">
        <w:rPr>
          <w:rFonts w:eastAsia="Calibri" w:cstheme="minorHAnsi"/>
          <w:b/>
          <w:sz w:val="20"/>
          <w:szCs w:val="20"/>
        </w:rPr>
        <w:t>Travel:</w:t>
      </w:r>
    </w:p>
    <w:p w14:paraId="2CF25775" w14:textId="77777777" w:rsidR="00313340" w:rsidRPr="00313340" w:rsidRDefault="00313340" w:rsidP="00313340">
      <w:pPr>
        <w:numPr>
          <w:ilvl w:val="0"/>
          <w:numId w:val="36"/>
        </w:numPr>
        <w:ind w:left="630"/>
        <w:contextualSpacing/>
        <w:rPr>
          <w:rFonts w:eastAsia="Times New Roman" w:cstheme="minorHAnsi"/>
          <w:sz w:val="20"/>
          <w:szCs w:val="20"/>
        </w:rPr>
      </w:pPr>
      <w:r w:rsidRPr="00313340">
        <w:rPr>
          <w:rFonts w:eastAsia="Times New Roman" w:cstheme="minorHAnsi"/>
          <w:sz w:val="20"/>
          <w:szCs w:val="20"/>
        </w:rPr>
        <w:t xml:space="preserve">International travel will be required to travel to attend the </w:t>
      </w:r>
      <w:r w:rsidRPr="00313340">
        <w:rPr>
          <w:rFonts w:eastAsia="Calibri" w:cstheme="minorHAnsi"/>
          <w:bCs/>
          <w:sz w:val="20"/>
          <w:szCs w:val="20"/>
        </w:rPr>
        <w:t>21</w:t>
      </w:r>
      <w:r w:rsidRPr="00313340">
        <w:rPr>
          <w:rFonts w:eastAsia="Calibri" w:cstheme="minorHAnsi"/>
          <w:bCs/>
          <w:sz w:val="20"/>
          <w:szCs w:val="20"/>
          <w:vertAlign w:val="superscript"/>
        </w:rPr>
        <w:t>st</w:t>
      </w:r>
      <w:r w:rsidRPr="00313340">
        <w:rPr>
          <w:rFonts w:eastAsia="Calibri" w:cstheme="minorHAnsi"/>
          <w:bCs/>
          <w:sz w:val="20"/>
          <w:szCs w:val="20"/>
        </w:rPr>
        <w:t xml:space="preserve"> LME Annual Consultative </w:t>
      </w:r>
      <w:r w:rsidRPr="00313340">
        <w:rPr>
          <w:rFonts w:eastAsia="Times New Roman" w:cstheme="minorHAnsi"/>
          <w:sz w:val="20"/>
          <w:szCs w:val="20"/>
        </w:rPr>
        <w:t xml:space="preserve">Meeting (Cartagena, Colombia). </w:t>
      </w:r>
    </w:p>
    <w:p w14:paraId="6811DF38" w14:textId="77777777" w:rsidR="00313340" w:rsidRPr="00313340" w:rsidRDefault="00313340" w:rsidP="00313340">
      <w:pPr>
        <w:numPr>
          <w:ilvl w:val="0"/>
          <w:numId w:val="36"/>
        </w:numPr>
        <w:ind w:left="630"/>
        <w:contextualSpacing/>
        <w:rPr>
          <w:rFonts w:eastAsia="Times New Roman" w:cstheme="minorHAnsi"/>
          <w:sz w:val="20"/>
          <w:szCs w:val="20"/>
        </w:rPr>
      </w:pPr>
      <w:r w:rsidRPr="00313340">
        <w:rPr>
          <w:rFonts w:eastAsia="Times New Roman" w:cstheme="minorHAnsi"/>
          <w:sz w:val="20"/>
          <w:szCs w:val="20"/>
        </w:rPr>
        <w:t xml:space="preserve">The Basic Security in the Field II, Advanced Security in the Field and UNESCO Security in the Field courses </w:t>
      </w:r>
      <w:r w:rsidRPr="00313340">
        <w:rPr>
          <w:rFonts w:eastAsia="Times New Roman" w:cstheme="minorHAnsi"/>
          <w:sz w:val="20"/>
          <w:szCs w:val="20"/>
          <w:u w:val="single"/>
        </w:rPr>
        <w:t>must</w:t>
      </w:r>
      <w:r w:rsidRPr="00313340">
        <w:rPr>
          <w:rFonts w:eastAsia="Times New Roman" w:cstheme="minorHAnsi"/>
          <w:sz w:val="20"/>
          <w:szCs w:val="20"/>
        </w:rPr>
        <w:t xml:space="preserve"> be successfully completed </w:t>
      </w:r>
      <w:r w:rsidRPr="00313340">
        <w:rPr>
          <w:rFonts w:eastAsia="Times New Roman" w:cstheme="minorHAnsi"/>
          <w:sz w:val="20"/>
          <w:szCs w:val="20"/>
          <w:u w:val="single"/>
        </w:rPr>
        <w:t>prior</w:t>
      </w:r>
      <w:r w:rsidRPr="00313340">
        <w:rPr>
          <w:rFonts w:eastAsia="Times New Roman" w:cstheme="minorHAnsi"/>
          <w:sz w:val="20"/>
          <w:szCs w:val="20"/>
        </w:rPr>
        <w:t xml:space="preserve"> to commencement of travel;</w:t>
      </w:r>
    </w:p>
    <w:p w14:paraId="10AD5EA2" w14:textId="77777777" w:rsidR="00313340" w:rsidRPr="00313340" w:rsidRDefault="00313340" w:rsidP="00313340">
      <w:pPr>
        <w:numPr>
          <w:ilvl w:val="0"/>
          <w:numId w:val="36"/>
        </w:numPr>
        <w:ind w:left="630"/>
        <w:contextualSpacing/>
        <w:rPr>
          <w:rFonts w:eastAsia="Times New Roman" w:cstheme="minorHAnsi"/>
          <w:sz w:val="20"/>
          <w:szCs w:val="20"/>
        </w:rPr>
      </w:pPr>
      <w:r w:rsidRPr="00313340">
        <w:rPr>
          <w:rFonts w:eastAsia="Times New Roman" w:cstheme="minorHAnsi"/>
          <w:sz w:val="20"/>
          <w:szCs w:val="20"/>
        </w:rPr>
        <w:t xml:space="preserve">Individual Consultants are responsible for ensuring they have vaccinations/inoculations when travelling to certain countries, as designated by the UN Medical Director. </w:t>
      </w:r>
    </w:p>
    <w:p w14:paraId="661426EB" w14:textId="77777777" w:rsidR="00313340" w:rsidRPr="00313340" w:rsidRDefault="00313340" w:rsidP="00313340">
      <w:pPr>
        <w:numPr>
          <w:ilvl w:val="0"/>
          <w:numId w:val="36"/>
        </w:numPr>
        <w:ind w:left="634"/>
        <w:contextualSpacing/>
        <w:rPr>
          <w:rFonts w:eastAsia="Times New Roman" w:cstheme="minorHAnsi"/>
          <w:sz w:val="20"/>
          <w:szCs w:val="20"/>
        </w:rPr>
      </w:pPr>
      <w:r w:rsidRPr="00313340">
        <w:rPr>
          <w:rFonts w:eastAsia="Times New Roman" w:cstheme="minorHAnsi"/>
          <w:sz w:val="20"/>
          <w:szCs w:val="20"/>
        </w:rPr>
        <w:t xml:space="preserve">Consultants are required to comply with the UN security directives set forth under </w:t>
      </w:r>
      <w:hyperlink r:id="rId9" w:history="1">
        <w:r w:rsidRPr="00313340">
          <w:rPr>
            <w:rFonts w:eastAsia="MS Mincho" w:cstheme="minorHAnsi"/>
            <w:color w:val="0000FF"/>
            <w:sz w:val="20"/>
            <w:szCs w:val="20"/>
            <w:u w:val="single"/>
          </w:rPr>
          <w:t>https://dss.un.org/dssweb/</w:t>
        </w:r>
      </w:hyperlink>
    </w:p>
    <w:p w14:paraId="2E25FCCF" w14:textId="77777777" w:rsidR="00313340" w:rsidRPr="00313340" w:rsidRDefault="00313340" w:rsidP="00313340">
      <w:pPr>
        <w:numPr>
          <w:ilvl w:val="0"/>
          <w:numId w:val="36"/>
        </w:numPr>
        <w:ind w:left="630"/>
        <w:rPr>
          <w:rFonts w:eastAsia="Times New Roman" w:cstheme="minorHAnsi"/>
          <w:b/>
          <w:bCs/>
          <w:sz w:val="20"/>
          <w:szCs w:val="20"/>
        </w:rPr>
      </w:pPr>
      <w:r w:rsidRPr="00313340">
        <w:rPr>
          <w:rFonts w:eastAsia="Times New Roman" w:cstheme="minorHAnsi"/>
          <w:sz w:val="20"/>
          <w:szCs w:val="20"/>
        </w:rPr>
        <w:lastRenderedPageBreak/>
        <w:t>All related travel expenses will be covered and will be reimbursed as per IOC/UNESCO rules and regulations upon submission of a travel claim form and supporting documents.</w:t>
      </w:r>
    </w:p>
    <w:p w14:paraId="02605936" w14:textId="77777777" w:rsidR="00D6638C" w:rsidRPr="00D6638C" w:rsidRDefault="00D6638C" w:rsidP="00022F8E">
      <w:pPr>
        <w:pStyle w:val="Heading51"/>
      </w:pPr>
      <w:r w:rsidRPr="00D6638C">
        <w:t>Evaluation timeframe</w:t>
      </w:r>
      <w:bookmarkEnd w:id="26"/>
      <w:bookmarkEnd w:id="27"/>
      <w:bookmarkEnd w:id="28"/>
      <w:bookmarkEnd w:id="29"/>
    </w:p>
    <w:p w14:paraId="454B0F16"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will be </w:t>
      </w:r>
      <w:r w:rsidR="00313340">
        <w:rPr>
          <w:rFonts w:ascii="Calibri" w:eastAsia="Times New Roman" w:hAnsi="Calibri" w:cs="Times New Roman"/>
          <w:i/>
          <w:sz w:val="20"/>
          <w:szCs w:val="20"/>
          <w:highlight w:val="lightGray"/>
        </w:rPr>
        <w:t xml:space="preserve">30  </w:t>
      </w:r>
      <w:r w:rsidRPr="00D6638C">
        <w:rPr>
          <w:rFonts w:ascii="Calibri" w:eastAsia="Times New Roman" w:hAnsi="Calibri" w:cs="Times New Roman"/>
          <w:sz w:val="20"/>
          <w:szCs w:val="20"/>
        </w:rPr>
        <w:t xml:space="preserve">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D6638C" w:rsidRPr="00D6638C" w14:paraId="19680DD6" w14:textId="77777777" w:rsidTr="00224F9C">
        <w:trPr>
          <w:trHeight w:val="440"/>
        </w:trPr>
        <w:tc>
          <w:tcPr>
            <w:tcW w:w="2988" w:type="dxa"/>
            <w:shd w:val="clear" w:color="auto" w:fill="7F7F7F"/>
          </w:tcPr>
          <w:p w14:paraId="6B8E87BF" w14:textId="77777777"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99" w:type="dxa"/>
            <w:shd w:val="clear" w:color="auto" w:fill="7F7F7F"/>
          </w:tcPr>
          <w:p w14:paraId="55FAA98A"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71" w:type="dxa"/>
            <w:shd w:val="clear" w:color="auto" w:fill="7F7F7F"/>
          </w:tcPr>
          <w:p w14:paraId="0C46F66B"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D6638C" w:rsidRPr="00D6638C" w14:paraId="3D9F21BC" w14:textId="77777777" w:rsidTr="00224F9C">
        <w:tc>
          <w:tcPr>
            <w:tcW w:w="2988" w:type="dxa"/>
          </w:tcPr>
          <w:p w14:paraId="47E78F9A"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r w:rsidR="00313340">
              <w:rPr>
                <w:rFonts w:ascii="Calibri" w:eastAsia="Times New Roman" w:hAnsi="Calibri" w:cs="Times New Roman"/>
                <w:b/>
                <w:sz w:val="20"/>
                <w:szCs w:val="20"/>
              </w:rPr>
              <w:t xml:space="preserve"> (Inception Report)</w:t>
            </w:r>
          </w:p>
        </w:tc>
        <w:tc>
          <w:tcPr>
            <w:tcW w:w="3499" w:type="dxa"/>
          </w:tcPr>
          <w:p w14:paraId="197CDE04" w14:textId="77777777" w:rsidR="00D6638C" w:rsidRPr="00D6638C" w:rsidRDefault="00313340" w:rsidP="00313340">
            <w:pPr>
              <w:spacing w:after="0"/>
              <w:jc w:val="center"/>
              <w:rPr>
                <w:rFonts w:ascii="Calibri" w:eastAsia="Times New Roman" w:hAnsi="Calibri" w:cs="Times New Roman"/>
                <w:b/>
                <w:sz w:val="20"/>
                <w:szCs w:val="20"/>
              </w:rPr>
            </w:pPr>
            <w:r>
              <w:rPr>
                <w:rFonts w:ascii="Calibri" w:eastAsia="Times New Roman" w:hAnsi="Calibri" w:cs="Times New Roman"/>
                <w:i/>
                <w:sz w:val="20"/>
                <w:szCs w:val="20"/>
                <w:highlight w:val="lightGray"/>
              </w:rPr>
              <w:t xml:space="preserve">4 </w:t>
            </w:r>
            <w:r w:rsidR="00D6638C" w:rsidRPr="00D6638C">
              <w:rPr>
                <w:rFonts w:ascii="Calibri" w:eastAsia="Times New Roman" w:hAnsi="Calibri" w:cs="Times New Roman"/>
                <w:sz w:val="20"/>
                <w:szCs w:val="20"/>
              </w:rPr>
              <w:t>days</w:t>
            </w:r>
          </w:p>
        </w:tc>
        <w:tc>
          <w:tcPr>
            <w:tcW w:w="3071" w:type="dxa"/>
          </w:tcPr>
          <w:p w14:paraId="665DF579" w14:textId="30152390" w:rsidR="00D6638C" w:rsidRPr="00313340" w:rsidRDefault="001837E7" w:rsidP="00313340">
            <w:pPr>
              <w:spacing w:after="0"/>
              <w:jc w:val="center"/>
              <w:rPr>
                <w:rFonts w:ascii="Calibri" w:eastAsia="Times New Roman" w:hAnsi="Calibri" w:cs="Times New Roman"/>
                <w:sz w:val="20"/>
                <w:szCs w:val="20"/>
                <w:highlight w:val="lightGray"/>
              </w:rPr>
            </w:pPr>
            <w:r>
              <w:rPr>
                <w:rFonts w:ascii="Calibri" w:eastAsia="Times New Roman" w:hAnsi="Calibri" w:cs="Times New Roman"/>
                <w:sz w:val="20"/>
                <w:szCs w:val="20"/>
                <w:highlight w:val="lightGray"/>
              </w:rPr>
              <w:t xml:space="preserve">7 </w:t>
            </w:r>
            <w:r w:rsidR="00313340">
              <w:rPr>
                <w:rFonts w:ascii="Calibri" w:eastAsia="Times New Roman" w:hAnsi="Calibri" w:cs="Times New Roman"/>
                <w:sz w:val="20"/>
                <w:szCs w:val="20"/>
                <w:highlight w:val="lightGray"/>
              </w:rPr>
              <w:t>September 2019</w:t>
            </w:r>
          </w:p>
        </w:tc>
      </w:tr>
      <w:tr w:rsidR="00D6638C" w:rsidRPr="00D6638C" w14:paraId="4A158629" w14:textId="77777777" w:rsidTr="00224F9C">
        <w:tc>
          <w:tcPr>
            <w:tcW w:w="2988" w:type="dxa"/>
          </w:tcPr>
          <w:p w14:paraId="1CDE1007"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Evaluation Mission</w:t>
            </w:r>
          </w:p>
        </w:tc>
        <w:tc>
          <w:tcPr>
            <w:tcW w:w="3499" w:type="dxa"/>
          </w:tcPr>
          <w:p w14:paraId="0E199125" w14:textId="77777777" w:rsidR="00D6638C" w:rsidRPr="00D6638C" w:rsidRDefault="00313340" w:rsidP="00313340">
            <w:pPr>
              <w:spacing w:after="0"/>
              <w:jc w:val="center"/>
              <w:rPr>
                <w:rFonts w:ascii="Calibri" w:eastAsia="Times New Roman" w:hAnsi="Calibri" w:cs="Times New Roman"/>
                <w:b/>
                <w:sz w:val="20"/>
                <w:szCs w:val="20"/>
              </w:rPr>
            </w:pPr>
            <w:r>
              <w:rPr>
                <w:rFonts w:ascii="Calibri" w:eastAsia="Times New Roman" w:hAnsi="Calibri" w:cs="Times New Roman"/>
                <w:i/>
                <w:sz w:val="20"/>
                <w:szCs w:val="20"/>
                <w:highlight w:val="lightGray"/>
              </w:rPr>
              <w:t xml:space="preserve">7 </w:t>
            </w:r>
            <w:r w:rsidR="00D6638C" w:rsidRPr="00D6638C">
              <w:rPr>
                <w:rFonts w:ascii="Calibri" w:eastAsia="Times New Roman" w:hAnsi="Calibri" w:cs="Times New Roman"/>
                <w:sz w:val="20"/>
                <w:szCs w:val="20"/>
              </w:rPr>
              <w:t>days</w:t>
            </w:r>
          </w:p>
        </w:tc>
        <w:tc>
          <w:tcPr>
            <w:tcW w:w="3071" w:type="dxa"/>
          </w:tcPr>
          <w:p w14:paraId="05E1FF8D" w14:textId="77777777" w:rsidR="00D6638C" w:rsidRPr="00313340" w:rsidRDefault="00313340" w:rsidP="00313340">
            <w:pPr>
              <w:spacing w:after="0"/>
              <w:jc w:val="center"/>
              <w:rPr>
                <w:rFonts w:ascii="Calibri" w:eastAsia="Times New Roman" w:hAnsi="Calibri" w:cs="Times New Roman"/>
                <w:sz w:val="20"/>
                <w:szCs w:val="20"/>
                <w:highlight w:val="lightGray"/>
              </w:rPr>
            </w:pPr>
            <w:r>
              <w:rPr>
                <w:rFonts w:ascii="Calibri" w:eastAsia="Times New Roman" w:hAnsi="Calibri" w:cs="Times New Roman"/>
                <w:sz w:val="20"/>
                <w:szCs w:val="20"/>
                <w:highlight w:val="lightGray"/>
              </w:rPr>
              <w:t>21 September 2019</w:t>
            </w:r>
          </w:p>
        </w:tc>
      </w:tr>
      <w:tr w:rsidR="00D6638C" w:rsidRPr="00D6638C" w14:paraId="56266B0D" w14:textId="77777777" w:rsidTr="00224F9C">
        <w:tc>
          <w:tcPr>
            <w:tcW w:w="2988" w:type="dxa"/>
          </w:tcPr>
          <w:p w14:paraId="36C8A6BD"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Draft Evaluation Report</w:t>
            </w:r>
          </w:p>
        </w:tc>
        <w:tc>
          <w:tcPr>
            <w:tcW w:w="3499" w:type="dxa"/>
          </w:tcPr>
          <w:p w14:paraId="4AB18451" w14:textId="77777777" w:rsidR="00D6638C" w:rsidRPr="00D6638C" w:rsidRDefault="00313340" w:rsidP="00313340">
            <w:pPr>
              <w:spacing w:after="0"/>
              <w:jc w:val="center"/>
              <w:rPr>
                <w:rFonts w:ascii="Calibri" w:eastAsia="Times New Roman" w:hAnsi="Calibri" w:cs="Times New Roman"/>
                <w:b/>
                <w:sz w:val="20"/>
                <w:szCs w:val="20"/>
              </w:rPr>
            </w:pPr>
            <w:r>
              <w:rPr>
                <w:rFonts w:ascii="Calibri" w:eastAsia="Times New Roman" w:hAnsi="Calibri" w:cs="Times New Roman"/>
                <w:i/>
                <w:sz w:val="20"/>
                <w:szCs w:val="20"/>
                <w:highlight w:val="lightGray"/>
              </w:rPr>
              <w:t xml:space="preserve">15 </w:t>
            </w:r>
            <w:r w:rsidR="00D6638C" w:rsidRPr="00D6638C">
              <w:rPr>
                <w:rFonts w:ascii="Calibri" w:eastAsia="Times New Roman" w:hAnsi="Calibri" w:cs="Times New Roman"/>
                <w:sz w:val="20"/>
                <w:szCs w:val="20"/>
              </w:rPr>
              <w:t>days</w:t>
            </w:r>
          </w:p>
        </w:tc>
        <w:tc>
          <w:tcPr>
            <w:tcW w:w="3071" w:type="dxa"/>
          </w:tcPr>
          <w:p w14:paraId="172DE13C" w14:textId="360219FD" w:rsidR="00D6638C" w:rsidRPr="00313340" w:rsidRDefault="001837E7" w:rsidP="00313340">
            <w:pPr>
              <w:spacing w:after="0"/>
              <w:jc w:val="center"/>
              <w:rPr>
                <w:rFonts w:ascii="Calibri" w:eastAsia="Times New Roman" w:hAnsi="Calibri" w:cs="Times New Roman"/>
                <w:sz w:val="20"/>
                <w:szCs w:val="20"/>
                <w:highlight w:val="lightGray"/>
              </w:rPr>
            </w:pPr>
            <w:r>
              <w:rPr>
                <w:rFonts w:ascii="Calibri" w:eastAsia="Times New Roman" w:hAnsi="Calibri" w:cs="Times New Roman"/>
                <w:sz w:val="20"/>
                <w:szCs w:val="20"/>
                <w:highlight w:val="lightGray"/>
              </w:rPr>
              <w:t xml:space="preserve">26 </w:t>
            </w:r>
            <w:r w:rsidR="00313340">
              <w:rPr>
                <w:rFonts w:ascii="Calibri" w:eastAsia="Times New Roman" w:hAnsi="Calibri" w:cs="Times New Roman"/>
                <w:sz w:val="20"/>
                <w:szCs w:val="20"/>
                <w:highlight w:val="lightGray"/>
              </w:rPr>
              <w:t>October 2019</w:t>
            </w:r>
          </w:p>
        </w:tc>
      </w:tr>
      <w:tr w:rsidR="00D6638C" w:rsidRPr="00D6638C" w14:paraId="4ACE530E" w14:textId="77777777" w:rsidTr="00224F9C">
        <w:tc>
          <w:tcPr>
            <w:tcW w:w="2988" w:type="dxa"/>
          </w:tcPr>
          <w:p w14:paraId="1AE5AAAA"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3499" w:type="dxa"/>
          </w:tcPr>
          <w:p w14:paraId="77D10688" w14:textId="77777777" w:rsidR="00D6638C" w:rsidRPr="00D6638C" w:rsidRDefault="00313340" w:rsidP="00313340">
            <w:pPr>
              <w:spacing w:after="0"/>
              <w:jc w:val="center"/>
              <w:rPr>
                <w:rFonts w:ascii="Calibri" w:eastAsia="Times New Roman" w:hAnsi="Calibri" w:cs="Times New Roman"/>
                <w:sz w:val="20"/>
                <w:szCs w:val="20"/>
              </w:rPr>
            </w:pPr>
            <w:r>
              <w:rPr>
                <w:rFonts w:ascii="Calibri" w:eastAsia="Times New Roman" w:hAnsi="Calibri" w:cs="Times New Roman"/>
                <w:i/>
                <w:sz w:val="20"/>
                <w:szCs w:val="20"/>
                <w:highlight w:val="lightGray"/>
              </w:rPr>
              <w:t xml:space="preserve">4 </w:t>
            </w:r>
            <w:r w:rsidR="00D6638C" w:rsidRPr="00D6638C">
              <w:rPr>
                <w:rFonts w:ascii="Calibri" w:eastAsia="Times New Roman" w:hAnsi="Calibri" w:cs="Times New Roman"/>
                <w:sz w:val="20"/>
                <w:szCs w:val="20"/>
              </w:rPr>
              <w:t>days</w:t>
            </w:r>
          </w:p>
        </w:tc>
        <w:tc>
          <w:tcPr>
            <w:tcW w:w="3071" w:type="dxa"/>
          </w:tcPr>
          <w:p w14:paraId="28F49A40" w14:textId="77777777" w:rsidR="00D6638C" w:rsidRPr="00313340" w:rsidRDefault="00313340" w:rsidP="00313340">
            <w:pPr>
              <w:spacing w:after="0"/>
              <w:jc w:val="center"/>
              <w:rPr>
                <w:rFonts w:ascii="Calibri" w:eastAsia="Times New Roman" w:hAnsi="Calibri" w:cs="Times New Roman"/>
                <w:sz w:val="20"/>
                <w:szCs w:val="20"/>
                <w:highlight w:val="lightGray"/>
              </w:rPr>
            </w:pPr>
            <w:r>
              <w:rPr>
                <w:rFonts w:ascii="Calibri" w:eastAsia="Times New Roman" w:hAnsi="Calibri" w:cs="Times New Roman"/>
                <w:sz w:val="20"/>
                <w:szCs w:val="20"/>
                <w:highlight w:val="lightGray"/>
              </w:rPr>
              <w:t>15 November 2019</w:t>
            </w:r>
          </w:p>
        </w:tc>
      </w:tr>
    </w:tbl>
    <w:p w14:paraId="685516B3" w14:textId="77777777" w:rsidR="00D6638C" w:rsidRPr="00F05366" w:rsidRDefault="00D6638C" w:rsidP="00F05366">
      <w:pPr>
        <w:pStyle w:val="Heading31"/>
      </w:pPr>
      <w:bookmarkStart w:id="30" w:name="_Toc299133045"/>
      <w:bookmarkStart w:id="31" w:name="_Toc321341557"/>
      <w:bookmarkStart w:id="32" w:name="_Toc299126622"/>
      <w:bookmarkStart w:id="33" w:name="_Toc299133048"/>
      <w:r w:rsidRPr="00F05366">
        <w:t>Evaluation deliverables</w:t>
      </w:r>
      <w:bookmarkEnd w:id="30"/>
      <w:bookmarkEnd w:id="31"/>
    </w:p>
    <w:p w14:paraId="2354D055"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evaluat</w:t>
      </w:r>
      <w:r w:rsidR="00313340">
        <w:rPr>
          <w:rFonts w:ascii="Calibri" w:eastAsia="Times New Roman" w:hAnsi="Calibri" w:cs="Times New Roman"/>
          <w:sz w:val="20"/>
          <w:szCs w:val="20"/>
        </w:rPr>
        <w:t>or</w:t>
      </w:r>
      <w:r w:rsidRPr="00D6638C">
        <w:rPr>
          <w:rFonts w:ascii="Calibri" w:eastAsia="Times New Roman" w:hAnsi="Calibri" w:cs="Times New Roman"/>
          <w:sz w:val="20"/>
          <w:szCs w:val="20"/>
        </w:rPr>
        <w:t xml:space="preserve">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D6638C" w:rsidRPr="00D6638C" w14:paraId="28D7D9C0" w14:textId="77777777" w:rsidTr="006C1964">
        <w:tc>
          <w:tcPr>
            <w:tcW w:w="1548" w:type="dxa"/>
            <w:shd w:val="clear" w:color="auto" w:fill="7F7F7F"/>
          </w:tcPr>
          <w:p w14:paraId="07C917A9"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14:paraId="489D6C83"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14:paraId="5A58A751"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14:paraId="1617C471"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14:paraId="6EAAD0E8" w14:textId="77777777" w:rsidTr="006C1964">
        <w:tc>
          <w:tcPr>
            <w:tcW w:w="1548" w:type="dxa"/>
          </w:tcPr>
          <w:p w14:paraId="7BC96527"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14:paraId="783A712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14:paraId="75145CF4" w14:textId="068537D3"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No later than 2 weeks before the evaluation mission. </w:t>
            </w:r>
            <w:r w:rsidR="00D81B2A">
              <w:rPr>
                <w:rFonts w:ascii="Calibri" w:eastAsia="Times New Roman" w:hAnsi="Calibri" w:cs="Times New Roman"/>
                <w:sz w:val="20"/>
                <w:szCs w:val="20"/>
              </w:rPr>
              <w:t>(by 7 September 2019)</w:t>
            </w:r>
          </w:p>
        </w:tc>
        <w:tc>
          <w:tcPr>
            <w:tcW w:w="3060" w:type="dxa"/>
          </w:tcPr>
          <w:p w14:paraId="293EF0D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w:t>
            </w:r>
            <w:r w:rsidR="004F2025">
              <w:rPr>
                <w:rFonts w:ascii="Calibri" w:eastAsia="Times New Roman" w:hAnsi="Calibri" w:cs="Times New Roman"/>
                <w:sz w:val="20"/>
                <w:szCs w:val="20"/>
              </w:rPr>
              <w:t>PCU</w:t>
            </w:r>
            <w:r w:rsidRPr="00D6638C">
              <w:rPr>
                <w:rFonts w:ascii="Calibri" w:eastAsia="Times New Roman" w:hAnsi="Calibri" w:cs="Times New Roman"/>
                <w:sz w:val="20"/>
                <w:szCs w:val="20"/>
              </w:rPr>
              <w:t xml:space="preserve"> </w:t>
            </w:r>
          </w:p>
        </w:tc>
      </w:tr>
      <w:tr w:rsidR="00D6638C" w:rsidRPr="00D6638C" w14:paraId="3EA803F0" w14:textId="77777777" w:rsidTr="006C1964">
        <w:tc>
          <w:tcPr>
            <w:tcW w:w="1548" w:type="dxa"/>
          </w:tcPr>
          <w:p w14:paraId="2A1D3BD5"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14:paraId="3E8D356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14:paraId="4A4717F2" w14:textId="7385068C"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r w:rsidR="00D81B2A">
              <w:rPr>
                <w:rFonts w:ascii="Calibri" w:eastAsia="Times New Roman" w:hAnsi="Calibri" w:cs="Times New Roman"/>
                <w:sz w:val="20"/>
                <w:szCs w:val="20"/>
              </w:rPr>
              <w:t xml:space="preserve"> (by 21 September 2019)</w:t>
            </w:r>
          </w:p>
        </w:tc>
        <w:tc>
          <w:tcPr>
            <w:tcW w:w="3060" w:type="dxa"/>
          </w:tcPr>
          <w:p w14:paraId="246E831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To </w:t>
            </w:r>
            <w:r w:rsidR="004F2025">
              <w:rPr>
                <w:rFonts w:ascii="Calibri" w:eastAsia="Times New Roman" w:hAnsi="Calibri" w:cs="Times New Roman"/>
                <w:sz w:val="20"/>
                <w:szCs w:val="20"/>
              </w:rPr>
              <w:t>PCU</w:t>
            </w:r>
            <w:r w:rsidRPr="00D6638C">
              <w:rPr>
                <w:rFonts w:ascii="Calibri" w:eastAsia="Times New Roman" w:hAnsi="Calibri" w:cs="Times New Roman"/>
                <w:sz w:val="20"/>
                <w:szCs w:val="20"/>
              </w:rPr>
              <w:t xml:space="preserve">, UNDP </w:t>
            </w:r>
            <w:r w:rsidR="004F2025">
              <w:rPr>
                <w:rFonts w:ascii="Calibri" w:eastAsia="Times New Roman" w:hAnsi="Calibri" w:cs="Times New Roman"/>
                <w:sz w:val="20"/>
                <w:szCs w:val="20"/>
              </w:rPr>
              <w:t>CTA</w:t>
            </w:r>
          </w:p>
        </w:tc>
      </w:tr>
      <w:tr w:rsidR="00D6638C" w:rsidRPr="00D6638C" w14:paraId="5E2E3868" w14:textId="77777777" w:rsidTr="006C1964">
        <w:tc>
          <w:tcPr>
            <w:tcW w:w="1548" w:type="dxa"/>
          </w:tcPr>
          <w:p w14:paraId="4EABEE52"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14:paraId="34E29B5A" w14:textId="77777777"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14:paraId="746EA42F" w14:textId="0597D1E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w:t>
            </w:r>
            <w:r w:rsidR="004F2025">
              <w:rPr>
                <w:rFonts w:ascii="Calibri" w:eastAsia="Times New Roman" w:hAnsi="Calibri" w:cs="Times New Roman"/>
                <w:sz w:val="20"/>
                <w:szCs w:val="20"/>
              </w:rPr>
              <w:t>5</w:t>
            </w:r>
            <w:r w:rsidRPr="00D6638C">
              <w:rPr>
                <w:rFonts w:ascii="Calibri" w:eastAsia="Times New Roman" w:hAnsi="Calibri" w:cs="Times New Roman"/>
                <w:sz w:val="20"/>
                <w:szCs w:val="20"/>
              </w:rPr>
              <w:t xml:space="preserve"> weeks of the evaluation mission</w:t>
            </w:r>
            <w:r w:rsidR="00D81B2A">
              <w:rPr>
                <w:rFonts w:ascii="Calibri" w:eastAsia="Times New Roman" w:hAnsi="Calibri" w:cs="Times New Roman"/>
                <w:sz w:val="20"/>
                <w:szCs w:val="20"/>
              </w:rPr>
              <w:t xml:space="preserve"> (by 26 October 2019)</w:t>
            </w:r>
          </w:p>
        </w:tc>
        <w:tc>
          <w:tcPr>
            <w:tcW w:w="3060" w:type="dxa"/>
          </w:tcPr>
          <w:p w14:paraId="539D8CC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w:t>
            </w:r>
            <w:r w:rsidR="004F2025">
              <w:rPr>
                <w:rFonts w:ascii="Calibri" w:eastAsia="Times New Roman" w:hAnsi="Calibri" w:cs="Times New Roman"/>
                <w:sz w:val="20"/>
                <w:szCs w:val="20"/>
              </w:rPr>
              <w:t>PCU</w:t>
            </w:r>
            <w:r w:rsidRPr="00D6638C">
              <w:rPr>
                <w:rFonts w:ascii="Calibri" w:eastAsia="Times New Roman" w:hAnsi="Calibri" w:cs="Times New Roman"/>
                <w:sz w:val="20"/>
                <w:szCs w:val="20"/>
              </w:rPr>
              <w:t>, reviewed by RTA, PCU</w:t>
            </w:r>
          </w:p>
        </w:tc>
      </w:tr>
      <w:tr w:rsidR="00D6638C" w:rsidRPr="00D6638C" w14:paraId="7A7EE006" w14:textId="77777777" w:rsidTr="006C1964">
        <w:tc>
          <w:tcPr>
            <w:tcW w:w="1548" w:type="dxa"/>
          </w:tcPr>
          <w:p w14:paraId="2E36DBA1"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14:paraId="09946DE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14:paraId="1E491C8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60" w:type="dxa"/>
          </w:tcPr>
          <w:p w14:paraId="75D7FFD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w:t>
            </w:r>
            <w:r w:rsidR="004F2025">
              <w:rPr>
                <w:rFonts w:ascii="Calibri" w:eastAsia="Times New Roman" w:hAnsi="Calibri" w:cs="Times New Roman"/>
                <w:sz w:val="20"/>
                <w:szCs w:val="20"/>
              </w:rPr>
              <w:t>PCU, UNDP</w:t>
            </w:r>
            <w:r w:rsidRPr="00D6638C">
              <w:rPr>
                <w:rFonts w:ascii="Calibri" w:eastAsia="Times New Roman" w:hAnsi="Calibri" w:cs="Times New Roman"/>
                <w:sz w:val="20"/>
                <w:szCs w:val="20"/>
              </w:rPr>
              <w:t xml:space="preserve"> for uploading to UNDP ERC. </w:t>
            </w:r>
          </w:p>
        </w:tc>
      </w:tr>
    </w:tbl>
    <w:p w14:paraId="70654F5F" w14:textId="77777777" w:rsidR="00D6638C" w:rsidRP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2"/>
      <w:bookmarkEnd w:id="33"/>
      <w:r w:rsidR="00D6638C" w:rsidRPr="00D6638C">
        <w:rPr>
          <w:rFonts w:ascii="Calibri" w:eastAsia="Times New Roman" w:hAnsi="Calibri" w:cs="Times New Roman"/>
          <w:sz w:val="20"/>
          <w:szCs w:val="20"/>
        </w:rPr>
        <w:t xml:space="preserve">report. </w:t>
      </w:r>
    </w:p>
    <w:p w14:paraId="79A2DFD3" w14:textId="77777777" w:rsidR="00D6638C" w:rsidRPr="00D6638C" w:rsidRDefault="004F2025" w:rsidP="00F05366">
      <w:pPr>
        <w:pStyle w:val="Heading51"/>
      </w:pPr>
      <w:r>
        <w:t>REQUIRED EVALUATOR’S SKILLS AND EXPERIENCE</w:t>
      </w:r>
    </w:p>
    <w:p w14:paraId="7871ACA4" w14:textId="77777777" w:rsidR="004F2025" w:rsidRPr="004F2025" w:rsidRDefault="004F2025" w:rsidP="004F2025">
      <w:pPr>
        <w:rPr>
          <w:rFonts w:eastAsia="Calibri" w:cstheme="minorHAnsi"/>
          <w:sz w:val="20"/>
          <w:szCs w:val="20"/>
        </w:rPr>
      </w:pPr>
      <w:bookmarkStart w:id="34" w:name="_Toc278193977"/>
      <w:bookmarkStart w:id="35" w:name="_Toc299122835"/>
      <w:bookmarkStart w:id="36" w:name="_Toc299122857"/>
      <w:bookmarkStart w:id="37" w:name="_Toc299126624"/>
      <w:bookmarkStart w:id="38" w:name="_Toc299133050"/>
      <w:bookmarkStart w:id="39" w:name="_Toc321341559"/>
      <w:r w:rsidRPr="004F2025">
        <w:rPr>
          <w:rFonts w:eastAsia="Calibri" w:cstheme="minorHAnsi"/>
          <w:sz w:val="20"/>
          <w:szCs w:val="20"/>
        </w:rPr>
        <w:t xml:space="preserve">One independent consultant will conduct the TE. The consultant cannot have participated in either of the projects’ preparation, formulation, and/or implementation (including the writing of the Project Document) and should not have a conflict of interest with projects’ related activities.  </w:t>
      </w:r>
    </w:p>
    <w:p w14:paraId="3BF90DAF" w14:textId="77777777" w:rsidR="004F2025" w:rsidRPr="004F2025" w:rsidRDefault="004F2025" w:rsidP="004F2025">
      <w:pPr>
        <w:jc w:val="both"/>
        <w:rPr>
          <w:rFonts w:eastAsia="Calibri" w:cstheme="minorHAnsi"/>
          <w:sz w:val="20"/>
          <w:szCs w:val="20"/>
        </w:rPr>
      </w:pPr>
      <w:r w:rsidRPr="004F2025">
        <w:rPr>
          <w:rFonts w:eastAsia="Calibri" w:cstheme="minorHAnsi"/>
          <w:sz w:val="20"/>
          <w:szCs w:val="20"/>
        </w:rPr>
        <w:t xml:space="preserve">The selection of consultant will be aimed at maximizing the overall qualities in the following areas: </w:t>
      </w:r>
    </w:p>
    <w:tbl>
      <w:tblPr>
        <w:tblStyle w:val="TableGrid2"/>
        <w:tblW w:w="0" w:type="auto"/>
        <w:tblInd w:w="360" w:type="dxa"/>
        <w:tblLook w:val="04A0" w:firstRow="1" w:lastRow="0" w:firstColumn="1" w:lastColumn="0" w:noHBand="0" w:noVBand="1"/>
      </w:tblPr>
      <w:tblGrid>
        <w:gridCol w:w="486"/>
        <w:gridCol w:w="6379"/>
        <w:gridCol w:w="1765"/>
      </w:tblGrid>
      <w:tr w:rsidR="004F2025" w:rsidRPr="00B7019E" w14:paraId="0A246EB9" w14:textId="77777777" w:rsidTr="00146F51">
        <w:tc>
          <w:tcPr>
            <w:tcW w:w="8630" w:type="dxa"/>
            <w:gridSpan w:val="3"/>
          </w:tcPr>
          <w:p w14:paraId="5C8EC106" w14:textId="77777777" w:rsidR="004F2025" w:rsidRPr="00B7019E" w:rsidRDefault="004F2025" w:rsidP="00146F51">
            <w:pPr>
              <w:autoSpaceDE w:val="0"/>
              <w:autoSpaceDN w:val="0"/>
              <w:adjustRightInd w:val="0"/>
              <w:jc w:val="center"/>
              <w:rPr>
                <w:rFonts w:eastAsia="Calibri" w:cstheme="minorHAnsi"/>
                <w:b/>
                <w:bCs/>
                <w:color w:val="000000"/>
                <w:lang w:val="fr-FR"/>
              </w:rPr>
            </w:pPr>
            <w:r w:rsidRPr="00B7019E">
              <w:rPr>
                <w:rFonts w:eastAsia="Calibri" w:cstheme="minorHAnsi"/>
                <w:b/>
                <w:bCs/>
                <w:color w:val="000000"/>
                <w:lang w:val="fr-FR"/>
              </w:rPr>
              <w:t>Consultant’s experiences/qualification related to the services</w:t>
            </w:r>
          </w:p>
          <w:p w14:paraId="6B8FE3D6" w14:textId="77777777" w:rsidR="004F2025" w:rsidRPr="00B7019E" w:rsidRDefault="004F2025" w:rsidP="00146F51">
            <w:pPr>
              <w:autoSpaceDE w:val="0"/>
              <w:autoSpaceDN w:val="0"/>
              <w:adjustRightInd w:val="0"/>
              <w:jc w:val="center"/>
              <w:rPr>
                <w:rFonts w:eastAsia="Calibri" w:cstheme="minorHAnsi"/>
                <w:color w:val="000000"/>
                <w:lang w:val="fr-FR"/>
              </w:rPr>
            </w:pPr>
          </w:p>
        </w:tc>
      </w:tr>
      <w:tr w:rsidR="004F2025" w:rsidRPr="00B7019E" w14:paraId="3747BB40" w14:textId="77777777" w:rsidTr="00146F51">
        <w:tc>
          <w:tcPr>
            <w:tcW w:w="6865" w:type="dxa"/>
            <w:gridSpan w:val="2"/>
          </w:tcPr>
          <w:p w14:paraId="32B86AED" w14:textId="77777777" w:rsidR="004F2025" w:rsidRPr="00B7019E" w:rsidRDefault="004F2025" w:rsidP="00146F51">
            <w:pPr>
              <w:jc w:val="center"/>
              <w:rPr>
                <w:rFonts w:eastAsia="Calibri" w:cstheme="minorHAnsi"/>
              </w:rPr>
            </w:pPr>
            <w:r w:rsidRPr="00B7019E">
              <w:rPr>
                <w:rFonts w:eastAsia="Calibri" w:cstheme="minorHAnsi"/>
              </w:rPr>
              <w:t>Criteria</w:t>
            </w:r>
          </w:p>
        </w:tc>
        <w:tc>
          <w:tcPr>
            <w:tcW w:w="1765" w:type="dxa"/>
          </w:tcPr>
          <w:p w14:paraId="67EAD705" w14:textId="77777777" w:rsidR="004F2025" w:rsidRPr="00B7019E" w:rsidRDefault="004F2025" w:rsidP="00146F51">
            <w:pPr>
              <w:jc w:val="center"/>
              <w:rPr>
                <w:rFonts w:eastAsia="Calibri" w:cstheme="minorHAnsi"/>
              </w:rPr>
            </w:pPr>
            <w:r w:rsidRPr="00B7019E">
              <w:rPr>
                <w:rFonts w:eastAsia="Calibri" w:cstheme="minorHAnsi"/>
              </w:rPr>
              <w:t>Maximum Points</w:t>
            </w:r>
          </w:p>
        </w:tc>
      </w:tr>
      <w:tr w:rsidR="004F2025" w:rsidRPr="00B7019E" w14:paraId="0BD86C54" w14:textId="77777777" w:rsidTr="00146F51">
        <w:tc>
          <w:tcPr>
            <w:tcW w:w="486" w:type="dxa"/>
          </w:tcPr>
          <w:p w14:paraId="55E75752" w14:textId="77777777" w:rsidR="004F2025" w:rsidRPr="00B7019E" w:rsidRDefault="004F2025" w:rsidP="004F2025">
            <w:pPr>
              <w:numPr>
                <w:ilvl w:val="0"/>
                <w:numId w:val="37"/>
              </w:numPr>
              <w:jc w:val="both"/>
              <w:rPr>
                <w:rFonts w:eastAsia="Times New Roman" w:cstheme="minorHAnsi"/>
              </w:rPr>
            </w:pPr>
          </w:p>
        </w:tc>
        <w:tc>
          <w:tcPr>
            <w:tcW w:w="6379" w:type="dxa"/>
          </w:tcPr>
          <w:p w14:paraId="270DD329" w14:textId="77777777" w:rsidR="004F2025" w:rsidRPr="00B7019E" w:rsidRDefault="004F2025" w:rsidP="00146F51">
            <w:pPr>
              <w:rPr>
                <w:rFonts w:eastAsia="Calibri" w:cstheme="minorHAnsi"/>
              </w:rPr>
            </w:pPr>
            <w:r w:rsidRPr="00B7019E">
              <w:rPr>
                <w:rFonts w:eastAsia="Calibri" w:cstheme="minorHAnsi"/>
              </w:rPr>
              <w:t xml:space="preserve">Recent experience with result-based management evaluation methodologies </w:t>
            </w:r>
          </w:p>
        </w:tc>
        <w:tc>
          <w:tcPr>
            <w:tcW w:w="1765" w:type="dxa"/>
          </w:tcPr>
          <w:p w14:paraId="586A94B9" w14:textId="77777777" w:rsidR="004F2025" w:rsidRPr="00B7019E" w:rsidRDefault="004F2025" w:rsidP="00146F51">
            <w:pPr>
              <w:jc w:val="center"/>
              <w:rPr>
                <w:rFonts w:eastAsia="Calibri" w:cstheme="minorHAnsi"/>
              </w:rPr>
            </w:pPr>
            <w:r w:rsidRPr="00B7019E">
              <w:rPr>
                <w:rFonts w:eastAsia="Calibri" w:cstheme="minorHAnsi"/>
              </w:rPr>
              <w:t>20</w:t>
            </w:r>
          </w:p>
        </w:tc>
      </w:tr>
      <w:tr w:rsidR="004F2025" w:rsidRPr="00B7019E" w14:paraId="38E8204A" w14:textId="77777777" w:rsidTr="00146F51">
        <w:tc>
          <w:tcPr>
            <w:tcW w:w="486" w:type="dxa"/>
          </w:tcPr>
          <w:p w14:paraId="08C0944E" w14:textId="77777777" w:rsidR="004F2025" w:rsidRPr="00B7019E" w:rsidRDefault="004F2025" w:rsidP="004F2025">
            <w:pPr>
              <w:numPr>
                <w:ilvl w:val="0"/>
                <w:numId w:val="37"/>
              </w:numPr>
              <w:jc w:val="both"/>
              <w:rPr>
                <w:rFonts w:eastAsia="Times New Roman" w:cstheme="minorHAnsi"/>
              </w:rPr>
            </w:pPr>
          </w:p>
        </w:tc>
        <w:tc>
          <w:tcPr>
            <w:tcW w:w="6379" w:type="dxa"/>
          </w:tcPr>
          <w:p w14:paraId="5F063A3E" w14:textId="77777777" w:rsidR="004F2025" w:rsidRPr="00B7019E" w:rsidRDefault="004F2025" w:rsidP="00146F51">
            <w:pPr>
              <w:rPr>
                <w:rFonts w:eastAsia="Calibri" w:cstheme="minorHAnsi"/>
              </w:rPr>
            </w:pPr>
            <w:r w:rsidRPr="00B7019E">
              <w:rPr>
                <w:rFonts w:eastAsia="Calibri" w:cstheme="minorHAnsi"/>
              </w:rPr>
              <w:t xml:space="preserve">Experience applying SMART indicators and reconstructing or </w:t>
            </w:r>
            <w:r w:rsidRPr="00B7019E">
              <w:rPr>
                <w:rFonts w:eastAsia="Calibri" w:cstheme="minorHAnsi"/>
              </w:rPr>
              <w:lastRenderedPageBreak/>
              <w:t>validating baseline scenarios</w:t>
            </w:r>
          </w:p>
        </w:tc>
        <w:tc>
          <w:tcPr>
            <w:tcW w:w="1765" w:type="dxa"/>
          </w:tcPr>
          <w:p w14:paraId="0CF5486C" w14:textId="77777777" w:rsidR="004F2025" w:rsidRPr="00B7019E" w:rsidRDefault="004F2025" w:rsidP="00146F51">
            <w:pPr>
              <w:jc w:val="center"/>
              <w:rPr>
                <w:rFonts w:eastAsia="Calibri" w:cstheme="minorHAnsi"/>
              </w:rPr>
            </w:pPr>
            <w:r w:rsidRPr="00B7019E">
              <w:rPr>
                <w:rFonts w:eastAsia="Calibri" w:cstheme="minorHAnsi"/>
              </w:rPr>
              <w:lastRenderedPageBreak/>
              <w:t>10</w:t>
            </w:r>
          </w:p>
        </w:tc>
      </w:tr>
      <w:tr w:rsidR="004F2025" w:rsidRPr="00B7019E" w14:paraId="28C6918E" w14:textId="77777777" w:rsidTr="00146F51">
        <w:tc>
          <w:tcPr>
            <w:tcW w:w="486" w:type="dxa"/>
          </w:tcPr>
          <w:p w14:paraId="3C2B948B" w14:textId="77777777" w:rsidR="004F2025" w:rsidRPr="00B7019E" w:rsidRDefault="004F2025" w:rsidP="004F2025">
            <w:pPr>
              <w:numPr>
                <w:ilvl w:val="0"/>
                <w:numId w:val="37"/>
              </w:numPr>
              <w:jc w:val="both"/>
              <w:rPr>
                <w:rFonts w:eastAsia="Times New Roman" w:cstheme="minorHAnsi"/>
              </w:rPr>
            </w:pPr>
          </w:p>
        </w:tc>
        <w:tc>
          <w:tcPr>
            <w:tcW w:w="6379" w:type="dxa"/>
          </w:tcPr>
          <w:p w14:paraId="6EEE7448" w14:textId="77777777" w:rsidR="004F2025" w:rsidRPr="00B7019E" w:rsidRDefault="004F2025" w:rsidP="00146F51">
            <w:pPr>
              <w:rPr>
                <w:rFonts w:eastAsia="Calibri" w:cstheme="minorHAnsi"/>
              </w:rPr>
            </w:pPr>
            <w:r w:rsidRPr="00B7019E">
              <w:rPr>
                <w:rFonts w:eastAsia="Calibri" w:cstheme="minorHAnsi"/>
              </w:rPr>
              <w:t>Competence in adaptive management, as applied to GEF International Waters Focal Area</w:t>
            </w:r>
          </w:p>
        </w:tc>
        <w:tc>
          <w:tcPr>
            <w:tcW w:w="1765" w:type="dxa"/>
          </w:tcPr>
          <w:p w14:paraId="4CEFDB8D" w14:textId="77777777" w:rsidR="004F2025" w:rsidRPr="00B7019E" w:rsidRDefault="004F2025" w:rsidP="00146F51">
            <w:pPr>
              <w:jc w:val="center"/>
              <w:rPr>
                <w:rFonts w:eastAsia="Calibri" w:cstheme="minorHAnsi"/>
              </w:rPr>
            </w:pPr>
            <w:r w:rsidRPr="00B7019E">
              <w:rPr>
                <w:rFonts w:eastAsia="Calibri" w:cstheme="minorHAnsi"/>
              </w:rPr>
              <w:t>10</w:t>
            </w:r>
          </w:p>
        </w:tc>
      </w:tr>
      <w:tr w:rsidR="004F2025" w:rsidRPr="00B7019E" w14:paraId="2CCB96A9" w14:textId="77777777" w:rsidTr="00146F51">
        <w:tc>
          <w:tcPr>
            <w:tcW w:w="486" w:type="dxa"/>
          </w:tcPr>
          <w:p w14:paraId="64CACC8D" w14:textId="77777777" w:rsidR="004F2025" w:rsidRPr="00B7019E" w:rsidRDefault="004F2025" w:rsidP="004F2025">
            <w:pPr>
              <w:numPr>
                <w:ilvl w:val="0"/>
                <w:numId w:val="37"/>
              </w:numPr>
              <w:jc w:val="both"/>
              <w:rPr>
                <w:rFonts w:eastAsia="Calibri" w:cstheme="minorHAnsi"/>
              </w:rPr>
            </w:pPr>
          </w:p>
        </w:tc>
        <w:tc>
          <w:tcPr>
            <w:tcW w:w="6379" w:type="dxa"/>
          </w:tcPr>
          <w:p w14:paraId="53162080" w14:textId="77777777" w:rsidR="004F2025" w:rsidRPr="00B7019E" w:rsidRDefault="004F2025" w:rsidP="00146F51">
            <w:pPr>
              <w:jc w:val="both"/>
              <w:rPr>
                <w:rFonts w:eastAsia="Calibri" w:cstheme="minorHAnsi"/>
              </w:rPr>
            </w:pPr>
            <w:r w:rsidRPr="00B7019E">
              <w:rPr>
                <w:rFonts w:eastAsia="Calibri" w:cstheme="minorHAnsi"/>
              </w:rPr>
              <w:t>Experience working with the GEF or GEF</w:t>
            </w:r>
            <w:r>
              <w:rPr>
                <w:rFonts w:eastAsia="Calibri" w:cstheme="minorHAnsi"/>
              </w:rPr>
              <w:t xml:space="preserve"> </w:t>
            </w:r>
            <w:r w:rsidRPr="00B7019E">
              <w:rPr>
                <w:rFonts w:eastAsia="Calibri" w:cstheme="minorHAnsi"/>
              </w:rPr>
              <w:t>evaluations</w:t>
            </w:r>
          </w:p>
        </w:tc>
        <w:tc>
          <w:tcPr>
            <w:tcW w:w="1765" w:type="dxa"/>
          </w:tcPr>
          <w:p w14:paraId="12E9C231" w14:textId="77777777" w:rsidR="004F2025" w:rsidRPr="00B7019E" w:rsidRDefault="004F2025" w:rsidP="00146F51">
            <w:pPr>
              <w:jc w:val="center"/>
              <w:rPr>
                <w:rFonts w:eastAsia="Calibri" w:cstheme="minorHAnsi"/>
              </w:rPr>
            </w:pPr>
            <w:r w:rsidRPr="00B7019E">
              <w:rPr>
                <w:rFonts w:eastAsia="Calibri" w:cstheme="minorHAnsi"/>
              </w:rPr>
              <w:t>10</w:t>
            </w:r>
          </w:p>
        </w:tc>
      </w:tr>
      <w:tr w:rsidR="004F2025" w:rsidRPr="00B7019E" w14:paraId="0B3EDC46" w14:textId="77777777" w:rsidTr="00146F51">
        <w:tc>
          <w:tcPr>
            <w:tcW w:w="486" w:type="dxa"/>
          </w:tcPr>
          <w:p w14:paraId="195FA877" w14:textId="77777777" w:rsidR="004F2025" w:rsidRPr="00B7019E" w:rsidRDefault="004F2025" w:rsidP="004F2025">
            <w:pPr>
              <w:numPr>
                <w:ilvl w:val="0"/>
                <w:numId w:val="37"/>
              </w:numPr>
              <w:jc w:val="both"/>
              <w:rPr>
                <w:rFonts w:eastAsia="Times New Roman" w:cstheme="minorHAnsi"/>
              </w:rPr>
            </w:pPr>
          </w:p>
        </w:tc>
        <w:tc>
          <w:tcPr>
            <w:tcW w:w="6379" w:type="dxa"/>
          </w:tcPr>
          <w:p w14:paraId="05CE9342" w14:textId="77777777" w:rsidR="004F2025" w:rsidRPr="00B7019E" w:rsidRDefault="004F2025" w:rsidP="00146F51">
            <w:pPr>
              <w:rPr>
                <w:rFonts w:eastAsia="Calibri" w:cstheme="minorHAnsi"/>
              </w:rPr>
            </w:pPr>
            <w:r w:rsidRPr="00B7019E">
              <w:rPr>
                <w:rFonts w:eastAsia="Calibri" w:cstheme="minorHAnsi"/>
              </w:rPr>
              <w:t>Work experience in relevant technical areas for at least 10 years</w:t>
            </w:r>
          </w:p>
        </w:tc>
        <w:tc>
          <w:tcPr>
            <w:tcW w:w="1765" w:type="dxa"/>
          </w:tcPr>
          <w:p w14:paraId="60F3FD07" w14:textId="77777777" w:rsidR="004F2025" w:rsidRPr="00B7019E" w:rsidRDefault="004F2025" w:rsidP="00146F51">
            <w:pPr>
              <w:jc w:val="center"/>
              <w:rPr>
                <w:rFonts w:eastAsia="Calibri" w:cstheme="minorHAnsi"/>
              </w:rPr>
            </w:pPr>
            <w:r w:rsidRPr="00B7019E">
              <w:rPr>
                <w:rFonts w:eastAsia="Calibri" w:cstheme="minorHAnsi"/>
              </w:rPr>
              <w:t>10</w:t>
            </w:r>
          </w:p>
        </w:tc>
      </w:tr>
      <w:tr w:rsidR="004F2025" w:rsidRPr="00B7019E" w14:paraId="555CBF2C" w14:textId="77777777" w:rsidTr="00146F51">
        <w:tc>
          <w:tcPr>
            <w:tcW w:w="486" w:type="dxa"/>
          </w:tcPr>
          <w:p w14:paraId="05951E09" w14:textId="77777777" w:rsidR="004F2025" w:rsidRPr="00B7019E" w:rsidRDefault="004F2025" w:rsidP="004F2025">
            <w:pPr>
              <w:numPr>
                <w:ilvl w:val="0"/>
                <w:numId w:val="37"/>
              </w:numPr>
              <w:jc w:val="both"/>
              <w:rPr>
                <w:rFonts w:eastAsia="Times New Roman" w:cstheme="minorHAnsi"/>
              </w:rPr>
            </w:pPr>
          </w:p>
        </w:tc>
        <w:tc>
          <w:tcPr>
            <w:tcW w:w="6379" w:type="dxa"/>
          </w:tcPr>
          <w:p w14:paraId="44ADE003" w14:textId="77777777" w:rsidR="004F2025" w:rsidRPr="00B7019E" w:rsidRDefault="004F2025" w:rsidP="00146F51">
            <w:pPr>
              <w:rPr>
                <w:rFonts w:eastAsia="Calibri" w:cstheme="minorHAnsi"/>
              </w:rPr>
            </w:pPr>
            <w:r w:rsidRPr="00B7019E">
              <w:rPr>
                <w:rFonts w:eastAsia="Calibri" w:cstheme="minorHAnsi"/>
              </w:rPr>
              <w:t>Demonstrated understanding of issues related to gender and GEF International Waters Focal Area; experience in gender sensitive evaluation and analysis</w:t>
            </w:r>
          </w:p>
        </w:tc>
        <w:tc>
          <w:tcPr>
            <w:tcW w:w="1765" w:type="dxa"/>
          </w:tcPr>
          <w:p w14:paraId="5D77BB63" w14:textId="77777777" w:rsidR="004F2025" w:rsidRPr="00B7019E" w:rsidRDefault="004F2025" w:rsidP="00146F51">
            <w:pPr>
              <w:jc w:val="center"/>
              <w:rPr>
                <w:rFonts w:eastAsia="Calibri" w:cstheme="minorHAnsi"/>
              </w:rPr>
            </w:pPr>
            <w:r w:rsidRPr="00B7019E">
              <w:rPr>
                <w:rFonts w:eastAsia="Calibri" w:cstheme="minorHAnsi"/>
              </w:rPr>
              <w:t>5</w:t>
            </w:r>
          </w:p>
        </w:tc>
      </w:tr>
      <w:tr w:rsidR="004F2025" w:rsidRPr="00B7019E" w14:paraId="55024648" w14:textId="77777777" w:rsidTr="00146F51">
        <w:tc>
          <w:tcPr>
            <w:tcW w:w="486" w:type="dxa"/>
          </w:tcPr>
          <w:p w14:paraId="621EDEA3" w14:textId="77777777" w:rsidR="004F2025" w:rsidRPr="00B7019E" w:rsidRDefault="004F2025" w:rsidP="004F2025">
            <w:pPr>
              <w:numPr>
                <w:ilvl w:val="0"/>
                <w:numId w:val="37"/>
              </w:numPr>
              <w:jc w:val="both"/>
              <w:rPr>
                <w:rFonts w:eastAsia="Times New Roman" w:cstheme="minorHAnsi"/>
              </w:rPr>
            </w:pPr>
          </w:p>
        </w:tc>
        <w:tc>
          <w:tcPr>
            <w:tcW w:w="6379" w:type="dxa"/>
          </w:tcPr>
          <w:p w14:paraId="55500362" w14:textId="77777777" w:rsidR="004F2025" w:rsidRPr="00B7019E" w:rsidRDefault="004F2025" w:rsidP="00146F51">
            <w:pPr>
              <w:rPr>
                <w:rFonts w:eastAsia="Calibri" w:cstheme="minorHAnsi"/>
              </w:rPr>
            </w:pPr>
            <w:r w:rsidRPr="00B7019E">
              <w:rPr>
                <w:rFonts w:eastAsia="Calibri" w:cstheme="minorHAnsi"/>
              </w:rPr>
              <w:t>Excellent communication skills</w:t>
            </w:r>
          </w:p>
        </w:tc>
        <w:tc>
          <w:tcPr>
            <w:tcW w:w="1765" w:type="dxa"/>
          </w:tcPr>
          <w:p w14:paraId="799E9D37" w14:textId="77777777" w:rsidR="004F2025" w:rsidRPr="00B7019E" w:rsidRDefault="004F2025" w:rsidP="00146F51">
            <w:pPr>
              <w:jc w:val="center"/>
              <w:rPr>
                <w:rFonts w:eastAsia="Calibri" w:cstheme="minorHAnsi"/>
              </w:rPr>
            </w:pPr>
            <w:r w:rsidRPr="00B7019E">
              <w:rPr>
                <w:rFonts w:eastAsia="Calibri" w:cstheme="minorHAnsi"/>
              </w:rPr>
              <w:t>5</w:t>
            </w:r>
          </w:p>
        </w:tc>
      </w:tr>
      <w:tr w:rsidR="004F2025" w:rsidRPr="00B7019E" w14:paraId="0AF68CD9" w14:textId="77777777" w:rsidTr="00146F51">
        <w:tc>
          <w:tcPr>
            <w:tcW w:w="486" w:type="dxa"/>
          </w:tcPr>
          <w:p w14:paraId="534F295F" w14:textId="77777777" w:rsidR="004F2025" w:rsidRPr="00B7019E" w:rsidRDefault="004F2025" w:rsidP="004F2025">
            <w:pPr>
              <w:numPr>
                <w:ilvl w:val="0"/>
                <w:numId w:val="37"/>
              </w:numPr>
              <w:jc w:val="both"/>
              <w:rPr>
                <w:rFonts w:eastAsia="Times New Roman" w:cstheme="minorHAnsi"/>
              </w:rPr>
            </w:pPr>
          </w:p>
        </w:tc>
        <w:tc>
          <w:tcPr>
            <w:tcW w:w="6379" w:type="dxa"/>
          </w:tcPr>
          <w:p w14:paraId="1EF30CF6" w14:textId="77777777" w:rsidR="004F2025" w:rsidRPr="00B7019E" w:rsidRDefault="004F2025" w:rsidP="00146F51">
            <w:pPr>
              <w:rPr>
                <w:rFonts w:eastAsia="Calibri" w:cstheme="minorHAnsi"/>
              </w:rPr>
            </w:pPr>
            <w:r w:rsidRPr="00B7019E">
              <w:rPr>
                <w:rFonts w:eastAsia="Calibri" w:cstheme="minorHAnsi"/>
              </w:rPr>
              <w:t>Demonstrable analytical skills</w:t>
            </w:r>
          </w:p>
        </w:tc>
        <w:tc>
          <w:tcPr>
            <w:tcW w:w="1765" w:type="dxa"/>
          </w:tcPr>
          <w:p w14:paraId="6D44FEF9" w14:textId="77777777" w:rsidR="004F2025" w:rsidRPr="00B7019E" w:rsidRDefault="004F2025" w:rsidP="00146F51">
            <w:pPr>
              <w:jc w:val="center"/>
              <w:rPr>
                <w:rFonts w:eastAsia="Calibri" w:cstheme="minorHAnsi"/>
              </w:rPr>
            </w:pPr>
            <w:r w:rsidRPr="00B7019E">
              <w:rPr>
                <w:rFonts w:eastAsia="Calibri" w:cstheme="minorHAnsi"/>
              </w:rPr>
              <w:t>5</w:t>
            </w:r>
          </w:p>
        </w:tc>
      </w:tr>
      <w:tr w:rsidR="004F2025" w:rsidRPr="00B7019E" w14:paraId="67951854" w14:textId="77777777" w:rsidTr="00146F51">
        <w:tc>
          <w:tcPr>
            <w:tcW w:w="486" w:type="dxa"/>
          </w:tcPr>
          <w:p w14:paraId="2F861402" w14:textId="77777777" w:rsidR="004F2025" w:rsidRPr="00B7019E" w:rsidRDefault="004F2025" w:rsidP="004F2025">
            <w:pPr>
              <w:numPr>
                <w:ilvl w:val="0"/>
                <w:numId w:val="37"/>
              </w:numPr>
              <w:jc w:val="both"/>
              <w:rPr>
                <w:rFonts w:eastAsia="Times New Roman" w:cstheme="minorHAnsi"/>
              </w:rPr>
            </w:pPr>
          </w:p>
        </w:tc>
        <w:tc>
          <w:tcPr>
            <w:tcW w:w="6379" w:type="dxa"/>
          </w:tcPr>
          <w:p w14:paraId="45BA6CE3" w14:textId="77777777" w:rsidR="004F2025" w:rsidRPr="00B7019E" w:rsidRDefault="004F2025" w:rsidP="00146F51">
            <w:pPr>
              <w:rPr>
                <w:rFonts w:eastAsia="Calibri" w:cstheme="minorHAnsi"/>
              </w:rPr>
            </w:pPr>
            <w:r w:rsidRPr="00B7019E">
              <w:rPr>
                <w:rFonts w:eastAsia="Calibri" w:cstheme="minorHAnsi"/>
              </w:rPr>
              <w:t>Project evaluation/review experiences within United Nations system will be considered an asset</w:t>
            </w:r>
          </w:p>
        </w:tc>
        <w:tc>
          <w:tcPr>
            <w:tcW w:w="1765" w:type="dxa"/>
          </w:tcPr>
          <w:p w14:paraId="1BF02A57" w14:textId="77777777" w:rsidR="004F2025" w:rsidRPr="00B7019E" w:rsidRDefault="004F2025" w:rsidP="00146F51">
            <w:pPr>
              <w:jc w:val="center"/>
              <w:rPr>
                <w:rFonts w:eastAsia="Calibri" w:cstheme="minorHAnsi"/>
              </w:rPr>
            </w:pPr>
            <w:r w:rsidRPr="00B7019E">
              <w:rPr>
                <w:rFonts w:eastAsia="Calibri" w:cstheme="minorHAnsi"/>
              </w:rPr>
              <w:t>5</w:t>
            </w:r>
          </w:p>
        </w:tc>
      </w:tr>
      <w:tr w:rsidR="004F2025" w:rsidRPr="00B7019E" w14:paraId="42758532" w14:textId="77777777" w:rsidTr="00146F51">
        <w:tc>
          <w:tcPr>
            <w:tcW w:w="486" w:type="dxa"/>
          </w:tcPr>
          <w:p w14:paraId="5DD34EB7" w14:textId="77777777" w:rsidR="004F2025" w:rsidRPr="00B7019E" w:rsidRDefault="004F2025" w:rsidP="004F2025">
            <w:pPr>
              <w:numPr>
                <w:ilvl w:val="0"/>
                <w:numId w:val="37"/>
              </w:numPr>
              <w:jc w:val="both"/>
              <w:rPr>
                <w:rFonts w:eastAsia="Times New Roman" w:cstheme="minorHAnsi"/>
              </w:rPr>
            </w:pPr>
          </w:p>
        </w:tc>
        <w:tc>
          <w:tcPr>
            <w:tcW w:w="6379" w:type="dxa"/>
          </w:tcPr>
          <w:p w14:paraId="0E7FBA85" w14:textId="77777777" w:rsidR="004F2025" w:rsidRPr="00B7019E" w:rsidRDefault="004F2025" w:rsidP="00146F51">
            <w:pPr>
              <w:rPr>
                <w:rFonts w:eastAsia="Calibri" w:cstheme="minorHAnsi"/>
              </w:rPr>
            </w:pPr>
            <w:r w:rsidRPr="00B7019E">
              <w:rPr>
                <w:rFonts w:eastAsia="Calibri" w:cstheme="minorHAnsi"/>
              </w:rPr>
              <w:t>A Master’s degree in water resource management, environmental management, international waters, climate change, transboundary monitoring, and other environmental issues, marine spatial planning, integrated coastal zone management or other closely related field</w:t>
            </w:r>
          </w:p>
        </w:tc>
        <w:tc>
          <w:tcPr>
            <w:tcW w:w="1765" w:type="dxa"/>
          </w:tcPr>
          <w:p w14:paraId="55233357" w14:textId="77777777" w:rsidR="004F2025" w:rsidRPr="00B7019E" w:rsidRDefault="004F2025" w:rsidP="00146F51">
            <w:pPr>
              <w:jc w:val="center"/>
              <w:rPr>
                <w:rFonts w:eastAsia="Calibri" w:cstheme="minorHAnsi"/>
              </w:rPr>
            </w:pPr>
            <w:r w:rsidRPr="00B7019E">
              <w:rPr>
                <w:rFonts w:eastAsia="Calibri" w:cstheme="minorHAnsi"/>
              </w:rPr>
              <w:t>20</w:t>
            </w:r>
          </w:p>
        </w:tc>
      </w:tr>
      <w:tr w:rsidR="004F2025" w:rsidRPr="00B7019E" w14:paraId="0B033838" w14:textId="77777777" w:rsidTr="00146F51">
        <w:tc>
          <w:tcPr>
            <w:tcW w:w="6865" w:type="dxa"/>
            <w:gridSpan w:val="2"/>
          </w:tcPr>
          <w:p w14:paraId="31839AEB" w14:textId="77777777" w:rsidR="004F2025" w:rsidRPr="00B7019E" w:rsidRDefault="004F2025" w:rsidP="00146F51">
            <w:pPr>
              <w:jc w:val="right"/>
              <w:rPr>
                <w:rFonts w:eastAsia="Calibri" w:cstheme="minorHAnsi"/>
                <w:b/>
              </w:rPr>
            </w:pPr>
            <w:r w:rsidRPr="00B7019E">
              <w:rPr>
                <w:rFonts w:eastAsia="Calibri" w:cstheme="minorHAnsi"/>
                <w:b/>
              </w:rPr>
              <w:t>TOTAL</w:t>
            </w:r>
          </w:p>
        </w:tc>
        <w:tc>
          <w:tcPr>
            <w:tcW w:w="1765" w:type="dxa"/>
          </w:tcPr>
          <w:p w14:paraId="20DAF55A" w14:textId="77777777" w:rsidR="004F2025" w:rsidRPr="00B7019E" w:rsidRDefault="004F2025" w:rsidP="00146F51">
            <w:pPr>
              <w:jc w:val="center"/>
              <w:rPr>
                <w:rFonts w:eastAsia="Calibri" w:cstheme="minorHAnsi"/>
              </w:rPr>
            </w:pPr>
            <w:r w:rsidRPr="00B7019E">
              <w:rPr>
                <w:rFonts w:eastAsia="Calibri" w:cstheme="minorHAnsi"/>
              </w:rPr>
              <w:t>100</w:t>
            </w:r>
          </w:p>
        </w:tc>
      </w:tr>
    </w:tbl>
    <w:p w14:paraId="15906A81" w14:textId="77777777" w:rsidR="00D6638C" w:rsidRDefault="00D6638C" w:rsidP="00F05366">
      <w:pPr>
        <w:pStyle w:val="Heading51"/>
      </w:pPr>
      <w:r w:rsidRPr="00D6638C">
        <w:t>Evaluator Ethics</w:t>
      </w:r>
      <w:bookmarkEnd w:id="34"/>
      <w:bookmarkEnd w:id="35"/>
      <w:bookmarkEnd w:id="36"/>
      <w:bookmarkEnd w:id="37"/>
      <w:bookmarkEnd w:id="38"/>
      <w:bookmarkEnd w:id="39"/>
    </w:p>
    <w:p w14:paraId="60528624" w14:textId="77777777" w:rsidR="00022F8E" w:rsidRPr="00022F8E" w:rsidRDefault="00022F8E" w:rsidP="00022F8E"/>
    <w:p w14:paraId="58F10485" w14:textId="77777777" w:rsidR="00D6638C" w:rsidRDefault="00D6638C" w:rsidP="00022F8E">
      <w:r w:rsidRPr="00D6638C">
        <w:t xml:space="preserve">Evaluation consultants will be held to the highest ethical standards and are required to sign a Code of Conduct </w:t>
      </w:r>
      <w:r w:rsidR="00F05366">
        <w:t>(Annex E) u</w:t>
      </w:r>
      <w:r w:rsidRPr="00D6638C">
        <w:t xml:space="preserve">pon acceptance of the assignment. UNDP evaluations are conducted in accordance with the principles outlined in the </w:t>
      </w:r>
      <w:hyperlink r:id="rId10" w:history="1">
        <w:r w:rsidRPr="006C1964">
          <w:rPr>
            <w:rStyle w:val="Hyperlink"/>
            <w:rFonts w:ascii="Calibri" w:eastAsia="Times New Roman" w:hAnsi="Calibri" w:cs="Times New Roman"/>
            <w:sz w:val="20"/>
            <w:szCs w:val="20"/>
          </w:rPr>
          <w:t>UNEG 'Ethical Guidelines for Evaluations'</w:t>
        </w:r>
      </w:hyperlink>
    </w:p>
    <w:p w14:paraId="31473C4E" w14:textId="77777777" w:rsidR="00D6638C" w:rsidRDefault="00D6638C" w:rsidP="00F05366">
      <w:pPr>
        <w:pStyle w:val="Heading51"/>
      </w:pPr>
      <w:bookmarkStart w:id="40" w:name="_Toc299126626"/>
      <w:bookmarkStart w:id="41" w:name="_Toc299133051"/>
      <w:bookmarkStart w:id="42" w:name="_Toc321341560"/>
      <w:bookmarkStart w:id="43" w:name="_Toc299122837"/>
      <w:bookmarkStart w:id="44" w:name="_Toc299122859"/>
      <w:bookmarkStart w:id="45" w:name="_Toc299126627"/>
      <w:r w:rsidRPr="00D6638C">
        <w:t>Payment modalities and specifications</w:t>
      </w:r>
      <w:bookmarkEnd w:id="40"/>
      <w:bookmarkEnd w:id="41"/>
      <w:bookmarkEnd w:id="42"/>
      <w:r w:rsidR="00E23201">
        <w:t xml:space="preserve"> </w:t>
      </w:r>
    </w:p>
    <w:p w14:paraId="14E15BF3" w14:textId="77777777" w:rsidR="00E23201" w:rsidRPr="00E23201" w:rsidRDefault="00E23201" w:rsidP="00E232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8427"/>
      </w:tblGrid>
      <w:tr w:rsidR="00D6638C" w:rsidRPr="00D6638C" w14:paraId="6AF23217" w14:textId="77777777" w:rsidTr="006C1964">
        <w:tc>
          <w:tcPr>
            <w:tcW w:w="1278" w:type="dxa"/>
            <w:shd w:val="clear" w:color="auto" w:fill="7F7F7F"/>
          </w:tcPr>
          <w:p w14:paraId="24912410"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576" w:type="dxa"/>
            <w:shd w:val="clear" w:color="auto" w:fill="7F7F7F"/>
          </w:tcPr>
          <w:p w14:paraId="6F2148C9"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14:paraId="60C1184B" w14:textId="77777777" w:rsidTr="006C1964">
        <w:tc>
          <w:tcPr>
            <w:tcW w:w="1278" w:type="dxa"/>
          </w:tcPr>
          <w:p w14:paraId="68788BEC"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10%</w:t>
            </w:r>
          </w:p>
        </w:tc>
        <w:tc>
          <w:tcPr>
            <w:tcW w:w="8576" w:type="dxa"/>
          </w:tcPr>
          <w:p w14:paraId="739CC86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At contract signing</w:t>
            </w:r>
          </w:p>
        </w:tc>
      </w:tr>
      <w:tr w:rsidR="00D6638C" w:rsidRPr="00D6638C" w14:paraId="1E22BBAF" w14:textId="77777777" w:rsidTr="006C1964">
        <w:tc>
          <w:tcPr>
            <w:tcW w:w="1278" w:type="dxa"/>
          </w:tcPr>
          <w:p w14:paraId="6ACDDF44"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40%</w:t>
            </w:r>
          </w:p>
        </w:tc>
        <w:tc>
          <w:tcPr>
            <w:tcW w:w="8576" w:type="dxa"/>
          </w:tcPr>
          <w:p w14:paraId="76FB34B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submission and approval of the 1ST draft terminal evaluation report</w:t>
            </w:r>
          </w:p>
        </w:tc>
      </w:tr>
      <w:tr w:rsidR="00D6638C" w:rsidRPr="00D6638C" w14:paraId="44145276" w14:textId="77777777" w:rsidTr="006C1964">
        <w:tc>
          <w:tcPr>
            <w:tcW w:w="1278" w:type="dxa"/>
          </w:tcPr>
          <w:p w14:paraId="3586E2A5"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50%</w:t>
            </w:r>
          </w:p>
        </w:tc>
        <w:tc>
          <w:tcPr>
            <w:tcW w:w="8576" w:type="dxa"/>
          </w:tcPr>
          <w:p w14:paraId="12B1A50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p>
        </w:tc>
      </w:tr>
    </w:tbl>
    <w:p w14:paraId="5AAC41B2" w14:textId="77777777" w:rsidR="00D6638C" w:rsidRPr="00D6638C" w:rsidRDefault="00D6638C" w:rsidP="00F05366">
      <w:pPr>
        <w:pStyle w:val="Heading51"/>
      </w:pPr>
      <w:bookmarkStart w:id="46" w:name="_Toc299133052"/>
      <w:bookmarkStart w:id="47" w:name="_Toc321341561"/>
      <w:r w:rsidRPr="00D6638C">
        <w:t>Application process</w:t>
      </w:r>
      <w:bookmarkEnd w:id="43"/>
      <w:bookmarkEnd w:id="44"/>
      <w:bookmarkEnd w:id="45"/>
      <w:bookmarkEnd w:id="46"/>
      <w:bookmarkEnd w:id="47"/>
    </w:p>
    <w:p w14:paraId="1D6138C9" w14:textId="77777777" w:rsidR="004F2025" w:rsidRDefault="004F2025" w:rsidP="004F2025">
      <w:pPr>
        <w:widowControl w:val="0"/>
        <w:rPr>
          <w:rFonts w:eastAsia="Times New Roman" w:cstheme="minorHAnsi"/>
          <w:bCs/>
          <w:snapToGrid w:val="0"/>
          <w:sz w:val="20"/>
          <w:szCs w:val="20"/>
        </w:rPr>
      </w:pPr>
    </w:p>
    <w:p w14:paraId="35CC38CF" w14:textId="77777777" w:rsidR="004F2025" w:rsidRPr="004F2025" w:rsidRDefault="004F2025" w:rsidP="004F2025">
      <w:pPr>
        <w:widowControl w:val="0"/>
        <w:rPr>
          <w:rFonts w:eastAsia="Times New Roman" w:cstheme="minorHAnsi"/>
          <w:bCs/>
          <w:snapToGrid w:val="0"/>
          <w:sz w:val="20"/>
          <w:szCs w:val="20"/>
        </w:rPr>
      </w:pPr>
      <w:bookmarkStart w:id="48" w:name="_GoBack"/>
      <w:bookmarkEnd w:id="48"/>
      <w:r w:rsidRPr="004F2025">
        <w:rPr>
          <w:rFonts w:eastAsia="Times New Roman" w:cstheme="minorHAnsi"/>
          <w:bCs/>
          <w:snapToGrid w:val="0"/>
          <w:sz w:val="20"/>
          <w:szCs w:val="20"/>
        </w:rPr>
        <w:t xml:space="preserve">Recommended Presentation of Proposal:  </w:t>
      </w:r>
    </w:p>
    <w:p w14:paraId="76AC231B" w14:textId="77777777" w:rsidR="004F2025" w:rsidRPr="004F2025" w:rsidRDefault="004F2025" w:rsidP="004F2025">
      <w:pPr>
        <w:numPr>
          <w:ilvl w:val="0"/>
          <w:numId w:val="38"/>
        </w:numPr>
        <w:autoSpaceDE w:val="0"/>
        <w:autoSpaceDN w:val="0"/>
        <w:adjustRightInd w:val="0"/>
        <w:ind w:left="360"/>
        <w:rPr>
          <w:rFonts w:eastAsia="Times New Roman" w:cstheme="minorHAnsi"/>
          <w:sz w:val="20"/>
          <w:szCs w:val="20"/>
        </w:rPr>
      </w:pPr>
      <w:r w:rsidRPr="004F2025">
        <w:rPr>
          <w:rFonts w:eastAsia="Times New Roman" w:cstheme="minorHAnsi"/>
          <w:b/>
          <w:sz w:val="20"/>
          <w:szCs w:val="20"/>
        </w:rPr>
        <w:t xml:space="preserve">Letter of Confirmation of Interest and Availability </w:t>
      </w:r>
      <w:r w:rsidRPr="004F2025">
        <w:rPr>
          <w:rFonts w:eastAsia="Times New Roman" w:cstheme="minorHAnsi"/>
          <w:sz w:val="20"/>
          <w:szCs w:val="20"/>
        </w:rPr>
        <w:t xml:space="preserve">using the </w:t>
      </w:r>
      <w:hyperlink r:id="rId11" w:history="1">
        <w:r w:rsidRPr="004F2025">
          <w:rPr>
            <w:rFonts w:eastAsia="MS Mincho" w:cstheme="minorHAnsi"/>
            <w:color w:val="0000FF"/>
            <w:sz w:val="20"/>
            <w:szCs w:val="20"/>
            <w:u w:val="single"/>
          </w:rPr>
          <w:t>template</w:t>
        </w:r>
      </w:hyperlink>
      <w:r w:rsidRPr="004F2025">
        <w:rPr>
          <w:rFonts w:eastAsia="MS Gothic" w:cstheme="minorHAnsi"/>
          <w:sz w:val="20"/>
          <w:szCs w:val="20"/>
          <w:vertAlign w:val="superscript"/>
        </w:rPr>
        <w:footnoteReference w:id="4"/>
      </w:r>
      <w:r w:rsidRPr="004F2025">
        <w:rPr>
          <w:rFonts w:eastAsia="Times New Roman" w:cstheme="minorHAnsi"/>
          <w:sz w:val="20"/>
          <w:szCs w:val="20"/>
        </w:rPr>
        <w:t xml:space="preserve"> provided by UNDP;</w:t>
      </w:r>
    </w:p>
    <w:p w14:paraId="44CBAEB5" w14:textId="77777777" w:rsidR="004F2025" w:rsidRPr="004F2025" w:rsidRDefault="004F2025" w:rsidP="004F2025">
      <w:pPr>
        <w:numPr>
          <w:ilvl w:val="0"/>
          <w:numId w:val="38"/>
        </w:numPr>
        <w:autoSpaceDE w:val="0"/>
        <w:autoSpaceDN w:val="0"/>
        <w:adjustRightInd w:val="0"/>
        <w:ind w:left="360"/>
        <w:rPr>
          <w:rFonts w:eastAsia="Times New Roman" w:cstheme="minorHAnsi"/>
          <w:color w:val="000000"/>
          <w:sz w:val="20"/>
          <w:szCs w:val="20"/>
        </w:rPr>
      </w:pPr>
      <w:r w:rsidRPr="004F2025">
        <w:rPr>
          <w:rFonts w:eastAsia="Times New Roman" w:cstheme="minorHAnsi"/>
          <w:b/>
          <w:sz w:val="20"/>
          <w:szCs w:val="20"/>
        </w:rPr>
        <w:t xml:space="preserve">CV </w:t>
      </w:r>
      <w:r w:rsidRPr="004F2025">
        <w:rPr>
          <w:rFonts w:eastAsia="Times New Roman" w:cstheme="minorHAnsi"/>
          <w:sz w:val="20"/>
          <w:szCs w:val="20"/>
        </w:rPr>
        <w:t>and a</w:t>
      </w:r>
      <w:r w:rsidRPr="004F2025">
        <w:rPr>
          <w:rFonts w:eastAsia="Times New Roman" w:cstheme="minorHAnsi"/>
          <w:b/>
          <w:sz w:val="20"/>
          <w:szCs w:val="20"/>
        </w:rPr>
        <w:t xml:space="preserve"> Personal History Form</w:t>
      </w:r>
      <w:r w:rsidRPr="004F2025">
        <w:rPr>
          <w:rFonts w:eastAsia="MS Gothic" w:cstheme="minorHAnsi"/>
          <w:color w:val="000000"/>
          <w:sz w:val="20"/>
          <w:szCs w:val="20"/>
        </w:rPr>
        <w:t xml:space="preserve"> (</w:t>
      </w:r>
      <w:hyperlink r:id="rId12" w:tgtFrame="_blank" w:history="1">
        <w:r w:rsidRPr="004F2025">
          <w:rPr>
            <w:rFonts w:eastAsia="MS Mincho" w:cstheme="minorHAnsi"/>
            <w:color w:val="0000FF"/>
            <w:sz w:val="20"/>
            <w:szCs w:val="20"/>
            <w:u w:val="single"/>
          </w:rPr>
          <w:t>P11 form</w:t>
        </w:r>
      </w:hyperlink>
      <w:r w:rsidRPr="004F2025">
        <w:rPr>
          <w:rFonts w:eastAsia="MS Gothic" w:cstheme="minorHAnsi"/>
          <w:sz w:val="20"/>
          <w:szCs w:val="20"/>
          <w:vertAlign w:val="superscript"/>
        </w:rPr>
        <w:footnoteReference w:id="5"/>
      </w:r>
      <w:r w:rsidRPr="004F2025">
        <w:rPr>
          <w:rFonts w:eastAsia="MS Mincho" w:cstheme="minorHAnsi"/>
          <w:color w:val="0000FF"/>
          <w:sz w:val="20"/>
          <w:szCs w:val="20"/>
          <w:u w:val="single"/>
        </w:rPr>
        <w:t>);</w:t>
      </w:r>
    </w:p>
    <w:p w14:paraId="54FA1ECF" w14:textId="77777777" w:rsidR="004F2025" w:rsidRPr="004F2025" w:rsidRDefault="004F2025" w:rsidP="004F2025">
      <w:pPr>
        <w:numPr>
          <w:ilvl w:val="0"/>
          <w:numId w:val="38"/>
        </w:numPr>
        <w:autoSpaceDE w:val="0"/>
        <w:autoSpaceDN w:val="0"/>
        <w:adjustRightInd w:val="0"/>
        <w:ind w:left="360"/>
        <w:rPr>
          <w:rFonts w:eastAsia="Times New Roman" w:cstheme="minorHAnsi"/>
          <w:sz w:val="20"/>
          <w:szCs w:val="20"/>
        </w:rPr>
      </w:pPr>
      <w:r w:rsidRPr="004F2025">
        <w:rPr>
          <w:rFonts w:eastAsia="Times New Roman" w:cstheme="minorHAnsi"/>
          <w:b/>
          <w:sz w:val="20"/>
          <w:szCs w:val="20"/>
        </w:rPr>
        <w:lastRenderedPageBreak/>
        <w:t>Brief description of approach to work/technical proposal</w:t>
      </w:r>
      <w:r w:rsidRPr="004F2025">
        <w:rPr>
          <w:rFonts w:eastAsia="Times New Roman" w:cstheme="minorHAnsi"/>
          <w:sz w:val="20"/>
          <w:szCs w:val="20"/>
        </w:rPr>
        <w:t xml:space="preserve"> of why the individual considers himself/herself as the most suitable for the assignment, and a proposed methodology on how he/she will approach and complete the assignment; (max 1 page)</w:t>
      </w:r>
    </w:p>
    <w:p w14:paraId="1A7CC8DD" w14:textId="77777777" w:rsidR="004F2025" w:rsidRPr="004F2025" w:rsidRDefault="004F2025" w:rsidP="004F2025">
      <w:pPr>
        <w:numPr>
          <w:ilvl w:val="0"/>
          <w:numId w:val="38"/>
        </w:numPr>
        <w:autoSpaceDE w:val="0"/>
        <w:autoSpaceDN w:val="0"/>
        <w:adjustRightInd w:val="0"/>
        <w:ind w:left="360"/>
        <w:rPr>
          <w:rFonts w:eastAsia="Times New Roman" w:cstheme="minorHAnsi"/>
          <w:sz w:val="20"/>
          <w:szCs w:val="20"/>
        </w:rPr>
      </w:pPr>
      <w:r w:rsidRPr="004F2025">
        <w:rPr>
          <w:rFonts w:eastAsia="Times New Roman" w:cstheme="minorHAnsi"/>
          <w:b/>
          <w:sz w:val="20"/>
          <w:szCs w:val="20"/>
        </w:rPr>
        <w:t>Financial Proposal</w:t>
      </w:r>
      <w:r w:rsidRPr="004F2025">
        <w:rPr>
          <w:rFonts w:eastAsia="Times New Roman" w:cstheme="minorHAnsi"/>
          <w:sz w:val="20"/>
          <w:szCs w:val="20"/>
        </w:rPr>
        <w:t xml:space="preserve"> that indicates the all-inclusive fixed total contract price, exclusive of travel cost, as per template attached to the 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40327BB6" w14:textId="7F889919" w:rsidR="004F2025" w:rsidRPr="004F2025" w:rsidRDefault="004F2025" w:rsidP="004F2025">
      <w:pPr>
        <w:autoSpaceDE w:val="0"/>
        <w:autoSpaceDN w:val="0"/>
        <w:adjustRightInd w:val="0"/>
        <w:rPr>
          <w:rFonts w:eastAsia="Calibri" w:cstheme="minorHAnsi"/>
          <w:sz w:val="20"/>
          <w:szCs w:val="20"/>
        </w:rPr>
      </w:pPr>
      <w:r w:rsidRPr="004F2025">
        <w:rPr>
          <w:rFonts w:eastAsia="MS Gothic" w:cstheme="minorHAnsi"/>
          <w:color w:val="000000"/>
          <w:sz w:val="20"/>
          <w:szCs w:val="20"/>
        </w:rPr>
        <w:t>All application materials should be submitted by email at the following address ONLY: (</w:t>
      </w:r>
      <w:hyperlink r:id="rId13" w:history="1">
        <w:r w:rsidRPr="004F2025">
          <w:rPr>
            <w:rFonts w:eastAsia="MS Gothic" w:cstheme="minorHAnsi"/>
            <w:color w:val="0000FF"/>
            <w:sz w:val="20"/>
            <w:szCs w:val="20"/>
            <w:u w:val="single"/>
          </w:rPr>
          <w:t>j.barbiere@unesco.org</w:t>
        </w:r>
      </w:hyperlink>
      <w:r w:rsidRPr="004F2025">
        <w:rPr>
          <w:rFonts w:eastAsia="MS Gothic" w:cstheme="minorHAnsi"/>
          <w:color w:val="000000"/>
          <w:sz w:val="20"/>
          <w:szCs w:val="20"/>
        </w:rPr>
        <w:t xml:space="preserve"> with CC to </w:t>
      </w:r>
      <w:hyperlink r:id="rId14" w:history="1">
        <w:r w:rsidRPr="004F2025">
          <w:rPr>
            <w:rFonts w:eastAsia="MS Gothic" w:cstheme="minorHAnsi"/>
            <w:color w:val="0000FF"/>
            <w:sz w:val="20"/>
            <w:szCs w:val="20"/>
            <w:u w:val="single"/>
          </w:rPr>
          <w:t>i.chavez@unesco.org</w:t>
        </w:r>
      </w:hyperlink>
      <w:r w:rsidRPr="004F2025">
        <w:rPr>
          <w:rFonts w:eastAsia="MS Gothic" w:cstheme="minorHAnsi"/>
          <w:color w:val="000000"/>
          <w:sz w:val="20"/>
          <w:szCs w:val="20"/>
        </w:rPr>
        <w:t xml:space="preserve">) </w:t>
      </w:r>
      <w:r w:rsidRPr="004F2025">
        <w:rPr>
          <w:rFonts w:eastAsia="MS Gothic" w:cstheme="minorHAnsi"/>
          <w:vanish/>
          <w:color w:val="000000"/>
          <w:sz w:val="20"/>
          <w:szCs w:val="20"/>
        </w:rPr>
        <w:t xml:space="preserve">This email address is being protected from spam bots, you need Javascript enabled to view it </w:t>
      </w:r>
      <w:r w:rsidRPr="004F2025">
        <w:rPr>
          <w:rFonts w:eastAsia="MS Gothic" w:cstheme="minorHAnsi"/>
          <w:color w:val="000000"/>
          <w:sz w:val="20"/>
          <w:szCs w:val="20"/>
        </w:rPr>
        <w:t>by</w:t>
      </w:r>
      <w:r w:rsidR="0050004F">
        <w:rPr>
          <w:rFonts w:eastAsia="MS Gothic" w:cstheme="minorHAnsi"/>
          <w:color w:val="000000"/>
          <w:sz w:val="20"/>
          <w:szCs w:val="20"/>
        </w:rPr>
        <w:t xml:space="preserve"> </w:t>
      </w:r>
      <w:r w:rsidR="0050004F">
        <w:rPr>
          <w:rFonts w:eastAsia="MS Gothic" w:cstheme="minorHAnsi"/>
          <w:b/>
          <w:color w:val="000000"/>
          <w:sz w:val="20"/>
          <w:szCs w:val="20"/>
        </w:rPr>
        <w:t xml:space="preserve">26 August 2019. </w:t>
      </w:r>
      <w:r w:rsidRPr="004F2025">
        <w:rPr>
          <w:rFonts w:eastAsia="MS Gothic" w:cstheme="minorHAnsi"/>
          <w:color w:val="000000"/>
          <w:sz w:val="20"/>
          <w:szCs w:val="20"/>
        </w:rPr>
        <w:t>Incomplete applications will be excluded from further consideration.</w:t>
      </w:r>
    </w:p>
    <w:p w14:paraId="6BC0BC26" w14:textId="77777777" w:rsidR="004F2025" w:rsidRPr="004F2025" w:rsidRDefault="004F2025" w:rsidP="004F2025">
      <w:pPr>
        <w:widowControl w:val="0"/>
        <w:tabs>
          <w:tab w:val="left" w:pos="680"/>
          <w:tab w:val="left" w:pos="1060"/>
        </w:tabs>
        <w:rPr>
          <w:rFonts w:eastAsia="Times New Roman" w:cstheme="minorHAnsi"/>
          <w:snapToGrid w:val="0"/>
          <w:sz w:val="20"/>
          <w:szCs w:val="20"/>
        </w:rPr>
      </w:pPr>
      <w:r w:rsidRPr="004F2025">
        <w:rPr>
          <w:rFonts w:eastAsia="Times New Roman" w:cstheme="minorHAnsi"/>
          <w:b/>
          <w:bCs/>
          <w:snapToGrid w:val="0"/>
          <w:sz w:val="20"/>
          <w:szCs w:val="20"/>
        </w:rPr>
        <w:t xml:space="preserve">Criteria for Evaluation of Proposal:  </w:t>
      </w:r>
      <w:r w:rsidRPr="004F2025">
        <w:rPr>
          <w:rFonts w:eastAsia="Times New Roman" w:cstheme="minorHAnsi"/>
          <w:bCs/>
          <w:snapToGrid w:val="0"/>
          <w:sz w:val="20"/>
          <w:szCs w:val="20"/>
        </w:rPr>
        <w:t xml:space="preserve">Only those applications which are responsive and compliant will be evaluated.  Offers will be evaluated according to the Combined Scoring method – where the </w:t>
      </w:r>
      <w:r w:rsidRPr="004F2025">
        <w:rPr>
          <w:rFonts w:eastAsia="Times New Roman" w:cstheme="minorHAnsi"/>
          <w:snapToGrid w:val="0"/>
          <w:sz w:val="20"/>
          <w:szCs w:val="20"/>
        </w:rPr>
        <w:t>educational background and experience on similar assignments</w:t>
      </w:r>
      <w:r w:rsidRPr="004F2025">
        <w:rPr>
          <w:rFonts w:eastAsia="Times New Roman" w:cstheme="minorHAnsi"/>
          <w:bCs/>
          <w:snapToGrid w:val="0"/>
          <w:sz w:val="20"/>
          <w:szCs w:val="20"/>
        </w:rPr>
        <w:t xml:space="preserve"> will be weighted at 70%</w:t>
      </w:r>
      <w:r w:rsidRPr="004F2025">
        <w:rPr>
          <w:rFonts w:eastAsia="Times New Roman" w:cstheme="minorHAnsi"/>
          <w:b/>
          <w:bCs/>
          <w:snapToGrid w:val="0"/>
          <w:sz w:val="20"/>
          <w:szCs w:val="20"/>
        </w:rPr>
        <w:t xml:space="preserve"> </w:t>
      </w:r>
      <w:r w:rsidRPr="004F2025">
        <w:rPr>
          <w:rFonts w:eastAsia="Times New Roman" w:cstheme="minorHAnsi"/>
          <w:bCs/>
          <w:snapToGrid w:val="0"/>
          <w:sz w:val="20"/>
          <w:szCs w:val="20"/>
        </w:rPr>
        <w:t xml:space="preserve">(based on the critera in Table 5) </w:t>
      </w:r>
      <w:r w:rsidRPr="004F2025">
        <w:rPr>
          <w:rFonts w:eastAsia="Times New Roman" w:cstheme="minorHAnsi"/>
          <w:snapToGrid w:val="0"/>
          <w:sz w:val="20"/>
          <w:szCs w:val="20"/>
        </w:rPr>
        <w:t xml:space="preserve">and the price proposal will weigh as 30% of the total scoring.  The applicant receiving the Highest Combined Score that has also accepted UNDP’s General Terms and Conditions will be awarded the contract. </w:t>
      </w:r>
    </w:p>
    <w:p w14:paraId="5BFEDF23" w14:textId="77777777" w:rsidR="004F2025" w:rsidRPr="004F2025" w:rsidRDefault="004F2025" w:rsidP="004F2025">
      <w:pPr>
        <w:widowControl w:val="0"/>
        <w:tabs>
          <w:tab w:val="left" w:pos="680"/>
          <w:tab w:val="left" w:pos="1060"/>
        </w:tabs>
        <w:rPr>
          <w:rFonts w:eastAsia="Times New Roman" w:cstheme="minorHAnsi"/>
          <w:snapToGrid w:val="0"/>
          <w:sz w:val="20"/>
          <w:szCs w:val="20"/>
        </w:rPr>
      </w:pPr>
    </w:p>
    <w:p w14:paraId="5BC319C1" w14:textId="77777777" w:rsidR="004F2025" w:rsidRDefault="004F2025" w:rsidP="00D6638C">
      <w:pPr>
        <w:spacing w:before="200"/>
        <w:rPr>
          <w:rFonts w:ascii="Calibri" w:eastAsia="Times New Roman" w:hAnsi="Calibri" w:cs="Times New Roman"/>
          <w:sz w:val="20"/>
          <w:szCs w:val="20"/>
        </w:rPr>
        <w:sectPr w:rsidR="004F2025" w:rsidSect="00224F9C">
          <w:footerReference w:type="default" r:id="rId15"/>
          <w:pgSz w:w="12240" w:h="15840"/>
          <w:pgMar w:top="1440" w:right="1325" w:bottom="1440" w:left="1440" w:header="708" w:footer="708" w:gutter="0"/>
          <w:cols w:space="708"/>
          <w:docGrid w:linePitch="360"/>
        </w:sectPr>
      </w:pPr>
    </w:p>
    <w:p w14:paraId="66BFEB5C" w14:textId="77777777" w:rsidR="00D6638C" w:rsidRPr="00D6638C" w:rsidRDefault="00D6638C" w:rsidP="00F05366">
      <w:pPr>
        <w:pStyle w:val="Heading31"/>
      </w:pPr>
      <w:bookmarkStart w:id="49" w:name="_TOR_Annex_A:"/>
      <w:bookmarkStart w:id="50" w:name="_Toc299122844"/>
      <w:bookmarkStart w:id="51" w:name="_Toc299122866"/>
      <w:bookmarkStart w:id="52" w:name="_Toc299126630"/>
      <w:bookmarkStart w:id="53" w:name="_Toc299133053"/>
      <w:bookmarkStart w:id="54" w:name="_Toc321341562"/>
      <w:bookmarkEnd w:id="49"/>
      <w:r w:rsidRPr="00D6638C">
        <w:lastRenderedPageBreak/>
        <w:t>Annex A: Project Logical Framework</w:t>
      </w:r>
      <w:bookmarkEnd w:id="50"/>
      <w:bookmarkEnd w:id="51"/>
      <w:bookmarkEnd w:id="52"/>
      <w:bookmarkEnd w:id="53"/>
      <w:bookmarkEnd w:id="54"/>
    </w:p>
    <w:p w14:paraId="6BB517FD" w14:textId="77777777" w:rsidR="004F2025" w:rsidRDefault="004F2025">
      <w:pPr>
        <w:rPr>
          <w:rFonts w:ascii="Calibri" w:eastAsia="Times New Roman" w:hAnsi="Calibri" w:cs="Times New Roman"/>
          <w:sz w:val="20"/>
          <w:szCs w:val="20"/>
        </w:rPr>
      </w:pPr>
      <w:bookmarkStart w:id="55" w:name="_Toc299122845"/>
      <w:bookmarkStart w:id="56" w:name="_Toc299122867"/>
      <w:bookmarkStart w:id="57" w:name="_Toc299126631"/>
    </w:p>
    <w:p w14:paraId="1D663082" w14:textId="77777777" w:rsidR="004A3B80" w:rsidRDefault="004F2025">
      <w:pPr>
        <w:rPr>
          <w:rFonts w:ascii="Calibri" w:eastAsia="Times New Roman" w:hAnsi="Calibri" w:cs="Times New Roman"/>
          <w:b/>
          <w:sz w:val="20"/>
          <w:szCs w:val="20"/>
        </w:rPr>
      </w:pPr>
      <w:r w:rsidRPr="004F2025">
        <w:rPr>
          <w:rFonts w:ascii="Calibri" w:eastAsia="Times New Roman" w:hAnsi="Calibri" w:cs="Times New Roman"/>
          <w:b/>
          <w:sz w:val="20"/>
          <w:szCs w:val="20"/>
        </w:rPr>
        <w:t>IW:LEARN</w:t>
      </w:r>
    </w:p>
    <w:p w14:paraId="745FBEC5" w14:textId="77777777" w:rsidR="004A3B80" w:rsidRDefault="004A3B80">
      <w:pPr>
        <w:rPr>
          <w:rFonts w:ascii="Calibri" w:eastAsia="Times New Roman" w:hAnsi="Calibri" w:cs="Times New Roman"/>
          <w:b/>
          <w:sz w:val="20"/>
          <w:szCs w:val="20"/>
        </w:rPr>
      </w:pPr>
    </w:p>
    <w:p w14:paraId="182679B7" w14:textId="77777777" w:rsidR="004A3B80" w:rsidRDefault="004A3B80">
      <w:pPr>
        <w:rPr>
          <w:rFonts w:ascii="Calibri" w:eastAsia="Times New Roman" w:hAnsi="Calibri" w:cs="Times New Roman"/>
          <w:b/>
          <w:sz w:val="20"/>
          <w:szCs w:val="20"/>
        </w:rPr>
      </w:pPr>
      <w:r>
        <w:rPr>
          <w:rFonts w:ascii="Calibri" w:eastAsia="Times New Roman" w:hAnsi="Calibri" w:cs="Times New Roman"/>
          <w:b/>
          <w:sz w:val="20"/>
          <w:szCs w:val="20"/>
        </w:rPr>
        <w:t>LME:LEARN</w:t>
      </w:r>
    </w:p>
    <w:tbl>
      <w:tblPr>
        <w:tblW w:w="13490"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2201"/>
        <w:gridCol w:w="2268"/>
        <w:gridCol w:w="2552"/>
        <w:gridCol w:w="2268"/>
        <w:gridCol w:w="2551"/>
      </w:tblGrid>
      <w:tr w:rsidR="004A3B80" w:rsidRPr="00CD02E9" w14:paraId="2BA831A7" w14:textId="77777777" w:rsidTr="00146F51">
        <w:trPr>
          <w:trHeight w:val="544"/>
          <w:tblHeader/>
        </w:trPr>
        <w:tc>
          <w:tcPr>
            <w:tcW w:w="1650" w:type="dxa"/>
            <w:shd w:val="pct12" w:color="auto" w:fill="auto"/>
          </w:tcPr>
          <w:p w14:paraId="1718158F" w14:textId="77777777" w:rsidR="004A3B80" w:rsidRPr="00CD02E9" w:rsidRDefault="004A3B80" w:rsidP="00146F51">
            <w:pPr>
              <w:jc w:val="center"/>
              <w:rPr>
                <w:rFonts w:ascii="Times New Roman" w:hAnsi="Times New Roman"/>
                <w:b/>
                <w:bCs/>
                <w:sz w:val="18"/>
                <w:szCs w:val="18"/>
              </w:rPr>
            </w:pPr>
          </w:p>
        </w:tc>
        <w:tc>
          <w:tcPr>
            <w:tcW w:w="2201" w:type="dxa"/>
            <w:shd w:val="pct12" w:color="auto" w:fill="auto"/>
          </w:tcPr>
          <w:p w14:paraId="11FFCBA5" w14:textId="77777777" w:rsidR="004A3B80" w:rsidRPr="00CD02E9" w:rsidRDefault="004A3B80" w:rsidP="00146F51">
            <w:pPr>
              <w:jc w:val="center"/>
              <w:rPr>
                <w:rFonts w:ascii="Times New Roman" w:hAnsi="Times New Roman"/>
                <w:b/>
                <w:bCs/>
                <w:sz w:val="18"/>
                <w:szCs w:val="18"/>
              </w:rPr>
            </w:pPr>
            <w:r w:rsidRPr="00CD02E9">
              <w:rPr>
                <w:rFonts w:ascii="Times New Roman" w:hAnsi="Times New Roman"/>
                <w:b/>
                <w:bCs/>
                <w:sz w:val="18"/>
                <w:szCs w:val="18"/>
              </w:rPr>
              <w:t>Indicator</w:t>
            </w:r>
          </w:p>
        </w:tc>
        <w:tc>
          <w:tcPr>
            <w:tcW w:w="2268" w:type="dxa"/>
            <w:shd w:val="pct12" w:color="auto" w:fill="auto"/>
          </w:tcPr>
          <w:p w14:paraId="1D34315D" w14:textId="77777777" w:rsidR="004A3B80" w:rsidRPr="00CD02E9" w:rsidRDefault="004A3B80" w:rsidP="00146F51">
            <w:pPr>
              <w:ind w:right="33"/>
              <w:jc w:val="center"/>
              <w:rPr>
                <w:rFonts w:ascii="Times New Roman" w:hAnsi="Times New Roman"/>
                <w:b/>
                <w:bCs/>
                <w:sz w:val="18"/>
                <w:szCs w:val="18"/>
              </w:rPr>
            </w:pPr>
            <w:r w:rsidRPr="00CD02E9">
              <w:rPr>
                <w:rFonts w:ascii="Times New Roman" w:hAnsi="Times New Roman"/>
                <w:b/>
                <w:bCs/>
                <w:sz w:val="18"/>
                <w:szCs w:val="18"/>
              </w:rPr>
              <w:t>Baseline</w:t>
            </w:r>
          </w:p>
        </w:tc>
        <w:tc>
          <w:tcPr>
            <w:tcW w:w="2552" w:type="dxa"/>
            <w:shd w:val="pct12" w:color="auto" w:fill="auto"/>
          </w:tcPr>
          <w:p w14:paraId="76568E01" w14:textId="77777777" w:rsidR="004A3B80" w:rsidRPr="00CD02E9" w:rsidRDefault="004A3B80" w:rsidP="00146F51">
            <w:pPr>
              <w:jc w:val="center"/>
              <w:rPr>
                <w:rFonts w:ascii="Times New Roman" w:hAnsi="Times New Roman"/>
                <w:b/>
                <w:bCs/>
                <w:sz w:val="18"/>
                <w:szCs w:val="18"/>
              </w:rPr>
            </w:pPr>
            <w:r w:rsidRPr="00CD02E9">
              <w:rPr>
                <w:rFonts w:ascii="Times New Roman" w:hAnsi="Times New Roman"/>
                <w:b/>
                <w:bCs/>
                <w:sz w:val="18"/>
                <w:szCs w:val="18"/>
              </w:rPr>
              <w:t xml:space="preserve">Targets </w:t>
            </w:r>
          </w:p>
          <w:p w14:paraId="7192B8AB" w14:textId="77777777" w:rsidR="004A3B80" w:rsidRPr="00CD02E9" w:rsidRDefault="004A3B80" w:rsidP="00146F51">
            <w:pPr>
              <w:jc w:val="center"/>
              <w:rPr>
                <w:rFonts w:ascii="Times New Roman" w:hAnsi="Times New Roman"/>
                <w:b/>
                <w:bCs/>
                <w:sz w:val="18"/>
                <w:szCs w:val="18"/>
              </w:rPr>
            </w:pPr>
            <w:r w:rsidRPr="00CD02E9">
              <w:rPr>
                <w:rFonts w:ascii="Times New Roman" w:hAnsi="Times New Roman"/>
                <w:b/>
                <w:bCs/>
                <w:sz w:val="18"/>
                <w:szCs w:val="18"/>
              </w:rPr>
              <w:t>End of Project</w:t>
            </w:r>
          </w:p>
        </w:tc>
        <w:tc>
          <w:tcPr>
            <w:tcW w:w="2268" w:type="dxa"/>
            <w:shd w:val="pct12" w:color="auto" w:fill="auto"/>
          </w:tcPr>
          <w:p w14:paraId="24C35F26" w14:textId="77777777" w:rsidR="004A3B80" w:rsidRPr="00CD02E9" w:rsidRDefault="004A3B80" w:rsidP="00146F51">
            <w:pPr>
              <w:jc w:val="center"/>
              <w:rPr>
                <w:rFonts w:ascii="Times New Roman" w:hAnsi="Times New Roman"/>
                <w:b/>
                <w:bCs/>
                <w:sz w:val="18"/>
                <w:szCs w:val="18"/>
              </w:rPr>
            </w:pPr>
            <w:r w:rsidRPr="00CD02E9">
              <w:rPr>
                <w:rFonts w:ascii="Times New Roman" w:hAnsi="Times New Roman"/>
                <w:b/>
                <w:bCs/>
                <w:sz w:val="18"/>
                <w:szCs w:val="18"/>
              </w:rPr>
              <w:t>Source of verification</w:t>
            </w:r>
          </w:p>
        </w:tc>
        <w:tc>
          <w:tcPr>
            <w:tcW w:w="2551" w:type="dxa"/>
            <w:shd w:val="pct12" w:color="auto" w:fill="auto"/>
          </w:tcPr>
          <w:p w14:paraId="7626055A" w14:textId="77777777" w:rsidR="004A3B80" w:rsidRPr="00CD02E9" w:rsidRDefault="004A3B80" w:rsidP="00146F51">
            <w:pPr>
              <w:jc w:val="center"/>
              <w:rPr>
                <w:rFonts w:ascii="Times New Roman" w:hAnsi="Times New Roman"/>
                <w:b/>
                <w:bCs/>
                <w:sz w:val="18"/>
                <w:szCs w:val="18"/>
              </w:rPr>
            </w:pPr>
            <w:r w:rsidRPr="00CD02E9">
              <w:rPr>
                <w:rFonts w:ascii="Times New Roman" w:hAnsi="Times New Roman"/>
                <w:b/>
                <w:bCs/>
                <w:sz w:val="18"/>
                <w:szCs w:val="18"/>
              </w:rPr>
              <w:t>Risks and Assumptions</w:t>
            </w:r>
          </w:p>
        </w:tc>
      </w:tr>
      <w:tr w:rsidR="004A3B80" w:rsidRPr="008B4797" w14:paraId="446E6ADC" w14:textId="77777777" w:rsidTr="00146F51">
        <w:tc>
          <w:tcPr>
            <w:tcW w:w="1650" w:type="dxa"/>
            <w:shd w:val="pct12" w:color="auto" w:fill="auto"/>
          </w:tcPr>
          <w:p w14:paraId="6E859321" w14:textId="77777777" w:rsidR="004A3B80" w:rsidRPr="008B4797" w:rsidRDefault="004A3B80" w:rsidP="00146F51">
            <w:pPr>
              <w:rPr>
                <w:rFonts w:ascii="Times New Roman" w:hAnsi="Times New Roman"/>
                <w:b/>
                <w:bCs/>
                <w:sz w:val="20"/>
                <w:szCs w:val="20"/>
              </w:rPr>
            </w:pPr>
            <w:r w:rsidRPr="008B4797">
              <w:rPr>
                <w:rFonts w:ascii="Times New Roman" w:hAnsi="Times New Roman"/>
                <w:b/>
                <w:bCs/>
                <w:sz w:val="20"/>
                <w:szCs w:val="20"/>
              </w:rPr>
              <w:t>Project Objective</w:t>
            </w:r>
            <w:r w:rsidRPr="008B4797">
              <w:rPr>
                <w:rStyle w:val="FootnoteReference"/>
                <w:rFonts w:ascii="Times New Roman" w:hAnsi="Times New Roman"/>
                <w:b/>
                <w:bCs/>
                <w:sz w:val="20"/>
                <w:szCs w:val="20"/>
              </w:rPr>
              <w:footnoteReference w:id="6"/>
            </w:r>
            <w:r w:rsidRPr="008B4797">
              <w:rPr>
                <w:rFonts w:ascii="Times New Roman" w:hAnsi="Times New Roman"/>
                <w:b/>
                <w:bCs/>
                <w:sz w:val="20"/>
                <w:szCs w:val="20"/>
              </w:rPr>
              <w:t xml:space="preserve"> </w:t>
            </w:r>
          </w:p>
          <w:p w14:paraId="156A536D" w14:textId="77777777" w:rsidR="004A3B80" w:rsidRPr="00343E14" w:rsidRDefault="004A3B80" w:rsidP="00146F51">
            <w:pPr>
              <w:rPr>
                <w:rFonts w:ascii="Times New Roman" w:hAnsi="Times New Roman"/>
                <w:bCs/>
                <w:sz w:val="20"/>
                <w:szCs w:val="20"/>
              </w:rPr>
            </w:pPr>
            <w:r w:rsidRPr="00343E14">
              <w:rPr>
                <w:rFonts w:ascii="Times New Roman" w:hAnsi="Times New Roman"/>
                <w:bCs/>
                <w:sz w:val="20"/>
                <w:szCs w:val="20"/>
              </w:rPr>
              <w:t xml:space="preserve">To improve global ecosystem-based governance of Large Marine Ecosystems and their coasts by generating knowledge, building capacity, harnessing public and private partners, and supporting south-to-south learning and north-to-south learning. (equivalent to </w:t>
            </w:r>
            <w:r w:rsidRPr="00343E14">
              <w:rPr>
                <w:rFonts w:ascii="Times New Roman" w:hAnsi="Times New Roman"/>
                <w:bCs/>
                <w:sz w:val="20"/>
                <w:szCs w:val="20"/>
              </w:rPr>
              <w:lastRenderedPageBreak/>
              <w:t>output in ATLAS)</w:t>
            </w:r>
          </w:p>
        </w:tc>
        <w:tc>
          <w:tcPr>
            <w:tcW w:w="2201" w:type="dxa"/>
          </w:tcPr>
          <w:p w14:paraId="2B0F2895" w14:textId="77777777" w:rsidR="004A3B80" w:rsidRPr="008B4797" w:rsidRDefault="004A3B80" w:rsidP="00146F51">
            <w:pPr>
              <w:rPr>
                <w:rFonts w:ascii="Times New Roman" w:hAnsi="Times New Roman"/>
                <w:b/>
                <w:bCs/>
                <w:sz w:val="20"/>
                <w:szCs w:val="20"/>
              </w:rPr>
            </w:pPr>
          </w:p>
        </w:tc>
        <w:tc>
          <w:tcPr>
            <w:tcW w:w="2268" w:type="dxa"/>
          </w:tcPr>
          <w:p w14:paraId="7F94A781" w14:textId="77777777" w:rsidR="004A3B80" w:rsidRPr="008B4797" w:rsidRDefault="004A3B80" w:rsidP="00146F51">
            <w:pPr>
              <w:ind w:right="33"/>
              <w:rPr>
                <w:rFonts w:ascii="Times New Roman" w:hAnsi="Times New Roman"/>
                <w:b/>
                <w:bCs/>
                <w:sz w:val="20"/>
                <w:szCs w:val="20"/>
              </w:rPr>
            </w:pPr>
            <w:r w:rsidRPr="008B4797">
              <w:rPr>
                <w:rFonts w:ascii="Times New Roman" w:hAnsi="Times New Roman"/>
                <w:sz w:val="20"/>
                <w:szCs w:val="20"/>
              </w:rPr>
              <w:t>Multiple initiatives by numerous different organizations which support ecosystem-based approaches to the management of marine and coastal environment at different management and governance scales (and sectors), duplicates effort, wastes limited funding resources, and creates a drain on host nation staff time that can ultimately result in confusion and hinder the progress in achieving ecosystem-based management and governance.</w:t>
            </w:r>
          </w:p>
        </w:tc>
        <w:tc>
          <w:tcPr>
            <w:tcW w:w="2552" w:type="dxa"/>
          </w:tcPr>
          <w:p w14:paraId="04EAF5BB" w14:textId="77777777" w:rsidR="004A3B80" w:rsidRDefault="004A3B80" w:rsidP="00146F51">
            <w:pPr>
              <w:rPr>
                <w:rFonts w:ascii="Times New Roman" w:hAnsi="Times New Roman"/>
                <w:sz w:val="20"/>
                <w:szCs w:val="20"/>
              </w:rPr>
            </w:pPr>
            <w:r w:rsidRPr="008B4797">
              <w:rPr>
                <w:rFonts w:ascii="Times New Roman" w:hAnsi="Times New Roman"/>
                <w:sz w:val="20"/>
                <w:szCs w:val="20"/>
              </w:rPr>
              <w:t xml:space="preserve">The GEF increment will enable the establishment of a functional, fully-facilitated governance network of ecosystem based and learning practices for GEF IW Large Marine Ecosystems and their coasts which will strengthen existing alliances and build new relationships at both the global and regional level to create a network of learning partners to support the delivery of coherent advice on the best tools and techniques to achieve adaptive ecosystem-management of marine and coastal environment. The LME/ICM/MPA </w:t>
            </w:r>
            <w:r w:rsidRPr="008B4797">
              <w:rPr>
                <w:rFonts w:ascii="Times New Roman" w:hAnsi="Times New Roman"/>
                <w:sz w:val="20"/>
                <w:szCs w:val="20"/>
              </w:rPr>
              <w:lastRenderedPageBreak/>
              <w:t>Governance project will provide the opportunity to achieve coherence with partner initiatives, increase consistency in the advice provided to host States, improve performance of projects within the IW LME/ICM/MPA portfolio, and increase the achievement of ecosystem-based management of marine and coastal environments.</w:t>
            </w:r>
          </w:p>
          <w:p w14:paraId="44E1AFC5" w14:textId="77777777" w:rsidR="004A3B80" w:rsidRPr="008B4797" w:rsidRDefault="004A3B80" w:rsidP="00146F51">
            <w:pPr>
              <w:rPr>
                <w:rFonts w:ascii="Times New Roman" w:hAnsi="Times New Roman"/>
                <w:b/>
                <w:bCs/>
                <w:sz w:val="20"/>
                <w:szCs w:val="20"/>
              </w:rPr>
            </w:pPr>
          </w:p>
        </w:tc>
        <w:tc>
          <w:tcPr>
            <w:tcW w:w="2268" w:type="dxa"/>
          </w:tcPr>
          <w:p w14:paraId="2120F22F" w14:textId="77777777" w:rsidR="004A3B80" w:rsidRPr="008B4797" w:rsidRDefault="004A3B80" w:rsidP="00146F51">
            <w:pPr>
              <w:rPr>
                <w:rFonts w:ascii="Times New Roman" w:hAnsi="Times New Roman"/>
                <w:b/>
                <w:bCs/>
                <w:sz w:val="20"/>
                <w:szCs w:val="20"/>
              </w:rPr>
            </w:pPr>
          </w:p>
        </w:tc>
        <w:tc>
          <w:tcPr>
            <w:tcW w:w="2551" w:type="dxa"/>
          </w:tcPr>
          <w:p w14:paraId="07F7B1D8" w14:textId="77777777" w:rsidR="004A3B80" w:rsidRPr="008B4797" w:rsidRDefault="004A3B80" w:rsidP="00146F51">
            <w:pPr>
              <w:rPr>
                <w:rFonts w:ascii="Times New Roman" w:hAnsi="Times New Roman"/>
                <w:b/>
                <w:bCs/>
                <w:sz w:val="20"/>
                <w:szCs w:val="20"/>
              </w:rPr>
            </w:pPr>
          </w:p>
        </w:tc>
      </w:tr>
      <w:tr w:rsidR="004A3B80" w:rsidRPr="008B4797" w14:paraId="319FACBC" w14:textId="77777777" w:rsidTr="00146F51">
        <w:tc>
          <w:tcPr>
            <w:tcW w:w="1650" w:type="dxa"/>
            <w:shd w:val="pct12" w:color="auto" w:fill="auto"/>
          </w:tcPr>
          <w:p w14:paraId="5B064706" w14:textId="77777777" w:rsidR="004A3B80" w:rsidRPr="008B4797" w:rsidRDefault="004A3B80" w:rsidP="00146F51">
            <w:pPr>
              <w:rPr>
                <w:rFonts w:ascii="Times New Roman" w:hAnsi="Times New Roman"/>
                <w:b/>
                <w:bCs/>
                <w:sz w:val="20"/>
                <w:szCs w:val="20"/>
              </w:rPr>
            </w:pPr>
            <w:r w:rsidRPr="008B4797">
              <w:rPr>
                <w:rFonts w:ascii="Times New Roman" w:hAnsi="Times New Roman"/>
                <w:b/>
                <w:bCs/>
                <w:sz w:val="20"/>
                <w:szCs w:val="20"/>
              </w:rPr>
              <w:lastRenderedPageBreak/>
              <w:t>Outcome 1</w:t>
            </w:r>
            <w:r w:rsidRPr="008B4797">
              <w:rPr>
                <w:rStyle w:val="FootnoteReference"/>
                <w:rFonts w:ascii="Times New Roman" w:hAnsi="Times New Roman"/>
                <w:b/>
                <w:bCs/>
                <w:sz w:val="20"/>
                <w:szCs w:val="20"/>
              </w:rPr>
              <w:footnoteReference w:id="7"/>
            </w:r>
          </w:p>
          <w:p w14:paraId="1ADF8780" w14:textId="77777777" w:rsidR="004A3B80" w:rsidRPr="004822ED" w:rsidRDefault="004A3B80" w:rsidP="00146F51">
            <w:pPr>
              <w:rPr>
                <w:rFonts w:ascii="Times New Roman" w:hAnsi="Times New Roman"/>
                <w:bCs/>
                <w:sz w:val="20"/>
                <w:szCs w:val="20"/>
              </w:rPr>
            </w:pPr>
            <w:r w:rsidRPr="004822ED">
              <w:rPr>
                <w:rFonts w:ascii="Times New Roman" w:hAnsi="Times New Roman"/>
                <w:bCs/>
                <w:sz w:val="20"/>
                <w:szCs w:val="20"/>
              </w:rPr>
              <w:t>Global and regional network of partners to enhance ecosystem-based management and to provide support for the GEF-IW LME/ICM/MPA projects to add</w:t>
            </w:r>
            <w:r>
              <w:rPr>
                <w:rFonts w:ascii="Times New Roman" w:hAnsi="Times New Roman"/>
                <w:bCs/>
                <w:sz w:val="20"/>
                <w:szCs w:val="20"/>
              </w:rPr>
              <w:t xml:space="preserve">ress MPA </w:t>
            </w:r>
            <w:r>
              <w:rPr>
                <w:rFonts w:ascii="Times New Roman" w:hAnsi="Times New Roman"/>
                <w:bCs/>
                <w:sz w:val="20"/>
                <w:szCs w:val="20"/>
              </w:rPr>
              <w:lastRenderedPageBreak/>
              <w:t xml:space="preserve">needs and incorporate </w:t>
            </w:r>
            <w:r w:rsidRPr="004822ED">
              <w:rPr>
                <w:rFonts w:ascii="Times New Roman" w:hAnsi="Times New Roman"/>
                <w:bCs/>
                <w:sz w:val="20"/>
                <w:szCs w:val="20"/>
              </w:rPr>
              <w:t xml:space="preserve">climate variability and change.  </w:t>
            </w:r>
          </w:p>
        </w:tc>
        <w:tc>
          <w:tcPr>
            <w:tcW w:w="2201" w:type="dxa"/>
          </w:tcPr>
          <w:p w14:paraId="0C5DF692" w14:textId="77777777" w:rsidR="004A3B80" w:rsidRPr="008B4797" w:rsidRDefault="004A3B80" w:rsidP="00146F51">
            <w:pPr>
              <w:spacing w:after="120"/>
              <w:rPr>
                <w:rFonts w:ascii="Times New Roman" w:hAnsi="Times New Roman"/>
                <w:sz w:val="20"/>
                <w:szCs w:val="20"/>
              </w:rPr>
            </w:pPr>
            <w:r w:rsidRPr="008B4797">
              <w:rPr>
                <w:rFonts w:ascii="Times New Roman" w:hAnsi="Times New Roman"/>
                <w:sz w:val="20"/>
                <w:szCs w:val="20"/>
              </w:rPr>
              <w:lastRenderedPageBreak/>
              <w:t xml:space="preserve">Enhanced network of partners working together to provide consistent management and </w:t>
            </w:r>
            <w:r w:rsidRPr="008B4797" w:rsidDel="00EC64DD">
              <w:rPr>
                <w:rFonts w:ascii="Times New Roman" w:hAnsi="Times New Roman"/>
                <w:sz w:val="20"/>
                <w:szCs w:val="20"/>
              </w:rPr>
              <w:t xml:space="preserve"> </w:t>
            </w:r>
            <w:r w:rsidRPr="008B4797">
              <w:rPr>
                <w:rFonts w:ascii="Times New Roman" w:hAnsi="Times New Roman"/>
                <w:sz w:val="20"/>
                <w:szCs w:val="20"/>
              </w:rPr>
              <w:t xml:space="preserve"> ecosystem-based methods and technical support to GEF-LME/ICM/MPA projects.</w:t>
            </w:r>
          </w:p>
          <w:p w14:paraId="0BC8F3F1" w14:textId="77777777" w:rsidR="004A3B80" w:rsidRPr="008B4797" w:rsidRDefault="004A3B80" w:rsidP="00146F51">
            <w:pPr>
              <w:spacing w:after="120"/>
              <w:rPr>
                <w:rFonts w:ascii="Times New Roman" w:hAnsi="Times New Roman"/>
                <w:sz w:val="20"/>
                <w:szCs w:val="20"/>
              </w:rPr>
            </w:pPr>
            <w:r w:rsidRPr="008B4797">
              <w:rPr>
                <w:rFonts w:ascii="Times New Roman" w:hAnsi="Times New Roman"/>
                <w:sz w:val="20"/>
                <w:szCs w:val="20"/>
              </w:rPr>
              <w:t xml:space="preserve">Increased interaction between GEF- LME, MPA and ICM projects and other marine and </w:t>
            </w:r>
            <w:r w:rsidRPr="008B4797">
              <w:rPr>
                <w:rFonts w:ascii="Times New Roman" w:hAnsi="Times New Roman"/>
                <w:sz w:val="20"/>
                <w:szCs w:val="20"/>
              </w:rPr>
              <w:lastRenderedPageBreak/>
              <w:t>coastal initiatives supported by GEF and partner organizations.</w:t>
            </w:r>
          </w:p>
          <w:p w14:paraId="3743212B" w14:textId="77777777" w:rsidR="004A3B80" w:rsidRPr="008B4797" w:rsidRDefault="004A3B80" w:rsidP="00146F51">
            <w:pPr>
              <w:spacing w:after="120"/>
              <w:rPr>
                <w:rFonts w:ascii="Times New Roman" w:hAnsi="Times New Roman"/>
                <w:sz w:val="20"/>
                <w:szCs w:val="20"/>
              </w:rPr>
            </w:pPr>
            <w:r w:rsidRPr="008B4797">
              <w:rPr>
                <w:rFonts w:ascii="Times New Roman" w:hAnsi="Times New Roman"/>
                <w:sz w:val="20"/>
                <w:szCs w:val="20"/>
              </w:rPr>
              <w:t>Increased collaboration and coordination between GEF-LME, ICM and MPA projects and partners, within the geographic boundaries of LMEs.</w:t>
            </w:r>
          </w:p>
          <w:p w14:paraId="255C4670" w14:textId="77777777" w:rsidR="004A3B80" w:rsidRPr="008B4797" w:rsidRDefault="004A3B80" w:rsidP="00146F51">
            <w:pPr>
              <w:rPr>
                <w:rFonts w:ascii="Times New Roman" w:hAnsi="Times New Roman"/>
                <w:b/>
                <w:bCs/>
                <w:sz w:val="20"/>
                <w:szCs w:val="20"/>
              </w:rPr>
            </w:pPr>
            <w:r w:rsidRPr="008B4797">
              <w:rPr>
                <w:rFonts w:ascii="Times New Roman" w:hAnsi="Times New Roman"/>
                <w:sz w:val="20"/>
                <w:szCs w:val="20"/>
              </w:rPr>
              <w:t>Progress towards fully integrated ‘ridge to reef’ ecosystem-based management of freshwater and marine transboundary water systems, based on good governance practices, through increased generation of knowledge and enhanced coordination between GEF-IW surface, ground water and LME and ICM projects.</w:t>
            </w:r>
          </w:p>
        </w:tc>
        <w:tc>
          <w:tcPr>
            <w:tcW w:w="2268" w:type="dxa"/>
          </w:tcPr>
          <w:p w14:paraId="60070C07" w14:textId="77777777" w:rsidR="004A3B80" w:rsidRPr="008B4797" w:rsidRDefault="004A3B80" w:rsidP="00146F51">
            <w:pPr>
              <w:pStyle w:val="A"/>
              <w:numPr>
                <w:ilvl w:val="0"/>
                <w:numId w:val="0"/>
              </w:numPr>
              <w:ind w:right="33"/>
              <w:jc w:val="left"/>
              <w:rPr>
                <w:sz w:val="20"/>
                <w:szCs w:val="20"/>
              </w:rPr>
            </w:pPr>
            <w:r w:rsidRPr="008B4797">
              <w:rPr>
                <w:sz w:val="20"/>
                <w:szCs w:val="20"/>
              </w:rPr>
              <w:lastRenderedPageBreak/>
              <w:t xml:space="preserve">Best-practice ecosystem-based assessment and management and governance techniques to support the recovery of LME goods and services from the IW projects and other analogous initiatives would not be captured or codified. States would therefore not derive maximum benefits from the lessons learned over the past 15 years and the </w:t>
            </w:r>
            <w:r w:rsidRPr="008B4797">
              <w:rPr>
                <w:sz w:val="20"/>
                <w:szCs w:val="20"/>
              </w:rPr>
              <w:lastRenderedPageBreak/>
              <w:t xml:space="preserve">technical expertise of public and private partners that have engaged in the projects to date and are willing to engage with the LME/ICM/MPA-Governance project.  States would not benefit from new tools to help embed ICM into the LME framework, to build adaptive institution and reduce vulnerability to climate variability and change, or to integrate actions with other transboundary water systems.  </w:t>
            </w:r>
          </w:p>
          <w:p w14:paraId="0965647A" w14:textId="77777777" w:rsidR="004A3B80" w:rsidRPr="008B4797" w:rsidRDefault="004A3B80" w:rsidP="00146F51">
            <w:pPr>
              <w:ind w:right="33"/>
              <w:rPr>
                <w:rFonts w:ascii="Times New Roman" w:hAnsi="Times New Roman"/>
                <w:b/>
                <w:bCs/>
                <w:sz w:val="20"/>
                <w:szCs w:val="20"/>
              </w:rPr>
            </w:pPr>
          </w:p>
        </w:tc>
        <w:tc>
          <w:tcPr>
            <w:tcW w:w="2552" w:type="dxa"/>
          </w:tcPr>
          <w:p w14:paraId="11CC606F" w14:textId="77777777" w:rsidR="004A3B80" w:rsidRPr="008B4797" w:rsidRDefault="004A3B80" w:rsidP="00146F51">
            <w:pPr>
              <w:spacing w:after="120"/>
              <w:rPr>
                <w:rFonts w:ascii="Times New Roman" w:hAnsi="Times New Roman"/>
                <w:sz w:val="20"/>
                <w:szCs w:val="20"/>
              </w:rPr>
            </w:pPr>
            <w:r w:rsidRPr="008B4797">
              <w:rPr>
                <w:rFonts w:ascii="Times New Roman" w:hAnsi="Times New Roman"/>
                <w:sz w:val="20"/>
                <w:szCs w:val="20"/>
              </w:rPr>
              <w:lastRenderedPageBreak/>
              <w:t xml:space="preserve">Established network (community of practice) of GEF IW Large Marine Ecosystems and their coasts projects, and other marine and coastal initiatives supported by GEF and partner organizations. </w:t>
            </w:r>
          </w:p>
          <w:p w14:paraId="689C3A12" w14:textId="77777777" w:rsidR="004A3B80" w:rsidRPr="008B4797" w:rsidRDefault="004A3B80" w:rsidP="00146F51">
            <w:pPr>
              <w:spacing w:after="120"/>
              <w:rPr>
                <w:rFonts w:ascii="Times New Roman" w:hAnsi="Times New Roman"/>
                <w:sz w:val="20"/>
                <w:szCs w:val="20"/>
              </w:rPr>
            </w:pPr>
          </w:p>
          <w:p w14:paraId="4C6CA3C6" w14:textId="77777777" w:rsidR="004A3B80" w:rsidRPr="008B4797" w:rsidRDefault="004A3B80" w:rsidP="00146F51">
            <w:pPr>
              <w:spacing w:after="120"/>
              <w:rPr>
                <w:rFonts w:ascii="Times New Roman" w:hAnsi="Times New Roman"/>
                <w:sz w:val="20"/>
                <w:szCs w:val="20"/>
              </w:rPr>
            </w:pPr>
            <w:r w:rsidRPr="008B4797">
              <w:rPr>
                <w:rFonts w:ascii="Times New Roman" w:hAnsi="Times New Roman"/>
                <w:sz w:val="20"/>
                <w:szCs w:val="20"/>
              </w:rPr>
              <w:t xml:space="preserve">Technical and Policy-level LME Governance project Steering Committee </w:t>
            </w:r>
            <w:r w:rsidRPr="008B4797">
              <w:rPr>
                <w:rFonts w:ascii="Times New Roman" w:hAnsi="Times New Roman"/>
                <w:sz w:val="20"/>
                <w:szCs w:val="20"/>
              </w:rPr>
              <w:lastRenderedPageBreak/>
              <w:t>established.</w:t>
            </w:r>
          </w:p>
          <w:p w14:paraId="7ED3B798" w14:textId="77777777" w:rsidR="004A3B80" w:rsidRPr="008B4797" w:rsidRDefault="004A3B80" w:rsidP="00146F51">
            <w:pPr>
              <w:spacing w:after="120"/>
              <w:rPr>
                <w:rFonts w:ascii="Times New Roman" w:hAnsi="Times New Roman"/>
                <w:sz w:val="20"/>
                <w:szCs w:val="20"/>
              </w:rPr>
            </w:pPr>
          </w:p>
          <w:p w14:paraId="1B374C2A" w14:textId="77777777" w:rsidR="004A3B80" w:rsidRPr="008B4797" w:rsidRDefault="004A3B80" w:rsidP="00146F51">
            <w:pPr>
              <w:spacing w:after="120"/>
              <w:rPr>
                <w:rFonts w:ascii="Times New Roman" w:hAnsi="Times New Roman"/>
                <w:sz w:val="20"/>
                <w:szCs w:val="20"/>
              </w:rPr>
            </w:pPr>
            <w:r w:rsidRPr="008B4797">
              <w:rPr>
                <w:rFonts w:ascii="Times New Roman" w:hAnsi="Times New Roman"/>
                <w:sz w:val="20"/>
                <w:szCs w:val="20"/>
              </w:rPr>
              <w:t>Technical Working Groups established to develop new LME governance tools in partnership with GEF- LME/ICM/MPA projects, and other marine and coastal initiatives.</w:t>
            </w:r>
          </w:p>
          <w:p w14:paraId="3371AA2B" w14:textId="77777777" w:rsidR="004A3B80" w:rsidRPr="008B4797" w:rsidRDefault="004A3B80" w:rsidP="00146F51">
            <w:pPr>
              <w:spacing w:after="120"/>
              <w:rPr>
                <w:rFonts w:ascii="Times New Roman" w:hAnsi="Times New Roman"/>
                <w:sz w:val="20"/>
                <w:szCs w:val="20"/>
              </w:rPr>
            </w:pPr>
          </w:p>
          <w:p w14:paraId="2A9A1554" w14:textId="77777777" w:rsidR="004A3B80" w:rsidRPr="008B4797" w:rsidRDefault="004A3B80" w:rsidP="00146F51">
            <w:pPr>
              <w:spacing w:after="120"/>
              <w:rPr>
                <w:rFonts w:ascii="Times New Roman" w:hAnsi="Times New Roman"/>
                <w:sz w:val="20"/>
                <w:szCs w:val="20"/>
              </w:rPr>
            </w:pPr>
            <w:r w:rsidRPr="008B4797">
              <w:rPr>
                <w:rFonts w:ascii="Times New Roman" w:hAnsi="Times New Roman"/>
                <w:sz w:val="20"/>
                <w:szCs w:val="20"/>
              </w:rPr>
              <w:t xml:space="preserve">Regional Networks established to enhance interactions and harmonization between GEF- LME, ICM and MPA and other GEF-IW transboundary surface and ground water projects.(jointly with IW:LEARN) </w:t>
            </w:r>
          </w:p>
          <w:p w14:paraId="74310BF5" w14:textId="77777777" w:rsidR="004A3B80" w:rsidRPr="008B4797" w:rsidRDefault="004A3B80" w:rsidP="00146F51">
            <w:pPr>
              <w:rPr>
                <w:rFonts w:ascii="Times New Roman" w:hAnsi="Times New Roman"/>
                <w:b/>
                <w:bCs/>
                <w:sz w:val="20"/>
                <w:szCs w:val="20"/>
              </w:rPr>
            </w:pPr>
          </w:p>
        </w:tc>
        <w:tc>
          <w:tcPr>
            <w:tcW w:w="2268" w:type="dxa"/>
          </w:tcPr>
          <w:p w14:paraId="18A4AB0B" w14:textId="77777777" w:rsidR="004A3B80" w:rsidRPr="008B4797" w:rsidRDefault="004A3B80" w:rsidP="00146F51">
            <w:pPr>
              <w:spacing w:before="2" w:after="2"/>
              <w:contextualSpacing/>
              <w:rPr>
                <w:rFonts w:ascii="Times New Roman" w:hAnsi="Times New Roman"/>
                <w:sz w:val="20"/>
                <w:szCs w:val="20"/>
              </w:rPr>
            </w:pPr>
            <w:r w:rsidRPr="008B4797">
              <w:rPr>
                <w:rFonts w:ascii="Times New Roman" w:hAnsi="Times New Roman"/>
                <w:sz w:val="20"/>
                <w:szCs w:val="20"/>
              </w:rPr>
              <w:lastRenderedPageBreak/>
              <w:t>Terms of Reference for Partner Network.</w:t>
            </w:r>
          </w:p>
          <w:p w14:paraId="00429459" w14:textId="77777777" w:rsidR="004A3B80" w:rsidRPr="008B4797" w:rsidRDefault="004A3B80" w:rsidP="00146F51">
            <w:pPr>
              <w:spacing w:before="2" w:after="2"/>
              <w:contextualSpacing/>
              <w:rPr>
                <w:rFonts w:ascii="Times New Roman" w:hAnsi="Times New Roman"/>
                <w:sz w:val="20"/>
                <w:szCs w:val="20"/>
              </w:rPr>
            </w:pPr>
          </w:p>
          <w:p w14:paraId="1541DB86" w14:textId="77777777" w:rsidR="004A3B80" w:rsidRPr="008B4797" w:rsidRDefault="004A3B80" w:rsidP="00146F51">
            <w:pPr>
              <w:spacing w:before="2" w:after="2"/>
              <w:contextualSpacing/>
              <w:rPr>
                <w:rFonts w:ascii="Times New Roman" w:hAnsi="Times New Roman"/>
                <w:sz w:val="20"/>
                <w:szCs w:val="20"/>
              </w:rPr>
            </w:pPr>
            <w:r w:rsidRPr="008B4797">
              <w:rPr>
                <w:rFonts w:ascii="Times New Roman" w:hAnsi="Times New Roman"/>
                <w:sz w:val="20"/>
                <w:szCs w:val="20"/>
              </w:rPr>
              <w:t>Annual partner network meeting reports</w:t>
            </w:r>
          </w:p>
          <w:p w14:paraId="1A8F5835" w14:textId="77777777" w:rsidR="004A3B80" w:rsidRPr="008B4797" w:rsidRDefault="004A3B80" w:rsidP="00146F51">
            <w:pPr>
              <w:spacing w:before="2" w:after="2"/>
              <w:contextualSpacing/>
              <w:rPr>
                <w:rFonts w:ascii="Times New Roman" w:hAnsi="Times New Roman"/>
                <w:sz w:val="20"/>
                <w:szCs w:val="20"/>
              </w:rPr>
            </w:pPr>
          </w:p>
          <w:p w14:paraId="0837B7C4" w14:textId="77777777" w:rsidR="004A3B80" w:rsidRPr="008B4797" w:rsidRDefault="004A3B80" w:rsidP="00146F51">
            <w:pPr>
              <w:spacing w:before="2" w:after="2"/>
              <w:contextualSpacing/>
              <w:rPr>
                <w:rFonts w:ascii="Times New Roman" w:hAnsi="Times New Roman"/>
                <w:sz w:val="20"/>
                <w:szCs w:val="20"/>
              </w:rPr>
            </w:pPr>
            <w:r w:rsidRPr="008B4797">
              <w:rPr>
                <w:rFonts w:ascii="Times New Roman" w:hAnsi="Times New Roman"/>
                <w:sz w:val="20"/>
                <w:szCs w:val="20"/>
              </w:rPr>
              <w:t>Global directory of LME/ICM/MPA projects, practitioners and institutions.</w:t>
            </w:r>
          </w:p>
          <w:p w14:paraId="5C917CF3" w14:textId="77777777" w:rsidR="004A3B80" w:rsidRPr="008B4797" w:rsidRDefault="004A3B80" w:rsidP="00146F51">
            <w:pPr>
              <w:spacing w:before="2" w:after="2"/>
              <w:contextualSpacing/>
              <w:rPr>
                <w:rFonts w:ascii="Times New Roman" w:hAnsi="Times New Roman"/>
                <w:sz w:val="20"/>
                <w:szCs w:val="20"/>
              </w:rPr>
            </w:pPr>
          </w:p>
          <w:p w14:paraId="547362C1" w14:textId="77777777" w:rsidR="004A3B80" w:rsidRPr="008B4797" w:rsidRDefault="004A3B80" w:rsidP="00146F51">
            <w:pPr>
              <w:spacing w:before="2" w:after="2"/>
              <w:contextualSpacing/>
              <w:rPr>
                <w:rFonts w:ascii="Times New Roman" w:hAnsi="Times New Roman"/>
                <w:sz w:val="20"/>
                <w:szCs w:val="20"/>
              </w:rPr>
            </w:pPr>
            <w:r w:rsidRPr="008B4797">
              <w:rPr>
                <w:rFonts w:ascii="Times New Roman" w:hAnsi="Times New Roman"/>
                <w:sz w:val="20"/>
                <w:szCs w:val="20"/>
              </w:rPr>
              <w:t xml:space="preserve">Annual Steering Committee meeting </w:t>
            </w:r>
            <w:r w:rsidRPr="008B4797">
              <w:rPr>
                <w:rFonts w:ascii="Times New Roman" w:hAnsi="Times New Roman"/>
                <w:sz w:val="20"/>
                <w:szCs w:val="20"/>
              </w:rPr>
              <w:lastRenderedPageBreak/>
              <w:t>reports.</w:t>
            </w:r>
          </w:p>
          <w:p w14:paraId="69A0686B" w14:textId="77777777" w:rsidR="004A3B80" w:rsidRPr="008B4797" w:rsidRDefault="004A3B80" w:rsidP="00146F51">
            <w:pPr>
              <w:spacing w:before="2" w:after="2"/>
              <w:contextualSpacing/>
              <w:rPr>
                <w:rFonts w:ascii="Times New Roman" w:hAnsi="Times New Roman"/>
                <w:sz w:val="20"/>
                <w:szCs w:val="20"/>
              </w:rPr>
            </w:pPr>
          </w:p>
          <w:p w14:paraId="49D2B6B3" w14:textId="77777777" w:rsidR="004A3B80" w:rsidRPr="008B4797" w:rsidRDefault="004A3B80" w:rsidP="00146F51">
            <w:pPr>
              <w:spacing w:before="2" w:after="2"/>
              <w:contextualSpacing/>
              <w:rPr>
                <w:rFonts w:ascii="Times New Roman" w:hAnsi="Times New Roman"/>
                <w:sz w:val="20"/>
                <w:szCs w:val="20"/>
              </w:rPr>
            </w:pPr>
            <w:r w:rsidRPr="008B4797">
              <w:rPr>
                <w:rFonts w:ascii="Times New Roman" w:hAnsi="Times New Roman"/>
                <w:sz w:val="20"/>
                <w:szCs w:val="20"/>
              </w:rPr>
              <w:t>Web-based access to database directory available on Project Website and linked to Google maps.</w:t>
            </w:r>
          </w:p>
          <w:p w14:paraId="33B7C519" w14:textId="77777777" w:rsidR="004A3B80" w:rsidRPr="008B4797" w:rsidRDefault="004A3B80" w:rsidP="00146F51">
            <w:pPr>
              <w:spacing w:before="2" w:after="2"/>
              <w:contextualSpacing/>
              <w:rPr>
                <w:rFonts w:ascii="Times New Roman" w:hAnsi="Times New Roman"/>
                <w:sz w:val="20"/>
                <w:szCs w:val="20"/>
              </w:rPr>
            </w:pPr>
          </w:p>
          <w:p w14:paraId="2C112248" w14:textId="77777777" w:rsidR="004A3B80" w:rsidRPr="008B4797" w:rsidRDefault="004A3B80" w:rsidP="00146F51">
            <w:pPr>
              <w:spacing w:before="2" w:after="2"/>
              <w:contextualSpacing/>
              <w:rPr>
                <w:rFonts w:ascii="Times New Roman" w:hAnsi="Times New Roman"/>
                <w:sz w:val="20"/>
                <w:szCs w:val="20"/>
              </w:rPr>
            </w:pPr>
            <w:r w:rsidRPr="008B4797">
              <w:rPr>
                <w:rFonts w:ascii="Times New Roman" w:hAnsi="Times New Roman"/>
                <w:sz w:val="20"/>
                <w:szCs w:val="20"/>
              </w:rPr>
              <w:t>Completed LME strategic approach and assessment toolkits completed.</w:t>
            </w:r>
          </w:p>
          <w:p w14:paraId="285CE199" w14:textId="77777777" w:rsidR="004A3B80" w:rsidRPr="008B4797" w:rsidRDefault="004A3B80" w:rsidP="00146F51">
            <w:pPr>
              <w:spacing w:before="2" w:after="2"/>
              <w:contextualSpacing/>
              <w:rPr>
                <w:rFonts w:ascii="Times New Roman" w:hAnsi="Times New Roman"/>
                <w:b/>
                <w:sz w:val="20"/>
                <w:szCs w:val="20"/>
              </w:rPr>
            </w:pPr>
          </w:p>
          <w:p w14:paraId="0E478254" w14:textId="77777777" w:rsidR="004A3B80" w:rsidRPr="008B4797" w:rsidRDefault="004A3B80" w:rsidP="00146F51">
            <w:pPr>
              <w:rPr>
                <w:rFonts w:ascii="Times New Roman" w:hAnsi="Times New Roman"/>
                <w:b/>
                <w:bCs/>
                <w:sz w:val="20"/>
                <w:szCs w:val="20"/>
              </w:rPr>
            </w:pPr>
          </w:p>
        </w:tc>
        <w:tc>
          <w:tcPr>
            <w:tcW w:w="2551" w:type="dxa"/>
          </w:tcPr>
          <w:p w14:paraId="685F7886" w14:textId="77777777" w:rsidR="004A3B80" w:rsidRPr="008B4797" w:rsidRDefault="004A3B80" w:rsidP="00146F51">
            <w:pPr>
              <w:rPr>
                <w:rFonts w:ascii="Times New Roman" w:hAnsi="Times New Roman"/>
                <w:b/>
                <w:bCs/>
                <w:sz w:val="20"/>
                <w:szCs w:val="20"/>
              </w:rPr>
            </w:pPr>
            <w:r w:rsidRPr="008B4797">
              <w:rPr>
                <w:rFonts w:ascii="Times New Roman" w:hAnsi="Times New Roman"/>
                <w:bCs/>
                <w:sz w:val="20"/>
                <w:szCs w:val="20"/>
              </w:rPr>
              <w:lastRenderedPageBreak/>
              <w:t>Assumes that key partner organizations will engage in the project, despite possible competing agendas. Assumes all entities are willing to collect and share data in a transparent way.</w:t>
            </w:r>
          </w:p>
        </w:tc>
      </w:tr>
      <w:tr w:rsidR="004A3B80" w:rsidRPr="008B4797" w14:paraId="1710D48E" w14:textId="77777777" w:rsidTr="00146F51">
        <w:tc>
          <w:tcPr>
            <w:tcW w:w="1650" w:type="dxa"/>
            <w:shd w:val="pct12" w:color="auto" w:fill="auto"/>
          </w:tcPr>
          <w:p w14:paraId="55B26C08" w14:textId="77777777" w:rsidR="004A3B80" w:rsidRPr="008B4797" w:rsidRDefault="004A3B80" w:rsidP="00146F51">
            <w:pPr>
              <w:keepNext/>
              <w:keepLines/>
              <w:rPr>
                <w:rFonts w:ascii="Times New Roman" w:hAnsi="Times New Roman"/>
                <w:b/>
                <w:bCs/>
                <w:sz w:val="20"/>
                <w:szCs w:val="20"/>
              </w:rPr>
            </w:pPr>
            <w:r w:rsidRPr="008B4797">
              <w:rPr>
                <w:rFonts w:ascii="Times New Roman" w:hAnsi="Times New Roman"/>
                <w:b/>
                <w:bCs/>
                <w:sz w:val="20"/>
                <w:szCs w:val="20"/>
              </w:rPr>
              <w:lastRenderedPageBreak/>
              <w:t>Outcome 2</w:t>
            </w:r>
          </w:p>
          <w:p w14:paraId="38E7508A" w14:textId="77777777" w:rsidR="004A3B80" w:rsidRPr="008B4797" w:rsidRDefault="004A3B80" w:rsidP="00146F51">
            <w:pPr>
              <w:rPr>
                <w:rFonts w:ascii="Times New Roman" w:hAnsi="Times New Roman"/>
                <w:b/>
                <w:bCs/>
                <w:sz w:val="20"/>
                <w:szCs w:val="20"/>
              </w:rPr>
            </w:pPr>
            <w:r w:rsidRPr="008B4797">
              <w:rPr>
                <w:rFonts w:ascii="Times New Roman" w:hAnsi="Times New Roman"/>
                <w:sz w:val="20"/>
                <w:szCs w:val="20"/>
              </w:rPr>
              <w:t>Synthesis and incorporation of knowledge into policy-making, capture of best LME governance practices, and development of new methods and tools to enhance the management effectiveness of LMEs and to incorporate ICM, MPAs and climate variability and change within the 5 LME modules.</w:t>
            </w:r>
          </w:p>
        </w:tc>
        <w:tc>
          <w:tcPr>
            <w:tcW w:w="2201" w:type="dxa"/>
          </w:tcPr>
          <w:p w14:paraId="1D098B9C" w14:textId="77777777" w:rsidR="004A3B80" w:rsidRPr="008B4797" w:rsidRDefault="004A3B80" w:rsidP="00146F51">
            <w:pPr>
              <w:spacing w:after="120"/>
              <w:rPr>
                <w:rFonts w:ascii="Times New Roman" w:hAnsi="Times New Roman"/>
                <w:sz w:val="20"/>
                <w:szCs w:val="20"/>
              </w:rPr>
            </w:pPr>
            <w:r w:rsidRPr="008B4797">
              <w:rPr>
                <w:rFonts w:ascii="Times New Roman" w:hAnsi="Times New Roman"/>
                <w:sz w:val="20"/>
                <w:szCs w:val="20"/>
              </w:rPr>
              <w:t xml:space="preserve">GEF LME/ICM/MPA projects equipped with new tools that incorporate ICM, MPAs and climate variability and change. </w:t>
            </w:r>
          </w:p>
          <w:p w14:paraId="123DB279" w14:textId="77777777" w:rsidR="004A3B80" w:rsidRPr="008B4797" w:rsidRDefault="004A3B80" w:rsidP="00146F51">
            <w:pPr>
              <w:spacing w:after="120"/>
              <w:rPr>
                <w:rFonts w:ascii="Times New Roman" w:hAnsi="Times New Roman"/>
                <w:sz w:val="20"/>
                <w:szCs w:val="20"/>
              </w:rPr>
            </w:pPr>
            <w:r w:rsidRPr="008B4797">
              <w:rPr>
                <w:rFonts w:ascii="Times New Roman" w:hAnsi="Times New Roman"/>
                <w:sz w:val="20"/>
                <w:szCs w:val="20"/>
              </w:rPr>
              <w:t xml:space="preserve">Innovative approaches captured and available for use by LME, MPA and ICM practitioners in LME governance.  </w:t>
            </w:r>
          </w:p>
          <w:p w14:paraId="63F4746B" w14:textId="77777777" w:rsidR="004A3B80" w:rsidRPr="008B4797" w:rsidRDefault="004A3B80" w:rsidP="00146F51">
            <w:pPr>
              <w:spacing w:after="120"/>
              <w:rPr>
                <w:rFonts w:ascii="Times New Roman" w:hAnsi="Times New Roman"/>
                <w:sz w:val="20"/>
                <w:szCs w:val="20"/>
              </w:rPr>
            </w:pPr>
            <w:r w:rsidRPr="008B4797">
              <w:rPr>
                <w:rFonts w:ascii="Times New Roman" w:hAnsi="Times New Roman"/>
                <w:sz w:val="20"/>
                <w:szCs w:val="20"/>
              </w:rPr>
              <w:t>LME/ICM/MPA projects</w:t>
            </w:r>
            <w:r w:rsidRPr="008B4797">
              <w:rPr>
                <w:rFonts w:ascii="Times New Roman" w:hAnsi="Times New Roman"/>
                <w:color w:val="FF0000"/>
                <w:sz w:val="20"/>
                <w:szCs w:val="20"/>
              </w:rPr>
              <w:t xml:space="preserve"> </w:t>
            </w:r>
            <w:r w:rsidRPr="008B4797">
              <w:rPr>
                <w:rFonts w:ascii="Times New Roman" w:hAnsi="Times New Roman"/>
                <w:sz w:val="20"/>
                <w:szCs w:val="20"/>
              </w:rPr>
              <w:t>accessing and using the tools to address the emerging priorities and new requirements for GEF.</w:t>
            </w:r>
          </w:p>
          <w:p w14:paraId="34230A02" w14:textId="77777777" w:rsidR="004A3B80" w:rsidRPr="008B4797" w:rsidRDefault="004A3B80" w:rsidP="00146F51">
            <w:pPr>
              <w:rPr>
                <w:rFonts w:ascii="Times New Roman" w:hAnsi="Times New Roman"/>
                <w:b/>
                <w:bCs/>
                <w:sz w:val="20"/>
                <w:szCs w:val="20"/>
              </w:rPr>
            </w:pPr>
            <w:r w:rsidRPr="008B4797">
              <w:rPr>
                <w:rFonts w:ascii="Times New Roman" w:hAnsi="Times New Roman"/>
                <w:sz w:val="20"/>
                <w:szCs w:val="20"/>
              </w:rPr>
              <w:t>Facilitate the exchange of experiences between LME’s on data and information management issues, and promote the development of common data management approaches for LME/ICM/MPA projects.</w:t>
            </w:r>
          </w:p>
        </w:tc>
        <w:tc>
          <w:tcPr>
            <w:tcW w:w="2268" w:type="dxa"/>
          </w:tcPr>
          <w:p w14:paraId="3F43C019" w14:textId="77777777" w:rsidR="004A3B80" w:rsidRPr="008B4797" w:rsidRDefault="004A3B80" w:rsidP="00146F51">
            <w:pPr>
              <w:ind w:right="33"/>
              <w:rPr>
                <w:rFonts w:ascii="Times New Roman" w:hAnsi="Times New Roman"/>
                <w:bCs/>
                <w:sz w:val="20"/>
                <w:szCs w:val="20"/>
              </w:rPr>
            </w:pPr>
            <w:r w:rsidRPr="008B4797">
              <w:rPr>
                <w:rFonts w:ascii="Times New Roman" w:hAnsi="Times New Roman"/>
                <w:bCs/>
                <w:sz w:val="20"/>
                <w:szCs w:val="20"/>
              </w:rPr>
              <w:t>LME governance would continue on an ad hoc basis without the benefit of experience sharing and the incorporation of best practices and shared data.</w:t>
            </w:r>
          </w:p>
        </w:tc>
        <w:tc>
          <w:tcPr>
            <w:tcW w:w="2552" w:type="dxa"/>
          </w:tcPr>
          <w:p w14:paraId="252D62F7" w14:textId="77777777" w:rsidR="004A3B80" w:rsidRPr="008B4797" w:rsidRDefault="004A3B80" w:rsidP="00146F51">
            <w:pPr>
              <w:rPr>
                <w:rFonts w:ascii="Times New Roman" w:hAnsi="Times New Roman"/>
                <w:sz w:val="20"/>
                <w:szCs w:val="20"/>
              </w:rPr>
            </w:pPr>
            <w:r w:rsidRPr="008B4797">
              <w:rPr>
                <w:rFonts w:ascii="Times New Roman" w:hAnsi="Times New Roman"/>
                <w:sz w:val="20"/>
                <w:szCs w:val="20"/>
              </w:rPr>
              <w:t xml:space="preserve">Series of validated methods and new tools to address priority transboundary issues and national governance reforms (LME/ICM/MPA and climate variability and change). </w:t>
            </w:r>
          </w:p>
          <w:p w14:paraId="593A5613" w14:textId="77777777" w:rsidR="004A3B80" w:rsidRPr="008B4797" w:rsidRDefault="004A3B80" w:rsidP="00146F51">
            <w:pPr>
              <w:rPr>
                <w:rFonts w:ascii="Times New Roman" w:hAnsi="Times New Roman"/>
                <w:sz w:val="20"/>
                <w:szCs w:val="20"/>
              </w:rPr>
            </w:pPr>
          </w:p>
          <w:p w14:paraId="2E050785" w14:textId="77777777" w:rsidR="004A3B80" w:rsidRPr="008B4797" w:rsidRDefault="004A3B80" w:rsidP="00146F51">
            <w:pPr>
              <w:rPr>
                <w:rFonts w:ascii="Times New Roman" w:hAnsi="Times New Roman"/>
                <w:sz w:val="20"/>
                <w:szCs w:val="20"/>
              </w:rPr>
            </w:pPr>
            <w:r w:rsidRPr="008B4797">
              <w:rPr>
                <w:rFonts w:ascii="Times New Roman" w:hAnsi="Times New Roman"/>
                <w:sz w:val="20"/>
                <w:szCs w:val="20"/>
              </w:rPr>
              <w:t xml:space="preserve">An LME/ICM/MPA Toolkit for adaptive ecosystem-based governance which incorporates tools on best practice and new GEF6 requirements. </w:t>
            </w:r>
          </w:p>
          <w:p w14:paraId="11FE5362" w14:textId="77777777" w:rsidR="004A3B80" w:rsidRPr="008B4797" w:rsidRDefault="004A3B80" w:rsidP="00146F51">
            <w:pPr>
              <w:rPr>
                <w:rFonts w:ascii="Times New Roman" w:hAnsi="Times New Roman"/>
                <w:sz w:val="20"/>
                <w:szCs w:val="20"/>
                <w:highlight w:val="yellow"/>
              </w:rPr>
            </w:pPr>
          </w:p>
          <w:p w14:paraId="64D196D0" w14:textId="77777777" w:rsidR="004A3B80" w:rsidRPr="008B4797" w:rsidRDefault="004A3B80" w:rsidP="00146F51">
            <w:pPr>
              <w:spacing w:after="120"/>
              <w:rPr>
                <w:rFonts w:ascii="Times New Roman" w:hAnsi="Times New Roman"/>
                <w:sz w:val="20"/>
                <w:szCs w:val="20"/>
              </w:rPr>
            </w:pPr>
            <w:r w:rsidRPr="008B4797">
              <w:rPr>
                <w:rFonts w:ascii="Times New Roman" w:hAnsi="Times New Roman"/>
                <w:sz w:val="20"/>
                <w:szCs w:val="20"/>
              </w:rPr>
              <w:t>Codification of experiences and best practices from GEF LME/ICM/MPA projects and other coastal and marine initiatives supported by GEF and partner organisations for inclusion in LME toolkit of assessment and governance practices.</w:t>
            </w:r>
          </w:p>
          <w:p w14:paraId="57939CF3" w14:textId="77777777" w:rsidR="004A3B80" w:rsidRPr="008B4797" w:rsidRDefault="004A3B80" w:rsidP="00146F51">
            <w:pPr>
              <w:spacing w:after="120"/>
              <w:rPr>
                <w:rFonts w:ascii="Times New Roman" w:hAnsi="Times New Roman"/>
                <w:sz w:val="20"/>
                <w:szCs w:val="20"/>
              </w:rPr>
            </w:pPr>
          </w:p>
          <w:p w14:paraId="54F90BFD" w14:textId="77777777" w:rsidR="004A3B80" w:rsidRPr="008B4797" w:rsidRDefault="004A3B80" w:rsidP="00146F51">
            <w:pPr>
              <w:spacing w:after="120"/>
              <w:rPr>
                <w:rFonts w:ascii="Times New Roman" w:hAnsi="Times New Roman"/>
                <w:sz w:val="20"/>
                <w:szCs w:val="20"/>
              </w:rPr>
            </w:pPr>
            <w:r w:rsidRPr="008B4797">
              <w:rPr>
                <w:rFonts w:ascii="Times New Roman" w:hAnsi="Times New Roman"/>
                <w:sz w:val="20"/>
                <w:szCs w:val="20"/>
              </w:rPr>
              <w:t>Establishment of an "LME/ IW environmental data management committee".</w:t>
            </w:r>
          </w:p>
        </w:tc>
        <w:tc>
          <w:tcPr>
            <w:tcW w:w="2268" w:type="dxa"/>
          </w:tcPr>
          <w:p w14:paraId="714DD075" w14:textId="77777777" w:rsidR="004A3B80" w:rsidRPr="008B4797" w:rsidRDefault="004A3B80" w:rsidP="00146F51">
            <w:pPr>
              <w:pStyle w:val="NormalWeb"/>
              <w:spacing w:before="2" w:beforeAutospacing="0" w:after="2" w:afterAutospacing="0"/>
              <w:rPr>
                <w:sz w:val="20"/>
                <w:szCs w:val="20"/>
              </w:rPr>
            </w:pPr>
            <w:r w:rsidRPr="008B4797">
              <w:rPr>
                <w:sz w:val="20"/>
                <w:szCs w:val="20"/>
              </w:rPr>
              <w:t>Key partners identified and working groups formed to complete each toolkit.</w:t>
            </w:r>
          </w:p>
          <w:p w14:paraId="514319C1" w14:textId="77777777" w:rsidR="004A3B80" w:rsidRPr="008B4797" w:rsidRDefault="004A3B80" w:rsidP="00146F51">
            <w:pPr>
              <w:pStyle w:val="NormalWeb"/>
              <w:spacing w:before="2" w:beforeAutospacing="0" w:after="2" w:afterAutospacing="0"/>
              <w:rPr>
                <w:sz w:val="20"/>
                <w:szCs w:val="20"/>
              </w:rPr>
            </w:pPr>
          </w:p>
          <w:p w14:paraId="163FE7B1" w14:textId="77777777" w:rsidR="004A3B80" w:rsidRPr="008B4797" w:rsidRDefault="004A3B80" w:rsidP="00146F51">
            <w:pPr>
              <w:pStyle w:val="NormalWeb"/>
              <w:spacing w:before="2" w:beforeAutospacing="0" w:after="2" w:afterAutospacing="0"/>
              <w:rPr>
                <w:sz w:val="20"/>
                <w:szCs w:val="20"/>
              </w:rPr>
            </w:pPr>
            <w:r w:rsidRPr="008B4797">
              <w:rPr>
                <w:sz w:val="20"/>
                <w:szCs w:val="20"/>
              </w:rPr>
              <w:t xml:space="preserve">Toolkits on environmental economics analysis, social aspects of environmental policy, nutrient over-enrichment, LME valuation and satellite remote sensing completed.  </w:t>
            </w:r>
          </w:p>
          <w:p w14:paraId="2CA83E54" w14:textId="77777777" w:rsidR="004A3B80" w:rsidRPr="008B4797" w:rsidRDefault="004A3B80" w:rsidP="00146F51">
            <w:pPr>
              <w:pStyle w:val="NormalWeb"/>
              <w:spacing w:before="2" w:beforeAutospacing="0" w:after="2" w:afterAutospacing="0"/>
              <w:rPr>
                <w:sz w:val="20"/>
                <w:szCs w:val="20"/>
              </w:rPr>
            </w:pPr>
          </w:p>
          <w:p w14:paraId="4D6BEBDD" w14:textId="77777777" w:rsidR="004A3B80" w:rsidRPr="008B4797" w:rsidRDefault="004A3B80" w:rsidP="00146F51">
            <w:pPr>
              <w:pStyle w:val="NormalWeb"/>
              <w:spacing w:before="2" w:beforeAutospacing="0" w:after="2" w:afterAutospacing="0"/>
              <w:rPr>
                <w:sz w:val="20"/>
                <w:szCs w:val="20"/>
              </w:rPr>
            </w:pPr>
            <w:r w:rsidRPr="008B4797">
              <w:rPr>
                <w:sz w:val="20"/>
                <w:szCs w:val="20"/>
              </w:rPr>
              <w:t>Governance Handbook completed and disseminated to Project Partners.</w:t>
            </w:r>
          </w:p>
          <w:p w14:paraId="404464D6" w14:textId="77777777" w:rsidR="004A3B80" w:rsidRPr="008B4797" w:rsidRDefault="004A3B80" w:rsidP="00146F51">
            <w:pPr>
              <w:pStyle w:val="NormalWeb"/>
              <w:spacing w:before="2" w:beforeAutospacing="0" w:after="2" w:afterAutospacing="0"/>
              <w:rPr>
                <w:sz w:val="20"/>
                <w:szCs w:val="20"/>
              </w:rPr>
            </w:pPr>
          </w:p>
          <w:p w14:paraId="1ADD40A2" w14:textId="77777777" w:rsidR="004A3B80" w:rsidRPr="008B4797" w:rsidRDefault="004A3B80" w:rsidP="00146F51">
            <w:pPr>
              <w:pStyle w:val="NormalWeb"/>
              <w:spacing w:before="2" w:beforeAutospacing="0" w:after="2" w:afterAutospacing="0"/>
              <w:rPr>
                <w:sz w:val="20"/>
                <w:szCs w:val="20"/>
              </w:rPr>
            </w:pPr>
            <w:r w:rsidRPr="008B4797">
              <w:rPr>
                <w:sz w:val="20"/>
                <w:szCs w:val="20"/>
              </w:rPr>
              <w:t>Toolkits and Governance Handbook available on the internet.</w:t>
            </w:r>
          </w:p>
          <w:p w14:paraId="350546FE" w14:textId="77777777" w:rsidR="004A3B80" w:rsidRPr="008B4797" w:rsidRDefault="004A3B80" w:rsidP="00146F51">
            <w:pPr>
              <w:pStyle w:val="NormalWeb"/>
              <w:spacing w:before="2" w:beforeAutospacing="0" w:after="2" w:afterAutospacing="0"/>
              <w:rPr>
                <w:sz w:val="20"/>
                <w:szCs w:val="20"/>
              </w:rPr>
            </w:pPr>
          </w:p>
          <w:p w14:paraId="26814455" w14:textId="77777777" w:rsidR="004A3B80" w:rsidRPr="008B4797" w:rsidRDefault="004A3B80" w:rsidP="00146F51">
            <w:pPr>
              <w:pStyle w:val="NormalWeb"/>
              <w:spacing w:before="2" w:beforeAutospacing="0" w:after="2" w:afterAutospacing="0"/>
              <w:rPr>
                <w:sz w:val="20"/>
                <w:szCs w:val="20"/>
              </w:rPr>
            </w:pPr>
            <w:r w:rsidRPr="008B4797">
              <w:rPr>
                <w:sz w:val="20"/>
                <w:szCs w:val="20"/>
              </w:rPr>
              <w:t>Environmental Data Management Committee established.</w:t>
            </w:r>
          </w:p>
          <w:p w14:paraId="48274459" w14:textId="77777777" w:rsidR="004A3B80" w:rsidRPr="008B4797" w:rsidRDefault="004A3B80" w:rsidP="00146F51">
            <w:pPr>
              <w:pStyle w:val="NormalWeb"/>
              <w:spacing w:before="2" w:beforeAutospacing="0" w:after="2" w:afterAutospacing="0"/>
              <w:rPr>
                <w:sz w:val="20"/>
                <w:szCs w:val="20"/>
              </w:rPr>
            </w:pPr>
          </w:p>
          <w:p w14:paraId="2575F183" w14:textId="77777777" w:rsidR="004A3B80" w:rsidRDefault="004A3B80" w:rsidP="00146F51">
            <w:pPr>
              <w:pStyle w:val="NormalWeb"/>
              <w:spacing w:before="2" w:beforeAutospacing="0" w:after="2" w:afterAutospacing="0"/>
              <w:rPr>
                <w:sz w:val="20"/>
                <w:szCs w:val="20"/>
              </w:rPr>
            </w:pPr>
            <w:r w:rsidRPr="008B4797">
              <w:rPr>
                <w:sz w:val="20"/>
                <w:szCs w:val="20"/>
              </w:rPr>
              <w:t>Training tools for Data and Information Management developed.</w:t>
            </w:r>
          </w:p>
          <w:p w14:paraId="38BEE6A3" w14:textId="77777777" w:rsidR="004A3B80" w:rsidRPr="008B4797" w:rsidRDefault="004A3B80" w:rsidP="00146F51">
            <w:pPr>
              <w:pStyle w:val="NormalWeb"/>
              <w:spacing w:before="2" w:beforeAutospacing="0" w:after="2" w:afterAutospacing="0"/>
              <w:rPr>
                <w:b/>
                <w:sz w:val="20"/>
                <w:szCs w:val="20"/>
              </w:rPr>
            </w:pPr>
          </w:p>
        </w:tc>
        <w:tc>
          <w:tcPr>
            <w:tcW w:w="2551" w:type="dxa"/>
          </w:tcPr>
          <w:p w14:paraId="0EA2CFF6" w14:textId="77777777" w:rsidR="004A3B80" w:rsidRPr="008B4797" w:rsidRDefault="004A3B80" w:rsidP="00146F51">
            <w:pPr>
              <w:rPr>
                <w:rFonts w:ascii="Times New Roman" w:hAnsi="Times New Roman"/>
                <w:bCs/>
                <w:sz w:val="20"/>
                <w:szCs w:val="20"/>
              </w:rPr>
            </w:pPr>
          </w:p>
        </w:tc>
      </w:tr>
      <w:tr w:rsidR="004A3B80" w:rsidRPr="008B4797" w14:paraId="491D090E" w14:textId="77777777" w:rsidTr="00146F51">
        <w:tc>
          <w:tcPr>
            <w:tcW w:w="1650" w:type="dxa"/>
            <w:tcBorders>
              <w:top w:val="single" w:sz="4" w:space="0" w:color="auto"/>
              <w:left w:val="single" w:sz="4" w:space="0" w:color="auto"/>
              <w:bottom w:val="single" w:sz="4" w:space="0" w:color="auto"/>
              <w:right w:val="single" w:sz="4" w:space="0" w:color="auto"/>
            </w:tcBorders>
            <w:shd w:val="pct12" w:color="auto" w:fill="auto"/>
          </w:tcPr>
          <w:p w14:paraId="7BB70A4C" w14:textId="77777777" w:rsidR="004A3B80" w:rsidRPr="008B4797" w:rsidRDefault="004A3B80" w:rsidP="00146F51">
            <w:pPr>
              <w:keepNext/>
              <w:keepLines/>
              <w:rPr>
                <w:rFonts w:ascii="Times New Roman" w:hAnsi="Times New Roman"/>
                <w:b/>
                <w:bCs/>
                <w:sz w:val="20"/>
                <w:szCs w:val="20"/>
              </w:rPr>
            </w:pPr>
            <w:r w:rsidRPr="008B4797">
              <w:rPr>
                <w:rFonts w:ascii="Times New Roman" w:hAnsi="Times New Roman"/>
                <w:b/>
                <w:bCs/>
                <w:sz w:val="20"/>
                <w:szCs w:val="20"/>
              </w:rPr>
              <w:lastRenderedPageBreak/>
              <w:t>Outcome 3</w:t>
            </w:r>
          </w:p>
          <w:p w14:paraId="38130716" w14:textId="77777777" w:rsidR="004A3B80" w:rsidRPr="00534D2E" w:rsidRDefault="004A3B80" w:rsidP="00146F51">
            <w:pPr>
              <w:keepNext/>
              <w:keepLines/>
              <w:rPr>
                <w:rFonts w:ascii="Times New Roman" w:hAnsi="Times New Roman"/>
                <w:b/>
                <w:bCs/>
                <w:sz w:val="20"/>
                <w:szCs w:val="20"/>
              </w:rPr>
            </w:pPr>
            <w:r w:rsidRPr="00534D2E">
              <w:rPr>
                <w:rFonts w:ascii="Times New Roman" w:hAnsi="Times New Roman"/>
                <w:b/>
                <w:bCs/>
                <w:sz w:val="20"/>
                <w:szCs w:val="20"/>
              </w:rPr>
              <w:t xml:space="preserve">Capacity and partnership building through twinning and learning exchanges, workshops and training among LMEs and similar initiatives (e.g. Seascapes).        </w:t>
            </w:r>
          </w:p>
          <w:p w14:paraId="4D03AC09" w14:textId="77777777" w:rsidR="004A3B80" w:rsidRPr="00534D2E" w:rsidRDefault="004A3B80" w:rsidP="00146F51">
            <w:pPr>
              <w:keepNext/>
              <w:keepLines/>
              <w:rPr>
                <w:rFonts w:ascii="Times New Roman" w:hAnsi="Times New Roman"/>
                <w:b/>
                <w:bCs/>
                <w:sz w:val="20"/>
                <w:szCs w:val="20"/>
              </w:rPr>
            </w:pPr>
          </w:p>
          <w:p w14:paraId="20EBB554" w14:textId="77777777" w:rsidR="004A3B80" w:rsidRPr="00534D2E" w:rsidRDefault="004A3B80" w:rsidP="00146F51">
            <w:pPr>
              <w:keepNext/>
              <w:keepLines/>
              <w:rPr>
                <w:rFonts w:ascii="Times New Roman" w:hAnsi="Times New Roman"/>
                <w:b/>
                <w:bCs/>
                <w:sz w:val="20"/>
                <w:szCs w:val="20"/>
              </w:rPr>
            </w:pPr>
            <w:r w:rsidRPr="00534D2E">
              <w:rPr>
                <w:rFonts w:ascii="Times New Roman" w:hAnsi="Times New Roman"/>
                <w:b/>
                <w:bCs/>
                <w:sz w:val="20"/>
                <w:szCs w:val="20"/>
              </w:rPr>
              <w:t xml:space="preserve"> </w:t>
            </w:r>
          </w:p>
        </w:tc>
        <w:tc>
          <w:tcPr>
            <w:tcW w:w="2201" w:type="dxa"/>
            <w:tcBorders>
              <w:top w:val="single" w:sz="4" w:space="0" w:color="auto"/>
              <w:left w:val="single" w:sz="4" w:space="0" w:color="auto"/>
              <w:bottom w:val="single" w:sz="4" w:space="0" w:color="auto"/>
              <w:right w:val="single" w:sz="4" w:space="0" w:color="auto"/>
            </w:tcBorders>
          </w:tcPr>
          <w:p w14:paraId="0D982C1D" w14:textId="77777777" w:rsidR="004A3B80" w:rsidRPr="008B4797" w:rsidRDefault="004A3B80" w:rsidP="00146F51">
            <w:pPr>
              <w:spacing w:after="120"/>
              <w:rPr>
                <w:rFonts w:ascii="Times New Roman" w:hAnsi="Times New Roman"/>
                <w:sz w:val="20"/>
                <w:szCs w:val="20"/>
              </w:rPr>
            </w:pPr>
            <w:r w:rsidRPr="008B4797">
              <w:rPr>
                <w:rFonts w:ascii="Times New Roman" w:hAnsi="Times New Roman"/>
                <w:sz w:val="20"/>
                <w:szCs w:val="20"/>
              </w:rPr>
              <w:t xml:space="preserve">Increased collaboration and learning exchanges South-to-South between the GEF LME, MPA and ICM projects, and North-to-South and South-to-North partnerships with non-GEF marine and coastal initiatives (e.g. Seascapes) to build capacity and develop training and education materials. </w:t>
            </w:r>
          </w:p>
          <w:p w14:paraId="21E10AC9" w14:textId="77777777" w:rsidR="004A3B80" w:rsidRPr="008B4797" w:rsidRDefault="004A3B80" w:rsidP="00146F51">
            <w:pPr>
              <w:spacing w:after="120"/>
              <w:rPr>
                <w:rFonts w:ascii="Times New Roman" w:hAnsi="Times New Roman"/>
                <w:sz w:val="20"/>
                <w:szCs w:val="20"/>
              </w:rPr>
            </w:pPr>
            <w:r w:rsidRPr="008B4797">
              <w:rPr>
                <w:rFonts w:ascii="Times New Roman" w:hAnsi="Times New Roman"/>
                <w:sz w:val="20"/>
                <w:szCs w:val="20"/>
              </w:rPr>
              <w:t xml:space="preserve">GEF LME/ICM/MPA practitioners trained in new techniques and approaches for ecosystem-based 5-modular assessment, management and governance practices for ecosystem and mitigation of effects of climatic variability and change in LMEs. </w:t>
            </w:r>
          </w:p>
          <w:p w14:paraId="516787FA" w14:textId="77777777" w:rsidR="004A3B80" w:rsidRPr="00534D2E" w:rsidRDefault="004A3B80" w:rsidP="00146F51">
            <w:pPr>
              <w:spacing w:after="120"/>
              <w:rPr>
                <w:rFonts w:ascii="Times New Roman" w:hAnsi="Times New Roman"/>
                <w:sz w:val="20"/>
                <w:szCs w:val="20"/>
              </w:rPr>
            </w:pPr>
            <w:r w:rsidRPr="008B4797">
              <w:rPr>
                <w:rFonts w:ascii="Times New Roman" w:hAnsi="Times New Roman"/>
                <w:sz w:val="20"/>
                <w:szCs w:val="20"/>
              </w:rPr>
              <w:t>Increased capacity of GEF LME, ICM and MPA project staff and practitioners, to address the new ecosystem-</w:t>
            </w:r>
            <w:r w:rsidRPr="008B4797">
              <w:rPr>
                <w:rFonts w:ascii="Times New Roman" w:hAnsi="Times New Roman"/>
                <w:sz w:val="20"/>
                <w:szCs w:val="20"/>
              </w:rPr>
              <w:lastRenderedPageBreak/>
              <w:t>based governance priorities in GEF6 built through portfolio learning, partnerships, and training.</w:t>
            </w:r>
          </w:p>
        </w:tc>
        <w:tc>
          <w:tcPr>
            <w:tcW w:w="2268" w:type="dxa"/>
            <w:tcBorders>
              <w:top w:val="single" w:sz="4" w:space="0" w:color="auto"/>
              <w:left w:val="single" w:sz="4" w:space="0" w:color="auto"/>
              <w:bottom w:val="single" w:sz="4" w:space="0" w:color="auto"/>
              <w:right w:val="single" w:sz="4" w:space="0" w:color="auto"/>
            </w:tcBorders>
          </w:tcPr>
          <w:p w14:paraId="0BD85C30" w14:textId="77777777" w:rsidR="004A3B80" w:rsidRPr="00534D2E" w:rsidRDefault="004A3B80" w:rsidP="00146F51">
            <w:pPr>
              <w:ind w:right="33"/>
              <w:rPr>
                <w:rFonts w:ascii="Times New Roman" w:hAnsi="Times New Roman"/>
                <w:bCs/>
                <w:sz w:val="20"/>
                <w:szCs w:val="20"/>
              </w:rPr>
            </w:pPr>
            <w:r w:rsidRPr="00534D2E">
              <w:rPr>
                <w:rFonts w:ascii="Times New Roman" w:hAnsi="Times New Roman"/>
                <w:bCs/>
                <w:sz w:val="20"/>
                <w:szCs w:val="20"/>
              </w:rPr>
              <w:lastRenderedPageBreak/>
              <w:t xml:space="preserve">Training within the LME/ICM/MPA projects provided on an ad-hoc and inequitable basis between regions, host States and stakeholders, dependent on the project and partner resources available in the region. Delivery of the individual projects delayed by lack of capacity and availability of trained practitioners. Project costs increased due to the lack of easily accessible training and educational materials. Existing training materials prepared by learning partners not fully mobilized. No strategy in place to be able to train the number of practitioners needed to be able scale up the Coordination of ecosystem-based management and governance practices.  Existing LME projects </w:t>
            </w:r>
            <w:r w:rsidRPr="00534D2E">
              <w:rPr>
                <w:rFonts w:ascii="Times New Roman" w:hAnsi="Times New Roman"/>
                <w:bCs/>
                <w:sz w:val="20"/>
                <w:szCs w:val="20"/>
              </w:rPr>
              <w:lastRenderedPageBreak/>
              <w:t>not be able to build the capacity of participating countries to apply ICM or adapt to climate change and maintain ecosystem resilience. Reduced impact and the level of consistency in the achievable performance of the IW portfolio.</w:t>
            </w:r>
          </w:p>
          <w:p w14:paraId="0655532A" w14:textId="77777777" w:rsidR="004A3B80" w:rsidRPr="00534D2E" w:rsidRDefault="004A3B80" w:rsidP="00146F51">
            <w:pPr>
              <w:ind w:right="33"/>
              <w:rPr>
                <w:rFonts w:ascii="Times New Roman" w:hAnsi="Times New Roman"/>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2642ECE" w14:textId="77777777" w:rsidR="004A3B80" w:rsidRPr="008B4797" w:rsidRDefault="004A3B80" w:rsidP="00146F51">
            <w:pPr>
              <w:rPr>
                <w:rFonts w:ascii="Times New Roman" w:hAnsi="Times New Roman"/>
                <w:sz w:val="20"/>
                <w:szCs w:val="20"/>
              </w:rPr>
            </w:pPr>
            <w:r w:rsidRPr="008B4797">
              <w:rPr>
                <w:rFonts w:ascii="Times New Roman" w:hAnsi="Times New Roman"/>
                <w:sz w:val="20"/>
                <w:szCs w:val="20"/>
              </w:rPr>
              <w:lastRenderedPageBreak/>
              <w:t>Functional dialogue, project twinning, learning exchanges, and training workshops in ecosystem-based governance among GEF LME/ICM/MPA projects and other GEF and non-GEF funded marine and coastal initiatives, such as Seascapes,, to build capacity and for portfolio learning.</w:t>
            </w:r>
          </w:p>
          <w:p w14:paraId="28643F52" w14:textId="77777777" w:rsidR="004A3B80" w:rsidRPr="008B4797" w:rsidRDefault="004A3B80" w:rsidP="00146F51">
            <w:pPr>
              <w:rPr>
                <w:rFonts w:ascii="Times New Roman" w:hAnsi="Times New Roman"/>
                <w:sz w:val="20"/>
                <w:szCs w:val="20"/>
              </w:rPr>
            </w:pPr>
          </w:p>
          <w:p w14:paraId="28DE0641" w14:textId="77777777" w:rsidR="004A3B80" w:rsidRPr="008B4797" w:rsidRDefault="004A3B80" w:rsidP="00146F51">
            <w:pPr>
              <w:rPr>
                <w:rFonts w:ascii="Times New Roman" w:hAnsi="Times New Roman"/>
                <w:sz w:val="20"/>
                <w:szCs w:val="20"/>
              </w:rPr>
            </w:pPr>
            <w:r w:rsidRPr="008B4797">
              <w:rPr>
                <w:rFonts w:ascii="Times New Roman" w:hAnsi="Times New Roman"/>
                <w:sz w:val="20"/>
                <w:szCs w:val="20"/>
              </w:rPr>
              <w:t>GEF LME/ICM/MPA practitioners fully trained in ecosystem-based governance techniques and approaches including adaptation to climatic variability and change.</w:t>
            </w:r>
          </w:p>
          <w:p w14:paraId="68A2C0CE" w14:textId="77777777" w:rsidR="004A3B80" w:rsidRPr="008B4797" w:rsidRDefault="004A3B80" w:rsidP="00146F51">
            <w:pPr>
              <w:rPr>
                <w:rFonts w:ascii="Times New Roman" w:hAnsi="Times New Roman"/>
                <w:sz w:val="20"/>
                <w:szCs w:val="20"/>
              </w:rPr>
            </w:pPr>
          </w:p>
          <w:p w14:paraId="46CB8CD5" w14:textId="77777777" w:rsidR="004A3B80" w:rsidRPr="008B4797" w:rsidRDefault="004A3B80" w:rsidP="00146F51">
            <w:pPr>
              <w:rPr>
                <w:rFonts w:ascii="Times New Roman" w:hAnsi="Times New Roman"/>
                <w:sz w:val="20"/>
                <w:szCs w:val="20"/>
              </w:rPr>
            </w:pPr>
            <w:r w:rsidRPr="008B4797">
              <w:rPr>
                <w:rFonts w:ascii="Times New Roman" w:hAnsi="Times New Roman"/>
                <w:sz w:val="20"/>
                <w:szCs w:val="20"/>
              </w:rPr>
              <w:t xml:space="preserve">New training materials developed in collaboration with learning partners (e.g. IUCN, FAO, IOC, ICES, NOAA, IOI, Conservation International, UNU-INWEH) and through learning exchanges and workshops to address </w:t>
            </w:r>
            <w:r w:rsidRPr="008B4797">
              <w:rPr>
                <w:rFonts w:ascii="Times New Roman" w:hAnsi="Times New Roman"/>
                <w:sz w:val="20"/>
                <w:szCs w:val="20"/>
              </w:rPr>
              <w:lastRenderedPageBreak/>
              <w:t>priority issues in GEF6.</w:t>
            </w:r>
          </w:p>
          <w:p w14:paraId="09E693BC" w14:textId="77777777" w:rsidR="004A3B80" w:rsidRPr="00534D2E" w:rsidRDefault="004A3B80" w:rsidP="00146F51">
            <w:pP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DBE4A4B" w14:textId="77777777" w:rsidR="004A3B80" w:rsidRPr="008B4797" w:rsidRDefault="004A3B80" w:rsidP="00146F51">
            <w:pPr>
              <w:pStyle w:val="NormalWeb"/>
              <w:spacing w:before="2" w:after="2"/>
              <w:rPr>
                <w:sz w:val="20"/>
                <w:szCs w:val="20"/>
              </w:rPr>
            </w:pPr>
            <w:r w:rsidRPr="008B4797">
              <w:rPr>
                <w:sz w:val="20"/>
                <w:szCs w:val="20"/>
              </w:rPr>
              <w:lastRenderedPageBreak/>
              <w:t>Internet portal operational.</w:t>
            </w:r>
          </w:p>
          <w:p w14:paraId="38350586" w14:textId="77777777" w:rsidR="004A3B80" w:rsidRPr="008B4797" w:rsidRDefault="004A3B80" w:rsidP="00146F51">
            <w:pPr>
              <w:pStyle w:val="NormalWeb"/>
              <w:rPr>
                <w:sz w:val="20"/>
                <w:szCs w:val="20"/>
              </w:rPr>
            </w:pPr>
          </w:p>
          <w:p w14:paraId="6521BD45" w14:textId="77777777" w:rsidR="004A3B80" w:rsidRPr="008B4797" w:rsidRDefault="004A3B80" w:rsidP="00146F51">
            <w:pPr>
              <w:pStyle w:val="NormalWeb"/>
              <w:rPr>
                <w:sz w:val="20"/>
                <w:szCs w:val="20"/>
              </w:rPr>
            </w:pPr>
            <w:r w:rsidRPr="008B4797">
              <w:rPr>
                <w:sz w:val="20"/>
                <w:szCs w:val="20"/>
              </w:rPr>
              <w:t>Completed twinning training materials.</w:t>
            </w:r>
          </w:p>
          <w:p w14:paraId="5A66E6DE" w14:textId="77777777" w:rsidR="004A3B80" w:rsidRPr="008B4797" w:rsidRDefault="004A3B80" w:rsidP="00146F51">
            <w:pPr>
              <w:pStyle w:val="NormalWeb"/>
              <w:spacing w:before="2" w:beforeAutospacing="0" w:after="2" w:afterAutospacing="0"/>
              <w:rPr>
                <w:sz w:val="20"/>
                <w:szCs w:val="20"/>
              </w:rPr>
            </w:pPr>
          </w:p>
          <w:p w14:paraId="38B3B495" w14:textId="77777777" w:rsidR="004A3B80" w:rsidRPr="008B4797" w:rsidRDefault="004A3B80" w:rsidP="00146F51">
            <w:pPr>
              <w:pStyle w:val="NormalWeb"/>
              <w:spacing w:before="2" w:beforeAutospacing="0" w:after="2" w:afterAutospacing="0"/>
              <w:rPr>
                <w:sz w:val="20"/>
                <w:szCs w:val="20"/>
              </w:rPr>
            </w:pPr>
            <w:r w:rsidRPr="008B4797">
              <w:rPr>
                <w:sz w:val="20"/>
                <w:szCs w:val="20"/>
              </w:rPr>
              <w:t xml:space="preserve">Twinning experiences occurring. </w:t>
            </w:r>
          </w:p>
          <w:p w14:paraId="61237B1D" w14:textId="77777777" w:rsidR="004A3B80" w:rsidRPr="008B4797" w:rsidRDefault="004A3B80" w:rsidP="00146F51">
            <w:pPr>
              <w:pStyle w:val="NormalWeb"/>
              <w:spacing w:before="2" w:beforeAutospacing="0" w:after="2" w:afterAutospacing="0"/>
              <w:rPr>
                <w:sz w:val="20"/>
                <w:szCs w:val="20"/>
              </w:rPr>
            </w:pPr>
          </w:p>
          <w:p w14:paraId="2936F036" w14:textId="77777777" w:rsidR="004A3B80" w:rsidRPr="008B4797" w:rsidRDefault="004A3B80" w:rsidP="00146F51">
            <w:pPr>
              <w:pStyle w:val="NormalWeb"/>
              <w:spacing w:before="2" w:beforeAutospacing="0" w:after="2" w:afterAutospacing="0"/>
              <w:rPr>
                <w:sz w:val="20"/>
                <w:szCs w:val="20"/>
              </w:rPr>
            </w:pPr>
            <w:r w:rsidRPr="008B4797">
              <w:rPr>
                <w:sz w:val="20"/>
                <w:szCs w:val="20"/>
              </w:rPr>
              <w:t>Twinning experiences tracked and evaluated and lessons learned included in training materials.</w:t>
            </w:r>
          </w:p>
          <w:p w14:paraId="3BAA17F1" w14:textId="77777777" w:rsidR="004A3B80" w:rsidRPr="008B4797" w:rsidRDefault="004A3B80" w:rsidP="00146F51">
            <w:pPr>
              <w:pStyle w:val="NormalWeb"/>
              <w:spacing w:before="2" w:beforeAutospacing="0" w:after="2" w:afterAutospacing="0"/>
              <w:rPr>
                <w:sz w:val="20"/>
                <w:szCs w:val="20"/>
              </w:rPr>
            </w:pPr>
          </w:p>
          <w:p w14:paraId="0765479B" w14:textId="77777777" w:rsidR="004A3B80" w:rsidRPr="008B4797" w:rsidRDefault="004A3B80" w:rsidP="00146F51">
            <w:pPr>
              <w:pStyle w:val="NormalWeb"/>
              <w:spacing w:before="2" w:beforeAutospacing="0" w:after="2" w:afterAutospacing="0"/>
              <w:rPr>
                <w:sz w:val="20"/>
                <w:szCs w:val="20"/>
              </w:rPr>
            </w:pPr>
            <w:r w:rsidRPr="008B4797">
              <w:rPr>
                <w:sz w:val="20"/>
                <w:szCs w:val="20"/>
              </w:rPr>
              <w:t>Training strategy based on short-term capacity building needs assessment developed and implemented.</w:t>
            </w:r>
          </w:p>
          <w:p w14:paraId="5378AA9F" w14:textId="77777777" w:rsidR="004A3B80" w:rsidRPr="008B4797" w:rsidRDefault="004A3B80" w:rsidP="00146F51">
            <w:pPr>
              <w:pStyle w:val="NormalWeb"/>
              <w:spacing w:before="2" w:beforeAutospacing="0" w:after="2" w:afterAutospacing="0"/>
              <w:rPr>
                <w:sz w:val="20"/>
                <w:szCs w:val="20"/>
              </w:rPr>
            </w:pPr>
          </w:p>
          <w:p w14:paraId="57368122" w14:textId="77777777" w:rsidR="004A3B80" w:rsidRPr="008B4797" w:rsidRDefault="004A3B80" w:rsidP="00146F51">
            <w:pPr>
              <w:pStyle w:val="NormalWeb"/>
              <w:spacing w:before="2" w:beforeAutospacing="0" w:after="2" w:afterAutospacing="0"/>
              <w:rPr>
                <w:sz w:val="20"/>
                <w:szCs w:val="20"/>
              </w:rPr>
            </w:pPr>
            <w:r w:rsidRPr="008B4797">
              <w:rPr>
                <w:sz w:val="20"/>
                <w:szCs w:val="20"/>
              </w:rPr>
              <w:t xml:space="preserve">Training sessions held and reports written. </w:t>
            </w:r>
          </w:p>
          <w:p w14:paraId="6104DA5A" w14:textId="77777777" w:rsidR="004A3B80" w:rsidRPr="00534D2E" w:rsidRDefault="004A3B80" w:rsidP="00146F51">
            <w:pPr>
              <w:pStyle w:val="NormalWeb"/>
              <w:spacing w:before="2" w:after="2"/>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239A935" w14:textId="77777777" w:rsidR="004A3B80" w:rsidRPr="008B4797" w:rsidRDefault="004A3B80" w:rsidP="00146F51">
            <w:pPr>
              <w:rPr>
                <w:rFonts w:ascii="Times New Roman" w:hAnsi="Times New Roman"/>
                <w:bCs/>
                <w:sz w:val="20"/>
                <w:szCs w:val="20"/>
              </w:rPr>
            </w:pPr>
            <w:r w:rsidRPr="008B4797">
              <w:rPr>
                <w:rFonts w:ascii="Times New Roman" w:hAnsi="Times New Roman"/>
                <w:bCs/>
                <w:sz w:val="20"/>
                <w:szCs w:val="20"/>
              </w:rPr>
              <w:t>Assumes that GEF LME/ICM/MPA project staff and practitioners will have time and willingness to engage in learning and experience sharing activities.</w:t>
            </w:r>
          </w:p>
        </w:tc>
      </w:tr>
      <w:tr w:rsidR="004A3B80" w:rsidRPr="008B4797" w14:paraId="6CAD3598" w14:textId="77777777" w:rsidTr="00146F51">
        <w:tc>
          <w:tcPr>
            <w:tcW w:w="1650" w:type="dxa"/>
            <w:tcBorders>
              <w:top w:val="single" w:sz="4" w:space="0" w:color="auto"/>
              <w:left w:val="single" w:sz="4" w:space="0" w:color="auto"/>
              <w:bottom w:val="single" w:sz="4" w:space="0" w:color="auto"/>
              <w:right w:val="single" w:sz="4" w:space="0" w:color="auto"/>
            </w:tcBorders>
            <w:shd w:val="pct12" w:color="auto" w:fill="auto"/>
          </w:tcPr>
          <w:p w14:paraId="79F13DC4" w14:textId="77777777" w:rsidR="004A3B80" w:rsidRPr="008B4797" w:rsidRDefault="004A3B80" w:rsidP="00146F51">
            <w:pPr>
              <w:keepNext/>
              <w:keepLines/>
              <w:rPr>
                <w:rFonts w:ascii="Times New Roman" w:hAnsi="Times New Roman"/>
                <w:b/>
                <w:bCs/>
                <w:sz w:val="20"/>
                <w:szCs w:val="20"/>
              </w:rPr>
            </w:pPr>
            <w:r w:rsidRPr="008B4797">
              <w:rPr>
                <w:rFonts w:ascii="Times New Roman" w:hAnsi="Times New Roman"/>
                <w:b/>
                <w:bCs/>
                <w:sz w:val="20"/>
                <w:szCs w:val="20"/>
              </w:rPr>
              <w:lastRenderedPageBreak/>
              <w:t>Outcome 4</w:t>
            </w:r>
          </w:p>
          <w:p w14:paraId="36DB86AF" w14:textId="77777777" w:rsidR="004A3B80" w:rsidRPr="00534D2E" w:rsidRDefault="004A3B80" w:rsidP="00146F51">
            <w:pPr>
              <w:keepNext/>
              <w:keepLines/>
              <w:rPr>
                <w:rFonts w:ascii="Times New Roman" w:hAnsi="Times New Roman"/>
                <w:b/>
                <w:bCs/>
                <w:sz w:val="20"/>
                <w:szCs w:val="20"/>
              </w:rPr>
            </w:pPr>
            <w:r w:rsidRPr="00534D2E">
              <w:rPr>
                <w:rFonts w:ascii="Times New Roman" w:hAnsi="Times New Roman"/>
                <w:b/>
                <w:bCs/>
                <w:sz w:val="20"/>
                <w:szCs w:val="20"/>
              </w:rPr>
              <w:t>Communication, dissemination and outreach of GEF LME/ICM/MPA project achievements and lessons learned.</w:t>
            </w:r>
          </w:p>
        </w:tc>
        <w:tc>
          <w:tcPr>
            <w:tcW w:w="2201" w:type="dxa"/>
            <w:tcBorders>
              <w:top w:val="single" w:sz="4" w:space="0" w:color="auto"/>
              <w:left w:val="single" w:sz="4" w:space="0" w:color="auto"/>
              <w:bottom w:val="single" w:sz="4" w:space="0" w:color="auto"/>
              <w:right w:val="single" w:sz="4" w:space="0" w:color="auto"/>
            </w:tcBorders>
          </w:tcPr>
          <w:p w14:paraId="1ECAB26E" w14:textId="77777777" w:rsidR="004A3B80" w:rsidRPr="008B4797" w:rsidRDefault="004A3B80" w:rsidP="00146F51">
            <w:pPr>
              <w:spacing w:after="120"/>
              <w:rPr>
                <w:rFonts w:ascii="Times New Roman" w:hAnsi="Times New Roman"/>
                <w:sz w:val="20"/>
                <w:szCs w:val="20"/>
              </w:rPr>
            </w:pPr>
            <w:r w:rsidRPr="008B4797">
              <w:rPr>
                <w:rFonts w:ascii="Times New Roman" w:hAnsi="Times New Roman"/>
                <w:sz w:val="20"/>
                <w:szCs w:val="20"/>
              </w:rPr>
              <w:t>Communication of results to stakeholders, increased awareness of LME issues and engagement in networks through global and regional LME /COPs</w:t>
            </w:r>
          </w:p>
          <w:p w14:paraId="612BEB0B" w14:textId="77777777" w:rsidR="004A3B80" w:rsidRPr="008B4797" w:rsidRDefault="004A3B80" w:rsidP="00146F51">
            <w:pPr>
              <w:spacing w:after="120"/>
              <w:rPr>
                <w:rFonts w:ascii="Times New Roman" w:hAnsi="Times New Roman"/>
                <w:sz w:val="20"/>
                <w:szCs w:val="20"/>
              </w:rPr>
            </w:pPr>
            <w:r w:rsidRPr="008B4797">
              <w:rPr>
                <w:rFonts w:ascii="Times New Roman" w:hAnsi="Times New Roman"/>
                <w:sz w:val="20"/>
                <w:szCs w:val="20"/>
              </w:rPr>
              <w:t xml:space="preserve">Strategy developed for showcasing LME and ICM assessment and governance best practices among project partners, stakeholders, resource managers, broader scientific community, government representatives, private companies, universities, schools and the public. </w:t>
            </w:r>
          </w:p>
          <w:p w14:paraId="6CE4F0F7" w14:textId="77777777" w:rsidR="004A3B80" w:rsidRPr="00534D2E" w:rsidRDefault="004A3B80" w:rsidP="00146F51">
            <w:pPr>
              <w:spacing w:after="120"/>
              <w:rPr>
                <w:rFonts w:ascii="Times New Roman" w:hAnsi="Times New Roman"/>
                <w:sz w:val="20"/>
                <w:szCs w:val="20"/>
              </w:rPr>
            </w:pPr>
            <w:r w:rsidRPr="008B4797">
              <w:rPr>
                <w:rFonts w:ascii="Times New Roman" w:hAnsi="Times New Roman"/>
                <w:sz w:val="20"/>
                <w:szCs w:val="20"/>
              </w:rPr>
              <w:t>Global policy discussions informed and impacted by knowledge and experience of GEF- ecosystem based LME/ICM/MPA governance project.</w:t>
            </w:r>
          </w:p>
        </w:tc>
        <w:tc>
          <w:tcPr>
            <w:tcW w:w="2268" w:type="dxa"/>
            <w:tcBorders>
              <w:top w:val="single" w:sz="4" w:space="0" w:color="auto"/>
              <w:left w:val="single" w:sz="4" w:space="0" w:color="auto"/>
              <w:bottom w:val="single" w:sz="4" w:space="0" w:color="auto"/>
              <w:right w:val="single" w:sz="4" w:space="0" w:color="auto"/>
            </w:tcBorders>
          </w:tcPr>
          <w:p w14:paraId="25FD2A1E" w14:textId="77777777" w:rsidR="004A3B80" w:rsidRPr="00534D2E" w:rsidRDefault="004A3B80" w:rsidP="00146F51">
            <w:pPr>
              <w:ind w:right="33"/>
              <w:rPr>
                <w:rFonts w:ascii="Times New Roman" w:hAnsi="Times New Roman"/>
                <w:bCs/>
                <w:sz w:val="20"/>
                <w:szCs w:val="20"/>
              </w:rPr>
            </w:pPr>
            <w:r w:rsidRPr="00534D2E">
              <w:rPr>
                <w:rFonts w:ascii="Times New Roman" w:hAnsi="Times New Roman"/>
                <w:bCs/>
                <w:sz w:val="20"/>
                <w:szCs w:val="20"/>
              </w:rPr>
              <w:t>The global awareness, impact, and legacy of the LME/ICM/MPA projects amongst different stakeholder groups and partners would remain at current levels.</w:t>
            </w:r>
          </w:p>
        </w:tc>
        <w:tc>
          <w:tcPr>
            <w:tcW w:w="2552" w:type="dxa"/>
            <w:tcBorders>
              <w:top w:val="single" w:sz="4" w:space="0" w:color="auto"/>
              <w:left w:val="single" w:sz="4" w:space="0" w:color="auto"/>
              <w:bottom w:val="single" w:sz="4" w:space="0" w:color="auto"/>
              <w:right w:val="single" w:sz="4" w:space="0" w:color="auto"/>
            </w:tcBorders>
          </w:tcPr>
          <w:p w14:paraId="7C459A6F" w14:textId="77777777" w:rsidR="004A3B80" w:rsidRPr="00534D2E" w:rsidRDefault="004A3B80" w:rsidP="00146F51">
            <w:pPr>
              <w:rPr>
                <w:rFonts w:ascii="Times New Roman" w:hAnsi="Times New Roman"/>
                <w:sz w:val="20"/>
                <w:szCs w:val="20"/>
              </w:rPr>
            </w:pPr>
            <w:r w:rsidRPr="008B4797">
              <w:rPr>
                <w:rFonts w:ascii="Times New Roman" w:hAnsi="Times New Roman"/>
                <w:sz w:val="20"/>
                <w:szCs w:val="20"/>
              </w:rPr>
              <w:t xml:space="preserve">Global LME/ICM/MPA- communication platform linking GEF LME, ICM and MPA projects with other relevant initiatives. </w:t>
            </w:r>
          </w:p>
          <w:p w14:paraId="154296DA" w14:textId="77777777" w:rsidR="004A3B80" w:rsidRPr="008B4797" w:rsidRDefault="004A3B80" w:rsidP="00146F51">
            <w:pPr>
              <w:rPr>
                <w:rFonts w:ascii="Times New Roman" w:hAnsi="Times New Roman"/>
                <w:sz w:val="20"/>
                <w:szCs w:val="20"/>
              </w:rPr>
            </w:pPr>
            <w:r w:rsidRPr="008B4797">
              <w:rPr>
                <w:rFonts w:ascii="Times New Roman" w:hAnsi="Times New Roman"/>
                <w:sz w:val="20"/>
                <w:szCs w:val="20"/>
              </w:rPr>
              <w:t>Lessons from GEF  ecosystem-based  LME/ICM/MPA projects disseminated through IW:LEARN website, partners and  project website.(1% of the overall budget will be spend on IW:Learn related activities)</w:t>
            </w:r>
          </w:p>
          <w:p w14:paraId="36A1ECDB" w14:textId="77777777" w:rsidR="004A3B80" w:rsidRPr="008B4797" w:rsidRDefault="004A3B80" w:rsidP="00146F51">
            <w:pPr>
              <w:rPr>
                <w:rFonts w:ascii="Times New Roman" w:hAnsi="Times New Roman"/>
                <w:sz w:val="20"/>
                <w:szCs w:val="20"/>
              </w:rPr>
            </w:pPr>
            <w:r w:rsidRPr="008B4797">
              <w:rPr>
                <w:rFonts w:ascii="Times New Roman" w:hAnsi="Times New Roman"/>
                <w:sz w:val="20"/>
                <w:szCs w:val="20"/>
              </w:rPr>
              <w:t>Publication of findings from LME/ICM/MPA projects in peer-reviewed scientific, coastal and ocean management journals.</w:t>
            </w:r>
          </w:p>
          <w:p w14:paraId="7D086838" w14:textId="77777777" w:rsidR="004A3B80" w:rsidRPr="00534D2E" w:rsidRDefault="004A3B80" w:rsidP="00146F51">
            <w:pPr>
              <w:rPr>
                <w:rFonts w:ascii="Times New Roman" w:hAnsi="Times New Roman"/>
                <w:sz w:val="20"/>
                <w:szCs w:val="20"/>
              </w:rPr>
            </w:pPr>
            <w:r w:rsidRPr="008B4797">
              <w:rPr>
                <w:rFonts w:ascii="Times New Roman" w:hAnsi="Times New Roman"/>
                <w:sz w:val="20"/>
                <w:szCs w:val="20"/>
              </w:rPr>
              <w:t>Participation of GEF ecosystem-based LME/ICM/MPA project staff and practitioners in regional and global conferences (e.g, Global Ocean Forum, ICES Science Conferences, etc.).</w:t>
            </w:r>
          </w:p>
        </w:tc>
        <w:tc>
          <w:tcPr>
            <w:tcW w:w="2268" w:type="dxa"/>
            <w:tcBorders>
              <w:top w:val="single" w:sz="4" w:space="0" w:color="auto"/>
              <w:left w:val="single" w:sz="4" w:space="0" w:color="auto"/>
              <w:bottom w:val="single" w:sz="4" w:space="0" w:color="auto"/>
              <w:right w:val="single" w:sz="4" w:space="0" w:color="auto"/>
            </w:tcBorders>
          </w:tcPr>
          <w:p w14:paraId="4693244E" w14:textId="77777777" w:rsidR="004A3B80" w:rsidRPr="008B4797" w:rsidRDefault="004A3B80" w:rsidP="00146F51">
            <w:pPr>
              <w:pStyle w:val="NormalWeb"/>
              <w:spacing w:before="2" w:after="2"/>
              <w:rPr>
                <w:sz w:val="20"/>
                <w:szCs w:val="20"/>
              </w:rPr>
            </w:pPr>
            <w:r w:rsidRPr="008B4797">
              <w:rPr>
                <w:sz w:val="20"/>
                <w:szCs w:val="20"/>
              </w:rPr>
              <w:t>Interactive web site operational.</w:t>
            </w:r>
          </w:p>
          <w:p w14:paraId="15E496D6" w14:textId="77777777" w:rsidR="004A3B80" w:rsidRPr="008B4797" w:rsidRDefault="004A3B80" w:rsidP="00146F51">
            <w:pPr>
              <w:pStyle w:val="NormalWeb"/>
              <w:spacing w:before="2" w:after="2"/>
              <w:rPr>
                <w:sz w:val="20"/>
                <w:szCs w:val="20"/>
              </w:rPr>
            </w:pPr>
            <w:r w:rsidRPr="008B4797">
              <w:rPr>
                <w:sz w:val="20"/>
                <w:szCs w:val="20"/>
              </w:rPr>
              <w:t>Report on strategy for showcasing LME, ICM, and MPA assessment and governance best practices.</w:t>
            </w:r>
          </w:p>
          <w:p w14:paraId="7D7B42B1" w14:textId="77777777" w:rsidR="004A3B80" w:rsidRPr="008B4797" w:rsidRDefault="004A3B80" w:rsidP="00146F51">
            <w:pPr>
              <w:pStyle w:val="NormalWeb"/>
              <w:spacing w:before="2" w:after="2"/>
              <w:rPr>
                <w:sz w:val="20"/>
                <w:szCs w:val="20"/>
              </w:rPr>
            </w:pPr>
            <w:r w:rsidRPr="008B4797">
              <w:rPr>
                <w:sz w:val="20"/>
                <w:szCs w:val="20"/>
              </w:rPr>
              <w:t>Regional science-to-management workshops held.</w:t>
            </w:r>
          </w:p>
          <w:p w14:paraId="7CBA6DEB" w14:textId="77777777" w:rsidR="004A3B80" w:rsidRPr="008B4797" w:rsidRDefault="004A3B80" w:rsidP="00146F51">
            <w:pPr>
              <w:pStyle w:val="NormalWeb"/>
              <w:spacing w:before="2" w:after="2"/>
              <w:rPr>
                <w:sz w:val="20"/>
                <w:szCs w:val="20"/>
              </w:rPr>
            </w:pPr>
            <w:r w:rsidRPr="008B4797">
              <w:rPr>
                <w:sz w:val="20"/>
                <w:szCs w:val="20"/>
              </w:rPr>
              <w:t xml:space="preserve">Journal publications of findings from LME/ICM/MPA projects. </w:t>
            </w:r>
          </w:p>
          <w:p w14:paraId="1717C6B0" w14:textId="77777777" w:rsidR="004A3B80" w:rsidRPr="008B4797" w:rsidRDefault="004A3B80" w:rsidP="00146F51">
            <w:pPr>
              <w:pStyle w:val="NormalWeb"/>
              <w:spacing w:before="2" w:after="2"/>
              <w:rPr>
                <w:sz w:val="20"/>
                <w:szCs w:val="20"/>
              </w:rPr>
            </w:pPr>
            <w:r>
              <w:rPr>
                <w:sz w:val="20"/>
                <w:szCs w:val="20"/>
              </w:rPr>
              <w:t>Biennial</w:t>
            </w:r>
            <w:r w:rsidRPr="008B4797">
              <w:rPr>
                <w:sz w:val="20"/>
                <w:szCs w:val="20"/>
              </w:rPr>
              <w:t xml:space="preserve"> conferences on ecosystem management and ocean governance held.</w:t>
            </w:r>
          </w:p>
          <w:p w14:paraId="062DFA39" w14:textId="77777777" w:rsidR="004A3B80" w:rsidRPr="008B4797" w:rsidRDefault="004A3B80" w:rsidP="00146F51">
            <w:pPr>
              <w:pStyle w:val="NormalWeb"/>
              <w:spacing w:before="2" w:after="2"/>
              <w:rPr>
                <w:sz w:val="20"/>
                <w:szCs w:val="20"/>
              </w:rPr>
            </w:pPr>
            <w:r w:rsidRPr="008B4797">
              <w:rPr>
                <w:sz w:val="20"/>
                <w:szCs w:val="20"/>
              </w:rPr>
              <w:t>Published conference and workshop proceedings.</w:t>
            </w:r>
          </w:p>
        </w:tc>
        <w:tc>
          <w:tcPr>
            <w:tcW w:w="2551" w:type="dxa"/>
            <w:tcBorders>
              <w:top w:val="single" w:sz="4" w:space="0" w:color="auto"/>
              <w:left w:val="single" w:sz="4" w:space="0" w:color="auto"/>
              <w:bottom w:val="single" w:sz="4" w:space="0" w:color="auto"/>
              <w:right w:val="single" w:sz="4" w:space="0" w:color="auto"/>
            </w:tcBorders>
          </w:tcPr>
          <w:p w14:paraId="2CE51D99" w14:textId="77777777" w:rsidR="004A3B80" w:rsidRPr="00534D2E" w:rsidRDefault="004A3B80" w:rsidP="00146F51">
            <w:pPr>
              <w:rPr>
                <w:rFonts w:ascii="Times New Roman" w:hAnsi="Times New Roman"/>
                <w:bCs/>
                <w:sz w:val="20"/>
                <w:szCs w:val="20"/>
              </w:rPr>
            </w:pPr>
          </w:p>
        </w:tc>
      </w:tr>
      <w:tr w:rsidR="004A3B80" w:rsidRPr="008B4797" w14:paraId="35234141" w14:textId="77777777" w:rsidTr="00146F51">
        <w:tc>
          <w:tcPr>
            <w:tcW w:w="1650" w:type="dxa"/>
            <w:tcBorders>
              <w:top w:val="single" w:sz="4" w:space="0" w:color="auto"/>
              <w:left w:val="single" w:sz="4" w:space="0" w:color="auto"/>
              <w:bottom w:val="single" w:sz="4" w:space="0" w:color="auto"/>
              <w:right w:val="single" w:sz="4" w:space="0" w:color="auto"/>
            </w:tcBorders>
            <w:shd w:val="pct12" w:color="auto" w:fill="auto"/>
          </w:tcPr>
          <w:p w14:paraId="4BEDFF34" w14:textId="77777777" w:rsidR="004A3B80" w:rsidRPr="008B4797" w:rsidRDefault="004A3B80" w:rsidP="00146F51">
            <w:pPr>
              <w:keepNext/>
              <w:keepLines/>
              <w:rPr>
                <w:rFonts w:ascii="Times New Roman" w:hAnsi="Times New Roman"/>
                <w:b/>
                <w:bCs/>
                <w:sz w:val="20"/>
                <w:szCs w:val="20"/>
              </w:rPr>
            </w:pPr>
            <w:r w:rsidRPr="008B4797">
              <w:rPr>
                <w:rFonts w:ascii="Times New Roman" w:hAnsi="Times New Roman"/>
                <w:b/>
                <w:bCs/>
                <w:sz w:val="20"/>
                <w:szCs w:val="20"/>
              </w:rPr>
              <w:t>Outcome 5</w:t>
            </w:r>
          </w:p>
          <w:p w14:paraId="046458D1" w14:textId="77777777" w:rsidR="004A3B80" w:rsidRPr="008B4797" w:rsidRDefault="004A3B80" w:rsidP="00146F51">
            <w:pPr>
              <w:keepNext/>
              <w:keepLines/>
              <w:rPr>
                <w:rFonts w:ascii="Times New Roman" w:hAnsi="Times New Roman"/>
                <w:b/>
                <w:bCs/>
                <w:sz w:val="20"/>
                <w:szCs w:val="20"/>
              </w:rPr>
            </w:pPr>
            <w:r w:rsidRPr="00534D2E">
              <w:rPr>
                <w:rFonts w:ascii="Times New Roman" w:hAnsi="Times New Roman"/>
                <w:b/>
                <w:bCs/>
                <w:sz w:val="20"/>
                <w:szCs w:val="20"/>
              </w:rPr>
              <w:lastRenderedPageBreak/>
              <w:t>Project Management:  establish a functioning Project Coordination Unit at IOC, encouraging participation by Partner Network, including short-time visits, seconding of personnel, etc.  Work closely with NOAA in transitioning their non-science and technical support capacity to the Project Unit.</w:t>
            </w:r>
          </w:p>
        </w:tc>
        <w:tc>
          <w:tcPr>
            <w:tcW w:w="2201" w:type="dxa"/>
            <w:tcBorders>
              <w:top w:val="single" w:sz="4" w:space="0" w:color="auto"/>
              <w:left w:val="single" w:sz="4" w:space="0" w:color="auto"/>
              <w:bottom w:val="single" w:sz="4" w:space="0" w:color="auto"/>
              <w:right w:val="single" w:sz="4" w:space="0" w:color="auto"/>
            </w:tcBorders>
          </w:tcPr>
          <w:p w14:paraId="18B0051F" w14:textId="77777777" w:rsidR="004A3B80" w:rsidRPr="00534D2E" w:rsidRDefault="004A3B80" w:rsidP="00146F51">
            <w:pPr>
              <w:spacing w:after="120"/>
              <w:rPr>
                <w:rFonts w:ascii="Times New Roman" w:hAnsi="Times New Roman"/>
                <w:sz w:val="20"/>
                <w:szCs w:val="20"/>
              </w:rPr>
            </w:pPr>
            <w:r w:rsidRPr="00534D2E">
              <w:rPr>
                <w:rFonts w:ascii="Times New Roman" w:hAnsi="Times New Roman"/>
                <w:sz w:val="20"/>
                <w:szCs w:val="20"/>
              </w:rPr>
              <w:lastRenderedPageBreak/>
              <w:t xml:space="preserve">Functioning, minimalistic Project </w:t>
            </w:r>
            <w:r w:rsidRPr="00534D2E">
              <w:rPr>
                <w:rFonts w:ascii="Times New Roman" w:hAnsi="Times New Roman"/>
                <w:sz w:val="20"/>
                <w:szCs w:val="20"/>
              </w:rPr>
              <w:lastRenderedPageBreak/>
              <w:t>Coordination Unit focusing management of partner activities established.</w:t>
            </w:r>
          </w:p>
          <w:p w14:paraId="33C13CC5" w14:textId="77777777" w:rsidR="004A3B80" w:rsidRPr="00534D2E" w:rsidRDefault="004A3B80" w:rsidP="00146F51">
            <w:pPr>
              <w:spacing w:after="120"/>
              <w:rPr>
                <w:rFonts w:ascii="Times New Roman" w:hAnsi="Times New Roman"/>
                <w:sz w:val="20"/>
                <w:szCs w:val="20"/>
              </w:rPr>
            </w:pPr>
          </w:p>
          <w:p w14:paraId="1745287C" w14:textId="77777777" w:rsidR="004A3B80" w:rsidRPr="00534D2E" w:rsidRDefault="004A3B80" w:rsidP="00146F51">
            <w:pPr>
              <w:spacing w:after="120"/>
              <w:rPr>
                <w:rFonts w:ascii="Times New Roman" w:hAnsi="Times New Roman"/>
                <w:sz w:val="20"/>
                <w:szCs w:val="20"/>
              </w:rPr>
            </w:pPr>
            <w:r w:rsidRPr="00534D2E">
              <w:rPr>
                <w:rFonts w:ascii="Times New Roman" w:hAnsi="Times New Roman"/>
                <w:sz w:val="20"/>
                <w:szCs w:val="20"/>
              </w:rPr>
              <w:t>Strategy for LME Governance best practices for the long-term for the GEF portfolio, with overlapping interests within LME, ICM, and MPA domains prepared.</w:t>
            </w:r>
          </w:p>
        </w:tc>
        <w:tc>
          <w:tcPr>
            <w:tcW w:w="2268" w:type="dxa"/>
            <w:tcBorders>
              <w:top w:val="single" w:sz="4" w:space="0" w:color="auto"/>
              <w:left w:val="single" w:sz="4" w:space="0" w:color="auto"/>
              <w:bottom w:val="single" w:sz="4" w:space="0" w:color="auto"/>
              <w:right w:val="single" w:sz="4" w:space="0" w:color="auto"/>
            </w:tcBorders>
          </w:tcPr>
          <w:p w14:paraId="532EEB7F" w14:textId="77777777" w:rsidR="004A3B80" w:rsidRPr="008B4797" w:rsidRDefault="004A3B80" w:rsidP="00146F51">
            <w:pPr>
              <w:ind w:right="33"/>
              <w:rPr>
                <w:rFonts w:ascii="Times New Roman" w:hAnsi="Times New Roman"/>
                <w:bCs/>
                <w:sz w:val="20"/>
                <w:szCs w:val="20"/>
              </w:rPr>
            </w:pPr>
            <w:r w:rsidRPr="008B4797">
              <w:rPr>
                <w:rFonts w:ascii="Times New Roman" w:hAnsi="Times New Roman"/>
                <w:bCs/>
                <w:sz w:val="20"/>
                <w:szCs w:val="20"/>
              </w:rPr>
              <w:lastRenderedPageBreak/>
              <w:t xml:space="preserve">Governance of LMEs would remain at status </w:t>
            </w:r>
            <w:r w:rsidRPr="008B4797">
              <w:rPr>
                <w:rFonts w:ascii="Times New Roman" w:hAnsi="Times New Roman"/>
                <w:bCs/>
                <w:sz w:val="20"/>
                <w:szCs w:val="20"/>
              </w:rPr>
              <w:lastRenderedPageBreak/>
              <w:t xml:space="preserve">quo, with no long-term strategy incorporating best practices to guide LME management.  </w:t>
            </w:r>
          </w:p>
        </w:tc>
        <w:tc>
          <w:tcPr>
            <w:tcW w:w="2552" w:type="dxa"/>
            <w:tcBorders>
              <w:top w:val="single" w:sz="4" w:space="0" w:color="auto"/>
              <w:left w:val="single" w:sz="4" w:space="0" w:color="auto"/>
              <w:bottom w:val="single" w:sz="4" w:space="0" w:color="auto"/>
              <w:right w:val="single" w:sz="4" w:space="0" w:color="auto"/>
            </w:tcBorders>
          </w:tcPr>
          <w:p w14:paraId="4A0D47CB" w14:textId="77777777" w:rsidR="004A3B80" w:rsidRPr="006C4BD3" w:rsidRDefault="004A3B80" w:rsidP="00146F51">
            <w:pPr>
              <w:rPr>
                <w:rFonts w:ascii="Times New Roman" w:hAnsi="Times New Roman"/>
                <w:sz w:val="20"/>
                <w:szCs w:val="20"/>
              </w:rPr>
            </w:pPr>
            <w:r w:rsidRPr="00534D2E">
              <w:rPr>
                <w:rFonts w:ascii="Times New Roman" w:hAnsi="Times New Roman"/>
                <w:sz w:val="20"/>
                <w:szCs w:val="20"/>
              </w:rPr>
              <w:lastRenderedPageBreak/>
              <w:t xml:space="preserve">Monitoring and Evaluation (mid-term and terminal </w:t>
            </w:r>
            <w:r w:rsidRPr="006C4BD3">
              <w:rPr>
                <w:rFonts w:ascii="Times New Roman" w:hAnsi="Times New Roman"/>
                <w:sz w:val="20"/>
                <w:szCs w:val="20"/>
              </w:rPr>
              <w:lastRenderedPageBreak/>
              <w:t>evaluations) conducted.</w:t>
            </w:r>
          </w:p>
          <w:p w14:paraId="7A881CB8" w14:textId="77777777" w:rsidR="004A3B80" w:rsidRPr="006C4BD3" w:rsidRDefault="004A3B80" w:rsidP="00146F51">
            <w:pPr>
              <w:rPr>
                <w:rFonts w:ascii="Times New Roman" w:hAnsi="Times New Roman"/>
                <w:sz w:val="20"/>
                <w:szCs w:val="20"/>
              </w:rPr>
            </w:pPr>
            <w:r w:rsidRPr="006C4BD3">
              <w:rPr>
                <w:rFonts w:ascii="Times New Roman" w:hAnsi="Times New Roman"/>
                <w:sz w:val="20"/>
                <w:szCs w:val="20"/>
              </w:rPr>
              <w:t>Establishment of unit that will manage project, ensuring cooperation with partner network.</w:t>
            </w:r>
          </w:p>
          <w:p w14:paraId="52C2C736" w14:textId="77777777" w:rsidR="004A3B80" w:rsidRPr="00534D2E" w:rsidRDefault="004A3B80" w:rsidP="00146F51">
            <w:pPr>
              <w:rPr>
                <w:rFonts w:ascii="Times New Roman" w:hAnsi="Times New Roman"/>
                <w:sz w:val="20"/>
                <w:szCs w:val="20"/>
              </w:rPr>
            </w:pPr>
            <w:r w:rsidRPr="006C4BD3">
              <w:rPr>
                <w:rFonts w:ascii="Times New Roman" w:hAnsi="Times New Roman"/>
                <w:sz w:val="20"/>
                <w:szCs w:val="20"/>
              </w:rPr>
              <w:t>Development of a</w:t>
            </w:r>
            <w:r w:rsidRPr="00534D2E">
              <w:rPr>
                <w:rFonts w:ascii="Times New Roman" w:hAnsi="Times New Roman"/>
                <w:sz w:val="20"/>
                <w:szCs w:val="20"/>
              </w:rPr>
              <w:t xml:space="preserve"> long-term LME global governance strategy.</w:t>
            </w:r>
          </w:p>
          <w:p w14:paraId="156152F0" w14:textId="77777777" w:rsidR="004A3B80" w:rsidRPr="00534D2E" w:rsidRDefault="004A3B80" w:rsidP="00146F51">
            <w:pP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51B77F61" w14:textId="77777777" w:rsidR="004A3B80" w:rsidRPr="006C4BD3" w:rsidRDefault="004A3B80" w:rsidP="00146F51">
            <w:pPr>
              <w:pStyle w:val="NormalWeb"/>
              <w:spacing w:before="2" w:after="2"/>
              <w:rPr>
                <w:sz w:val="20"/>
                <w:szCs w:val="20"/>
              </w:rPr>
            </w:pPr>
            <w:r w:rsidRPr="006C4BD3">
              <w:rPr>
                <w:sz w:val="20"/>
                <w:szCs w:val="20"/>
              </w:rPr>
              <w:lastRenderedPageBreak/>
              <w:t xml:space="preserve">Staff hired and office </w:t>
            </w:r>
            <w:r w:rsidRPr="006C4BD3">
              <w:rPr>
                <w:sz w:val="20"/>
                <w:szCs w:val="20"/>
              </w:rPr>
              <w:lastRenderedPageBreak/>
              <w:t>operational.</w:t>
            </w:r>
          </w:p>
          <w:p w14:paraId="079E7CF1" w14:textId="77777777" w:rsidR="004A3B80" w:rsidRPr="006C4BD3" w:rsidRDefault="004A3B80" w:rsidP="00146F51">
            <w:pPr>
              <w:pStyle w:val="NormalWeb"/>
              <w:spacing w:before="2" w:after="2"/>
              <w:rPr>
                <w:sz w:val="20"/>
                <w:szCs w:val="20"/>
              </w:rPr>
            </w:pPr>
            <w:r w:rsidRPr="006C4BD3">
              <w:rPr>
                <w:sz w:val="20"/>
                <w:szCs w:val="20"/>
              </w:rPr>
              <w:t>Completed Long-term LME Governance strategy.</w:t>
            </w:r>
          </w:p>
          <w:p w14:paraId="662BCEB7" w14:textId="77777777" w:rsidR="004A3B80" w:rsidRPr="006C4BD3" w:rsidRDefault="004A3B80" w:rsidP="00146F51">
            <w:pPr>
              <w:pStyle w:val="NormalWeb"/>
              <w:spacing w:before="2" w:after="2"/>
              <w:rPr>
                <w:sz w:val="20"/>
                <w:szCs w:val="20"/>
              </w:rPr>
            </w:pPr>
            <w:r w:rsidRPr="008B4797">
              <w:rPr>
                <w:sz w:val="20"/>
                <w:szCs w:val="20"/>
              </w:rPr>
              <w:t>Mid-term and terminal evaluation reports.</w:t>
            </w:r>
          </w:p>
        </w:tc>
        <w:tc>
          <w:tcPr>
            <w:tcW w:w="2551" w:type="dxa"/>
            <w:tcBorders>
              <w:top w:val="single" w:sz="4" w:space="0" w:color="auto"/>
              <w:left w:val="single" w:sz="4" w:space="0" w:color="auto"/>
              <w:bottom w:val="single" w:sz="4" w:space="0" w:color="auto"/>
              <w:right w:val="single" w:sz="4" w:space="0" w:color="auto"/>
            </w:tcBorders>
          </w:tcPr>
          <w:p w14:paraId="39A61FEB" w14:textId="77777777" w:rsidR="004A3B80" w:rsidRPr="00534D2E" w:rsidRDefault="004A3B80" w:rsidP="00146F51">
            <w:pPr>
              <w:rPr>
                <w:rFonts w:ascii="Times New Roman" w:hAnsi="Times New Roman"/>
                <w:bCs/>
                <w:sz w:val="20"/>
                <w:szCs w:val="20"/>
              </w:rPr>
            </w:pPr>
          </w:p>
        </w:tc>
      </w:tr>
    </w:tbl>
    <w:p w14:paraId="248B2E03" w14:textId="77777777" w:rsidR="004A3B80" w:rsidRDefault="004A3B80">
      <w:pPr>
        <w:rPr>
          <w:rFonts w:ascii="Calibri" w:eastAsia="Times New Roman" w:hAnsi="Calibri" w:cs="Times New Roman"/>
          <w:b/>
          <w:sz w:val="20"/>
          <w:szCs w:val="20"/>
        </w:rPr>
        <w:sectPr w:rsidR="004A3B80" w:rsidSect="004F2025">
          <w:pgSz w:w="15840" w:h="12240" w:orient="landscape"/>
          <w:pgMar w:top="1325" w:right="1440" w:bottom="1440" w:left="1440" w:header="708" w:footer="708" w:gutter="0"/>
          <w:cols w:space="708"/>
          <w:docGrid w:linePitch="360"/>
        </w:sectPr>
      </w:pPr>
    </w:p>
    <w:p w14:paraId="0A70E2F0" w14:textId="77777777" w:rsidR="00D6638C" w:rsidRPr="00D6638C" w:rsidRDefault="00D6638C" w:rsidP="00F05366">
      <w:pPr>
        <w:pStyle w:val="Heading31"/>
      </w:pPr>
      <w:bookmarkStart w:id="58" w:name="_TOR_Annex_B:"/>
      <w:bookmarkStart w:id="59" w:name="_Toc299133054"/>
      <w:bookmarkStart w:id="60" w:name="_Toc321341563"/>
      <w:bookmarkEnd w:id="58"/>
      <w:r w:rsidRPr="00D6638C">
        <w:lastRenderedPageBreak/>
        <w:t>Annex B: List of Documents to be reviewed by the evaluators</w:t>
      </w:r>
      <w:bookmarkEnd w:id="55"/>
      <w:bookmarkEnd w:id="56"/>
      <w:bookmarkEnd w:id="57"/>
      <w:bookmarkEnd w:id="59"/>
      <w:bookmarkEnd w:id="60"/>
    </w:p>
    <w:p w14:paraId="27BECD5B" w14:textId="77777777" w:rsidR="00AE71A4" w:rsidRDefault="00AE71A4" w:rsidP="00AE71A4">
      <w:pPr>
        <w:pStyle w:val="BodyText"/>
        <w:spacing w:after="0"/>
        <w:jc w:val="both"/>
        <w:rPr>
          <w:rFonts w:asciiTheme="minorHAnsi" w:hAnsiTheme="minorHAnsi" w:cstheme="minorHAnsi"/>
          <w:sz w:val="22"/>
          <w:szCs w:val="22"/>
        </w:rPr>
      </w:pPr>
    </w:p>
    <w:p w14:paraId="5DD8F06D" w14:textId="77777777" w:rsidR="00AE71A4" w:rsidRPr="006E0C7A" w:rsidRDefault="00AE71A4" w:rsidP="00AE71A4">
      <w:pPr>
        <w:pStyle w:val="BodyText"/>
        <w:numPr>
          <w:ilvl w:val="0"/>
          <w:numId w:val="40"/>
        </w:numPr>
        <w:spacing w:after="0"/>
        <w:jc w:val="both"/>
        <w:rPr>
          <w:rFonts w:asciiTheme="minorHAnsi" w:hAnsiTheme="minorHAnsi" w:cstheme="minorHAnsi"/>
          <w:sz w:val="22"/>
          <w:szCs w:val="22"/>
        </w:rPr>
      </w:pPr>
      <w:r w:rsidRPr="006E0C7A">
        <w:rPr>
          <w:rFonts w:asciiTheme="minorHAnsi" w:hAnsiTheme="minorHAnsi" w:cstheme="minorHAnsi"/>
          <w:sz w:val="22"/>
          <w:szCs w:val="22"/>
        </w:rPr>
        <w:t>PIF</w:t>
      </w:r>
    </w:p>
    <w:p w14:paraId="668C73AA" w14:textId="77777777" w:rsidR="00AE71A4" w:rsidRPr="006E0C7A" w:rsidRDefault="00AE71A4" w:rsidP="00AE71A4">
      <w:pPr>
        <w:pStyle w:val="BodyText"/>
        <w:numPr>
          <w:ilvl w:val="0"/>
          <w:numId w:val="40"/>
        </w:numPr>
        <w:spacing w:after="0"/>
        <w:jc w:val="both"/>
        <w:rPr>
          <w:rFonts w:asciiTheme="minorHAnsi" w:hAnsiTheme="minorHAnsi" w:cstheme="minorHAnsi"/>
          <w:sz w:val="22"/>
          <w:szCs w:val="22"/>
        </w:rPr>
      </w:pPr>
      <w:r w:rsidRPr="006E0C7A">
        <w:rPr>
          <w:rFonts w:asciiTheme="minorHAnsi" w:hAnsiTheme="minorHAnsi" w:cstheme="minorHAnsi"/>
          <w:sz w:val="22"/>
          <w:szCs w:val="22"/>
        </w:rPr>
        <w:t>UNDP Initiation Plan</w:t>
      </w:r>
    </w:p>
    <w:p w14:paraId="353E3A71" w14:textId="77777777" w:rsidR="00AE71A4" w:rsidRPr="006E0C7A" w:rsidRDefault="00AE71A4" w:rsidP="00AE71A4">
      <w:pPr>
        <w:pStyle w:val="BodyText"/>
        <w:numPr>
          <w:ilvl w:val="0"/>
          <w:numId w:val="40"/>
        </w:numPr>
        <w:spacing w:after="0"/>
        <w:jc w:val="both"/>
        <w:rPr>
          <w:rFonts w:asciiTheme="minorHAnsi" w:hAnsiTheme="minorHAnsi" w:cstheme="minorHAnsi"/>
          <w:sz w:val="22"/>
          <w:szCs w:val="22"/>
        </w:rPr>
      </w:pPr>
      <w:r w:rsidRPr="006E0C7A">
        <w:rPr>
          <w:rFonts w:asciiTheme="minorHAnsi" w:hAnsiTheme="minorHAnsi" w:cstheme="minorHAnsi"/>
          <w:sz w:val="22"/>
          <w:szCs w:val="22"/>
        </w:rPr>
        <w:t xml:space="preserve">UNDP Project Document </w:t>
      </w:r>
    </w:p>
    <w:p w14:paraId="2F54DA4B" w14:textId="77777777" w:rsidR="00AE71A4" w:rsidRPr="006E0C7A" w:rsidRDefault="00AE71A4" w:rsidP="00AE71A4">
      <w:pPr>
        <w:pStyle w:val="BodyText"/>
        <w:numPr>
          <w:ilvl w:val="0"/>
          <w:numId w:val="40"/>
        </w:numPr>
        <w:spacing w:after="0"/>
        <w:jc w:val="both"/>
        <w:rPr>
          <w:rFonts w:asciiTheme="minorHAnsi" w:hAnsiTheme="minorHAnsi" w:cstheme="minorHAnsi"/>
          <w:sz w:val="22"/>
          <w:szCs w:val="22"/>
        </w:rPr>
      </w:pPr>
      <w:r w:rsidRPr="006E0C7A">
        <w:rPr>
          <w:rFonts w:asciiTheme="minorHAnsi" w:hAnsiTheme="minorHAnsi" w:cstheme="minorHAnsi"/>
          <w:sz w:val="22"/>
          <w:szCs w:val="22"/>
        </w:rPr>
        <w:t>UNDP Environmental and Social Screening results</w:t>
      </w:r>
    </w:p>
    <w:p w14:paraId="65472F88" w14:textId="77777777" w:rsidR="00AE71A4" w:rsidRPr="006E0C7A" w:rsidRDefault="00AE71A4" w:rsidP="00AE71A4">
      <w:pPr>
        <w:pStyle w:val="BodyText"/>
        <w:numPr>
          <w:ilvl w:val="0"/>
          <w:numId w:val="40"/>
        </w:numPr>
        <w:spacing w:after="0"/>
        <w:jc w:val="both"/>
        <w:rPr>
          <w:rFonts w:asciiTheme="minorHAnsi" w:hAnsiTheme="minorHAnsi" w:cstheme="minorHAnsi"/>
          <w:sz w:val="22"/>
          <w:szCs w:val="22"/>
        </w:rPr>
      </w:pPr>
      <w:r w:rsidRPr="006E0C7A">
        <w:rPr>
          <w:rFonts w:asciiTheme="minorHAnsi" w:hAnsiTheme="minorHAnsi" w:cstheme="minorHAnsi"/>
          <w:sz w:val="22"/>
          <w:szCs w:val="22"/>
        </w:rPr>
        <w:t xml:space="preserve">Project Inception Report </w:t>
      </w:r>
    </w:p>
    <w:p w14:paraId="76F76EC3" w14:textId="77777777" w:rsidR="00AE71A4" w:rsidRPr="006E0C7A" w:rsidRDefault="00AE71A4" w:rsidP="00AE71A4">
      <w:pPr>
        <w:pStyle w:val="BodyText"/>
        <w:numPr>
          <w:ilvl w:val="0"/>
          <w:numId w:val="40"/>
        </w:numPr>
        <w:spacing w:after="0"/>
        <w:jc w:val="both"/>
        <w:rPr>
          <w:rFonts w:asciiTheme="minorHAnsi" w:hAnsiTheme="minorHAnsi" w:cstheme="minorHAnsi"/>
          <w:sz w:val="22"/>
          <w:szCs w:val="22"/>
        </w:rPr>
      </w:pPr>
      <w:r w:rsidRPr="006E0C7A">
        <w:rPr>
          <w:rFonts w:asciiTheme="minorHAnsi" w:hAnsiTheme="minorHAnsi" w:cstheme="minorHAnsi"/>
          <w:sz w:val="22"/>
          <w:szCs w:val="22"/>
        </w:rPr>
        <w:t>All Project Implementation Reports (PIR’s)</w:t>
      </w:r>
    </w:p>
    <w:p w14:paraId="0D61206F" w14:textId="77777777" w:rsidR="00AE71A4" w:rsidRPr="006E0C7A" w:rsidRDefault="00AE71A4" w:rsidP="00AE71A4">
      <w:pPr>
        <w:pStyle w:val="BodyText"/>
        <w:numPr>
          <w:ilvl w:val="0"/>
          <w:numId w:val="40"/>
        </w:numPr>
        <w:spacing w:after="0"/>
        <w:jc w:val="both"/>
        <w:rPr>
          <w:rFonts w:asciiTheme="minorHAnsi" w:hAnsiTheme="minorHAnsi" w:cstheme="minorHAnsi"/>
          <w:sz w:val="22"/>
          <w:szCs w:val="22"/>
        </w:rPr>
      </w:pPr>
      <w:r w:rsidRPr="006E0C7A">
        <w:rPr>
          <w:rFonts w:asciiTheme="minorHAnsi" w:hAnsiTheme="minorHAnsi" w:cstheme="minorHAnsi"/>
          <w:sz w:val="22"/>
          <w:szCs w:val="22"/>
        </w:rPr>
        <w:t>Quarterly progress reports and work plans of the various implementation task teams</w:t>
      </w:r>
    </w:p>
    <w:p w14:paraId="622603E2" w14:textId="77777777" w:rsidR="00AE71A4" w:rsidRPr="006E0C7A" w:rsidRDefault="00AE71A4" w:rsidP="00AE71A4">
      <w:pPr>
        <w:pStyle w:val="BodyText"/>
        <w:numPr>
          <w:ilvl w:val="0"/>
          <w:numId w:val="40"/>
        </w:numPr>
        <w:spacing w:after="0"/>
        <w:jc w:val="both"/>
        <w:rPr>
          <w:rFonts w:asciiTheme="minorHAnsi" w:hAnsiTheme="minorHAnsi" w:cstheme="minorHAnsi"/>
          <w:sz w:val="22"/>
          <w:szCs w:val="22"/>
        </w:rPr>
      </w:pPr>
      <w:r w:rsidRPr="006E0C7A">
        <w:rPr>
          <w:rFonts w:asciiTheme="minorHAnsi" w:hAnsiTheme="minorHAnsi" w:cstheme="minorHAnsi"/>
          <w:sz w:val="22"/>
          <w:szCs w:val="22"/>
        </w:rPr>
        <w:t>Audit reports</w:t>
      </w:r>
    </w:p>
    <w:p w14:paraId="676FF2D4" w14:textId="77777777" w:rsidR="00AE71A4" w:rsidRPr="006E0C7A" w:rsidRDefault="00AE71A4" w:rsidP="00AE71A4">
      <w:pPr>
        <w:pStyle w:val="BodyText"/>
        <w:numPr>
          <w:ilvl w:val="0"/>
          <w:numId w:val="40"/>
        </w:numPr>
        <w:spacing w:after="0"/>
        <w:jc w:val="both"/>
        <w:rPr>
          <w:rFonts w:asciiTheme="minorHAnsi" w:hAnsiTheme="minorHAnsi" w:cstheme="minorHAnsi"/>
          <w:sz w:val="22"/>
          <w:szCs w:val="22"/>
        </w:rPr>
      </w:pPr>
      <w:r w:rsidRPr="006E0C7A">
        <w:rPr>
          <w:rFonts w:asciiTheme="minorHAnsi" w:hAnsiTheme="minorHAnsi" w:cstheme="minorHAnsi"/>
          <w:sz w:val="22"/>
          <w:szCs w:val="22"/>
        </w:rPr>
        <w:t xml:space="preserve">Finalized GEF focal area Tracking Tools at CEO endorsement and midterm </w:t>
      </w:r>
    </w:p>
    <w:p w14:paraId="4CC3A746" w14:textId="77777777" w:rsidR="00AE71A4" w:rsidRPr="006E0C7A" w:rsidRDefault="00AE71A4" w:rsidP="00AE71A4">
      <w:pPr>
        <w:numPr>
          <w:ilvl w:val="0"/>
          <w:numId w:val="40"/>
        </w:numPr>
        <w:spacing w:after="0" w:line="240" w:lineRule="auto"/>
        <w:jc w:val="both"/>
        <w:rPr>
          <w:rFonts w:cstheme="minorHAnsi"/>
        </w:rPr>
      </w:pPr>
      <w:r w:rsidRPr="006E0C7A">
        <w:rPr>
          <w:rFonts w:cstheme="minorHAnsi"/>
        </w:rPr>
        <w:t xml:space="preserve">Oversight mission reports  </w:t>
      </w:r>
    </w:p>
    <w:p w14:paraId="08F516BA" w14:textId="77777777" w:rsidR="00AE71A4" w:rsidRPr="006E0C7A" w:rsidRDefault="00AE71A4" w:rsidP="00AE71A4">
      <w:pPr>
        <w:pStyle w:val="BodyText"/>
        <w:numPr>
          <w:ilvl w:val="0"/>
          <w:numId w:val="40"/>
        </w:numPr>
        <w:spacing w:after="0"/>
        <w:jc w:val="both"/>
        <w:rPr>
          <w:rFonts w:asciiTheme="minorHAnsi" w:hAnsiTheme="minorHAnsi" w:cstheme="minorHAnsi"/>
          <w:sz w:val="22"/>
          <w:szCs w:val="22"/>
        </w:rPr>
      </w:pPr>
      <w:r w:rsidRPr="006E0C7A">
        <w:rPr>
          <w:rFonts w:asciiTheme="minorHAnsi" w:hAnsiTheme="minorHAnsi" w:cstheme="minorHAnsi"/>
          <w:sz w:val="22"/>
          <w:szCs w:val="22"/>
        </w:rPr>
        <w:t>All monitoring reports prepared by the project</w:t>
      </w:r>
    </w:p>
    <w:p w14:paraId="3D759F6F" w14:textId="77777777" w:rsidR="00AE71A4" w:rsidRDefault="00AE71A4" w:rsidP="00AE71A4">
      <w:pPr>
        <w:pStyle w:val="BodyText"/>
        <w:numPr>
          <w:ilvl w:val="0"/>
          <w:numId w:val="40"/>
        </w:numPr>
        <w:spacing w:after="0"/>
        <w:jc w:val="both"/>
        <w:rPr>
          <w:rFonts w:asciiTheme="minorHAnsi" w:hAnsiTheme="minorHAnsi" w:cstheme="minorHAnsi"/>
          <w:sz w:val="22"/>
          <w:szCs w:val="22"/>
        </w:rPr>
      </w:pPr>
      <w:r w:rsidRPr="006E0C7A">
        <w:rPr>
          <w:rFonts w:asciiTheme="minorHAnsi" w:hAnsiTheme="minorHAnsi" w:cstheme="minorHAnsi"/>
          <w:sz w:val="22"/>
          <w:szCs w:val="22"/>
        </w:rPr>
        <w:t>Financial and Administration guidelines used by PCU</w:t>
      </w:r>
    </w:p>
    <w:p w14:paraId="64723233" w14:textId="77777777" w:rsidR="00AE71A4" w:rsidRPr="006E0C7A" w:rsidRDefault="00AE71A4" w:rsidP="00AE71A4">
      <w:pPr>
        <w:pStyle w:val="BodyText"/>
        <w:numPr>
          <w:ilvl w:val="0"/>
          <w:numId w:val="40"/>
        </w:numPr>
        <w:spacing w:after="0"/>
        <w:jc w:val="both"/>
        <w:rPr>
          <w:rFonts w:asciiTheme="minorHAnsi" w:hAnsiTheme="minorHAnsi" w:cstheme="minorHAnsi"/>
          <w:sz w:val="22"/>
          <w:szCs w:val="22"/>
        </w:rPr>
      </w:pPr>
      <w:r>
        <w:rPr>
          <w:rFonts w:asciiTheme="minorHAnsi" w:hAnsiTheme="minorHAnsi" w:cstheme="minorHAnsi"/>
          <w:sz w:val="22"/>
          <w:szCs w:val="22"/>
        </w:rPr>
        <w:t>Midterm Review</w:t>
      </w:r>
    </w:p>
    <w:p w14:paraId="0BFCB64E" w14:textId="77777777" w:rsidR="00AE71A4" w:rsidRPr="006E0C7A" w:rsidRDefault="00AE71A4" w:rsidP="00AE71A4">
      <w:pPr>
        <w:pStyle w:val="BodyText"/>
        <w:spacing w:after="0"/>
        <w:jc w:val="lowKashida"/>
        <w:rPr>
          <w:rFonts w:asciiTheme="minorHAnsi" w:hAnsiTheme="minorHAnsi" w:cstheme="minorHAnsi"/>
          <w:sz w:val="22"/>
          <w:szCs w:val="22"/>
        </w:rPr>
      </w:pPr>
    </w:p>
    <w:p w14:paraId="78EA97C3" w14:textId="77777777" w:rsidR="00AE71A4" w:rsidRPr="006E0C7A" w:rsidRDefault="00AE71A4" w:rsidP="00AE71A4">
      <w:pPr>
        <w:pStyle w:val="BodyText"/>
        <w:spacing w:after="0"/>
        <w:jc w:val="lowKashida"/>
        <w:rPr>
          <w:rFonts w:asciiTheme="minorHAnsi" w:hAnsiTheme="minorHAnsi" w:cstheme="minorHAnsi"/>
          <w:sz w:val="22"/>
          <w:szCs w:val="22"/>
        </w:rPr>
      </w:pPr>
      <w:r w:rsidRPr="006E0C7A">
        <w:rPr>
          <w:rFonts w:asciiTheme="minorHAnsi" w:hAnsiTheme="minorHAnsi" w:cstheme="minorHAnsi"/>
          <w:sz w:val="22"/>
          <w:szCs w:val="22"/>
        </w:rPr>
        <w:t>The following documents will also be available:</w:t>
      </w:r>
    </w:p>
    <w:p w14:paraId="5ACD1457" w14:textId="77777777" w:rsidR="00AE71A4" w:rsidRPr="006E0C7A" w:rsidRDefault="00AE71A4" w:rsidP="00AE71A4">
      <w:pPr>
        <w:pStyle w:val="BodyText"/>
        <w:numPr>
          <w:ilvl w:val="0"/>
          <w:numId w:val="40"/>
        </w:numPr>
        <w:spacing w:after="0"/>
        <w:jc w:val="both"/>
        <w:rPr>
          <w:rFonts w:asciiTheme="minorHAnsi" w:hAnsiTheme="minorHAnsi" w:cstheme="minorHAnsi"/>
          <w:sz w:val="22"/>
          <w:szCs w:val="22"/>
        </w:rPr>
      </w:pPr>
      <w:r w:rsidRPr="006E0C7A">
        <w:rPr>
          <w:rFonts w:asciiTheme="minorHAnsi" w:hAnsiTheme="minorHAnsi" w:cstheme="minorHAnsi"/>
          <w:sz w:val="22"/>
          <w:szCs w:val="22"/>
        </w:rPr>
        <w:t>Project operational guidelines, manuals and systems</w:t>
      </w:r>
    </w:p>
    <w:p w14:paraId="08923B3B" w14:textId="77777777" w:rsidR="00AE71A4" w:rsidRPr="006E0C7A" w:rsidRDefault="00AE71A4" w:rsidP="00AE71A4">
      <w:pPr>
        <w:pStyle w:val="BodyText"/>
        <w:numPr>
          <w:ilvl w:val="0"/>
          <w:numId w:val="40"/>
        </w:numPr>
        <w:spacing w:after="0"/>
        <w:jc w:val="both"/>
        <w:rPr>
          <w:rFonts w:asciiTheme="minorHAnsi" w:hAnsiTheme="minorHAnsi" w:cstheme="minorHAnsi"/>
          <w:sz w:val="22"/>
          <w:szCs w:val="22"/>
        </w:rPr>
      </w:pPr>
      <w:r w:rsidRPr="006E0C7A">
        <w:rPr>
          <w:rFonts w:asciiTheme="minorHAnsi" w:hAnsiTheme="minorHAnsi" w:cstheme="minorHAnsi"/>
          <w:sz w:val="22"/>
          <w:szCs w:val="22"/>
        </w:rPr>
        <w:t xml:space="preserve">Minutes of the Project Steering Committee Meetings and other meetings (i.e. </w:t>
      </w:r>
      <w:r w:rsidRPr="006E0C7A">
        <w:rPr>
          <w:rFonts w:asciiTheme="minorHAnsi" w:hAnsiTheme="minorHAnsi" w:cstheme="minorHAnsi"/>
          <w:sz w:val="22"/>
          <w:szCs w:val="22"/>
          <w:lang w:val="en-CA"/>
        </w:rPr>
        <w:t xml:space="preserve">Project Appraisal Committee </w:t>
      </w:r>
      <w:r w:rsidRPr="006E0C7A">
        <w:rPr>
          <w:rFonts w:asciiTheme="minorHAnsi" w:hAnsiTheme="minorHAnsi" w:cstheme="minorHAnsi"/>
          <w:sz w:val="22"/>
          <w:szCs w:val="22"/>
        </w:rPr>
        <w:t>meetings)</w:t>
      </w:r>
    </w:p>
    <w:p w14:paraId="6CF6EFF1" w14:textId="77777777" w:rsidR="00AE71A4" w:rsidRPr="006E0C7A" w:rsidRDefault="00AE71A4" w:rsidP="00AE71A4">
      <w:pPr>
        <w:spacing w:line="240" w:lineRule="auto"/>
        <w:rPr>
          <w:rFonts w:cstheme="minorHAnsi"/>
          <w:b/>
        </w:rPr>
      </w:pPr>
    </w:p>
    <w:p w14:paraId="585FE284" w14:textId="77777777" w:rsidR="00D6638C" w:rsidRPr="00D6638C" w:rsidRDefault="00D6638C" w:rsidP="00D6638C">
      <w:pPr>
        <w:spacing w:before="200"/>
        <w:rPr>
          <w:rFonts w:ascii="Calibri" w:eastAsia="Times New Roman" w:hAnsi="Calibri" w:cs="Times New Roman"/>
          <w:i/>
          <w:sz w:val="20"/>
          <w:szCs w:val="20"/>
          <w:highlight w:val="lightGray"/>
          <w:lang w:val="en-GB"/>
        </w:rPr>
        <w:sectPr w:rsidR="00D6638C" w:rsidRPr="00D6638C" w:rsidSect="004A3B80">
          <w:pgSz w:w="12240" w:h="15840"/>
          <w:pgMar w:top="1440" w:right="1325" w:bottom="1440" w:left="1440" w:header="708" w:footer="708" w:gutter="0"/>
          <w:cols w:space="708"/>
          <w:docGrid w:linePitch="360"/>
        </w:sectPr>
      </w:pPr>
    </w:p>
    <w:p w14:paraId="7181C66E" w14:textId="77777777" w:rsidR="00D6638C" w:rsidRDefault="00D6638C" w:rsidP="00F05366">
      <w:pPr>
        <w:pStyle w:val="Heading31"/>
      </w:pPr>
      <w:bookmarkStart w:id="61" w:name="_TOR_Annex_C:"/>
      <w:bookmarkStart w:id="62" w:name="_Toc321341564"/>
      <w:bookmarkStart w:id="63" w:name="_Toc299122846"/>
      <w:bookmarkStart w:id="64" w:name="_Toc299122868"/>
      <w:bookmarkStart w:id="65" w:name="_Toc299126632"/>
      <w:bookmarkEnd w:id="61"/>
      <w:r w:rsidRPr="00D6638C">
        <w:lastRenderedPageBreak/>
        <w:t>Annex C: Evaluation Questions</w:t>
      </w:r>
      <w:bookmarkEnd w:id="62"/>
    </w:p>
    <w:p w14:paraId="1AA65A0E" w14:textId="77777777" w:rsidR="00E23201" w:rsidRPr="00E23201" w:rsidRDefault="00E23201" w:rsidP="00E23201">
      <w:r w:rsidRPr="00224F9C">
        <w:rPr>
          <w:i/>
          <w:highlight w:val="lightGray"/>
        </w:rPr>
        <w:t>This is a generic list, to b</w:t>
      </w:r>
      <w:r w:rsidR="00224F9C" w:rsidRPr="00224F9C">
        <w:rPr>
          <w:i/>
          <w:highlight w:val="lightGray"/>
        </w:rPr>
        <w:t>e</w:t>
      </w:r>
      <w:r w:rsidR="00310398">
        <w:rPr>
          <w:i/>
          <w:highlight w:val="lightGray"/>
        </w:rPr>
        <w:t xml:space="preserve"> further detailed</w:t>
      </w:r>
      <w:r w:rsidR="00224F9C" w:rsidRPr="00224F9C">
        <w:rPr>
          <w:i/>
          <w:highlight w:val="lightGray"/>
        </w:rPr>
        <w:t xml:space="preserve"> </w:t>
      </w:r>
      <w:r w:rsidR="00310398">
        <w:rPr>
          <w:i/>
          <w:highlight w:val="lightGray"/>
        </w:rPr>
        <w:t xml:space="preserve">with more specific questions </w:t>
      </w:r>
      <w:r w:rsidR="00224F9C" w:rsidRPr="00224F9C">
        <w:rPr>
          <w:i/>
          <w:highlight w:val="lightGray"/>
        </w:rPr>
        <w:t xml:space="preserve">by </w:t>
      </w:r>
      <w:r w:rsidR="00224F9C" w:rsidRPr="00224F9C">
        <w:rPr>
          <w:rFonts w:ascii="Calibri" w:eastAsia="Times New Roman" w:hAnsi="Calibri" w:cs="Times New Roman"/>
          <w:i/>
          <w:sz w:val="20"/>
          <w:szCs w:val="20"/>
          <w:highlight w:val="lightGray"/>
        </w:rPr>
        <w:t xml:space="preserve">CO and UNDP GEF Technical Adviser </w:t>
      </w:r>
      <w:r w:rsidR="00224F9C" w:rsidRPr="00224F9C">
        <w:rPr>
          <w:i/>
          <w:highlight w:val="lightGray"/>
        </w:rPr>
        <w:t>based on the particulars of the project</w:t>
      </w:r>
      <w:r w:rsidR="00310398">
        <w:rPr>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14:paraId="2099B8C9" w14:textId="77777777" w:rsidTr="000C7B2D">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7AD99ABB" w14:textId="77777777" w:rsidR="00310398" w:rsidRPr="00D6638C" w:rsidRDefault="00310398" w:rsidP="0031039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14:paraId="0911FB5D"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14:paraId="11E4C2FB"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1018C066"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14:paraId="36714D1F" w14:textId="77777777"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14:paraId="4452C58B" w14:textId="77777777"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D6638C" w14:paraId="66F313EF" w14:textId="77777777" w:rsidTr="00310398">
        <w:trPr>
          <w:gridAfter w:val="1"/>
          <w:wAfter w:w="21" w:type="dxa"/>
        </w:trPr>
        <w:tc>
          <w:tcPr>
            <w:tcW w:w="199" w:type="dxa"/>
            <w:tcBorders>
              <w:top w:val="nil"/>
              <w:left w:val="nil"/>
              <w:bottom w:val="nil"/>
              <w:right w:val="nil"/>
            </w:tcBorders>
            <w:shd w:val="pct12" w:color="auto" w:fill="FFFFFF"/>
          </w:tcPr>
          <w:p w14:paraId="33A8801F"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6247E147" w14:textId="77777777" w:rsidR="00D6638C" w:rsidRPr="00D6638C" w:rsidRDefault="00D679C1"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To what extent </w:t>
            </w:r>
            <w:r w:rsidR="009A4EC5">
              <w:rPr>
                <w:rFonts w:ascii="Calibri" w:eastAsia="Times New Roman" w:hAnsi="Calibri" w:cs="Calibri"/>
                <w:sz w:val="20"/>
                <w:szCs w:val="20"/>
              </w:rPr>
              <w:t>are</w:t>
            </w:r>
            <w:r>
              <w:rPr>
                <w:rFonts w:ascii="Calibri" w:eastAsia="Times New Roman" w:hAnsi="Calibri" w:cs="Calibri"/>
                <w:sz w:val="20"/>
                <w:szCs w:val="20"/>
              </w:rPr>
              <w:t xml:space="preserve"> the project</w:t>
            </w:r>
            <w:r w:rsidR="009A4EC5">
              <w:rPr>
                <w:rFonts w:ascii="Calibri" w:eastAsia="Times New Roman" w:hAnsi="Calibri" w:cs="Calibri"/>
                <w:sz w:val="20"/>
                <w:szCs w:val="20"/>
              </w:rPr>
              <w:t>s</w:t>
            </w:r>
            <w:r>
              <w:rPr>
                <w:rFonts w:ascii="Calibri" w:eastAsia="Times New Roman" w:hAnsi="Calibri" w:cs="Calibri"/>
                <w:sz w:val="20"/>
                <w:szCs w:val="20"/>
              </w:rPr>
              <w:t xml:space="preserve"> in line with international and national priorities</w:t>
            </w:r>
            <w:r w:rsidR="009A4EC5">
              <w:rPr>
                <w:rFonts w:ascii="Calibri" w:eastAsia="Times New Roman" w:hAnsi="Calibri" w:cs="Calibri"/>
                <w:sz w:val="20"/>
                <w:szCs w:val="20"/>
              </w:rPr>
              <w:t xml:space="preserve"> in transboundary water governance</w:t>
            </w:r>
            <w:r>
              <w:rPr>
                <w:rFonts w:ascii="Calibri" w:eastAsia="Times New Roman" w:hAnsi="Calibri" w:cs="Calibri"/>
                <w:sz w:val="20"/>
                <w:szCs w:val="20"/>
              </w:rPr>
              <w:t>?</w:t>
            </w:r>
          </w:p>
        </w:tc>
        <w:tc>
          <w:tcPr>
            <w:tcW w:w="3870" w:type="dxa"/>
          </w:tcPr>
          <w:p w14:paraId="7A9A4D9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0C9F69C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5AAAD67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69FBE6FA" w14:textId="77777777" w:rsidTr="00310398">
        <w:trPr>
          <w:gridAfter w:val="1"/>
          <w:wAfter w:w="21" w:type="dxa"/>
        </w:trPr>
        <w:tc>
          <w:tcPr>
            <w:tcW w:w="199" w:type="dxa"/>
            <w:tcBorders>
              <w:top w:val="nil"/>
              <w:left w:val="nil"/>
              <w:bottom w:val="nil"/>
              <w:right w:val="nil"/>
            </w:tcBorders>
            <w:shd w:val="pct12" w:color="auto" w:fill="FFFFFF"/>
          </w:tcPr>
          <w:p w14:paraId="16509D34"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2DABA484" w14:textId="77777777" w:rsidR="00D6638C" w:rsidRPr="00D6638C" w:rsidRDefault="00F52876"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CF7EDB">
              <w:t>Do the project</w:t>
            </w:r>
            <w:r w:rsidR="009A4EC5">
              <w:t>s’</w:t>
            </w:r>
            <w:r w:rsidRPr="00CF7EDB">
              <w:t xml:space="preserve"> objective</w:t>
            </w:r>
            <w:r w:rsidR="009A4EC5">
              <w:t>s</w:t>
            </w:r>
            <w:r w:rsidRPr="00CF7EDB">
              <w:t xml:space="preserve"> fit GEF and UNDP strategic priorities?</w:t>
            </w:r>
          </w:p>
        </w:tc>
        <w:tc>
          <w:tcPr>
            <w:tcW w:w="3870" w:type="dxa"/>
          </w:tcPr>
          <w:p w14:paraId="2CD3208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3A93232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39B82F5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12EAEA30" w14:textId="77777777" w:rsidTr="00310398">
        <w:trPr>
          <w:gridAfter w:val="1"/>
          <w:wAfter w:w="21" w:type="dxa"/>
        </w:trPr>
        <w:tc>
          <w:tcPr>
            <w:tcW w:w="199" w:type="dxa"/>
            <w:tcBorders>
              <w:top w:val="nil"/>
              <w:left w:val="nil"/>
              <w:bottom w:val="nil"/>
              <w:right w:val="nil"/>
            </w:tcBorders>
            <w:shd w:val="pct12" w:color="auto" w:fill="FFFFFF"/>
          </w:tcPr>
          <w:p w14:paraId="7FD8F9A1"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41ED9C82" w14:textId="77777777" w:rsidR="00D6638C" w:rsidRPr="00D6638C" w:rsidRDefault="00F52876" w:rsidP="00F52876">
            <w:pPr>
              <w:numPr>
                <w:ilvl w:val="0"/>
                <w:numId w:val="9"/>
              </w:numPr>
              <w:autoSpaceDE w:val="0"/>
              <w:autoSpaceDN w:val="0"/>
              <w:adjustRightInd w:val="0"/>
              <w:spacing w:after="0" w:line="240" w:lineRule="auto"/>
              <w:ind w:left="307" w:hanging="307"/>
              <w:rPr>
                <w:rFonts w:ascii="Calibri" w:eastAsia="Times New Roman" w:hAnsi="Calibri" w:cs="Calibri"/>
                <w:sz w:val="20"/>
                <w:szCs w:val="20"/>
              </w:rPr>
            </w:pPr>
            <w:r w:rsidRPr="00CF7EDB">
              <w:t>To what extent do the pro</w:t>
            </w:r>
            <w:r w:rsidR="009A4EC5">
              <w:t>jects</w:t>
            </w:r>
            <w:r w:rsidRPr="00CF7EDB">
              <w:t xml:space="preserve"> contribute to gender equality, empowerment of women and human rights of target groups?</w:t>
            </w:r>
          </w:p>
        </w:tc>
        <w:tc>
          <w:tcPr>
            <w:tcW w:w="3870" w:type="dxa"/>
          </w:tcPr>
          <w:p w14:paraId="539A0D5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7FF25A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7253C64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47C84A66" w14:textId="77777777" w:rsidTr="006C1964">
        <w:tc>
          <w:tcPr>
            <w:tcW w:w="14601" w:type="dxa"/>
            <w:gridSpan w:val="6"/>
            <w:tcBorders>
              <w:top w:val="nil"/>
              <w:left w:val="single" w:sz="6" w:space="0" w:color="auto"/>
              <w:bottom w:val="nil"/>
              <w:right w:val="single" w:sz="6" w:space="0" w:color="auto"/>
            </w:tcBorders>
            <w:shd w:val="pct12" w:color="auto" w:fill="000000" w:themeFill="text1"/>
          </w:tcPr>
          <w:p w14:paraId="5926FD17" w14:textId="77777777" w:rsidR="00D6638C" w:rsidRPr="00310398" w:rsidRDefault="00D6638C" w:rsidP="00D6638C">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D6638C" w:rsidRPr="00D6638C" w14:paraId="64890594" w14:textId="77777777" w:rsidTr="00310398">
        <w:tc>
          <w:tcPr>
            <w:tcW w:w="199" w:type="dxa"/>
            <w:tcBorders>
              <w:top w:val="nil"/>
              <w:left w:val="nil"/>
              <w:bottom w:val="nil"/>
              <w:right w:val="nil"/>
            </w:tcBorders>
            <w:shd w:val="pct12" w:color="auto" w:fill="FFFFFF"/>
          </w:tcPr>
          <w:p w14:paraId="69DB0C3C"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13714A31" w14:textId="77777777" w:rsidR="00D6638C" w:rsidRPr="00D6638C" w:rsidRDefault="00D679C1"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CF7EDB">
              <w:rPr>
                <w:rFonts w:ascii="Calibri" w:hAnsi="Calibri" w:cs="Calibri"/>
              </w:rPr>
              <w:t>What are the positive or negative, intended or unintended, changes brought about by the projects</w:t>
            </w:r>
            <w:r w:rsidR="009A4EC5">
              <w:rPr>
                <w:rFonts w:ascii="Calibri" w:hAnsi="Calibri" w:cs="Calibri"/>
              </w:rPr>
              <w:t>’</w:t>
            </w:r>
            <w:r w:rsidRPr="00CF7EDB">
              <w:rPr>
                <w:rFonts w:ascii="Calibri" w:hAnsi="Calibri" w:cs="Calibri"/>
              </w:rPr>
              <w:t xml:space="preserve"> interventions?</w:t>
            </w:r>
          </w:p>
        </w:tc>
        <w:tc>
          <w:tcPr>
            <w:tcW w:w="3870" w:type="dxa"/>
          </w:tcPr>
          <w:p w14:paraId="7C37FEF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0B3CEFF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3BCDE2F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27156E8A" w14:textId="77777777" w:rsidTr="00310398">
        <w:tc>
          <w:tcPr>
            <w:tcW w:w="199" w:type="dxa"/>
            <w:tcBorders>
              <w:top w:val="nil"/>
              <w:left w:val="nil"/>
              <w:bottom w:val="nil"/>
              <w:right w:val="nil"/>
            </w:tcBorders>
            <w:shd w:val="pct12" w:color="auto" w:fill="FFFFFF"/>
          </w:tcPr>
          <w:p w14:paraId="77A7F586"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01831211" w14:textId="77777777" w:rsidR="00D6638C" w:rsidRPr="00D6638C" w:rsidRDefault="00D679C1"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CF7EDB">
              <w:rPr>
                <w:rFonts w:ascii="Calibri" w:hAnsi="Calibri" w:cs="Calibri"/>
              </w:rPr>
              <w:t>What factors have contributed to achieving or not achieving the intended specific objective/outcome and outputs/results?</w:t>
            </w:r>
          </w:p>
        </w:tc>
        <w:tc>
          <w:tcPr>
            <w:tcW w:w="3870" w:type="dxa"/>
          </w:tcPr>
          <w:p w14:paraId="1C58B75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127F7CE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3FE74A2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3567D78E" w14:textId="77777777" w:rsidTr="00310398">
        <w:tc>
          <w:tcPr>
            <w:tcW w:w="199" w:type="dxa"/>
            <w:tcBorders>
              <w:top w:val="nil"/>
              <w:left w:val="nil"/>
              <w:bottom w:val="nil"/>
              <w:right w:val="nil"/>
            </w:tcBorders>
            <w:shd w:val="pct12" w:color="auto" w:fill="FFFFFF"/>
          </w:tcPr>
          <w:p w14:paraId="7C3E592E"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7EF02AA0" w14:textId="77777777" w:rsidR="00D6638C" w:rsidRPr="00D6638C" w:rsidRDefault="00D679C1"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CF7EDB">
              <w:rPr>
                <w:rFonts w:ascii="Calibri" w:hAnsi="Calibri" w:cs="Calibri"/>
              </w:rPr>
              <w:t>To what extent ha</w:t>
            </w:r>
            <w:r w:rsidR="009A4EC5">
              <w:rPr>
                <w:rFonts w:ascii="Calibri" w:hAnsi="Calibri" w:cs="Calibri"/>
              </w:rPr>
              <w:t>ve</w:t>
            </w:r>
            <w:r w:rsidRPr="00CF7EDB">
              <w:rPr>
                <w:rFonts w:ascii="Calibri" w:hAnsi="Calibri" w:cs="Calibri"/>
              </w:rPr>
              <w:t xml:space="preserve"> the project</w:t>
            </w:r>
            <w:r w:rsidR="009A4EC5">
              <w:rPr>
                <w:rFonts w:ascii="Calibri" w:hAnsi="Calibri" w:cs="Calibri"/>
              </w:rPr>
              <w:t>s</w:t>
            </w:r>
            <w:r w:rsidRPr="00CF7EDB">
              <w:rPr>
                <w:rFonts w:ascii="Calibri" w:hAnsi="Calibri" w:cs="Calibri"/>
              </w:rPr>
              <w:t xml:space="preserve"> increased knowledge &amp; understanding of partners </w:t>
            </w:r>
            <w:r>
              <w:rPr>
                <w:rFonts w:ascii="Calibri" w:hAnsi="Calibri" w:cs="Calibri"/>
              </w:rPr>
              <w:t xml:space="preserve">and beneficiaries </w:t>
            </w:r>
            <w:r w:rsidRPr="00CF7EDB">
              <w:rPr>
                <w:rFonts w:ascii="Calibri" w:hAnsi="Calibri" w:cs="Calibri"/>
              </w:rPr>
              <w:t>on</w:t>
            </w:r>
            <w:r>
              <w:rPr>
                <w:rFonts w:ascii="Calibri" w:hAnsi="Calibri" w:cs="Calibri"/>
              </w:rPr>
              <w:t xml:space="preserve"> transbuoundary water ecosystems?</w:t>
            </w:r>
          </w:p>
        </w:tc>
        <w:tc>
          <w:tcPr>
            <w:tcW w:w="3870" w:type="dxa"/>
          </w:tcPr>
          <w:p w14:paraId="5EA03223" w14:textId="77777777" w:rsidR="00D6638C" w:rsidRPr="00D6638C"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14:paraId="42B045D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7F748D9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0969AABD" w14:textId="77777777"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6BC5415E" w14:textId="77777777" w:rsidR="00D6638C" w:rsidRPr="00310398" w:rsidRDefault="00D6638C" w:rsidP="00D6638C">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D6638C" w:rsidRPr="00D6638C" w14:paraId="144E5A46" w14:textId="77777777" w:rsidTr="00310398">
        <w:tc>
          <w:tcPr>
            <w:tcW w:w="199" w:type="dxa"/>
            <w:tcBorders>
              <w:top w:val="nil"/>
              <w:left w:val="nil"/>
              <w:bottom w:val="nil"/>
              <w:right w:val="nil"/>
            </w:tcBorders>
            <w:shd w:val="pct12" w:color="auto" w:fill="FFFFFF"/>
          </w:tcPr>
          <w:p w14:paraId="35C7C43E"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4BC03F1C" w14:textId="77777777" w:rsidR="00D6638C" w:rsidRPr="00D6638C" w:rsidRDefault="00D679C1"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CF7EDB">
              <w:rPr>
                <w:rFonts w:ascii="Calibri" w:hAnsi="Calibri" w:cs="Calibri"/>
              </w:rPr>
              <w:t>Are there any weaknesses in programme design, management, human resource skills, and resources?</w:t>
            </w:r>
          </w:p>
        </w:tc>
        <w:tc>
          <w:tcPr>
            <w:tcW w:w="3870" w:type="dxa"/>
          </w:tcPr>
          <w:p w14:paraId="2942050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4C831B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6F29091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6AD42AB9" w14:textId="77777777" w:rsidTr="00310398">
        <w:tc>
          <w:tcPr>
            <w:tcW w:w="199" w:type="dxa"/>
            <w:tcBorders>
              <w:top w:val="nil"/>
              <w:left w:val="nil"/>
              <w:bottom w:val="nil"/>
              <w:right w:val="nil"/>
            </w:tcBorders>
            <w:shd w:val="pct12" w:color="auto" w:fill="FFFFFF"/>
          </w:tcPr>
          <w:p w14:paraId="1CE9FBC9"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14:paraId="576D0504" w14:textId="77777777" w:rsidR="00D6638C" w:rsidRPr="00D6638C" w:rsidRDefault="00D679C1"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CF7EDB">
              <w:rPr>
                <w:rFonts w:ascii="Calibri" w:hAnsi="Calibri" w:cs="Calibri"/>
              </w:rPr>
              <w:t>Have resources (financial, human, technical) been allocated strategically to achieve the programme results?</w:t>
            </w:r>
            <w:r w:rsidRPr="00CF7EDB">
              <w:t xml:space="preserve"> </w:t>
            </w:r>
            <w:r w:rsidRPr="00CF7EDB">
              <w:rPr>
                <w:rFonts w:ascii="Calibri" w:hAnsi="Calibri" w:cs="Calibri"/>
              </w:rPr>
              <w:t>W</w:t>
            </w:r>
            <w:r w:rsidR="009A4EC5">
              <w:rPr>
                <w:rFonts w:ascii="Calibri" w:hAnsi="Calibri" w:cs="Calibri"/>
              </w:rPr>
              <w:t>ere</w:t>
            </w:r>
            <w:r w:rsidRPr="00CF7EDB">
              <w:rPr>
                <w:rFonts w:ascii="Calibri" w:hAnsi="Calibri" w:cs="Calibri"/>
              </w:rPr>
              <w:t xml:space="preserve"> project</w:t>
            </w:r>
            <w:r w:rsidR="009A4EC5">
              <w:rPr>
                <w:rFonts w:ascii="Calibri" w:hAnsi="Calibri" w:cs="Calibri"/>
              </w:rPr>
              <w:t>s</w:t>
            </w:r>
            <w:r w:rsidRPr="00CF7EDB">
              <w:rPr>
                <w:rFonts w:ascii="Calibri" w:hAnsi="Calibri" w:cs="Calibri"/>
              </w:rPr>
              <w:t xml:space="preserve"> implementation as cost effective as originally proposed (planned vs. actual)?</w:t>
            </w:r>
          </w:p>
        </w:tc>
        <w:tc>
          <w:tcPr>
            <w:tcW w:w="3870" w:type="dxa"/>
            <w:tcBorders>
              <w:bottom w:val="nil"/>
            </w:tcBorders>
          </w:tcPr>
          <w:p w14:paraId="0C6650B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14:paraId="4C33ED7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14:paraId="7F29349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27072966" w14:textId="77777777" w:rsidTr="00310398">
        <w:tc>
          <w:tcPr>
            <w:tcW w:w="199" w:type="dxa"/>
            <w:tcBorders>
              <w:top w:val="nil"/>
              <w:left w:val="nil"/>
              <w:bottom w:val="nil"/>
              <w:right w:val="nil"/>
            </w:tcBorders>
            <w:shd w:val="pct12" w:color="auto" w:fill="FFFFFF"/>
          </w:tcPr>
          <w:p w14:paraId="6877E454"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5A7F64B9" w14:textId="77777777" w:rsidR="00D6638C" w:rsidRPr="00D6638C" w:rsidRDefault="00D679C1"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CF7EDB">
              <w:rPr>
                <w:rFonts w:ascii="Calibri" w:hAnsi="Calibri" w:cs="Calibri"/>
              </w:rPr>
              <w:t>Did the leveraging of funds (co-financing) happen as planned?</w:t>
            </w:r>
          </w:p>
        </w:tc>
        <w:tc>
          <w:tcPr>
            <w:tcW w:w="3870" w:type="dxa"/>
          </w:tcPr>
          <w:p w14:paraId="6447F0DC" w14:textId="77777777" w:rsidR="00D6638C" w:rsidRPr="00D6638C" w:rsidRDefault="00D6638C"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14:paraId="36F0181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33D900F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79C1" w:rsidRPr="00D6638C" w14:paraId="1269C7B0" w14:textId="77777777" w:rsidTr="00310398">
        <w:tc>
          <w:tcPr>
            <w:tcW w:w="199" w:type="dxa"/>
            <w:tcBorders>
              <w:top w:val="nil"/>
              <w:left w:val="nil"/>
              <w:bottom w:val="nil"/>
              <w:right w:val="nil"/>
            </w:tcBorders>
            <w:shd w:val="pct12" w:color="auto" w:fill="FFFFFF"/>
          </w:tcPr>
          <w:p w14:paraId="58CBF8D5" w14:textId="77777777" w:rsidR="00D679C1" w:rsidRPr="00D6638C" w:rsidRDefault="00D679C1"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2415E7DC" w14:textId="77777777" w:rsidR="00D679C1" w:rsidRPr="00CF7EDB" w:rsidRDefault="00D679C1" w:rsidP="00D6638C">
            <w:pPr>
              <w:numPr>
                <w:ilvl w:val="0"/>
                <w:numId w:val="9"/>
              </w:numPr>
              <w:tabs>
                <w:tab w:val="left" w:pos="227"/>
              </w:tabs>
              <w:autoSpaceDE w:val="0"/>
              <w:autoSpaceDN w:val="0"/>
              <w:adjustRightInd w:val="0"/>
              <w:spacing w:after="0" w:line="240" w:lineRule="auto"/>
              <w:rPr>
                <w:rFonts w:ascii="Calibri" w:hAnsi="Calibri" w:cs="Calibri"/>
              </w:rPr>
            </w:pPr>
            <w:r w:rsidRPr="00CF7EDB">
              <w:rPr>
                <w:rFonts w:ascii="Calibri" w:hAnsi="Calibri" w:cs="Calibri"/>
              </w:rPr>
              <w:t>How was the results-based management used during project</w:t>
            </w:r>
            <w:r w:rsidR="009A4EC5">
              <w:rPr>
                <w:rFonts w:ascii="Calibri" w:hAnsi="Calibri" w:cs="Calibri"/>
              </w:rPr>
              <w:t>s’</w:t>
            </w:r>
            <w:r w:rsidRPr="00CF7EDB">
              <w:rPr>
                <w:rFonts w:ascii="Calibri" w:hAnsi="Calibri" w:cs="Calibri"/>
              </w:rPr>
              <w:t xml:space="preserve"> implementation? Was the project</w:t>
            </w:r>
            <w:r w:rsidR="009A4EC5">
              <w:rPr>
                <w:rFonts w:ascii="Calibri" w:hAnsi="Calibri" w:cs="Calibri"/>
              </w:rPr>
              <w:t>s’</w:t>
            </w:r>
            <w:r w:rsidRPr="00CF7EDB">
              <w:rPr>
                <w:rFonts w:ascii="Calibri" w:hAnsi="Calibri" w:cs="Calibri"/>
              </w:rPr>
              <w:t xml:space="preserve"> communication strategy sufficient to influence project</w:t>
            </w:r>
            <w:r w:rsidR="009A4EC5">
              <w:rPr>
                <w:rFonts w:ascii="Calibri" w:hAnsi="Calibri" w:cs="Calibri"/>
              </w:rPr>
              <w:t>s’</w:t>
            </w:r>
            <w:r w:rsidRPr="00CF7EDB">
              <w:rPr>
                <w:rFonts w:ascii="Calibri" w:hAnsi="Calibri" w:cs="Calibri"/>
              </w:rPr>
              <w:t xml:space="preserve"> results ?</w:t>
            </w:r>
          </w:p>
        </w:tc>
        <w:tc>
          <w:tcPr>
            <w:tcW w:w="3870" w:type="dxa"/>
          </w:tcPr>
          <w:p w14:paraId="776CACA6" w14:textId="77777777" w:rsidR="00D679C1" w:rsidRPr="00D6638C" w:rsidRDefault="00D679C1"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14:paraId="1F285252" w14:textId="77777777" w:rsidR="00D679C1" w:rsidRPr="00D6638C" w:rsidRDefault="00D679C1"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68EACA8F" w14:textId="77777777" w:rsidR="00D679C1" w:rsidRPr="00D6638C" w:rsidRDefault="00D679C1"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79C1" w:rsidRPr="00D6638C" w14:paraId="55623A99" w14:textId="77777777" w:rsidTr="00310398">
        <w:tc>
          <w:tcPr>
            <w:tcW w:w="199" w:type="dxa"/>
            <w:tcBorders>
              <w:top w:val="nil"/>
              <w:left w:val="nil"/>
              <w:bottom w:val="nil"/>
              <w:right w:val="nil"/>
            </w:tcBorders>
            <w:shd w:val="pct12" w:color="auto" w:fill="FFFFFF"/>
          </w:tcPr>
          <w:p w14:paraId="7F1E6873" w14:textId="77777777" w:rsidR="00D679C1" w:rsidRPr="00D6638C" w:rsidRDefault="00D679C1"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4C9A08D9" w14:textId="77777777" w:rsidR="00D679C1" w:rsidRPr="00CF7EDB" w:rsidRDefault="00D679C1" w:rsidP="00D6638C">
            <w:pPr>
              <w:numPr>
                <w:ilvl w:val="0"/>
                <w:numId w:val="9"/>
              </w:numPr>
              <w:tabs>
                <w:tab w:val="left" w:pos="227"/>
              </w:tabs>
              <w:autoSpaceDE w:val="0"/>
              <w:autoSpaceDN w:val="0"/>
              <w:adjustRightInd w:val="0"/>
              <w:spacing w:after="0" w:line="240" w:lineRule="auto"/>
              <w:rPr>
                <w:rFonts w:ascii="Calibri" w:hAnsi="Calibri" w:cs="Calibri"/>
              </w:rPr>
            </w:pPr>
            <w:r w:rsidRPr="00CF7EDB">
              <w:rPr>
                <w:rFonts w:ascii="Calibri" w:hAnsi="Calibri" w:cs="Calibri"/>
              </w:rPr>
              <w:t>To what extent ha</w:t>
            </w:r>
            <w:r w:rsidR="009A4EC5">
              <w:rPr>
                <w:rFonts w:ascii="Calibri" w:hAnsi="Calibri" w:cs="Calibri"/>
              </w:rPr>
              <w:t>ve</w:t>
            </w:r>
            <w:r w:rsidRPr="00CF7EDB">
              <w:rPr>
                <w:rFonts w:ascii="Calibri" w:hAnsi="Calibri" w:cs="Calibri"/>
              </w:rPr>
              <w:t xml:space="preserve"> the project</w:t>
            </w:r>
            <w:r w:rsidR="009A4EC5">
              <w:rPr>
                <w:rFonts w:ascii="Calibri" w:hAnsi="Calibri" w:cs="Calibri"/>
              </w:rPr>
              <w:t>s</w:t>
            </w:r>
            <w:r w:rsidRPr="00CF7EDB">
              <w:rPr>
                <w:rFonts w:ascii="Calibri" w:hAnsi="Calibri" w:cs="Calibri"/>
              </w:rPr>
              <w:t xml:space="preserve"> adhered to set guidelines for GEF, UNDP in achieving results?</w:t>
            </w:r>
          </w:p>
        </w:tc>
        <w:tc>
          <w:tcPr>
            <w:tcW w:w="3870" w:type="dxa"/>
          </w:tcPr>
          <w:p w14:paraId="4C525D73" w14:textId="77777777" w:rsidR="00D679C1" w:rsidRPr="00D6638C" w:rsidRDefault="00D679C1"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14:paraId="0ED7DED8" w14:textId="77777777" w:rsidR="00D679C1" w:rsidRPr="00D6638C" w:rsidRDefault="00D679C1"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0A8CC4B0" w14:textId="77777777" w:rsidR="00D679C1" w:rsidRPr="00D6638C" w:rsidRDefault="00D679C1"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1FC525CD"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346EF54C" w14:textId="77777777"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D6638C" w14:paraId="70E79EA8" w14:textId="77777777" w:rsidTr="00310398">
        <w:tc>
          <w:tcPr>
            <w:tcW w:w="199" w:type="dxa"/>
            <w:tcBorders>
              <w:top w:val="nil"/>
              <w:left w:val="nil"/>
              <w:bottom w:val="nil"/>
              <w:right w:val="nil"/>
            </w:tcBorders>
            <w:shd w:val="pct12" w:color="auto" w:fill="FFFFFF"/>
          </w:tcPr>
          <w:p w14:paraId="6947DDFF"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051C6624" w14:textId="77777777" w:rsidR="00D6638C" w:rsidRPr="00D6638C" w:rsidRDefault="00D679C1"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CF7EDB">
              <w:rPr>
                <w:rFonts w:ascii="Calibri" w:hAnsi="Calibri" w:cs="Calibri"/>
              </w:rPr>
              <w:t>To what extent have the risks identified within the project</w:t>
            </w:r>
            <w:r w:rsidR="009A4EC5">
              <w:rPr>
                <w:rFonts w:ascii="Calibri" w:hAnsi="Calibri" w:cs="Calibri"/>
              </w:rPr>
              <w:t>s</w:t>
            </w:r>
            <w:r w:rsidRPr="00CF7EDB">
              <w:rPr>
                <w:rFonts w:ascii="Calibri" w:hAnsi="Calibri" w:cs="Calibri"/>
              </w:rPr>
              <w:t xml:space="preserve"> influenced the project results?</w:t>
            </w:r>
          </w:p>
        </w:tc>
        <w:tc>
          <w:tcPr>
            <w:tcW w:w="3870" w:type="dxa"/>
          </w:tcPr>
          <w:p w14:paraId="2D87392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37A7C73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3A913D4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3B63536F" w14:textId="77777777" w:rsidTr="00310398">
        <w:tc>
          <w:tcPr>
            <w:tcW w:w="199" w:type="dxa"/>
            <w:tcBorders>
              <w:top w:val="nil"/>
              <w:left w:val="nil"/>
              <w:bottom w:val="nil"/>
              <w:right w:val="nil"/>
            </w:tcBorders>
            <w:shd w:val="pct12" w:color="auto" w:fill="FFFFFF"/>
          </w:tcPr>
          <w:p w14:paraId="00BE8E25"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295FBF57" w14:textId="77777777" w:rsidR="00D6638C" w:rsidRPr="00D6638C" w:rsidRDefault="00D679C1"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CF7EDB">
              <w:rPr>
                <w:rFonts w:ascii="Calibri" w:hAnsi="Calibri" w:cs="Calibri"/>
              </w:rPr>
              <w:t>To what extent is the sustainability of project</w:t>
            </w:r>
            <w:r w:rsidR="009A4EC5">
              <w:rPr>
                <w:rFonts w:ascii="Calibri" w:hAnsi="Calibri" w:cs="Calibri"/>
              </w:rPr>
              <w:t>s’</w:t>
            </w:r>
            <w:r w:rsidRPr="00CF7EDB">
              <w:rPr>
                <w:rFonts w:ascii="Calibri" w:hAnsi="Calibri" w:cs="Calibri"/>
              </w:rPr>
              <w:t xml:space="preserve"> results likely to depend on continued financial support? What is the likelihood that any additional financial resources will be available to sustain the project</w:t>
            </w:r>
            <w:r w:rsidR="009A4EC5">
              <w:rPr>
                <w:rFonts w:ascii="Calibri" w:hAnsi="Calibri" w:cs="Calibri"/>
              </w:rPr>
              <w:t>s’</w:t>
            </w:r>
            <w:r w:rsidRPr="00CF7EDB">
              <w:rPr>
                <w:rFonts w:ascii="Calibri" w:hAnsi="Calibri" w:cs="Calibri"/>
              </w:rPr>
              <w:t xml:space="preserve"> results once the GEF assistance ends?</w:t>
            </w:r>
          </w:p>
        </w:tc>
        <w:tc>
          <w:tcPr>
            <w:tcW w:w="3870" w:type="dxa"/>
          </w:tcPr>
          <w:p w14:paraId="593C324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562236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50F3FDF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1F587F16" w14:textId="77777777" w:rsidTr="00310398">
        <w:tc>
          <w:tcPr>
            <w:tcW w:w="199" w:type="dxa"/>
            <w:tcBorders>
              <w:top w:val="nil"/>
              <w:left w:val="nil"/>
              <w:bottom w:val="nil"/>
              <w:right w:val="nil"/>
            </w:tcBorders>
            <w:shd w:val="pct12" w:color="auto" w:fill="FFFFFF"/>
          </w:tcPr>
          <w:p w14:paraId="6C84AD93"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3903E1F4" w14:textId="77777777" w:rsidR="00D6638C" w:rsidRPr="00D6638C" w:rsidRDefault="00D679C1"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CF7EDB">
              <w:rPr>
                <w:rFonts w:ascii="Calibri" w:hAnsi="Calibri" w:cs="Calibri"/>
              </w:rPr>
              <w:t>To what extent has the programme approach (intervention strategy) managed to create ownership of the key</w:t>
            </w:r>
            <w:r w:rsidR="009A4EC5">
              <w:rPr>
                <w:rFonts w:ascii="Calibri" w:hAnsi="Calibri" w:cs="Calibri"/>
              </w:rPr>
              <w:t xml:space="preserve"> international and</w:t>
            </w:r>
            <w:r w:rsidRPr="00CF7EDB">
              <w:rPr>
                <w:rFonts w:ascii="Calibri" w:hAnsi="Calibri" w:cs="Calibri"/>
              </w:rPr>
              <w:t xml:space="preserve"> national stakeholders?</w:t>
            </w:r>
          </w:p>
        </w:tc>
        <w:tc>
          <w:tcPr>
            <w:tcW w:w="3870" w:type="dxa"/>
          </w:tcPr>
          <w:p w14:paraId="650029B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24DA77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081EC42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79C1" w:rsidRPr="00D6638C" w14:paraId="7BED9A11" w14:textId="77777777" w:rsidTr="00310398">
        <w:tc>
          <w:tcPr>
            <w:tcW w:w="199" w:type="dxa"/>
            <w:tcBorders>
              <w:top w:val="nil"/>
              <w:left w:val="nil"/>
              <w:bottom w:val="nil"/>
              <w:right w:val="nil"/>
            </w:tcBorders>
            <w:shd w:val="pct12" w:color="auto" w:fill="FFFFFF"/>
          </w:tcPr>
          <w:p w14:paraId="21104430" w14:textId="77777777" w:rsidR="00D679C1" w:rsidRPr="00D6638C" w:rsidRDefault="00D679C1"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0814AD13" w14:textId="77777777" w:rsidR="00D679C1" w:rsidRPr="00CF7EDB" w:rsidRDefault="00D679C1" w:rsidP="00D6638C">
            <w:pPr>
              <w:numPr>
                <w:ilvl w:val="0"/>
                <w:numId w:val="9"/>
              </w:numPr>
              <w:tabs>
                <w:tab w:val="left" w:pos="227"/>
              </w:tabs>
              <w:autoSpaceDE w:val="0"/>
              <w:autoSpaceDN w:val="0"/>
              <w:adjustRightInd w:val="0"/>
              <w:spacing w:after="0" w:line="240" w:lineRule="auto"/>
              <w:rPr>
                <w:rFonts w:ascii="Calibri" w:hAnsi="Calibri" w:cs="Calibri"/>
              </w:rPr>
            </w:pPr>
            <w:r w:rsidRPr="00CF7EDB">
              <w:rPr>
                <w:rFonts w:ascii="Calibri" w:hAnsi="Calibri" w:cs="Calibri"/>
              </w:rPr>
              <w:t>Do relevant stakeholders have the relevant capacities to ensure sustainability of the results achieved by the project</w:t>
            </w:r>
            <w:r w:rsidR="009A4EC5">
              <w:rPr>
                <w:rFonts w:ascii="Calibri" w:hAnsi="Calibri" w:cs="Calibri"/>
              </w:rPr>
              <w:t>s</w:t>
            </w:r>
            <w:r w:rsidRPr="00CF7EDB">
              <w:rPr>
                <w:rFonts w:ascii="Calibri" w:hAnsi="Calibri" w:cs="Calibri"/>
              </w:rPr>
              <w:t>?</w:t>
            </w:r>
          </w:p>
        </w:tc>
        <w:tc>
          <w:tcPr>
            <w:tcW w:w="3870" w:type="dxa"/>
          </w:tcPr>
          <w:p w14:paraId="1C4057E5" w14:textId="77777777" w:rsidR="00D679C1" w:rsidRPr="00D6638C" w:rsidRDefault="00D679C1"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B78A330" w14:textId="77777777" w:rsidR="00D679C1" w:rsidRPr="00D6638C" w:rsidRDefault="00D679C1"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0E194EB8" w14:textId="77777777" w:rsidR="00D679C1" w:rsidRPr="00D6638C" w:rsidRDefault="00D679C1"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79C1" w:rsidRPr="00D6638C" w14:paraId="7735679E" w14:textId="77777777" w:rsidTr="00310398">
        <w:tc>
          <w:tcPr>
            <w:tcW w:w="199" w:type="dxa"/>
            <w:tcBorders>
              <w:top w:val="nil"/>
              <w:left w:val="nil"/>
              <w:bottom w:val="nil"/>
              <w:right w:val="nil"/>
            </w:tcBorders>
            <w:shd w:val="pct12" w:color="auto" w:fill="FFFFFF"/>
          </w:tcPr>
          <w:p w14:paraId="653C8B57" w14:textId="77777777" w:rsidR="00D679C1" w:rsidRPr="00D6638C" w:rsidRDefault="00D679C1"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EBA6A89" w14:textId="77777777" w:rsidR="00D679C1" w:rsidRPr="00CF7EDB" w:rsidRDefault="009A4EC5" w:rsidP="00D6638C">
            <w:pPr>
              <w:numPr>
                <w:ilvl w:val="0"/>
                <w:numId w:val="9"/>
              </w:numPr>
              <w:tabs>
                <w:tab w:val="left" w:pos="227"/>
              </w:tabs>
              <w:autoSpaceDE w:val="0"/>
              <w:autoSpaceDN w:val="0"/>
              <w:adjustRightInd w:val="0"/>
              <w:spacing w:after="0" w:line="240" w:lineRule="auto"/>
              <w:rPr>
                <w:rFonts w:ascii="Calibri" w:hAnsi="Calibri" w:cs="Calibri"/>
              </w:rPr>
            </w:pPr>
            <w:r w:rsidRPr="00CF7EDB">
              <w:t>What is the project</w:t>
            </w:r>
            <w:r>
              <w:t>s’</w:t>
            </w:r>
            <w:r w:rsidRPr="00CF7EDB">
              <w:t xml:space="preserve"> potential for scaling-up and replication in terms of the need expresses by institutional partners and stakeholders?</w:t>
            </w:r>
          </w:p>
        </w:tc>
        <w:tc>
          <w:tcPr>
            <w:tcW w:w="3870" w:type="dxa"/>
          </w:tcPr>
          <w:p w14:paraId="3095F31F" w14:textId="77777777" w:rsidR="00D679C1" w:rsidRPr="00D6638C" w:rsidRDefault="00D679C1"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039CAE94" w14:textId="77777777" w:rsidR="00D679C1" w:rsidRPr="00D6638C" w:rsidRDefault="00D679C1"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CE20DBA" w14:textId="77777777" w:rsidR="00D679C1" w:rsidRPr="00D6638C" w:rsidRDefault="00D679C1"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45FE5636"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56D50A70" w14:textId="77777777"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D6638C" w14:paraId="3E998DE2" w14:textId="77777777" w:rsidTr="00310398">
        <w:tc>
          <w:tcPr>
            <w:tcW w:w="199" w:type="dxa"/>
            <w:tcBorders>
              <w:top w:val="nil"/>
              <w:left w:val="nil"/>
              <w:bottom w:val="nil"/>
              <w:right w:val="nil"/>
            </w:tcBorders>
            <w:shd w:val="pct12" w:color="auto" w:fill="FFFFFF"/>
          </w:tcPr>
          <w:p w14:paraId="493E2232"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6FB2A410" w14:textId="77777777" w:rsidR="00D6638C" w:rsidRPr="00D6638C" w:rsidRDefault="009A4EC5"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CF7EDB">
              <w:rPr>
                <w:rFonts w:ascii="Calibri" w:hAnsi="Calibri" w:cs="Calibri"/>
              </w:rPr>
              <w:t>To what extent are key stakeholders/final beneficiaries satisfied with the benefits generated by the project</w:t>
            </w:r>
            <w:r>
              <w:rPr>
                <w:rFonts w:ascii="Calibri" w:hAnsi="Calibri" w:cs="Calibri"/>
              </w:rPr>
              <w:t>s</w:t>
            </w:r>
            <w:r w:rsidRPr="00CF7EDB">
              <w:rPr>
                <w:rFonts w:ascii="Calibri" w:hAnsi="Calibri" w:cs="Calibri"/>
              </w:rPr>
              <w:t>?</w:t>
            </w:r>
          </w:p>
        </w:tc>
        <w:tc>
          <w:tcPr>
            <w:tcW w:w="3870" w:type="dxa"/>
          </w:tcPr>
          <w:p w14:paraId="334CFA1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2B231CF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7D1C37E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bl>
    <w:p w14:paraId="23E4DF69" w14:textId="77777777" w:rsidR="00D6638C" w:rsidRPr="00D6638C" w:rsidRDefault="00D6638C" w:rsidP="00D6638C">
      <w:pPr>
        <w:spacing w:before="200"/>
        <w:rPr>
          <w:rFonts w:ascii="Calibri" w:eastAsia="Times New Roman" w:hAnsi="Calibri" w:cs="Times New Roman"/>
          <w:sz w:val="20"/>
          <w:szCs w:val="20"/>
        </w:rPr>
        <w:sectPr w:rsidR="00D6638C" w:rsidRPr="00D6638C" w:rsidSect="006C1964">
          <w:pgSz w:w="15840" w:h="12240" w:orient="landscape"/>
          <w:pgMar w:top="1440" w:right="900" w:bottom="1440" w:left="1440" w:header="708" w:footer="708" w:gutter="0"/>
          <w:cols w:space="708"/>
          <w:docGrid w:linePitch="360"/>
        </w:sectPr>
      </w:pPr>
    </w:p>
    <w:p w14:paraId="1E5B7D7D" w14:textId="77777777" w:rsidR="00D6638C" w:rsidRDefault="00D6638C" w:rsidP="00F05366">
      <w:pPr>
        <w:pStyle w:val="Heading31"/>
      </w:pPr>
      <w:bookmarkStart w:id="66" w:name="_TOR_Annex_D:"/>
      <w:bookmarkStart w:id="67" w:name="_Toc321341565"/>
      <w:bookmarkEnd w:id="66"/>
      <w:r w:rsidRPr="00D6638C">
        <w:lastRenderedPageBreak/>
        <w:t>Annex D: Rating</w:t>
      </w:r>
      <w:r w:rsidR="00E77635">
        <w:t xml:space="preserve"> Scales</w:t>
      </w:r>
      <w:bookmarkEnd w:id="67"/>
    </w:p>
    <w:p w14:paraId="36E9DCAF" w14:textId="77777777"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812"/>
        <w:gridCol w:w="3813"/>
        <w:gridCol w:w="1861"/>
      </w:tblGrid>
      <w:tr w:rsidR="00D6638C" w:rsidRPr="00D6638C" w14:paraId="673E402B" w14:textId="77777777" w:rsidTr="00E77635">
        <w:trPr>
          <w:trHeight w:val="548"/>
        </w:trPr>
        <w:tc>
          <w:tcPr>
            <w:tcW w:w="2009" w:type="pct"/>
            <w:shd w:val="clear" w:color="auto" w:fill="auto"/>
            <w:hideMark/>
          </w:tcPr>
          <w:p w14:paraId="44C3E8DC"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14:paraId="2AC91E1C"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14:paraId="0094D804" w14:textId="77777777"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14:paraId="692FBBA3"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14:paraId="6BC1D322" w14:textId="77777777" w:rsidTr="00E77635">
        <w:trPr>
          <w:trHeight w:val="269"/>
        </w:trPr>
        <w:tc>
          <w:tcPr>
            <w:tcW w:w="2009" w:type="pct"/>
            <w:vMerge w:val="restart"/>
            <w:shd w:val="clear" w:color="auto" w:fill="auto"/>
            <w:hideMark/>
          </w:tcPr>
          <w:p w14:paraId="5A30A2C3"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14:paraId="16E0F752"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14:paraId="4F7CCE85"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14:paraId="020B93F8"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Unsatisfactory (MU): significant  shortcomings</w:t>
            </w:r>
          </w:p>
          <w:p w14:paraId="113847CB"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14:paraId="37270127"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14:paraId="6E640DCE" w14:textId="77777777"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14:paraId="0F729379"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14:paraId="39903158"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14:paraId="69DF2780" w14:textId="77777777" w:rsidTr="00E77635">
        <w:trPr>
          <w:trHeight w:val="251"/>
        </w:trPr>
        <w:tc>
          <w:tcPr>
            <w:tcW w:w="2009" w:type="pct"/>
            <w:vMerge/>
            <w:shd w:val="clear" w:color="auto" w:fill="auto"/>
            <w:hideMark/>
          </w:tcPr>
          <w:p w14:paraId="05CDBB36"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14:paraId="4093C3D5"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(ML):moderate risks</w:t>
            </w:r>
          </w:p>
        </w:tc>
        <w:tc>
          <w:tcPr>
            <w:tcW w:w="981" w:type="pct"/>
            <w:tcBorders>
              <w:top w:val="nil"/>
              <w:bottom w:val="nil"/>
            </w:tcBorders>
            <w:shd w:val="clear" w:color="auto" w:fill="auto"/>
          </w:tcPr>
          <w:p w14:paraId="7FCCAB93"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14:paraId="459691BC" w14:textId="77777777" w:rsidTr="00E77635">
        <w:tc>
          <w:tcPr>
            <w:tcW w:w="2009" w:type="pct"/>
            <w:vMerge/>
            <w:tcBorders>
              <w:bottom w:val="single" w:sz="4" w:space="0" w:color="auto"/>
            </w:tcBorders>
            <w:shd w:val="clear" w:color="auto" w:fill="auto"/>
            <w:hideMark/>
          </w:tcPr>
          <w:p w14:paraId="30FB5881"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14:paraId="357F2222"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14:paraId="694D40F3"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14:paraId="53C198DF" w14:textId="77777777" w:rsidR="00D6638C" w:rsidRPr="00D6638C" w:rsidRDefault="00D6638C" w:rsidP="00D6638C">
            <w:pPr>
              <w:spacing w:after="0" w:line="240" w:lineRule="auto"/>
              <w:rPr>
                <w:rFonts w:ascii="Calibri" w:eastAsia="Times New Roman" w:hAnsi="Calibri" w:cs="Times New Roman"/>
                <w:sz w:val="20"/>
                <w:szCs w:val="20"/>
              </w:rPr>
            </w:pPr>
          </w:p>
          <w:p w14:paraId="451280BF"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14:paraId="71E20224"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14:paraId="0679085B"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14:paraId="6C424679"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14:paraId="011229EC"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C61A3DA" w14:textId="77777777"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14:paraId="08D7B1C6" w14:textId="77777777"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14:paraId="55CBA8A8"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14:paraId="30DF0400" w14:textId="77777777" w:rsidR="00D6638C" w:rsidRPr="00D6638C" w:rsidRDefault="00D6638C" w:rsidP="00F05366">
      <w:pPr>
        <w:pStyle w:val="Heading31"/>
      </w:pPr>
      <w:r w:rsidRPr="00D6638C">
        <w:br w:type="page"/>
      </w:r>
      <w:bookmarkStart w:id="68" w:name="_Toc299133056"/>
      <w:bookmarkStart w:id="69" w:name="_Toc321341566"/>
      <w:r w:rsidRPr="00D6638C">
        <w:lastRenderedPageBreak/>
        <w:t xml:space="preserve">Annex E: Evaluation Consultant Code of Conduct </w:t>
      </w:r>
      <w:r w:rsidR="00B913F1">
        <w:t xml:space="preserve">and </w:t>
      </w:r>
      <w:r w:rsidRPr="00D6638C">
        <w:t>Agreement Form</w:t>
      </w:r>
      <w:bookmarkEnd w:id="63"/>
      <w:bookmarkEnd w:id="64"/>
      <w:bookmarkEnd w:id="65"/>
      <w:bookmarkEnd w:id="68"/>
      <w:bookmarkEnd w:id="69"/>
    </w:p>
    <w:p w14:paraId="76A92F7E" w14:textId="77777777"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14:paraId="538FE2A8" w14:textId="77777777"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14:paraId="51F71C39"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14:paraId="1002A4B4"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14:paraId="507559BE"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4100AB62"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1BBB4E1"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14:paraId="2916F342"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14:paraId="707EE472" w14:textId="77777777" w:rsidR="00D6638C" w:rsidRPr="00B913F1" w:rsidRDefault="00B913F1" w:rsidP="00B913F1">
      <w:pPr>
        <w:pStyle w:val="ListParagraph"/>
        <w:numPr>
          <w:ilvl w:val="0"/>
          <w:numId w:val="31"/>
        </w:numPr>
      </w:pPr>
      <w:r w:rsidRPr="00B913F1">
        <w:rPr>
          <w:rFonts w:eastAsia="ACaslon-Regular"/>
          <w:lang w:val="en-GB" w:bidi="ar-SA"/>
        </w:rPr>
        <w:t>Should reflect sound accounting procedures and be prudent in using the resources of the evaluation.</w:t>
      </w:r>
    </w:p>
    <w:p w14:paraId="4F0ECF77"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8"/>
      </w:r>
    </w:p>
    <w:p w14:paraId="0639F15C"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14:paraId="77ED03D3"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14:paraId="5AB8B8B3"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14:paraId="7B929F63"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14:paraId="42F99C8A"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14:paraId="7CF73278"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14:paraId="32582BB7" w14:textId="77777777" w:rsidR="00D6638C" w:rsidRPr="00D6638C" w:rsidRDefault="00D6638C" w:rsidP="00F05366">
      <w:pPr>
        <w:pStyle w:val="Heading31"/>
      </w:pPr>
      <w:r w:rsidRPr="00D6638C">
        <w:rPr>
          <w:sz w:val="20"/>
          <w:szCs w:val="20"/>
        </w:rPr>
        <w:br w:type="page"/>
      </w:r>
      <w:bookmarkStart w:id="70" w:name="_TOR_Annex_F:"/>
      <w:bookmarkStart w:id="71" w:name="_Toc299122847"/>
      <w:bookmarkStart w:id="72" w:name="_Toc299122869"/>
      <w:bookmarkStart w:id="73" w:name="_Toc299126633"/>
      <w:bookmarkStart w:id="74" w:name="_Toc299133057"/>
      <w:bookmarkStart w:id="75" w:name="_Toc321341567"/>
      <w:bookmarkEnd w:id="70"/>
      <w:r w:rsidRPr="00D6638C">
        <w:lastRenderedPageBreak/>
        <w:t>Annex F: Evaluation Report Outline</w:t>
      </w:r>
      <w:bookmarkEnd w:id="71"/>
      <w:bookmarkEnd w:id="72"/>
      <w:bookmarkEnd w:id="73"/>
      <w:bookmarkEnd w:id="74"/>
      <w:r w:rsidRPr="00D6638C">
        <w:rPr>
          <w:vertAlign w:val="superscript"/>
        </w:rPr>
        <w:footnoteReference w:id="9"/>
      </w:r>
      <w:bookmarkEnd w:id="75"/>
    </w:p>
    <w:tbl>
      <w:tblPr>
        <w:tblW w:w="0" w:type="auto"/>
        <w:tblInd w:w="108" w:type="dxa"/>
        <w:tblLook w:val="04A0" w:firstRow="1" w:lastRow="0" w:firstColumn="1" w:lastColumn="0" w:noHBand="0" w:noVBand="1"/>
      </w:tblPr>
      <w:tblGrid>
        <w:gridCol w:w="985"/>
        <w:gridCol w:w="8483"/>
      </w:tblGrid>
      <w:tr w:rsidR="00D6638C" w:rsidRPr="00D6638C" w14:paraId="711ABB1F" w14:textId="77777777" w:rsidTr="006C1964">
        <w:tc>
          <w:tcPr>
            <w:tcW w:w="985" w:type="dxa"/>
          </w:tcPr>
          <w:p w14:paraId="7B91EAB6"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w:t>
            </w:r>
          </w:p>
        </w:tc>
        <w:tc>
          <w:tcPr>
            <w:tcW w:w="8483" w:type="dxa"/>
          </w:tcPr>
          <w:p w14:paraId="27E6432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14:paraId="47AAEC89"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of  UNDP supported GEF financed project </w:t>
            </w:r>
          </w:p>
          <w:p w14:paraId="0341148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14:paraId="72BDEAF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14:paraId="7AECEB9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14:paraId="6E16DE3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14:paraId="7E56CBA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14:paraId="62CF950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14:paraId="5094A21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14:paraId="66D9BD4C" w14:textId="77777777" w:rsidTr="006C1964">
        <w:tc>
          <w:tcPr>
            <w:tcW w:w="985" w:type="dxa"/>
          </w:tcPr>
          <w:p w14:paraId="298976A5"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14:paraId="19995E7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14:paraId="2BC938B2"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14:paraId="6190D31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14:paraId="0BFFE032"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14:paraId="72489DC7"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14:paraId="67AD90AD" w14:textId="77777777" w:rsidTr="006C1964">
        <w:tc>
          <w:tcPr>
            <w:tcW w:w="985" w:type="dxa"/>
          </w:tcPr>
          <w:p w14:paraId="4A3FFCED"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14:paraId="13D6F4A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14:paraId="38747B5E" w14:textId="77777777"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10"/>
            </w:r>
            <w:r w:rsidRPr="00D6638C">
              <w:rPr>
                <w:rFonts w:ascii="Calibri" w:eastAsia="Times New Roman" w:hAnsi="Calibri" w:cs="Times New Roman"/>
                <w:sz w:val="20"/>
                <w:szCs w:val="20"/>
              </w:rPr>
              <w:t>)</w:t>
            </w:r>
          </w:p>
        </w:tc>
      </w:tr>
      <w:tr w:rsidR="00D6638C" w:rsidRPr="00D6638C" w14:paraId="3DEAC174" w14:textId="77777777" w:rsidTr="006C1964">
        <w:tc>
          <w:tcPr>
            <w:tcW w:w="985" w:type="dxa"/>
          </w:tcPr>
          <w:p w14:paraId="08941A49"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14:paraId="34C1296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14:paraId="715E27CF"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14:paraId="442A36C5"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14:paraId="22840619"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14:paraId="5F544734" w14:textId="77777777" w:rsidTr="006C1964">
        <w:tc>
          <w:tcPr>
            <w:tcW w:w="985" w:type="dxa"/>
          </w:tcPr>
          <w:p w14:paraId="720C46D8"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14:paraId="5C06C62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14:paraId="0AEC9F69"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14:paraId="32AC3F6F"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Problems that the project sought  to address</w:t>
            </w:r>
          </w:p>
          <w:p w14:paraId="150A5952"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14:paraId="49116A04"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14:paraId="3C1D0361"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14:paraId="4017779B"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14:paraId="2928099C" w14:textId="77777777" w:rsidTr="006C1964">
        <w:tc>
          <w:tcPr>
            <w:tcW w:w="985" w:type="dxa"/>
          </w:tcPr>
          <w:p w14:paraId="3F3C842F"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14:paraId="0FA7E74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14:paraId="376141DA" w14:textId="77777777"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11"/>
            </w:r>
            <w:r w:rsidRPr="00D6638C">
              <w:rPr>
                <w:rFonts w:ascii="Calibri" w:eastAsia="Times New Roman" w:hAnsi="Calibri" w:cs="Times New Roman"/>
                <w:sz w:val="20"/>
                <w:szCs w:val="20"/>
              </w:rPr>
              <w:t xml:space="preserve">) </w:t>
            </w:r>
          </w:p>
        </w:tc>
      </w:tr>
      <w:tr w:rsidR="00D6638C" w:rsidRPr="00D6638C" w14:paraId="722C6FEB" w14:textId="77777777" w:rsidTr="006C1964">
        <w:tc>
          <w:tcPr>
            <w:tcW w:w="985" w:type="dxa"/>
          </w:tcPr>
          <w:p w14:paraId="00056F1B"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14:paraId="6B84129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14:paraId="44C9CBA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14:paraId="0C9782B1"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14:paraId="2B7D87C9"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14:paraId="09CEE87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14:paraId="61B7CFE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14:paraId="63B09CA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14:paraId="097584B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14:paraId="7C70104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14:paraId="4DEE5E33" w14:textId="77777777" w:rsidTr="006C1964">
        <w:tc>
          <w:tcPr>
            <w:tcW w:w="985" w:type="dxa"/>
          </w:tcPr>
          <w:p w14:paraId="2DCE7033"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14:paraId="63B328A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14:paraId="6B2C27A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14:paraId="17F9EAF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14:paraId="69B8C419"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Feedback from M&amp;E activities used for adaptive management</w:t>
            </w:r>
          </w:p>
          <w:p w14:paraId="7047EB44"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lastRenderedPageBreak/>
              <w:t xml:space="preserve">Project Finance:  </w:t>
            </w:r>
          </w:p>
          <w:p w14:paraId="12197708"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14:paraId="75F833F6" w14:textId="77777777" w:rsidR="00D6638C" w:rsidRPr="00D6638C" w:rsidRDefault="00D6638C" w:rsidP="00D6638C">
            <w:pPr>
              <w:numPr>
                <w:ilvl w:val="0"/>
                <w:numId w:val="17"/>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14:paraId="753C2C25" w14:textId="77777777" w:rsidTr="006C1964">
        <w:trPr>
          <w:trHeight w:val="74"/>
        </w:trPr>
        <w:tc>
          <w:tcPr>
            <w:tcW w:w="985" w:type="dxa"/>
          </w:tcPr>
          <w:p w14:paraId="4CA0B1DA"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14:paraId="4BD3E48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14:paraId="1AF37500"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14:paraId="08DC45F0"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p>
          <w:p w14:paraId="0573BFDD"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14:paraId="4494333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14:paraId="047C913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14:paraId="39DC4147"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14:paraId="51C1072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14:paraId="3159D398" w14:textId="77777777" w:rsidTr="006C1964">
        <w:tc>
          <w:tcPr>
            <w:tcW w:w="985" w:type="dxa"/>
          </w:tcPr>
          <w:p w14:paraId="20768480"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14:paraId="7DC5DC1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14:paraId="2A9A5EE4"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14:paraId="7F370B32"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14:paraId="7DB56A1B"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14:paraId="33B49235"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14:paraId="3939C2C8" w14:textId="77777777" w:rsidTr="006C1964">
        <w:tc>
          <w:tcPr>
            <w:tcW w:w="985" w:type="dxa"/>
          </w:tcPr>
          <w:p w14:paraId="5E174DFA"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14:paraId="3F174EE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14:paraId="7C3AE103"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ToR</w:t>
            </w:r>
          </w:p>
          <w:p w14:paraId="79D71BE9"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14:paraId="4C56A22B"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14:paraId="32983472"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14:paraId="1420D7AD"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14:paraId="4AFECEA8"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14:paraId="2C4ACF76"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14:paraId="4D059FD5"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14:paraId="6BD19088" w14:textId="77777777" w:rsidR="00D6638C" w:rsidRPr="00D6638C" w:rsidRDefault="00D6638C" w:rsidP="00D6638C">
            <w:pPr>
              <w:spacing w:after="0"/>
              <w:rPr>
                <w:rFonts w:ascii="Calibri" w:eastAsia="Times New Roman" w:hAnsi="Calibri" w:cs="Times New Roman"/>
                <w:sz w:val="20"/>
                <w:szCs w:val="20"/>
              </w:rPr>
            </w:pPr>
          </w:p>
          <w:p w14:paraId="61A2AFA9" w14:textId="77777777" w:rsidR="00D6638C" w:rsidRPr="00D6638C" w:rsidRDefault="00D6638C" w:rsidP="00D6638C">
            <w:pPr>
              <w:spacing w:after="0"/>
              <w:rPr>
                <w:rFonts w:ascii="Calibri" w:eastAsia="Times New Roman" w:hAnsi="Calibri" w:cs="Times New Roman"/>
                <w:sz w:val="20"/>
                <w:szCs w:val="20"/>
              </w:rPr>
            </w:pPr>
          </w:p>
        </w:tc>
      </w:tr>
    </w:tbl>
    <w:p w14:paraId="77F24B12" w14:textId="77777777" w:rsidR="00D6638C" w:rsidRPr="00D6638C" w:rsidRDefault="00D6638C" w:rsidP="00D6638C">
      <w:pPr>
        <w:spacing w:before="200"/>
        <w:rPr>
          <w:rFonts w:ascii="Calibri" w:eastAsia="Times New Roman" w:hAnsi="Calibri" w:cs="Times New Roman"/>
          <w:sz w:val="20"/>
          <w:szCs w:val="20"/>
        </w:rPr>
      </w:pPr>
      <w:bookmarkStart w:id="76" w:name="_TOR_Annex_G:"/>
      <w:bookmarkStart w:id="77" w:name="_Toc299133058"/>
      <w:bookmarkStart w:id="78" w:name="_Toc299122848"/>
      <w:bookmarkStart w:id="79" w:name="_Toc299122870"/>
      <w:bookmarkStart w:id="80" w:name="_Toc299126634"/>
      <w:bookmarkEnd w:id="76"/>
    </w:p>
    <w:p w14:paraId="2536D845" w14:textId="77777777"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14:paraId="441383BE" w14:textId="77777777" w:rsidR="00D6638C" w:rsidRPr="00F05366" w:rsidRDefault="00D6638C" w:rsidP="00F05366">
      <w:pPr>
        <w:pStyle w:val="Heading31"/>
      </w:pPr>
      <w:bookmarkStart w:id="81" w:name="_TOR_Annex_G:_1"/>
      <w:bookmarkStart w:id="82" w:name="_Toc321341568"/>
      <w:bookmarkEnd w:id="81"/>
      <w:r w:rsidRPr="00F05366">
        <w:lastRenderedPageBreak/>
        <w:t>Annex G: Evaluation Report Clearance Form</w:t>
      </w:r>
      <w:bookmarkEnd w:id="77"/>
      <w:bookmarkEnd w:id="82"/>
    </w:p>
    <w:p w14:paraId="3BB1DE19" w14:textId="77777777"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bidi="ar-SA"/>
        </w:rPr>
        <mc:AlternateContent>
          <mc:Choice Requires="wps">
            <w:drawing>
              <wp:anchor distT="0" distB="0" distL="114300" distR="114300" simplePos="0" relativeHeight="251659264" behindDoc="0" locked="0" layoutInCell="1" allowOverlap="1" wp14:anchorId="62E86A14" wp14:editId="093A6BF8">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14:paraId="10105AA8" w14:textId="77777777" w:rsidR="00146F51" w:rsidRPr="0084083F" w:rsidRDefault="00146F51" w:rsidP="00D6638C">
                            <w:pPr>
                              <w:rPr>
                                <w:rFonts w:eastAsia="Batang"/>
                              </w:rPr>
                            </w:pPr>
                            <w:r w:rsidRPr="0084083F">
                              <w:rPr>
                                <w:rFonts w:eastAsia="Batang"/>
                              </w:rPr>
                              <w:t>Evaluation Report Reviewed and Cleared by</w:t>
                            </w:r>
                          </w:p>
                          <w:p w14:paraId="5E7289E4" w14:textId="77777777" w:rsidR="00146F51" w:rsidRPr="0084083F" w:rsidRDefault="00146F51" w:rsidP="00D6638C">
                            <w:r w:rsidRPr="0084083F">
                              <w:t>UNDP Country Office</w:t>
                            </w:r>
                          </w:p>
                          <w:p w14:paraId="6B20C5C5" w14:textId="77777777" w:rsidR="00146F51" w:rsidRPr="0084083F" w:rsidRDefault="00146F51" w:rsidP="00D6638C">
                            <w:r w:rsidRPr="0084083F">
                              <w:t>Name:  ___________________________________________________</w:t>
                            </w:r>
                          </w:p>
                          <w:p w14:paraId="634FFD84" w14:textId="77777777" w:rsidR="00146F51" w:rsidRPr="0084083F" w:rsidRDefault="00146F51" w:rsidP="00D6638C">
                            <w:r w:rsidRPr="0084083F">
                              <w:t>Signature: ______________________________       Date: _________________________________</w:t>
                            </w:r>
                          </w:p>
                          <w:p w14:paraId="0EBDA0F9" w14:textId="77777777" w:rsidR="00146F51" w:rsidRPr="0084083F" w:rsidRDefault="00146F51" w:rsidP="00D6638C">
                            <w:r w:rsidRPr="0084083F">
                              <w:t>UNDP GEF R</w:t>
                            </w:r>
                            <w:r>
                              <w:t>TA</w:t>
                            </w:r>
                          </w:p>
                          <w:p w14:paraId="1BD53924" w14:textId="77777777" w:rsidR="00146F51" w:rsidRPr="0084083F" w:rsidRDefault="00146F51" w:rsidP="00D6638C">
                            <w:r w:rsidRPr="0084083F">
                              <w:t>Name:  ___________________________________________________</w:t>
                            </w:r>
                          </w:p>
                          <w:p w14:paraId="5DFDD4E5" w14:textId="77777777" w:rsidR="00146F51" w:rsidRPr="0084083F" w:rsidRDefault="00146F51"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E86A14"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14:paraId="10105AA8" w14:textId="77777777" w:rsidR="008F1D8B" w:rsidRPr="0084083F" w:rsidRDefault="008F1D8B" w:rsidP="00D6638C">
                      <w:pPr>
                        <w:rPr>
                          <w:rFonts w:eastAsia="Batang"/>
                        </w:rPr>
                      </w:pPr>
                      <w:r w:rsidRPr="0084083F">
                        <w:rPr>
                          <w:rFonts w:eastAsia="Batang"/>
                        </w:rPr>
                        <w:t>Evaluation Report Reviewed and Cleared by</w:t>
                      </w:r>
                    </w:p>
                    <w:p w14:paraId="5E7289E4" w14:textId="77777777" w:rsidR="008F1D8B" w:rsidRPr="0084083F" w:rsidRDefault="008F1D8B" w:rsidP="00D6638C">
                      <w:r w:rsidRPr="0084083F">
                        <w:t>UNDP Country Office</w:t>
                      </w:r>
                    </w:p>
                    <w:p w14:paraId="6B20C5C5" w14:textId="77777777" w:rsidR="008F1D8B" w:rsidRPr="0084083F" w:rsidRDefault="008F1D8B" w:rsidP="00D6638C">
                      <w:r w:rsidRPr="0084083F">
                        <w:t>Name:  ___________________________________________________</w:t>
                      </w:r>
                    </w:p>
                    <w:p w14:paraId="634FFD84" w14:textId="77777777" w:rsidR="008F1D8B" w:rsidRPr="0084083F" w:rsidRDefault="008F1D8B" w:rsidP="00D6638C">
                      <w:r w:rsidRPr="0084083F">
                        <w:t>Signature: ______________________________       Date: _________________________________</w:t>
                      </w:r>
                    </w:p>
                    <w:p w14:paraId="0EBDA0F9" w14:textId="77777777" w:rsidR="008F1D8B" w:rsidRPr="0084083F" w:rsidRDefault="008F1D8B" w:rsidP="00D6638C">
                      <w:r w:rsidRPr="0084083F">
                        <w:t>UNDP GEF R</w:t>
                      </w:r>
                      <w:r>
                        <w:t>TA</w:t>
                      </w:r>
                    </w:p>
                    <w:p w14:paraId="1BD53924" w14:textId="77777777" w:rsidR="008F1D8B" w:rsidRPr="0084083F" w:rsidRDefault="008F1D8B" w:rsidP="00D6638C">
                      <w:r w:rsidRPr="0084083F">
                        <w:t>Name:  ___________________________________________________</w:t>
                      </w:r>
                    </w:p>
                    <w:p w14:paraId="5DFDD4E5" w14:textId="77777777" w:rsidR="008F1D8B" w:rsidRPr="0084083F" w:rsidRDefault="008F1D8B" w:rsidP="00D6638C">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78"/>
      <w:bookmarkEnd w:id="79"/>
      <w:bookmarkEnd w:id="80"/>
    </w:p>
    <w:p w14:paraId="31A24943" w14:textId="77777777" w:rsidR="00D6638C" w:rsidRPr="00D6638C" w:rsidRDefault="00D6638C" w:rsidP="00D6638C">
      <w:pPr>
        <w:spacing w:before="200"/>
        <w:rPr>
          <w:rFonts w:ascii="Calibri" w:eastAsia="Times New Roman" w:hAnsi="Calibri" w:cs="Times New Roman"/>
          <w:i/>
          <w:sz w:val="20"/>
          <w:szCs w:val="20"/>
        </w:rPr>
      </w:pPr>
    </w:p>
    <w:p w14:paraId="39E1638F" w14:textId="77777777" w:rsidR="00D6638C" w:rsidRPr="00D6638C" w:rsidRDefault="00D6638C" w:rsidP="00D6638C">
      <w:pPr>
        <w:spacing w:before="200"/>
        <w:rPr>
          <w:rFonts w:ascii="Calibri" w:eastAsia="Times New Roman" w:hAnsi="Calibri" w:cs="Times New Roman"/>
          <w:i/>
          <w:sz w:val="20"/>
          <w:szCs w:val="20"/>
        </w:rPr>
      </w:pPr>
    </w:p>
    <w:p w14:paraId="16B54516" w14:textId="77777777" w:rsidR="00D6638C" w:rsidRPr="00D6638C" w:rsidRDefault="00D6638C" w:rsidP="00D6638C">
      <w:pPr>
        <w:spacing w:before="200"/>
        <w:rPr>
          <w:rFonts w:ascii="Calibri" w:eastAsia="Times New Roman" w:hAnsi="Calibri" w:cs="Times New Roman"/>
          <w:i/>
          <w:sz w:val="20"/>
          <w:szCs w:val="20"/>
        </w:rPr>
      </w:pPr>
    </w:p>
    <w:p w14:paraId="43281231" w14:textId="77777777" w:rsidR="00D6638C" w:rsidRPr="00D6638C" w:rsidRDefault="00D6638C" w:rsidP="00D6638C">
      <w:pPr>
        <w:spacing w:before="200"/>
        <w:rPr>
          <w:rFonts w:ascii="Calibri" w:eastAsia="Times New Roman" w:hAnsi="Calibri" w:cs="Times New Roman"/>
          <w:sz w:val="20"/>
          <w:szCs w:val="20"/>
        </w:rPr>
      </w:pPr>
    </w:p>
    <w:p w14:paraId="734EBA4A" w14:textId="77777777" w:rsidR="00D6638C" w:rsidRPr="00D6638C" w:rsidRDefault="00D6638C" w:rsidP="00D6638C">
      <w:pPr>
        <w:spacing w:before="200"/>
        <w:rPr>
          <w:rFonts w:ascii="Calibri" w:eastAsia="Times New Roman" w:hAnsi="Calibri" w:cs="Times New Roman"/>
          <w:sz w:val="20"/>
          <w:szCs w:val="20"/>
        </w:rPr>
      </w:pPr>
    </w:p>
    <w:p w14:paraId="2E4D9694" w14:textId="77777777" w:rsidR="00D6638C" w:rsidRPr="00D6638C" w:rsidRDefault="00D6638C" w:rsidP="00D6638C">
      <w:pPr>
        <w:spacing w:before="200"/>
        <w:rPr>
          <w:rFonts w:ascii="Calibri" w:eastAsia="Times New Roman" w:hAnsi="Calibri" w:cs="Times New Roman"/>
          <w:sz w:val="20"/>
          <w:szCs w:val="20"/>
        </w:rPr>
      </w:pPr>
    </w:p>
    <w:p w14:paraId="7196829B" w14:textId="77777777" w:rsidR="00D6638C" w:rsidRPr="00D6638C" w:rsidRDefault="00D6638C" w:rsidP="00D6638C">
      <w:pPr>
        <w:spacing w:before="200"/>
        <w:rPr>
          <w:rFonts w:ascii="Calibri" w:eastAsia="Times New Roman" w:hAnsi="Calibri" w:cs="Times New Roman"/>
          <w:sz w:val="20"/>
          <w:szCs w:val="20"/>
        </w:rPr>
      </w:pPr>
    </w:p>
    <w:p w14:paraId="361D6228" w14:textId="77777777" w:rsidR="00D6638C" w:rsidRPr="00D6638C" w:rsidRDefault="00D6638C" w:rsidP="00D6638C">
      <w:pPr>
        <w:spacing w:before="200"/>
        <w:rPr>
          <w:rFonts w:ascii="Calibri" w:eastAsia="Times New Roman" w:hAnsi="Calibri" w:cs="Times New Roman"/>
          <w:sz w:val="20"/>
          <w:szCs w:val="20"/>
        </w:rPr>
      </w:pPr>
    </w:p>
    <w:p w14:paraId="204B5719" w14:textId="77777777" w:rsidR="00D6638C" w:rsidRPr="00D6638C" w:rsidRDefault="00D6638C" w:rsidP="00D6638C">
      <w:pPr>
        <w:spacing w:before="200"/>
        <w:rPr>
          <w:rFonts w:ascii="Calibri" w:eastAsia="Times New Roman" w:hAnsi="Calibri" w:cs="Times New Roman"/>
          <w:sz w:val="20"/>
          <w:szCs w:val="20"/>
        </w:rPr>
      </w:pPr>
    </w:p>
    <w:p w14:paraId="05592743" w14:textId="77777777" w:rsidR="00D6638C" w:rsidRPr="00D6638C" w:rsidRDefault="00D6638C" w:rsidP="00D6638C">
      <w:pPr>
        <w:spacing w:before="200"/>
        <w:rPr>
          <w:rFonts w:ascii="Calibri" w:eastAsia="Times New Roman" w:hAnsi="Calibri" w:cs="Times New Roman"/>
          <w:sz w:val="20"/>
          <w:szCs w:val="20"/>
        </w:rPr>
      </w:pPr>
    </w:p>
    <w:p w14:paraId="4843EC43" w14:textId="77777777" w:rsidR="00D6638C" w:rsidRPr="00D6638C" w:rsidRDefault="00D6638C" w:rsidP="00D6638C">
      <w:pPr>
        <w:spacing w:before="200"/>
        <w:rPr>
          <w:rFonts w:ascii="Calibri" w:eastAsia="Times New Roman" w:hAnsi="Calibri" w:cs="Times New Roman"/>
          <w:sz w:val="20"/>
          <w:szCs w:val="20"/>
        </w:rPr>
      </w:pPr>
    </w:p>
    <w:p w14:paraId="70CBA5A5" w14:textId="77777777" w:rsidR="00D6638C" w:rsidRPr="00D6638C" w:rsidRDefault="00D6638C" w:rsidP="00D6638C">
      <w:pPr>
        <w:spacing w:before="200"/>
        <w:rPr>
          <w:rFonts w:ascii="Calibri" w:eastAsia="Times New Roman" w:hAnsi="Calibri" w:cs="Times New Roman"/>
          <w:sz w:val="20"/>
          <w:szCs w:val="20"/>
        </w:rPr>
      </w:pPr>
    </w:p>
    <w:p w14:paraId="4F9EACF1" w14:textId="77777777" w:rsidR="00D6638C" w:rsidRPr="00D6638C" w:rsidRDefault="00D6638C" w:rsidP="00D6638C">
      <w:pPr>
        <w:spacing w:before="200"/>
        <w:rPr>
          <w:rFonts w:ascii="Calibri" w:eastAsia="Times New Roman" w:hAnsi="Calibri" w:cs="Times New Roman"/>
          <w:sz w:val="20"/>
          <w:szCs w:val="20"/>
        </w:rPr>
      </w:pPr>
    </w:p>
    <w:p w14:paraId="155D7916" w14:textId="77777777" w:rsidR="00D6638C" w:rsidRPr="00D6638C" w:rsidRDefault="00D6638C" w:rsidP="00D6638C">
      <w:pPr>
        <w:spacing w:before="200"/>
        <w:rPr>
          <w:rFonts w:ascii="Calibri" w:eastAsia="Times New Roman" w:hAnsi="Calibri" w:cs="Times New Roman"/>
          <w:sz w:val="20"/>
          <w:szCs w:val="20"/>
        </w:rPr>
      </w:pPr>
    </w:p>
    <w:p w14:paraId="3DFB0B2C" w14:textId="77777777" w:rsidR="00303541" w:rsidRDefault="00303541" w:rsidP="00D6638C">
      <w:pPr>
        <w:spacing w:before="200"/>
      </w:pPr>
      <w:bookmarkStart w:id="83" w:name="_Annex_3._Sample"/>
      <w:bookmarkEnd w:id="83"/>
    </w:p>
    <w:sectPr w:rsidR="0030354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C13258" w15:done="0"/>
  <w15:commentEx w15:paraId="51B508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C13258" w16cid:durableId="20D06A83"/>
  <w16cid:commentId w16cid:paraId="51B50850" w16cid:durableId="20D06A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E4B73" w14:textId="77777777" w:rsidR="00CD603B" w:rsidRDefault="00CD603B" w:rsidP="00D6638C">
      <w:pPr>
        <w:spacing w:after="0" w:line="240" w:lineRule="auto"/>
      </w:pPr>
      <w:r>
        <w:separator/>
      </w:r>
    </w:p>
  </w:endnote>
  <w:endnote w:type="continuationSeparator" w:id="0">
    <w:p w14:paraId="08D238EE" w14:textId="77777777" w:rsidR="00CD603B" w:rsidRDefault="00CD603B"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Caslon-Regular">
    <w:altName w:val="MS Mincho"/>
    <w:panose1 w:val="00000000000000000000"/>
    <w:charset w:val="80"/>
    <w:family w:val="roman"/>
    <w:notTrueType/>
    <w:pitch w:val="default"/>
    <w:sig w:usb0="00000000" w:usb1="08070000" w:usb2="00000010" w:usb3="00000000" w:csb0="00020000" w:csb1="00000000"/>
  </w:font>
  <w:font w:name="WarnockPro-Ligh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yriad-Bold">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715490"/>
      <w:docPartObj>
        <w:docPartGallery w:val="Page Numbers (Bottom of Page)"/>
        <w:docPartUnique/>
      </w:docPartObj>
    </w:sdtPr>
    <w:sdtEndPr>
      <w:rPr>
        <w:noProof/>
      </w:rPr>
    </w:sdtEndPr>
    <w:sdtContent>
      <w:p w14:paraId="1E98F709" w14:textId="77777777" w:rsidR="00146F51" w:rsidRDefault="00146F51">
        <w:pPr>
          <w:pStyle w:val="Footer"/>
          <w:jc w:val="right"/>
        </w:pPr>
        <w:r>
          <w:fldChar w:fldCharType="begin"/>
        </w:r>
        <w:r>
          <w:instrText xml:space="preserve"> PAGE   \* MERGEFORMAT </w:instrText>
        </w:r>
        <w:r>
          <w:fldChar w:fldCharType="separate"/>
        </w:r>
        <w:r w:rsidR="00895862">
          <w:rPr>
            <w:noProof/>
          </w:rPr>
          <w:t>9</w:t>
        </w:r>
        <w:r>
          <w:rPr>
            <w:noProof/>
          </w:rPr>
          <w:fldChar w:fldCharType="end"/>
        </w:r>
      </w:p>
    </w:sdtContent>
  </w:sdt>
  <w:p w14:paraId="6D49D3F5" w14:textId="77777777" w:rsidR="00146F51" w:rsidRDefault="00146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04A59" w14:textId="77777777" w:rsidR="00CD603B" w:rsidRDefault="00CD603B" w:rsidP="00D6638C">
      <w:pPr>
        <w:spacing w:after="0" w:line="240" w:lineRule="auto"/>
      </w:pPr>
      <w:r>
        <w:separator/>
      </w:r>
    </w:p>
  </w:footnote>
  <w:footnote w:type="continuationSeparator" w:id="0">
    <w:p w14:paraId="2966DB04" w14:textId="77777777" w:rsidR="00CD603B" w:rsidRDefault="00CD603B" w:rsidP="00D6638C">
      <w:pPr>
        <w:spacing w:after="0" w:line="240" w:lineRule="auto"/>
      </w:pPr>
      <w:r>
        <w:continuationSeparator/>
      </w:r>
    </w:p>
  </w:footnote>
  <w:footnote w:id="1">
    <w:p w14:paraId="4CB24B40" w14:textId="77777777" w:rsidR="00146F51" w:rsidRPr="0048020E" w:rsidRDefault="00146F51" w:rsidP="008F1D8B">
      <w:pPr>
        <w:pStyle w:val="FootnoteText"/>
        <w:jc w:val="both"/>
        <w:rPr>
          <w:lang w:val="bs-Latn-BA"/>
        </w:rPr>
      </w:pPr>
      <w:r>
        <w:rPr>
          <w:rStyle w:val="FootnoteReference"/>
        </w:rPr>
        <w:footnoteRef/>
      </w:r>
      <w:hyperlink r:id="rId1" w:history="1">
        <w:r w:rsidRPr="00A42D27">
          <w:rPr>
            <w:rStyle w:val="Hyperlink"/>
          </w:rPr>
          <w:t>https://www.thegef.org/sites/default/files/council-meeting</w:t>
        </w:r>
      </w:hyperlink>
      <w:r>
        <w:t xml:space="preserve"> </w:t>
      </w:r>
      <w:r w:rsidRPr="0048020E">
        <w:t>documents/C.31.12_Operational_Guidelines_for_Incremental_Costs_4.pdf</w:t>
      </w:r>
    </w:p>
  </w:footnote>
  <w:footnote w:id="2">
    <w:p w14:paraId="6EFDC5AA" w14:textId="77777777" w:rsidR="00146F51" w:rsidRDefault="00146F51"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2"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3">
    <w:p w14:paraId="18950EC9" w14:textId="77777777" w:rsidR="00146F51" w:rsidRPr="00022F8E" w:rsidRDefault="00146F51">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3" w:history="1">
        <w:r w:rsidRPr="00E23201">
          <w:rPr>
            <w:rStyle w:val="Hyperlink"/>
            <w:lang w:val="en-GB"/>
          </w:rPr>
          <w:t xml:space="preserve"> ROTI Handbook 2009</w:t>
        </w:r>
      </w:hyperlink>
    </w:p>
  </w:footnote>
  <w:footnote w:id="4">
    <w:p w14:paraId="2964EA98" w14:textId="77777777" w:rsidR="00146F51" w:rsidRPr="00F17AE8" w:rsidRDefault="00146F51" w:rsidP="004F2025">
      <w:pPr>
        <w:pStyle w:val="FootnoteText"/>
        <w:rPr>
          <w:rFonts w:ascii="Garamond" w:hAnsi="Garamond"/>
          <w:szCs w:val="18"/>
        </w:rPr>
      </w:pPr>
      <w:r w:rsidRPr="00022F3F">
        <w:rPr>
          <w:rStyle w:val="FootnoteReference"/>
          <w:rFonts w:ascii="Garamond" w:eastAsia="MS Gothic" w:hAnsi="Garamond"/>
          <w:szCs w:val="18"/>
        </w:rPr>
        <w:footnoteRef/>
      </w:r>
      <w:r w:rsidRPr="00F17AE8">
        <w:rPr>
          <w:rFonts w:ascii="Garamond" w:hAnsi="Garamond"/>
          <w:szCs w:val="18"/>
        </w:rPr>
        <w:t xml:space="preserve"> </w:t>
      </w:r>
      <w:hyperlink r:id="rId4" w:history="1">
        <w:r w:rsidRPr="00022F3F">
          <w:rPr>
            <w:rStyle w:val="Hyperlink"/>
            <w:rFonts w:ascii="Garamond" w:eastAsia="MS Mincho" w:hAnsi="Garamond"/>
          </w:rPr>
          <w:t>https://intranet.undp.org/unit/bom/pso/Support%20documents%20on%20IC%20Guidelines/Template%20for%20Confirmation%20of%20Interest%20and%20Submission%20of%20Financial%20Proposal.docx</w:t>
        </w:r>
      </w:hyperlink>
      <w:r w:rsidRPr="00F17AE8">
        <w:rPr>
          <w:rFonts w:ascii="Garamond" w:hAnsi="Garamond"/>
          <w:szCs w:val="18"/>
        </w:rPr>
        <w:t xml:space="preserve"> </w:t>
      </w:r>
    </w:p>
  </w:footnote>
  <w:footnote w:id="5">
    <w:p w14:paraId="1F889E31" w14:textId="77777777" w:rsidR="00146F51" w:rsidRPr="00CC5905" w:rsidRDefault="00146F51" w:rsidP="004F2025">
      <w:pPr>
        <w:pStyle w:val="p28"/>
        <w:tabs>
          <w:tab w:val="clear" w:pos="680"/>
          <w:tab w:val="clear" w:pos="1060"/>
        </w:tabs>
        <w:spacing w:line="240" w:lineRule="auto"/>
        <w:ind w:left="0" w:firstLine="0"/>
        <w:jc w:val="both"/>
        <w:rPr>
          <w:rFonts w:ascii="Garamond" w:hAnsi="Garamond"/>
          <w:sz w:val="18"/>
          <w:szCs w:val="18"/>
        </w:rPr>
      </w:pPr>
      <w:r w:rsidRPr="00022F3F">
        <w:rPr>
          <w:rStyle w:val="FootnoteReference"/>
          <w:rFonts w:eastAsia="MS Gothic"/>
          <w:sz w:val="18"/>
          <w:szCs w:val="18"/>
        </w:rPr>
        <w:footnoteRef/>
      </w:r>
      <w:r>
        <w:t xml:space="preserve"> </w:t>
      </w:r>
      <w:hyperlink r:id="rId5" w:history="1">
        <w:r w:rsidRPr="004F2025">
          <w:rPr>
            <w:rStyle w:val="Hyperlink"/>
            <w:rFonts w:ascii="Garamond" w:eastAsia="MS Mincho" w:hAnsi="Garamond"/>
            <w:sz w:val="16"/>
            <w:szCs w:val="16"/>
          </w:rPr>
          <w:t>http://www.undp.org/content/dam/undp/library/corporate/Careers/P11_Personal_history_form.doc</w:t>
        </w:r>
      </w:hyperlink>
      <w:r>
        <w:rPr>
          <w:rFonts w:ascii="Garamond" w:hAnsi="Garamond"/>
          <w:sz w:val="18"/>
          <w:szCs w:val="18"/>
        </w:rPr>
        <w:t xml:space="preserve"> </w:t>
      </w:r>
    </w:p>
  </w:footnote>
  <w:footnote w:id="6">
    <w:p w14:paraId="57297087" w14:textId="77777777" w:rsidR="00146F51" w:rsidRPr="0068701B" w:rsidRDefault="00146F51" w:rsidP="004A3B80">
      <w:pPr>
        <w:pStyle w:val="FootnoteText"/>
        <w:rPr>
          <w:rFonts w:ascii="Times New Roman" w:hAnsi="Times New Roman"/>
          <w:i/>
          <w:szCs w:val="18"/>
        </w:rPr>
      </w:pPr>
      <w:r>
        <w:rPr>
          <w:rStyle w:val="FootnoteReference"/>
        </w:rPr>
        <w:footnoteRef/>
      </w:r>
      <w:r>
        <w:t xml:space="preserve"> </w:t>
      </w:r>
      <w:r w:rsidRPr="0068701B">
        <w:rPr>
          <w:rFonts w:ascii="Times New Roman" w:hAnsi="Times New Roman"/>
          <w:i/>
          <w:szCs w:val="18"/>
        </w:rPr>
        <w:t>Objective (Atlas output) monitored quarterly</w:t>
      </w:r>
      <w:r>
        <w:rPr>
          <w:rFonts w:ascii="Times New Roman" w:hAnsi="Times New Roman"/>
          <w:i/>
          <w:szCs w:val="18"/>
        </w:rPr>
        <w:t xml:space="preserve"> ERBM </w:t>
      </w:r>
      <w:r w:rsidRPr="0068701B">
        <w:rPr>
          <w:rFonts w:ascii="Times New Roman" w:hAnsi="Times New Roman"/>
          <w:i/>
          <w:szCs w:val="18"/>
        </w:rPr>
        <w:t xml:space="preserve"> and annually in APR/PIR</w:t>
      </w:r>
    </w:p>
  </w:footnote>
  <w:footnote w:id="7">
    <w:p w14:paraId="6BCEC3C1" w14:textId="77777777" w:rsidR="00146F51" w:rsidRPr="0068701B" w:rsidRDefault="00146F51" w:rsidP="004A3B80">
      <w:pPr>
        <w:pStyle w:val="FootnoteText"/>
        <w:rPr>
          <w:i/>
        </w:rPr>
      </w:pPr>
      <w:r w:rsidRPr="0068701B">
        <w:rPr>
          <w:rStyle w:val="FootnoteReference"/>
          <w:i/>
        </w:rPr>
        <w:footnoteRef/>
      </w:r>
      <w:r w:rsidRPr="0068701B">
        <w:rPr>
          <w:i/>
        </w:rPr>
        <w:t xml:space="preserve"> </w:t>
      </w:r>
      <w:r w:rsidRPr="0068701B">
        <w:rPr>
          <w:rFonts w:ascii="Times New Roman" w:hAnsi="Times New Roman"/>
          <w:i/>
          <w:szCs w:val="18"/>
        </w:rPr>
        <w:t>All outcomes</w:t>
      </w:r>
      <w:r>
        <w:rPr>
          <w:rFonts w:ascii="Times New Roman" w:hAnsi="Times New Roman"/>
          <w:i/>
          <w:szCs w:val="18"/>
        </w:rPr>
        <w:t xml:space="preserve"> monitored annually in the </w:t>
      </w:r>
      <w:r w:rsidRPr="0068701B">
        <w:rPr>
          <w:rFonts w:ascii="Times New Roman" w:hAnsi="Times New Roman"/>
          <w:i/>
          <w:szCs w:val="18"/>
        </w:rPr>
        <w:t>APR/PIR</w:t>
      </w:r>
      <w:r>
        <w:rPr>
          <w:rFonts w:ascii="Times New Roman" w:hAnsi="Times New Roman"/>
          <w:i/>
          <w:szCs w:val="18"/>
        </w:rPr>
        <w:t>.  It is highly recommended not to have more than 4 outcomes.</w:t>
      </w:r>
    </w:p>
  </w:footnote>
  <w:footnote w:id="8">
    <w:p w14:paraId="7638C5B6" w14:textId="77777777" w:rsidR="00146F51" w:rsidRDefault="00146F51" w:rsidP="00D6638C">
      <w:pPr>
        <w:pStyle w:val="FootnoteText"/>
      </w:pPr>
      <w:r w:rsidRPr="004B6248">
        <w:rPr>
          <w:rStyle w:val="FootnoteReference"/>
        </w:rPr>
        <w:footnoteRef/>
      </w:r>
      <w:r w:rsidRPr="00FB1376">
        <w:t>www.unevaluation.org/unegcodeofconduct</w:t>
      </w:r>
    </w:p>
    <w:p w14:paraId="7B05C808" w14:textId="77777777" w:rsidR="00146F51" w:rsidRDefault="00146F51" w:rsidP="00D6638C">
      <w:pPr>
        <w:pStyle w:val="FootnoteText"/>
      </w:pPr>
    </w:p>
  </w:footnote>
  <w:footnote w:id="9">
    <w:p w14:paraId="27D7D0EC" w14:textId="77777777" w:rsidR="00146F51" w:rsidRPr="002B7151" w:rsidRDefault="00146F51"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10">
    <w:p w14:paraId="1D76A482" w14:textId="77777777" w:rsidR="00146F51" w:rsidRPr="002B7151" w:rsidRDefault="00146F51"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11">
    <w:p w14:paraId="6B91E099" w14:textId="77777777" w:rsidR="00146F51" w:rsidRPr="002B7151" w:rsidRDefault="00146F51"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0">
    <w:nsid w:val="28766767"/>
    <w:multiLevelType w:val="hybridMultilevel"/>
    <w:tmpl w:val="703AF83A"/>
    <w:lvl w:ilvl="0" w:tplc="040C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3">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5">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4A247A8"/>
    <w:multiLevelType w:val="hybridMultilevel"/>
    <w:tmpl w:val="BC021310"/>
    <w:lvl w:ilvl="0" w:tplc="A92EBBF2">
      <w:start w:val="1"/>
      <w:numFmt w:val="decimal"/>
      <w:pStyle w:val="A"/>
      <w:lvlText w:val="%1."/>
      <w:lvlJc w:val="left"/>
      <w:pPr>
        <w:tabs>
          <w:tab w:val="num" w:pos="1080"/>
        </w:tabs>
        <w:ind w:left="1080" w:hanging="720"/>
      </w:pPr>
      <w:rPr>
        <w:rFonts w:hint="default"/>
        <w:b w:val="0"/>
        <w:bCs w:val="0"/>
      </w:rPr>
    </w:lvl>
    <w:lvl w:ilvl="1" w:tplc="464C223C">
      <w:start w:val="1"/>
      <w:numFmt w:val="lowerRoman"/>
      <w:lvlText w:val="(%2)"/>
      <w:lvlJc w:val="left"/>
      <w:pPr>
        <w:tabs>
          <w:tab w:val="num" w:pos="900"/>
        </w:tabs>
        <w:ind w:left="9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3">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5">
    <w:nsid w:val="55C958A2"/>
    <w:multiLevelType w:val="hybridMultilevel"/>
    <w:tmpl w:val="FADA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9575EA"/>
    <w:multiLevelType w:val="multilevel"/>
    <w:tmpl w:val="B650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1">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2">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CBA639A"/>
    <w:multiLevelType w:val="hybridMultilevel"/>
    <w:tmpl w:val="B192C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27067E"/>
    <w:multiLevelType w:val="hybridMultilevel"/>
    <w:tmpl w:val="771263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7"/>
  </w:num>
  <w:num w:numId="2">
    <w:abstractNumId w:val="37"/>
  </w:num>
  <w:num w:numId="3">
    <w:abstractNumId w:val="29"/>
  </w:num>
  <w:num w:numId="4">
    <w:abstractNumId w:val="18"/>
  </w:num>
  <w:num w:numId="5">
    <w:abstractNumId w:val="2"/>
  </w:num>
  <w:num w:numId="6">
    <w:abstractNumId w:val="23"/>
  </w:num>
  <w:num w:numId="7">
    <w:abstractNumId w:val="1"/>
  </w:num>
  <w:num w:numId="8">
    <w:abstractNumId w:val="31"/>
  </w:num>
  <w:num w:numId="9">
    <w:abstractNumId w:val="12"/>
  </w:num>
  <w:num w:numId="10">
    <w:abstractNumId w:val="30"/>
  </w:num>
  <w:num w:numId="11">
    <w:abstractNumId w:val="9"/>
  </w:num>
  <w:num w:numId="12">
    <w:abstractNumId w:val="24"/>
  </w:num>
  <w:num w:numId="13">
    <w:abstractNumId w:val="22"/>
  </w:num>
  <w:num w:numId="14">
    <w:abstractNumId w:val="3"/>
  </w:num>
  <w:num w:numId="15">
    <w:abstractNumId w:val="21"/>
  </w:num>
  <w:num w:numId="16">
    <w:abstractNumId w:val="14"/>
  </w:num>
  <w:num w:numId="17">
    <w:abstractNumId w:val="4"/>
  </w:num>
  <w:num w:numId="18">
    <w:abstractNumId w:val="13"/>
  </w:num>
  <w:num w:numId="19">
    <w:abstractNumId w:val="36"/>
  </w:num>
  <w:num w:numId="20">
    <w:abstractNumId w:val="16"/>
  </w:num>
  <w:num w:numId="21">
    <w:abstractNumId w:val="11"/>
  </w:num>
  <w:num w:numId="22">
    <w:abstractNumId w:val="5"/>
  </w:num>
  <w:num w:numId="23">
    <w:abstractNumId w:val="6"/>
  </w:num>
  <w:num w:numId="24">
    <w:abstractNumId w:val="32"/>
  </w:num>
  <w:num w:numId="25">
    <w:abstractNumId w:val="0"/>
  </w:num>
  <w:num w:numId="26">
    <w:abstractNumId w:val="38"/>
  </w:num>
  <w:num w:numId="27">
    <w:abstractNumId w:val="8"/>
  </w:num>
  <w:num w:numId="28">
    <w:abstractNumId w:val="34"/>
  </w:num>
  <w:num w:numId="29">
    <w:abstractNumId w:val="20"/>
  </w:num>
  <w:num w:numId="30">
    <w:abstractNumId w:val="17"/>
  </w:num>
  <w:num w:numId="31">
    <w:abstractNumId w:val="26"/>
  </w:num>
  <w:num w:numId="32">
    <w:abstractNumId w:val="27"/>
  </w:num>
  <w:num w:numId="33">
    <w:abstractNumId w:val="33"/>
  </w:num>
  <w:num w:numId="34">
    <w:abstractNumId w:val="35"/>
  </w:num>
  <w:num w:numId="35">
    <w:abstractNumId w:val="25"/>
  </w:num>
  <w:num w:numId="36">
    <w:abstractNumId w:val="28"/>
  </w:num>
  <w:num w:numId="37">
    <w:abstractNumId w:val="10"/>
  </w:num>
  <w:num w:numId="38">
    <w:abstractNumId w:val="39"/>
  </w:num>
  <w:num w:numId="39">
    <w:abstractNumId w:val="19"/>
  </w:num>
  <w:num w:numId="4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ora Briestenska">
    <w15:presenceInfo w15:providerId="Windows Live" w15:userId="55686152f176de64"/>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8C"/>
    <w:rsid w:val="00022F8E"/>
    <w:rsid w:val="000C7B2D"/>
    <w:rsid w:val="00146F51"/>
    <w:rsid w:val="001837E7"/>
    <w:rsid w:val="00224F9C"/>
    <w:rsid w:val="00247925"/>
    <w:rsid w:val="002602B6"/>
    <w:rsid w:val="00303541"/>
    <w:rsid w:val="00310398"/>
    <w:rsid w:val="00313340"/>
    <w:rsid w:val="003A1C86"/>
    <w:rsid w:val="004A3B80"/>
    <w:rsid w:val="004F2025"/>
    <w:rsid w:val="0050004F"/>
    <w:rsid w:val="00520223"/>
    <w:rsid w:val="00591997"/>
    <w:rsid w:val="006C1964"/>
    <w:rsid w:val="00731044"/>
    <w:rsid w:val="00762D94"/>
    <w:rsid w:val="0078029F"/>
    <w:rsid w:val="00895862"/>
    <w:rsid w:val="008F1D8B"/>
    <w:rsid w:val="009A4EC5"/>
    <w:rsid w:val="00AE71A4"/>
    <w:rsid w:val="00B16698"/>
    <w:rsid w:val="00B913F1"/>
    <w:rsid w:val="00CD603B"/>
    <w:rsid w:val="00D6638C"/>
    <w:rsid w:val="00D679C1"/>
    <w:rsid w:val="00D81B2A"/>
    <w:rsid w:val="00DA6855"/>
    <w:rsid w:val="00E23201"/>
    <w:rsid w:val="00E77635"/>
    <w:rsid w:val="00F05366"/>
    <w:rsid w:val="00F52876"/>
    <w:rsid w:val="00FA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2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aliases w:val="List Paragraph1"/>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ftref,BVI fnr,Footnote Reference Number,nota pié di pagina,Footnote symbol,Footnote reference number,Times 10 Point,Exposant 3 Point,EN Footnote Reference,note TESI,Footnote Reference Char Char Char,fr,f,o"/>
    <w:basedOn w:val="DefaultParagraphFont"/>
    <w:link w:val="Char2"/>
    <w:uiPriority w:val="99"/>
    <w:unhideWhenUsed/>
    <w:qFormat/>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qFormat/>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aliases w:val="List Paragraph1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aliases w:val=" webb,Обычный (Web)1"/>
    <w:basedOn w:val="Normal"/>
    <w:uiPriority w:val="99"/>
    <w:unhideWhenUsed/>
    <w:rsid w:val="00DA6855"/>
    <w:pPr>
      <w:spacing w:before="100" w:beforeAutospacing="1" w:after="100" w:afterAutospacing="1" w:line="240" w:lineRule="auto"/>
    </w:pPr>
    <w:rPr>
      <w:rFonts w:ascii="Times New Roman" w:eastAsia="Times New Roman" w:hAnsi="Times New Roman" w:cs="Times New Roman"/>
      <w:sz w:val="24"/>
      <w:szCs w:val="24"/>
      <w:lang w:val="hr-HR" w:bidi="ar-SA"/>
    </w:rPr>
  </w:style>
  <w:style w:type="paragraph" w:customStyle="1" w:styleId="Char2">
    <w:name w:val="Char2"/>
    <w:basedOn w:val="Normal"/>
    <w:link w:val="FootnoteReference"/>
    <w:uiPriority w:val="99"/>
    <w:rsid w:val="008F1D8B"/>
    <w:pPr>
      <w:spacing w:after="160" w:line="240" w:lineRule="exact"/>
    </w:pPr>
    <w:rPr>
      <w:vertAlign w:val="superscript"/>
    </w:rPr>
  </w:style>
  <w:style w:type="table" w:customStyle="1" w:styleId="TableGrid2">
    <w:name w:val="Table Grid2"/>
    <w:basedOn w:val="TableNormal"/>
    <w:next w:val="TableGrid"/>
    <w:rsid w:val="004F2025"/>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8">
    <w:name w:val="p28"/>
    <w:basedOn w:val="Normal"/>
    <w:rsid w:val="004F2025"/>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bidi="ar-SA"/>
    </w:rPr>
  </w:style>
  <w:style w:type="character" w:customStyle="1" w:styleId="UnresolvedMention">
    <w:name w:val="Unresolved Mention"/>
    <w:basedOn w:val="DefaultParagraphFont"/>
    <w:uiPriority w:val="99"/>
    <w:semiHidden/>
    <w:unhideWhenUsed/>
    <w:rsid w:val="004F2025"/>
    <w:rPr>
      <w:color w:val="605E5C"/>
      <w:shd w:val="clear" w:color="auto" w:fill="E1DFDD"/>
    </w:rPr>
  </w:style>
  <w:style w:type="paragraph" w:customStyle="1" w:styleId="A">
    <w:name w:val="A"/>
    <w:basedOn w:val="Normal"/>
    <w:rsid w:val="004A3B80"/>
    <w:pPr>
      <w:numPr>
        <w:numId w:val="39"/>
      </w:numPr>
      <w:spacing w:after="100" w:line="240" w:lineRule="auto"/>
      <w:jc w:val="both"/>
    </w:pPr>
    <w:rPr>
      <w:rFonts w:ascii="Times New Roman" w:eastAsia="Times New Roman" w:hAnsi="Times New Roman"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aliases w:val="List Paragraph1"/>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ftref,BVI fnr,Footnote Reference Number,nota pié di pagina,Footnote symbol,Footnote reference number,Times 10 Point,Exposant 3 Point,EN Footnote Reference,note TESI,Footnote Reference Char Char Char,fr,f,o"/>
    <w:basedOn w:val="DefaultParagraphFont"/>
    <w:link w:val="Char2"/>
    <w:uiPriority w:val="99"/>
    <w:unhideWhenUsed/>
    <w:qFormat/>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qFormat/>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aliases w:val="List Paragraph1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aliases w:val=" webb,Обычный (Web)1"/>
    <w:basedOn w:val="Normal"/>
    <w:uiPriority w:val="99"/>
    <w:unhideWhenUsed/>
    <w:rsid w:val="00DA6855"/>
    <w:pPr>
      <w:spacing w:before="100" w:beforeAutospacing="1" w:after="100" w:afterAutospacing="1" w:line="240" w:lineRule="auto"/>
    </w:pPr>
    <w:rPr>
      <w:rFonts w:ascii="Times New Roman" w:eastAsia="Times New Roman" w:hAnsi="Times New Roman" w:cs="Times New Roman"/>
      <w:sz w:val="24"/>
      <w:szCs w:val="24"/>
      <w:lang w:val="hr-HR" w:bidi="ar-SA"/>
    </w:rPr>
  </w:style>
  <w:style w:type="paragraph" w:customStyle="1" w:styleId="Char2">
    <w:name w:val="Char2"/>
    <w:basedOn w:val="Normal"/>
    <w:link w:val="FootnoteReference"/>
    <w:uiPriority w:val="99"/>
    <w:rsid w:val="008F1D8B"/>
    <w:pPr>
      <w:spacing w:after="160" w:line="240" w:lineRule="exact"/>
    </w:pPr>
    <w:rPr>
      <w:vertAlign w:val="superscript"/>
    </w:rPr>
  </w:style>
  <w:style w:type="table" w:customStyle="1" w:styleId="TableGrid2">
    <w:name w:val="Table Grid2"/>
    <w:basedOn w:val="TableNormal"/>
    <w:next w:val="TableGrid"/>
    <w:rsid w:val="004F2025"/>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8">
    <w:name w:val="p28"/>
    <w:basedOn w:val="Normal"/>
    <w:rsid w:val="004F2025"/>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bidi="ar-SA"/>
    </w:rPr>
  </w:style>
  <w:style w:type="character" w:customStyle="1" w:styleId="UnresolvedMention">
    <w:name w:val="Unresolved Mention"/>
    <w:basedOn w:val="DefaultParagraphFont"/>
    <w:uiPriority w:val="99"/>
    <w:semiHidden/>
    <w:unhideWhenUsed/>
    <w:rsid w:val="004F2025"/>
    <w:rPr>
      <w:color w:val="605E5C"/>
      <w:shd w:val="clear" w:color="auto" w:fill="E1DFDD"/>
    </w:rPr>
  </w:style>
  <w:style w:type="paragraph" w:customStyle="1" w:styleId="A">
    <w:name w:val="A"/>
    <w:basedOn w:val="Normal"/>
    <w:rsid w:val="004A3B80"/>
    <w:pPr>
      <w:numPr>
        <w:numId w:val="39"/>
      </w:numPr>
      <w:spacing w:after="100" w:line="240" w:lineRule="auto"/>
      <w:jc w:val="both"/>
    </w:pPr>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656199">
      <w:bodyDiv w:val="1"/>
      <w:marLeft w:val="0"/>
      <w:marRight w:val="0"/>
      <w:marTop w:val="0"/>
      <w:marBottom w:val="0"/>
      <w:divBdr>
        <w:top w:val="none" w:sz="0" w:space="0" w:color="auto"/>
        <w:left w:val="none" w:sz="0" w:space="0" w:color="auto"/>
        <w:bottom w:val="none" w:sz="0" w:space="0" w:color="auto"/>
        <w:right w:val="none" w:sz="0" w:space="0" w:color="auto"/>
      </w:divBdr>
      <w:divsChild>
        <w:div w:id="827282019">
          <w:marLeft w:val="0"/>
          <w:marRight w:val="0"/>
          <w:marTop w:val="0"/>
          <w:marBottom w:val="0"/>
          <w:divBdr>
            <w:top w:val="none" w:sz="0" w:space="0" w:color="auto"/>
            <w:left w:val="none" w:sz="0" w:space="0" w:color="auto"/>
            <w:bottom w:val="none" w:sz="0" w:space="0" w:color="auto"/>
            <w:right w:val="none" w:sz="0" w:space="0" w:color="auto"/>
          </w:divBdr>
          <w:divsChild>
            <w:div w:id="1391002619">
              <w:marLeft w:val="0"/>
              <w:marRight w:val="0"/>
              <w:marTop w:val="0"/>
              <w:marBottom w:val="0"/>
              <w:divBdr>
                <w:top w:val="none" w:sz="0" w:space="0" w:color="auto"/>
                <w:left w:val="none" w:sz="0" w:space="0" w:color="auto"/>
                <w:bottom w:val="none" w:sz="0" w:space="0" w:color="auto"/>
                <w:right w:val="none" w:sz="0" w:space="0" w:color="auto"/>
              </w:divBdr>
              <w:divsChild>
                <w:div w:id="17203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barbiere@unesco.org"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www.undp.org/content/dam/undp/library/corporate/Careers/P11_Personal_history_form.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ranet.undp.org/unit/bom/pso/Support%20documents%20on%20IC%20Guidelines/Template%20for%20Confirmation%20of%20Interest%20and%20Submission%20of%20Financial%20Proposal.doc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evaluation.org/ethicalguidelines" TargetMode="External"/><Relationship Id="rId4" Type="http://schemas.microsoft.com/office/2007/relationships/stylesWithEffects" Target="stylesWithEffects.xml"/><Relationship Id="rId9" Type="http://schemas.openxmlformats.org/officeDocument/2006/relationships/hyperlink" Target="https://dss.un.org/dssweb/" TargetMode="External"/><Relationship Id="rId14" Type="http://schemas.openxmlformats.org/officeDocument/2006/relationships/hyperlink" Target="mailto:i.chavez@unesco.org" TargetMode="Externa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www.thegef.org/gef/sites/thegef.org/files/documents/M2_ROtI%20Handbook.pdf" TargetMode="External"/><Relationship Id="rId2" Type="http://schemas.openxmlformats.org/officeDocument/2006/relationships/hyperlink" Target="http://www.undp.org/evaluation/handbook" TargetMode="External"/><Relationship Id="rId1" Type="http://schemas.openxmlformats.org/officeDocument/2006/relationships/hyperlink" Target="https://www.thegef.org/sites/default/files/council-meeting"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8FC8E-8C7F-4322-A2FC-87ACBE6DA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26</Pages>
  <Words>7131</Words>
  <Characters>40650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Mish</cp:lastModifiedBy>
  <cp:revision>3</cp:revision>
  <dcterms:created xsi:type="dcterms:W3CDTF">2019-07-30T15:58:00Z</dcterms:created>
  <dcterms:modified xsi:type="dcterms:W3CDTF">2019-07-30T16:07:00Z</dcterms:modified>
</cp:coreProperties>
</file>