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D05A" w14:textId="071AC8BD" w:rsidR="00563976" w:rsidRPr="00563976" w:rsidRDefault="00563976" w:rsidP="00563976">
      <w:pPr>
        <w:spacing w:before="60" w:after="60" w:line="240" w:lineRule="auto"/>
        <w:contextualSpacing/>
        <w:rPr>
          <w:rFonts w:asciiTheme="majorHAnsi" w:hAnsiTheme="majorHAnsi" w:cstheme="majorHAnsi"/>
          <w:b/>
          <w:bCs/>
          <w:sz w:val="20"/>
          <w:szCs w:val="20"/>
        </w:rPr>
      </w:pPr>
      <w:bookmarkStart w:id="0" w:name="_GoBack"/>
      <w:r w:rsidRPr="00563976">
        <w:rPr>
          <w:rFonts w:asciiTheme="majorHAnsi" w:hAnsiTheme="majorHAnsi" w:cstheme="majorHAnsi"/>
          <w:b/>
          <w:bCs/>
          <w:sz w:val="20"/>
          <w:szCs w:val="20"/>
        </w:rPr>
        <w:t xml:space="preserve">Project </w:t>
      </w:r>
      <w:r w:rsidRPr="00563976">
        <w:rPr>
          <w:rFonts w:asciiTheme="majorHAnsi" w:hAnsiTheme="majorHAnsi" w:cstheme="majorHAnsi"/>
          <w:b/>
          <w:bCs/>
          <w:sz w:val="20"/>
          <w:szCs w:val="20"/>
        </w:rPr>
        <w:t xml:space="preserve">Results </w:t>
      </w:r>
      <w:r w:rsidRPr="00563976">
        <w:rPr>
          <w:rFonts w:asciiTheme="majorHAnsi" w:hAnsiTheme="majorHAnsi" w:cstheme="majorHAnsi"/>
          <w:b/>
          <w:bCs/>
          <w:sz w:val="20"/>
          <w:szCs w:val="20"/>
        </w:rPr>
        <w:t xml:space="preserve">Framework </w:t>
      </w:r>
    </w:p>
    <w:bookmarkEnd w:id="0"/>
    <w:p w14:paraId="78CFFF7B" w14:textId="77777777" w:rsidR="00563976" w:rsidRPr="00914146" w:rsidRDefault="00563976" w:rsidP="00563976">
      <w:pPr>
        <w:spacing w:after="0" w:line="240" w:lineRule="auto"/>
        <w:rPr>
          <w:rFonts w:asciiTheme="majorHAnsi" w:hAnsiTheme="majorHAnsi" w:cstheme="maj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948"/>
        <w:gridCol w:w="1948"/>
        <w:gridCol w:w="1538"/>
        <w:gridCol w:w="1937"/>
        <w:gridCol w:w="1785"/>
        <w:gridCol w:w="1608"/>
        <w:gridCol w:w="2186"/>
      </w:tblGrid>
      <w:tr w:rsidR="00563976" w:rsidRPr="00914146" w14:paraId="4D12711B" w14:textId="77777777" w:rsidTr="00A574E1">
        <w:trPr>
          <w:trHeight w:val="305"/>
        </w:trPr>
        <w:tc>
          <w:tcPr>
            <w:tcW w:w="5000" w:type="pct"/>
            <w:gridSpan w:val="7"/>
            <w:shd w:val="clear" w:color="auto" w:fill="auto"/>
          </w:tcPr>
          <w:p w14:paraId="5E891C60" w14:textId="77777777" w:rsidR="00563976" w:rsidRPr="00914146" w:rsidRDefault="00563976" w:rsidP="00A574E1">
            <w:pPr>
              <w:spacing w:after="0"/>
              <w:rPr>
                <w:b/>
                <w:sz w:val="16"/>
              </w:rPr>
            </w:pPr>
            <w:r w:rsidRPr="00914146">
              <w:rPr>
                <w:b/>
                <w:sz w:val="16"/>
              </w:rPr>
              <w:t xml:space="preserve">This project will contribute to the following Sustainable Development Goal (s):  </w:t>
            </w:r>
            <w:r w:rsidRPr="00914146">
              <w:rPr>
                <w:i/>
                <w:sz w:val="16"/>
              </w:rPr>
              <w:t>Goals 14 and 15</w:t>
            </w:r>
          </w:p>
        </w:tc>
      </w:tr>
      <w:tr w:rsidR="00563976" w:rsidRPr="00914146" w14:paraId="62EF334F" w14:textId="77777777" w:rsidTr="00A574E1">
        <w:trPr>
          <w:trHeight w:val="287"/>
        </w:trPr>
        <w:tc>
          <w:tcPr>
            <w:tcW w:w="5000" w:type="pct"/>
            <w:gridSpan w:val="7"/>
            <w:shd w:val="clear" w:color="auto" w:fill="auto"/>
          </w:tcPr>
          <w:p w14:paraId="5789F7AB" w14:textId="77777777" w:rsidR="00563976" w:rsidRPr="00914146" w:rsidRDefault="00563976" w:rsidP="00A574E1">
            <w:pPr>
              <w:spacing w:after="0"/>
              <w:rPr>
                <w:b/>
                <w:bCs/>
                <w:sz w:val="16"/>
              </w:rPr>
            </w:pPr>
            <w:r w:rsidRPr="00914146">
              <w:rPr>
                <w:b/>
                <w:bCs/>
                <w:sz w:val="16"/>
              </w:rPr>
              <w:t xml:space="preserve">This project will contribute to the following country outcome included in the UNDAF/Country </w:t>
            </w:r>
            <w:proofErr w:type="spellStart"/>
            <w:r w:rsidRPr="00914146">
              <w:rPr>
                <w:b/>
                <w:bCs/>
                <w:sz w:val="16"/>
              </w:rPr>
              <w:t>Programme</w:t>
            </w:r>
            <w:proofErr w:type="spellEnd"/>
            <w:r w:rsidRPr="00914146">
              <w:rPr>
                <w:b/>
                <w:bCs/>
                <w:sz w:val="16"/>
              </w:rPr>
              <w:t xml:space="preserve"> Document:  </w:t>
            </w:r>
            <w:r w:rsidRPr="00914146">
              <w:rPr>
                <w:bCs/>
                <w:sz w:val="16"/>
              </w:rPr>
              <w:t>This is a global project.</w:t>
            </w:r>
            <w:r w:rsidRPr="00914146">
              <w:rPr>
                <w:b/>
                <w:bCs/>
                <w:sz w:val="16"/>
              </w:rPr>
              <w:t xml:space="preserve"> </w:t>
            </w:r>
            <w:r w:rsidRPr="00914146">
              <w:rPr>
                <w:sz w:val="16"/>
              </w:rPr>
              <w:t>UNDP will ensure this project is anchored in the individual country UNDAF processes, and thus will expose the results to the rest of the UN players in the region. This is crucial to making sure that the outputs and outcomes are visible to many other development agencies and therefore stand a better chance to attract more national and regional support in the future. While the number of countries may pose a challenge for this mainstreaming due to differences UNDAF cycles, it will still be possible to capture and include it sometime within the 24 months of the project duration. A typical UNDAF framework runs for 5 years and has five pillars including (a) Human rights; (b) Gender mainstreaming; (c) Environment Sustainability; (d) Capacity development; and (e) Results-based management. This 6</w:t>
            </w:r>
            <w:r w:rsidRPr="00914146">
              <w:rPr>
                <w:sz w:val="16"/>
                <w:vertAlign w:val="superscript"/>
              </w:rPr>
              <w:t>th</w:t>
            </w:r>
            <w:r w:rsidRPr="00914146">
              <w:rPr>
                <w:sz w:val="16"/>
              </w:rPr>
              <w:t xml:space="preserve"> NR project is based on the environment angle but addresses all the others- and so it will be easy for any country to articulate and mainstream the project in UNDAF. Each of the </w:t>
            </w:r>
            <w:r>
              <w:rPr>
                <w:sz w:val="16"/>
              </w:rPr>
              <w:t>64</w:t>
            </w:r>
            <w:r w:rsidRPr="00914146">
              <w:rPr>
                <w:sz w:val="16"/>
              </w:rPr>
              <w:t xml:space="preserve"> countries will interrogate their own UNDAF documents and make sure the project answers to their requirements.</w:t>
            </w:r>
          </w:p>
        </w:tc>
      </w:tr>
      <w:tr w:rsidR="00563976" w:rsidRPr="00914146" w14:paraId="0C6C8FF3" w14:textId="77777777" w:rsidTr="00A574E1">
        <w:trPr>
          <w:trHeight w:val="544"/>
        </w:trPr>
        <w:tc>
          <w:tcPr>
            <w:tcW w:w="5000" w:type="pct"/>
            <w:gridSpan w:val="7"/>
            <w:shd w:val="clear" w:color="auto" w:fill="auto"/>
          </w:tcPr>
          <w:p w14:paraId="0D9055E3" w14:textId="77777777" w:rsidR="00563976" w:rsidRPr="00914146" w:rsidRDefault="00563976" w:rsidP="00A574E1">
            <w:pPr>
              <w:spacing w:after="0"/>
              <w:rPr>
                <w:rFonts w:cs="Arial"/>
                <w:b/>
                <w:sz w:val="16"/>
              </w:rPr>
            </w:pPr>
            <w:r w:rsidRPr="00914146">
              <w:rPr>
                <w:b/>
                <w:bCs/>
                <w:sz w:val="16"/>
              </w:rPr>
              <w:t>This project will be linked to the following output of the UNDP Strategic Plan:</w:t>
            </w:r>
            <w:r w:rsidRPr="00914146">
              <w:rPr>
                <w:rFonts w:cs="Arial"/>
                <w:i/>
                <w:sz w:val="16"/>
              </w:rPr>
              <w:t xml:space="preserve"> </w:t>
            </w:r>
          </w:p>
          <w:p w14:paraId="753BA66D" w14:textId="77777777" w:rsidR="00563976" w:rsidRPr="00914146" w:rsidRDefault="00563976" w:rsidP="00A574E1">
            <w:pPr>
              <w:spacing w:after="0"/>
              <w:rPr>
                <w:b/>
                <w:bCs/>
                <w:sz w:val="16"/>
              </w:rPr>
            </w:pPr>
            <w:r w:rsidRPr="00914146">
              <w:rPr>
                <w:rFonts w:cs="Arial"/>
                <w:sz w:val="16"/>
              </w:rPr>
              <w:t>Output 2.5:  Legal and regulatory frameworks, policies and institutions enabled to ensure the conservation, sustainable use, and access and benefit sharing of natural resources, biodiversity and ecosystems, in line with international conventions and national legislation.</w:t>
            </w:r>
          </w:p>
        </w:tc>
      </w:tr>
      <w:tr w:rsidR="00563976" w:rsidRPr="00914146" w14:paraId="0BCD39C6" w14:textId="77777777" w:rsidTr="00A574E1">
        <w:tc>
          <w:tcPr>
            <w:tcW w:w="752" w:type="pct"/>
            <w:shd w:val="clear" w:color="auto" w:fill="auto"/>
          </w:tcPr>
          <w:p w14:paraId="3BDB0391" w14:textId="77777777" w:rsidR="00563976" w:rsidRPr="00914146" w:rsidRDefault="00563976" w:rsidP="00A574E1">
            <w:pPr>
              <w:spacing w:after="0"/>
              <w:rPr>
                <w:b/>
                <w:bCs/>
                <w:i/>
                <w:iCs/>
                <w:sz w:val="16"/>
                <w:lang w:val="en-GB"/>
              </w:rPr>
            </w:pPr>
          </w:p>
        </w:tc>
        <w:tc>
          <w:tcPr>
            <w:tcW w:w="752" w:type="pct"/>
            <w:shd w:val="clear" w:color="auto" w:fill="auto"/>
          </w:tcPr>
          <w:p w14:paraId="5C24A48C" w14:textId="77777777" w:rsidR="00563976" w:rsidRPr="00914146" w:rsidRDefault="00563976" w:rsidP="00A574E1">
            <w:pPr>
              <w:spacing w:after="0"/>
              <w:rPr>
                <w:b/>
                <w:bCs/>
                <w:i/>
                <w:iCs/>
                <w:sz w:val="16"/>
                <w:lang w:val="en-GB"/>
              </w:rPr>
            </w:pPr>
            <w:r w:rsidRPr="00914146">
              <w:rPr>
                <w:b/>
                <w:bCs/>
                <w:i/>
                <w:iCs/>
                <w:sz w:val="16"/>
                <w:lang w:val="en-GB"/>
              </w:rPr>
              <w:t xml:space="preserve">Objective and Outcome Indicators </w:t>
            </w:r>
          </w:p>
        </w:tc>
        <w:tc>
          <w:tcPr>
            <w:tcW w:w="594" w:type="pct"/>
            <w:shd w:val="clear" w:color="auto" w:fill="auto"/>
          </w:tcPr>
          <w:p w14:paraId="04C964A8" w14:textId="77777777" w:rsidR="00563976" w:rsidRPr="00914146" w:rsidRDefault="00563976" w:rsidP="00A574E1">
            <w:pPr>
              <w:spacing w:after="0"/>
              <w:rPr>
                <w:b/>
                <w:bCs/>
                <w:i/>
                <w:iCs/>
                <w:sz w:val="16"/>
                <w:lang w:val="en-GB"/>
              </w:rPr>
            </w:pPr>
            <w:r w:rsidRPr="00914146">
              <w:rPr>
                <w:b/>
                <w:bCs/>
                <w:i/>
                <w:iCs/>
                <w:sz w:val="16"/>
                <w:lang w:val="en-GB"/>
              </w:rPr>
              <w:t>BASELINE</w:t>
            </w:r>
          </w:p>
        </w:tc>
        <w:tc>
          <w:tcPr>
            <w:tcW w:w="748" w:type="pct"/>
            <w:shd w:val="clear" w:color="auto" w:fill="auto"/>
          </w:tcPr>
          <w:p w14:paraId="3D2733AF" w14:textId="77777777" w:rsidR="00563976" w:rsidRPr="00914146" w:rsidRDefault="00563976" w:rsidP="00A574E1">
            <w:pPr>
              <w:spacing w:after="0"/>
              <w:rPr>
                <w:b/>
                <w:bCs/>
                <w:i/>
                <w:iCs/>
                <w:sz w:val="16"/>
                <w:lang w:val="en-GB"/>
              </w:rPr>
            </w:pPr>
            <w:r w:rsidRPr="00914146">
              <w:rPr>
                <w:b/>
                <w:bCs/>
                <w:i/>
                <w:iCs/>
                <w:sz w:val="16"/>
                <w:lang w:val="en-GB"/>
              </w:rPr>
              <w:t>END OF PROJECT TARGETS</w:t>
            </w:r>
          </w:p>
        </w:tc>
        <w:tc>
          <w:tcPr>
            <w:tcW w:w="689" w:type="pct"/>
            <w:shd w:val="clear" w:color="auto" w:fill="auto"/>
          </w:tcPr>
          <w:p w14:paraId="23F69253" w14:textId="77777777" w:rsidR="00563976" w:rsidRPr="00914146" w:rsidRDefault="00563976" w:rsidP="00A574E1">
            <w:pPr>
              <w:spacing w:after="0"/>
              <w:rPr>
                <w:b/>
                <w:bCs/>
                <w:i/>
                <w:iCs/>
                <w:sz w:val="16"/>
                <w:lang w:val="en-GB"/>
              </w:rPr>
            </w:pPr>
            <w:r w:rsidRPr="00914146">
              <w:rPr>
                <w:b/>
                <w:bCs/>
                <w:i/>
                <w:iCs/>
                <w:sz w:val="16"/>
                <w:lang w:val="en-GB"/>
              </w:rPr>
              <w:t>MEANS OF VERIFICATION</w:t>
            </w:r>
          </w:p>
        </w:tc>
        <w:tc>
          <w:tcPr>
            <w:tcW w:w="621" w:type="pct"/>
            <w:shd w:val="clear" w:color="auto" w:fill="auto"/>
          </w:tcPr>
          <w:p w14:paraId="45583426" w14:textId="77777777" w:rsidR="00563976" w:rsidRPr="00914146" w:rsidRDefault="00563976" w:rsidP="00A574E1">
            <w:pPr>
              <w:spacing w:after="0"/>
              <w:rPr>
                <w:b/>
                <w:bCs/>
                <w:i/>
                <w:iCs/>
                <w:sz w:val="16"/>
                <w:lang w:val="en-GB"/>
              </w:rPr>
            </w:pPr>
            <w:r w:rsidRPr="00914146">
              <w:rPr>
                <w:b/>
                <w:bCs/>
                <w:i/>
                <w:iCs/>
                <w:sz w:val="16"/>
                <w:lang w:val="en-GB"/>
              </w:rPr>
              <w:t>MID-TERM EVALUATION</w:t>
            </w:r>
          </w:p>
        </w:tc>
        <w:tc>
          <w:tcPr>
            <w:tcW w:w="844" w:type="pct"/>
            <w:shd w:val="clear" w:color="auto" w:fill="auto"/>
          </w:tcPr>
          <w:p w14:paraId="63D55FE8" w14:textId="77777777" w:rsidR="00563976" w:rsidRPr="00914146" w:rsidRDefault="00563976" w:rsidP="00A574E1">
            <w:pPr>
              <w:spacing w:after="0"/>
              <w:rPr>
                <w:b/>
                <w:bCs/>
                <w:i/>
                <w:iCs/>
                <w:sz w:val="16"/>
                <w:lang w:val="en-GB"/>
              </w:rPr>
            </w:pPr>
            <w:r w:rsidRPr="00914146">
              <w:rPr>
                <w:b/>
                <w:bCs/>
                <w:i/>
                <w:iCs/>
                <w:sz w:val="16"/>
                <w:lang w:val="en-GB"/>
              </w:rPr>
              <w:t>ASSUMPTIONS</w:t>
            </w:r>
          </w:p>
        </w:tc>
      </w:tr>
      <w:tr w:rsidR="00563976" w:rsidRPr="00914146" w14:paraId="23ED9189" w14:textId="77777777" w:rsidTr="00A574E1">
        <w:tc>
          <w:tcPr>
            <w:tcW w:w="752" w:type="pct"/>
            <w:shd w:val="clear" w:color="auto" w:fill="auto"/>
          </w:tcPr>
          <w:p w14:paraId="5B2E2962" w14:textId="77777777" w:rsidR="00563976" w:rsidRPr="00914146" w:rsidRDefault="00563976" w:rsidP="00A574E1">
            <w:pPr>
              <w:spacing w:after="0"/>
              <w:rPr>
                <w:b/>
                <w:bCs/>
                <w:i/>
                <w:iCs/>
                <w:sz w:val="16"/>
                <w:lang w:val="en-GB"/>
              </w:rPr>
            </w:pPr>
            <w:r w:rsidRPr="00914146">
              <w:rPr>
                <w:i/>
                <w:sz w:val="16"/>
                <w:u w:val="single"/>
              </w:rPr>
              <w:t>Objective:</w:t>
            </w:r>
            <w:r w:rsidRPr="00914146">
              <w:rPr>
                <w:i/>
                <w:sz w:val="16"/>
              </w:rPr>
              <w:t xml:space="preserve"> </w:t>
            </w:r>
            <w:r w:rsidRPr="00914146">
              <w:rPr>
                <w:i/>
                <w:iCs/>
                <w:sz w:val="16"/>
              </w:rPr>
              <w:t>T</w:t>
            </w:r>
            <w:r w:rsidRPr="00914146">
              <w:rPr>
                <w:i/>
                <w:sz w:val="16"/>
              </w:rPr>
              <w:t>o provide financial and technical support to GEF-eligible Parties to the Convention on Biological Diversity (CBD) in their work to develop high quality, gender-responsive and data driven sixth national reports (6NR) that will improve national decision-making processes for the implementation of NBSAPs; that report on progress towards achieving the Aichi Biodiversity Targets (ABTs) and inform both the fifth Global Biodiversity Outlook (GBO5) and the Global Biodiversity Strategy of 2021 – 2030.</w:t>
            </w:r>
          </w:p>
        </w:tc>
        <w:tc>
          <w:tcPr>
            <w:tcW w:w="752" w:type="pct"/>
            <w:shd w:val="clear" w:color="auto" w:fill="auto"/>
          </w:tcPr>
          <w:p w14:paraId="14F6873F" w14:textId="77777777" w:rsidR="00563976" w:rsidRPr="00914146" w:rsidRDefault="00563976" w:rsidP="00A574E1">
            <w:pPr>
              <w:spacing w:after="0"/>
              <w:rPr>
                <w:i/>
                <w:iCs/>
                <w:sz w:val="16"/>
                <w:lang w:val="en-GB"/>
              </w:rPr>
            </w:pPr>
            <w:r w:rsidRPr="00914146">
              <w:rPr>
                <w:i/>
                <w:iCs/>
                <w:sz w:val="16"/>
                <w:lang w:val="en-GB"/>
              </w:rPr>
              <w:t>Number of countries that have produced their 6</w:t>
            </w:r>
            <w:r w:rsidRPr="00914146">
              <w:rPr>
                <w:i/>
                <w:iCs/>
                <w:sz w:val="16"/>
                <w:vertAlign w:val="superscript"/>
                <w:lang w:val="en-GB"/>
              </w:rPr>
              <w:t>th</w:t>
            </w:r>
            <w:r w:rsidRPr="00914146">
              <w:rPr>
                <w:i/>
                <w:iCs/>
                <w:sz w:val="16"/>
                <w:lang w:val="en-GB"/>
              </w:rPr>
              <w:t xml:space="preserve"> National reports and submitted them to the CBD Sec</w:t>
            </w:r>
          </w:p>
        </w:tc>
        <w:tc>
          <w:tcPr>
            <w:tcW w:w="594" w:type="pct"/>
            <w:shd w:val="clear" w:color="auto" w:fill="auto"/>
          </w:tcPr>
          <w:p w14:paraId="50AF2BEA" w14:textId="77777777" w:rsidR="00563976" w:rsidRPr="00914146" w:rsidRDefault="00563976" w:rsidP="00A574E1">
            <w:pPr>
              <w:spacing w:after="0"/>
              <w:rPr>
                <w:i/>
                <w:iCs/>
                <w:sz w:val="16"/>
                <w:lang w:val="en-GB"/>
              </w:rPr>
            </w:pPr>
            <w:r w:rsidRPr="00914146">
              <w:rPr>
                <w:i/>
                <w:sz w:val="16"/>
              </w:rPr>
              <w:t xml:space="preserve">In the past the GEF eligible countries have been supported to conduct country planning for BD conservation including initial NBSAPs, four rounds of national reports for biodiversity. This planning has been useful in guiding the countries and the COPs in BD conservation.   </w:t>
            </w:r>
          </w:p>
        </w:tc>
        <w:tc>
          <w:tcPr>
            <w:tcW w:w="748" w:type="pct"/>
            <w:shd w:val="clear" w:color="auto" w:fill="auto"/>
          </w:tcPr>
          <w:p w14:paraId="6B349A67" w14:textId="77777777" w:rsidR="00563976" w:rsidRPr="00914146" w:rsidRDefault="00563976" w:rsidP="00A574E1">
            <w:pPr>
              <w:spacing w:after="0"/>
              <w:rPr>
                <w:i/>
                <w:iCs/>
                <w:sz w:val="16"/>
                <w:lang w:val="en-GB"/>
              </w:rPr>
            </w:pPr>
            <w:r>
              <w:rPr>
                <w:i/>
                <w:iCs/>
                <w:sz w:val="16"/>
                <w:lang w:val="en-GB"/>
              </w:rPr>
              <w:t>64</w:t>
            </w:r>
            <w:r w:rsidRPr="00914146">
              <w:rPr>
                <w:i/>
                <w:iCs/>
                <w:sz w:val="16"/>
                <w:lang w:val="en-GB"/>
              </w:rPr>
              <w:t xml:space="preserve"> National reports produced and uploaded on the CBD website by end of project</w:t>
            </w:r>
          </w:p>
          <w:p w14:paraId="5C145EEC" w14:textId="77777777" w:rsidR="00563976" w:rsidRPr="00914146" w:rsidRDefault="00563976" w:rsidP="00A574E1">
            <w:pPr>
              <w:spacing w:after="0"/>
              <w:rPr>
                <w:i/>
                <w:iCs/>
                <w:sz w:val="16"/>
                <w:lang w:val="en-GB"/>
              </w:rPr>
            </w:pPr>
          </w:p>
          <w:p w14:paraId="148A672B" w14:textId="77777777" w:rsidR="00563976" w:rsidRPr="00914146" w:rsidRDefault="00563976" w:rsidP="00A574E1">
            <w:pPr>
              <w:spacing w:after="0"/>
              <w:rPr>
                <w:i/>
                <w:iCs/>
                <w:sz w:val="16"/>
                <w:lang w:val="en-GB"/>
              </w:rPr>
            </w:pPr>
            <w:r w:rsidRPr="00914146">
              <w:rPr>
                <w:i/>
                <w:sz w:val="16"/>
              </w:rPr>
              <w:t xml:space="preserve"> </w:t>
            </w:r>
          </w:p>
        </w:tc>
        <w:tc>
          <w:tcPr>
            <w:tcW w:w="689" w:type="pct"/>
            <w:shd w:val="clear" w:color="auto" w:fill="auto"/>
          </w:tcPr>
          <w:p w14:paraId="1CA49186" w14:textId="77777777" w:rsidR="00563976" w:rsidRPr="00914146" w:rsidRDefault="00563976" w:rsidP="00A574E1">
            <w:pPr>
              <w:spacing w:after="0"/>
              <w:rPr>
                <w:i/>
                <w:sz w:val="16"/>
              </w:rPr>
            </w:pPr>
            <w:r w:rsidRPr="00914146">
              <w:rPr>
                <w:i/>
                <w:sz w:val="16"/>
              </w:rPr>
              <w:t xml:space="preserve">Project reports. </w:t>
            </w:r>
          </w:p>
          <w:p w14:paraId="706F7E4B" w14:textId="77777777" w:rsidR="00563976" w:rsidRPr="00914146" w:rsidRDefault="00563976" w:rsidP="00A574E1">
            <w:pPr>
              <w:spacing w:after="0"/>
              <w:rPr>
                <w:i/>
                <w:sz w:val="16"/>
              </w:rPr>
            </w:pPr>
          </w:p>
          <w:p w14:paraId="004D016E" w14:textId="77777777" w:rsidR="00563976" w:rsidRPr="00914146" w:rsidRDefault="00563976" w:rsidP="00A574E1">
            <w:pPr>
              <w:spacing w:after="0"/>
              <w:rPr>
                <w:i/>
                <w:sz w:val="16"/>
              </w:rPr>
            </w:pPr>
            <w:r w:rsidRPr="00914146">
              <w:rPr>
                <w:i/>
                <w:sz w:val="16"/>
              </w:rPr>
              <w:t>Minutes of the PSC.</w:t>
            </w:r>
          </w:p>
          <w:p w14:paraId="253C87F1" w14:textId="77777777" w:rsidR="00563976" w:rsidRPr="00914146" w:rsidRDefault="00563976" w:rsidP="00A574E1">
            <w:pPr>
              <w:spacing w:after="0"/>
              <w:rPr>
                <w:i/>
                <w:sz w:val="16"/>
              </w:rPr>
            </w:pPr>
          </w:p>
          <w:p w14:paraId="1E37FE1F" w14:textId="77777777" w:rsidR="00563976" w:rsidRPr="00914146" w:rsidRDefault="00563976" w:rsidP="00A574E1">
            <w:pPr>
              <w:spacing w:after="0"/>
              <w:rPr>
                <w:i/>
                <w:sz w:val="16"/>
              </w:rPr>
            </w:pPr>
            <w:r w:rsidRPr="00914146">
              <w:rPr>
                <w:i/>
                <w:sz w:val="16"/>
              </w:rPr>
              <w:t xml:space="preserve">Terminal </w:t>
            </w:r>
            <w:r>
              <w:rPr>
                <w:i/>
                <w:sz w:val="16"/>
              </w:rPr>
              <w:t>E</w:t>
            </w:r>
            <w:r w:rsidRPr="00914146">
              <w:rPr>
                <w:i/>
                <w:sz w:val="16"/>
              </w:rPr>
              <w:t>valuation</w:t>
            </w:r>
          </w:p>
          <w:p w14:paraId="651CBDC1" w14:textId="77777777" w:rsidR="00563976" w:rsidRPr="00914146" w:rsidRDefault="00563976" w:rsidP="00A574E1">
            <w:pPr>
              <w:spacing w:after="0"/>
              <w:rPr>
                <w:i/>
                <w:sz w:val="16"/>
              </w:rPr>
            </w:pPr>
          </w:p>
          <w:p w14:paraId="1AA894CB" w14:textId="77777777" w:rsidR="00563976" w:rsidRPr="00914146" w:rsidRDefault="00563976" w:rsidP="00A574E1">
            <w:pPr>
              <w:spacing w:after="0"/>
              <w:rPr>
                <w:i/>
                <w:sz w:val="16"/>
              </w:rPr>
            </w:pPr>
            <w:r w:rsidRPr="00914146">
              <w:rPr>
                <w:i/>
                <w:sz w:val="16"/>
              </w:rPr>
              <w:t xml:space="preserve">Project website at the SCBD. </w:t>
            </w:r>
          </w:p>
          <w:p w14:paraId="5060F701" w14:textId="77777777" w:rsidR="00563976" w:rsidRPr="00914146" w:rsidRDefault="00563976" w:rsidP="00A574E1">
            <w:pPr>
              <w:spacing w:after="0"/>
              <w:rPr>
                <w:i/>
                <w:sz w:val="16"/>
              </w:rPr>
            </w:pPr>
          </w:p>
          <w:p w14:paraId="32F0B13D" w14:textId="77777777" w:rsidR="00563976" w:rsidRPr="00914146" w:rsidRDefault="00563976" w:rsidP="00A574E1">
            <w:pPr>
              <w:spacing w:after="0"/>
              <w:rPr>
                <w:b/>
                <w:bCs/>
                <w:i/>
                <w:iCs/>
                <w:sz w:val="16"/>
                <w:lang w:val="en-GB"/>
              </w:rPr>
            </w:pPr>
            <w:r w:rsidRPr="00914146">
              <w:rPr>
                <w:i/>
                <w:sz w:val="16"/>
              </w:rPr>
              <w:t>Interviews with government agents, CBD focal points</w:t>
            </w:r>
          </w:p>
        </w:tc>
        <w:tc>
          <w:tcPr>
            <w:tcW w:w="621" w:type="pct"/>
            <w:shd w:val="clear" w:color="auto" w:fill="auto"/>
          </w:tcPr>
          <w:p w14:paraId="56CC3CC3" w14:textId="77777777" w:rsidR="00563976" w:rsidRPr="00914146" w:rsidRDefault="00563976" w:rsidP="00A574E1">
            <w:pPr>
              <w:spacing w:after="0"/>
              <w:rPr>
                <w:i/>
                <w:iCs/>
                <w:sz w:val="16"/>
                <w:lang w:val="en-GB"/>
              </w:rPr>
            </w:pPr>
            <w:r w:rsidRPr="00914146">
              <w:rPr>
                <w:i/>
                <w:sz w:val="16"/>
              </w:rPr>
              <w:t xml:space="preserve"> NA</w:t>
            </w:r>
          </w:p>
        </w:tc>
        <w:tc>
          <w:tcPr>
            <w:tcW w:w="844" w:type="pct"/>
            <w:shd w:val="clear" w:color="auto" w:fill="auto"/>
          </w:tcPr>
          <w:p w14:paraId="7443E93E" w14:textId="77777777" w:rsidR="00563976" w:rsidRPr="00914146" w:rsidRDefault="00563976" w:rsidP="00A574E1">
            <w:pPr>
              <w:spacing w:after="0"/>
              <w:rPr>
                <w:i/>
                <w:sz w:val="16"/>
              </w:rPr>
            </w:pPr>
            <w:r w:rsidRPr="00914146">
              <w:rPr>
                <w:i/>
                <w:sz w:val="16"/>
                <w:lang w:val="en-GB"/>
              </w:rPr>
              <w:t>1.</w:t>
            </w:r>
            <w:r w:rsidRPr="00914146">
              <w:rPr>
                <w:i/>
                <w:sz w:val="16"/>
              </w:rPr>
              <w:t xml:space="preserve"> Development and sectoral planning frameworks at country level integrated measurable biodiversity conservation and sustainable use targets during the NBSAP process.</w:t>
            </w:r>
          </w:p>
          <w:p w14:paraId="6C57D8A5" w14:textId="77777777" w:rsidR="00563976" w:rsidRPr="00914146" w:rsidRDefault="00563976" w:rsidP="00A574E1">
            <w:pPr>
              <w:spacing w:after="0"/>
              <w:rPr>
                <w:i/>
                <w:iCs/>
                <w:sz w:val="16"/>
                <w:lang w:val="en-GB"/>
              </w:rPr>
            </w:pPr>
            <w:r w:rsidRPr="00914146">
              <w:rPr>
                <w:i/>
                <w:sz w:val="16"/>
              </w:rPr>
              <w:t xml:space="preserve"> </w:t>
            </w:r>
          </w:p>
          <w:p w14:paraId="011F2C27" w14:textId="77777777" w:rsidR="00563976" w:rsidRPr="00914146" w:rsidRDefault="00563976" w:rsidP="00A574E1">
            <w:pPr>
              <w:spacing w:after="0"/>
              <w:rPr>
                <w:i/>
                <w:sz w:val="16"/>
                <w:lang w:val="en-GB"/>
              </w:rPr>
            </w:pPr>
            <w:r w:rsidRPr="00914146">
              <w:rPr>
                <w:i/>
                <w:sz w:val="16"/>
                <w:lang w:val="en-GB"/>
              </w:rPr>
              <w:t xml:space="preserve">2. </w:t>
            </w:r>
            <w:r w:rsidRPr="00914146">
              <w:rPr>
                <w:i/>
                <w:sz w:val="16"/>
              </w:rPr>
              <w:t xml:space="preserve">The </w:t>
            </w:r>
            <w:r>
              <w:rPr>
                <w:i/>
                <w:sz w:val="16"/>
              </w:rPr>
              <w:t>64</w:t>
            </w:r>
            <w:r w:rsidRPr="00914146">
              <w:rPr>
                <w:i/>
                <w:sz w:val="16"/>
              </w:rPr>
              <w:t xml:space="preserve"> countries are enabled and informed for better decision making in BD conservation  </w:t>
            </w:r>
          </w:p>
        </w:tc>
      </w:tr>
      <w:tr w:rsidR="00563976" w:rsidRPr="00914146" w14:paraId="7262FC2B" w14:textId="77777777" w:rsidTr="00A574E1">
        <w:tc>
          <w:tcPr>
            <w:tcW w:w="752" w:type="pct"/>
            <w:vMerge w:val="restart"/>
            <w:shd w:val="clear" w:color="auto" w:fill="auto"/>
          </w:tcPr>
          <w:p w14:paraId="6BF5058B" w14:textId="77777777" w:rsidR="00563976" w:rsidRPr="00914146" w:rsidRDefault="00563976" w:rsidP="00A574E1">
            <w:pPr>
              <w:spacing w:after="0"/>
              <w:rPr>
                <w:i/>
                <w:sz w:val="16"/>
              </w:rPr>
            </w:pPr>
            <w:r w:rsidRPr="00914146">
              <w:rPr>
                <w:b/>
                <w:i/>
                <w:sz w:val="16"/>
              </w:rPr>
              <w:t>Outcome 1:</w:t>
            </w:r>
            <w:r w:rsidRPr="00914146">
              <w:rPr>
                <w:i/>
                <w:sz w:val="16"/>
              </w:rPr>
              <w:t xml:space="preserve"> A functional steering committee is formed to prepare the </w:t>
            </w:r>
            <w:r w:rsidRPr="00914146">
              <w:rPr>
                <w:i/>
                <w:sz w:val="16"/>
              </w:rPr>
              <w:lastRenderedPageBreak/>
              <w:t xml:space="preserve">6NR, project timelines and methods are developed, funding is </w:t>
            </w:r>
            <w:proofErr w:type="gramStart"/>
            <w:r w:rsidRPr="00914146">
              <w:rPr>
                <w:i/>
                <w:sz w:val="16"/>
              </w:rPr>
              <w:t>mobilized</w:t>
            </w:r>
            <w:proofErr w:type="gramEnd"/>
            <w:r w:rsidRPr="00914146">
              <w:rPr>
                <w:i/>
                <w:sz w:val="16"/>
              </w:rPr>
              <w:t xml:space="preserve"> and training and capacity building activities are complete</w:t>
            </w:r>
          </w:p>
        </w:tc>
        <w:tc>
          <w:tcPr>
            <w:tcW w:w="752" w:type="pct"/>
            <w:shd w:val="clear" w:color="auto" w:fill="auto"/>
          </w:tcPr>
          <w:p w14:paraId="31E2837F" w14:textId="77777777" w:rsidR="00563976" w:rsidRPr="00914146" w:rsidRDefault="00563976" w:rsidP="00A574E1">
            <w:pPr>
              <w:spacing w:after="0"/>
              <w:rPr>
                <w:i/>
                <w:sz w:val="16"/>
              </w:rPr>
            </w:pPr>
            <w:r w:rsidRPr="00914146">
              <w:rPr>
                <w:i/>
                <w:sz w:val="16"/>
              </w:rPr>
              <w:lastRenderedPageBreak/>
              <w:t xml:space="preserve">Percentage of countries with functional steering committees </w:t>
            </w:r>
          </w:p>
        </w:tc>
        <w:tc>
          <w:tcPr>
            <w:tcW w:w="594" w:type="pct"/>
            <w:shd w:val="clear" w:color="auto" w:fill="auto"/>
          </w:tcPr>
          <w:p w14:paraId="59DB60D9" w14:textId="77777777" w:rsidR="00563976" w:rsidRPr="00914146" w:rsidRDefault="00563976" w:rsidP="00A574E1">
            <w:pPr>
              <w:spacing w:after="0"/>
              <w:rPr>
                <w:i/>
                <w:sz w:val="16"/>
              </w:rPr>
            </w:pPr>
            <w:r w:rsidRPr="00914146">
              <w:rPr>
                <w:i/>
                <w:sz w:val="16"/>
              </w:rPr>
              <w:t xml:space="preserve">All the participating countries do not have functional </w:t>
            </w:r>
            <w:r w:rsidRPr="00914146">
              <w:rPr>
                <w:i/>
                <w:sz w:val="16"/>
              </w:rPr>
              <w:lastRenderedPageBreak/>
              <w:t xml:space="preserve">project steering committees </w:t>
            </w:r>
            <w:proofErr w:type="gramStart"/>
            <w:r w:rsidRPr="00914146">
              <w:rPr>
                <w:i/>
                <w:sz w:val="16"/>
              </w:rPr>
              <w:t>for the production of</w:t>
            </w:r>
            <w:proofErr w:type="gramEnd"/>
            <w:r w:rsidRPr="00914146">
              <w:rPr>
                <w:i/>
                <w:sz w:val="16"/>
              </w:rPr>
              <w:t xml:space="preserve"> the 6</w:t>
            </w:r>
            <w:r w:rsidRPr="00914146">
              <w:rPr>
                <w:i/>
                <w:sz w:val="16"/>
                <w:vertAlign w:val="superscript"/>
              </w:rPr>
              <w:t>th</w:t>
            </w:r>
            <w:r w:rsidRPr="00914146">
              <w:rPr>
                <w:i/>
                <w:sz w:val="16"/>
              </w:rPr>
              <w:t xml:space="preserve"> NR</w:t>
            </w:r>
          </w:p>
        </w:tc>
        <w:tc>
          <w:tcPr>
            <w:tcW w:w="748" w:type="pct"/>
            <w:shd w:val="clear" w:color="auto" w:fill="auto"/>
          </w:tcPr>
          <w:p w14:paraId="501F4A22" w14:textId="77777777" w:rsidR="00563976" w:rsidRPr="00914146" w:rsidRDefault="00563976" w:rsidP="00A574E1">
            <w:pPr>
              <w:spacing w:after="0"/>
              <w:rPr>
                <w:i/>
                <w:sz w:val="16"/>
              </w:rPr>
            </w:pPr>
            <w:r w:rsidRPr="00914146">
              <w:rPr>
                <w:i/>
                <w:sz w:val="16"/>
              </w:rPr>
              <w:lastRenderedPageBreak/>
              <w:t xml:space="preserve">At least 80% of the countries have functional steering committees by </w:t>
            </w:r>
            <w:r w:rsidRPr="00914146">
              <w:rPr>
                <w:i/>
                <w:sz w:val="16"/>
              </w:rPr>
              <w:lastRenderedPageBreak/>
              <w:t xml:space="preserve">midterm of the project and 100% by project end </w:t>
            </w:r>
          </w:p>
        </w:tc>
        <w:tc>
          <w:tcPr>
            <w:tcW w:w="689" w:type="pct"/>
            <w:shd w:val="clear" w:color="auto" w:fill="auto"/>
          </w:tcPr>
          <w:p w14:paraId="5B6BEA5E" w14:textId="77777777" w:rsidR="00563976" w:rsidRPr="00914146" w:rsidRDefault="00563976" w:rsidP="00A574E1">
            <w:pPr>
              <w:spacing w:after="0"/>
              <w:rPr>
                <w:i/>
                <w:sz w:val="16"/>
              </w:rPr>
            </w:pPr>
            <w:r w:rsidRPr="00914146">
              <w:rPr>
                <w:i/>
                <w:sz w:val="16"/>
              </w:rPr>
              <w:lastRenderedPageBreak/>
              <w:t xml:space="preserve">Project reports. </w:t>
            </w:r>
          </w:p>
          <w:p w14:paraId="560B0731" w14:textId="77777777" w:rsidR="00563976" w:rsidRPr="00914146" w:rsidRDefault="00563976" w:rsidP="00A574E1">
            <w:pPr>
              <w:spacing w:after="0"/>
              <w:rPr>
                <w:i/>
                <w:sz w:val="16"/>
              </w:rPr>
            </w:pPr>
          </w:p>
          <w:p w14:paraId="001FC3FD" w14:textId="77777777" w:rsidR="00563976" w:rsidRPr="00914146" w:rsidRDefault="00563976" w:rsidP="00A574E1">
            <w:pPr>
              <w:spacing w:after="0"/>
              <w:rPr>
                <w:i/>
                <w:sz w:val="16"/>
              </w:rPr>
            </w:pPr>
            <w:r w:rsidRPr="00914146">
              <w:rPr>
                <w:i/>
                <w:sz w:val="16"/>
              </w:rPr>
              <w:t>Minutes of the PSC.</w:t>
            </w:r>
          </w:p>
          <w:p w14:paraId="5DAE6493" w14:textId="77777777" w:rsidR="00563976" w:rsidRPr="00914146" w:rsidRDefault="00563976" w:rsidP="00A574E1">
            <w:pPr>
              <w:spacing w:after="0"/>
              <w:rPr>
                <w:i/>
                <w:sz w:val="16"/>
              </w:rPr>
            </w:pPr>
          </w:p>
          <w:p w14:paraId="065546EE" w14:textId="77777777" w:rsidR="00563976" w:rsidRPr="00914146" w:rsidRDefault="00563976" w:rsidP="00A574E1">
            <w:pPr>
              <w:spacing w:after="0"/>
              <w:rPr>
                <w:i/>
                <w:sz w:val="16"/>
              </w:rPr>
            </w:pPr>
            <w:proofErr w:type="gramStart"/>
            <w:r w:rsidRPr="00914146">
              <w:rPr>
                <w:i/>
                <w:sz w:val="16"/>
              </w:rPr>
              <w:t>Terminal  evaluation</w:t>
            </w:r>
            <w:proofErr w:type="gramEnd"/>
          </w:p>
          <w:p w14:paraId="108ECD10" w14:textId="77777777" w:rsidR="00563976" w:rsidRPr="00914146" w:rsidRDefault="00563976" w:rsidP="00A574E1">
            <w:pPr>
              <w:spacing w:after="0"/>
              <w:rPr>
                <w:i/>
                <w:sz w:val="16"/>
              </w:rPr>
            </w:pPr>
          </w:p>
          <w:p w14:paraId="515DA5EB" w14:textId="77777777" w:rsidR="00563976" w:rsidRPr="00914146" w:rsidRDefault="00563976" w:rsidP="00A574E1">
            <w:pPr>
              <w:spacing w:after="0"/>
              <w:rPr>
                <w:i/>
                <w:sz w:val="16"/>
              </w:rPr>
            </w:pPr>
            <w:r w:rsidRPr="00914146">
              <w:rPr>
                <w:i/>
                <w:sz w:val="16"/>
              </w:rPr>
              <w:t>Interviews with government agents, CBD focal points</w:t>
            </w:r>
          </w:p>
        </w:tc>
        <w:tc>
          <w:tcPr>
            <w:tcW w:w="621" w:type="pct"/>
            <w:shd w:val="clear" w:color="auto" w:fill="auto"/>
          </w:tcPr>
          <w:p w14:paraId="10B310AD" w14:textId="77777777" w:rsidR="00563976" w:rsidRPr="00914146" w:rsidRDefault="00563976" w:rsidP="00A574E1">
            <w:pPr>
              <w:spacing w:after="0"/>
              <w:rPr>
                <w:i/>
                <w:sz w:val="16"/>
              </w:rPr>
            </w:pPr>
            <w:r w:rsidRPr="00914146">
              <w:rPr>
                <w:i/>
                <w:sz w:val="16"/>
              </w:rPr>
              <w:lastRenderedPageBreak/>
              <w:t>NA</w:t>
            </w:r>
          </w:p>
        </w:tc>
        <w:tc>
          <w:tcPr>
            <w:tcW w:w="844" w:type="pct"/>
            <w:shd w:val="clear" w:color="auto" w:fill="auto"/>
          </w:tcPr>
          <w:p w14:paraId="40936A54" w14:textId="77777777" w:rsidR="00563976" w:rsidRPr="00914146" w:rsidRDefault="00563976" w:rsidP="00A574E1">
            <w:pPr>
              <w:spacing w:after="0"/>
              <w:rPr>
                <w:bCs/>
                <w:i/>
                <w:sz w:val="16"/>
              </w:rPr>
            </w:pPr>
            <w:r w:rsidRPr="00914146">
              <w:rPr>
                <w:bCs/>
                <w:i/>
                <w:sz w:val="16"/>
              </w:rPr>
              <w:t xml:space="preserve">Relevant key institutions will be willing to second their staff </w:t>
            </w:r>
            <w:r w:rsidRPr="00914146">
              <w:rPr>
                <w:bCs/>
                <w:i/>
                <w:sz w:val="16"/>
              </w:rPr>
              <w:lastRenderedPageBreak/>
              <w:t xml:space="preserve">for membership of the steering committee  </w:t>
            </w:r>
          </w:p>
        </w:tc>
      </w:tr>
      <w:tr w:rsidR="00563976" w:rsidRPr="00914146" w14:paraId="2BECCEBD" w14:textId="77777777" w:rsidTr="00A574E1">
        <w:tc>
          <w:tcPr>
            <w:tcW w:w="752" w:type="pct"/>
            <w:vMerge/>
            <w:shd w:val="clear" w:color="auto" w:fill="auto"/>
          </w:tcPr>
          <w:p w14:paraId="5A70EDCA" w14:textId="77777777" w:rsidR="00563976" w:rsidRPr="00914146" w:rsidRDefault="00563976" w:rsidP="00A574E1">
            <w:pPr>
              <w:spacing w:after="0"/>
              <w:rPr>
                <w:b/>
                <w:i/>
                <w:sz w:val="16"/>
              </w:rPr>
            </w:pPr>
          </w:p>
        </w:tc>
        <w:tc>
          <w:tcPr>
            <w:tcW w:w="4248" w:type="pct"/>
            <w:gridSpan w:val="6"/>
            <w:shd w:val="clear" w:color="auto" w:fill="auto"/>
          </w:tcPr>
          <w:p w14:paraId="395F3513" w14:textId="77777777" w:rsidR="00563976" w:rsidRPr="00914146" w:rsidRDefault="00563976" w:rsidP="00A574E1">
            <w:pPr>
              <w:spacing w:after="0"/>
              <w:rPr>
                <w:b/>
                <w:i/>
                <w:sz w:val="16"/>
              </w:rPr>
            </w:pPr>
            <w:r w:rsidRPr="00914146">
              <w:rPr>
                <w:b/>
                <w:i/>
                <w:sz w:val="16"/>
              </w:rPr>
              <w:t>Outputs:</w:t>
            </w:r>
          </w:p>
          <w:p w14:paraId="1483F9D0" w14:textId="77777777" w:rsidR="00563976" w:rsidRPr="00914146" w:rsidRDefault="00563976" w:rsidP="00A574E1">
            <w:pPr>
              <w:spacing w:after="0"/>
              <w:rPr>
                <w:i/>
                <w:sz w:val="16"/>
              </w:rPr>
            </w:pPr>
            <w:r w:rsidRPr="00914146">
              <w:rPr>
                <w:i/>
                <w:sz w:val="16"/>
              </w:rPr>
              <w:t>1.1. The SC is formed, roles for the preparation of the 6NR are assigned, and a production plan and timeline is developed.</w:t>
            </w:r>
          </w:p>
          <w:p w14:paraId="26136739" w14:textId="77777777" w:rsidR="00563976" w:rsidRPr="00914146" w:rsidRDefault="00563976" w:rsidP="00A574E1">
            <w:pPr>
              <w:spacing w:after="0"/>
              <w:rPr>
                <w:i/>
                <w:sz w:val="16"/>
              </w:rPr>
            </w:pPr>
            <w:r w:rsidRPr="00914146">
              <w:rPr>
                <w:i/>
                <w:sz w:val="16"/>
              </w:rPr>
              <w:t>1.2. Necessary project funding and resources are acquired, including the submission of an Annual Work Plan and Letter of Authorization and the identification of other funding sources, as needed.</w:t>
            </w:r>
          </w:p>
          <w:p w14:paraId="516BB432" w14:textId="77777777" w:rsidR="00563976" w:rsidRPr="00914146" w:rsidRDefault="00563976" w:rsidP="00A574E1">
            <w:pPr>
              <w:spacing w:after="0"/>
              <w:rPr>
                <w:b/>
                <w:i/>
                <w:sz w:val="16"/>
              </w:rPr>
            </w:pPr>
            <w:r w:rsidRPr="00914146">
              <w:rPr>
                <w:i/>
                <w:sz w:val="16"/>
              </w:rPr>
              <w:t>1.3. Participation in training and capacity building opportunities on the use of the CBD online reporting tool and the development of data that reports on progress in achieving the targets and activities in the post-2010 NBSAP.</w:t>
            </w:r>
          </w:p>
        </w:tc>
      </w:tr>
      <w:tr w:rsidR="00563976" w:rsidRPr="00914146" w14:paraId="45CC6AC7" w14:textId="77777777" w:rsidTr="00A574E1">
        <w:tc>
          <w:tcPr>
            <w:tcW w:w="752" w:type="pct"/>
            <w:vMerge w:val="restart"/>
            <w:shd w:val="clear" w:color="auto" w:fill="auto"/>
          </w:tcPr>
          <w:p w14:paraId="36C3E3B4" w14:textId="77777777" w:rsidR="00563976" w:rsidRPr="00914146" w:rsidRDefault="00563976" w:rsidP="00A574E1">
            <w:pPr>
              <w:spacing w:after="0"/>
              <w:rPr>
                <w:i/>
                <w:sz w:val="16"/>
              </w:rPr>
            </w:pPr>
            <w:r w:rsidRPr="00914146">
              <w:rPr>
                <w:b/>
                <w:i/>
                <w:sz w:val="16"/>
              </w:rPr>
              <w:t xml:space="preserve">Outcome 2: </w:t>
            </w:r>
            <w:r w:rsidRPr="00914146">
              <w:rPr>
                <w:i/>
                <w:sz w:val="16"/>
              </w:rPr>
              <w:t>Stakeholder owned reports for each ABT and/or national equivalent are produced and compiled</w:t>
            </w:r>
          </w:p>
        </w:tc>
        <w:tc>
          <w:tcPr>
            <w:tcW w:w="752" w:type="pct"/>
            <w:shd w:val="clear" w:color="auto" w:fill="auto"/>
          </w:tcPr>
          <w:p w14:paraId="14034F54" w14:textId="77777777" w:rsidR="00563976" w:rsidRPr="00914146" w:rsidRDefault="00563976" w:rsidP="00A574E1">
            <w:pPr>
              <w:spacing w:after="0"/>
              <w:rPr>
                <w:i/>
                <w:sz w:val="16"/>
              </w:rPr>
            </w:pPr>
            <w:r w:rsidRPr="00914146">
              <w:rPr>
                <w:i/>
                <w:sz w:val="16"/>
              </w:rPr>
              <w:t>Percentage of all identified stakeholders registered in a comprehensive stakeholder inventory involved in producing and compiling of ABTs and/or national equivalent</w:t>
            </w:r>
          </w:p>
        </w:tc>
        <w:tc>
          <w:tcPr>
            <w:tcW w:w="594" w:type="pct"/>
            <w:shd w:val="clear" w:color="auto" w:fill="auto"/>
          </w:tcPr>
          <w:p w14:paraId="5E07024F" w14:textId="77777777" w:rsidR="00563976" w:rsidRPr="00914146" w:rsidRDefault="00563976" w:rsidP="00A574E1">
            <w:pPr>
              <w:spacing w:after="0"/>
              <w:rPr>
                <w:i/>
                <w:sz w:val="16"/>
              </w:rPr>
            </w:pPr>
            <w:r w:rsidRPr="00914146">
              <w:rPr>
                <w:i/>
                <w:sz w:val="16"/>
              </w:rPr>
              <w:t>0%</w:t>
            </w:r>
          </w:p>
        </w:tc>
        <w:tc>
          <w:tcPr>
            <w:tcW w:w="748" w:type="pct"/>
            <w:shd w:val="clear" w:color="auto" w:fill="auto"/>
          </w:tcPr>
          <w:p w14:paraId="4DF084C3" w14:textId="77777777" w:rsidR="00563976" w:rsidRPr="00914146" w:rsidRDefault="00563976" w:rsidP="00A574E1">
            <w:pPr>
              <w:spacing w:after="0"/>
              <w:rPr>
                <w:i/>
                <w:sz w:val="16"/>
              </w:rPr>
            </w:pPr>
            <w:r w:rsidRPr="00914146">
              <w:rPr>
                <w:i/>
                <w:sz w:val="16"/>
              </w:rPr>
              <w:t>100%</w:t>
            </w:r>
          </w:p>
        </w:tc>
        <w:tc>
          <w:tcPr>
            <w:tcW w:w="689" w:type="pct"/>
            <w:vMerge w:val="restart"/>
            <w:shd w:val="clear" w:color="auto" w:fill="auto"/>
          </w:tcPr>
          <w:p w14:paraId="1F22148B" w14:textId="77777777" w:rsidR="00563976" w:rsidRPr="00914146" w:rsidRDefault="00563976" w:rsidP="00A574E1">
            <w:pPr>
              <w:spacing w:after="0"/>
              <w:rPr>
                <w:i/>
                <w:sz w:val="16"/>
              </w:rPr>
            </w:pPr>
            <w:r w:rsidRPr="00914146">
              <w:rPr>
                <w:i/>
                <w:sz w:val="16"/>
              </w:rPr>
              <w:t xml:space="preserve">Project reports. </w:t>
            </w:r>
          </w:p>
          <w:p w14:paraId="797ADAF4" w14:textId="77777777" w:rsidR="00563976" w:rsidRPr="00914146" w:rsidRDefault="00563976" w:rsidP="00A574E1">
            <w:pPr>
              <w:spacing w:after="0"/>
              <w:rPr>
                <w:i/>
                <w:sz w:val="16"/>
              </w:rPr>
            </w:pPr>
          </w:p>
          <w:p w14:paraId="792EC743" w14:textId="77777777" w:rsidR="00563976" w:rsidRPr="00914146" w:rsidRDefault="00563976" w:rsidP="00A574E1">
            <w:pPr>
              <w:spacing w:after="0"/>
              <w:rPr>
                <w:i/>
                <w:sz w:val="16"/>
              </w:rPr>
            </w:pPr>
            <w:r w:rsidRPr="00914146">
              <w:rPr>
                <w:i/>
                <w:sz w:val="16"/>
              </w:rPr>
              <w:t>Minutes of the PSC.</w:t>
            </w:r>
          </w:p>
          <w:p w14:paraId="129F42AA" w14:textId="77777777" w:rsidR="00563976" w:rsidRPr="00914146" w:rsidRDefault="00563976" w:rsidP="00A574E1">
            <w:pPr>
              <w:spacing w:after="0"/>
              <w:rPr>
                <w:i/>
                <w:sz w:val="16"/>
              </w:rPr>
            </w:pPr>
          </w:p>
          <w:p w14:paraId="02CD27D6" w14:textId="77777777" w:rsidR="00563976" w:rsidRPr="00914146" w:rsidRDefault="00563976" w:rsidP="00A574E1">
            <w:pPr>
              <w:spacing w:after="0"/>
              <w:rPr>
                <w:i/>
                <w:sz w:val="16"/>
              </w:rPr>
            </w:pPr>
            <w:r w:rsidRPr="00914146">
              <w:rPr>
                <w:i/>
                <w:sz w:val="16"/>
              </w:rPr>
              <w:t>Terminal evaluation</w:t>
            </w:r>
          </w:p>
          <w:p w14:paraId="137DF970" w14:textId="77777777" w:rsidR="00563976" w:rsidRPr="00914146" w:rsidRDefault="00563976" w:rsidP="00A574E1">
            <w:pPr>
              <w:spacing w:after="0"/>
              <w:rPr>
                <w:i/>
                <w:sz w:val="16"/>
              </w:rPr>
            </w:pPr>
          </w:p>
          <w:p w14:paraId="62D6F61C" w14:textId="77777777" w:rsidR="00563976" w:rsidRPr="00914146" w:rsidRDefault="00563976" w:rsidP="00A574E1">
            <w:pPr>
              <w:spacing w:after="0"/>
              <w:rPr>
                <w:i/>
                <w:sz w:val="16"/>
              </w:rPr>
            </w:pPr>
            <w:r w:rsidRPr="00914146">
              <w:rPr>
                <w:i/>
                <w:sz w:val="16"/>
              </w:rPr>
              <w:t>Interviews with government agents, CBD focal points</w:t>
            </w:r>
          </w:p>
        </w:tc>
        <w:tc>
          <w:tcPr>
            <w:tcW w:w="621" w:type="pct"/>
            <w:vMerge w:val="restart"/>
            <w:shd w:val="clear" w:color="auto" w:fill="auto"/>
          </w:tcPr>
          <w:p w14:paraId="6BAC7865" w14:textId="77777777" w:rsidR="00563976" w:rsidRPr="00914146" w:rsidRDefault="00563976" w:rsidP="00A574E1">
            <w:pPr>
              <w:spacing w:after="0"/>
              <w:rPr>
                <w:bCs/>
                <w:i/>
                <w:sz w:val="16"/>
              </w:rPr>
            </w:pPr>
            <w:r w:rsidRPr="00914146">
              <w:rPr>
                <w:bCs/>
                <w:i/>
                <w:sz w:val="16"/>
              </w:rPr>
              <w:t>NA</w:t>
            </w:r>
          </w:p>
        </w:tc>
        <w:tc>
          <w:tcPr>
            <w:tcW w:w="844" w:type="pct"/>
            <w:vMerge w:val="restart"/>
            <w:shd w:val="clear" w:color="auto" w:fill="auto"/>
          </w:tcPr>
          <w:p w14:paraId="5293ADEE" w14:textId="77777777" w:rsidR="00563976" w:rsidRPr="00914146" w:rsidRDefault="00563976" w:rsidP="00A574E1">
            <w:pPr>
              <w:spacing w:after="0"/>
              <w:rPr>
                <w:bCs/>
                <w:i/>
                <w:sz w:val="16"/>
              </w:rPr>
            </w:pPr>
            <w:r w:rsidRPr="00914146">
              <w:rPr>
                <w:bCs/>
                <w:i/>
                <w:sz w:val="16"/>
              </w:rPr>
              <w:t>Forming partnerships between relevant stakeholders interested in biodiversity conservation issues and in development issues</w:t>
            </w:r>
          </w:p>
          <w:p w14:paraId="06846B64" w14:textId="77777777" w:rsidR="00563976" w:rsidRPr="00914146" w:rsidRDefault="00563976" w:rsidP="00A574E1">
            <w:pPr>
              <w:spacing w:after="0"/>
              <w:rPr>
                <w:bCs/>
                <w:i/>
                <w:sz w:val="16"/>
              </w:rPr>
            </w:pPr>
          </w:p>
          <w:p w14:paraId="21188C55" w14:textId="77777777" w:rsidR="00563976" w:rsidRPr="00914146" w:rsidRDefault="00563976" w:rsidP="00A574E1">
            <w:pPr>
              <w:spacing w:after="0"/>
              <w:rPr>
                <w:bCs/>
                <w:i/>
                <w:sz w:val="16"/>
              </w:rPr>
            </w:pPr>
            <w:r w:rsidRPr="00914146">
              <w:rPr>
                <w:bCs/>
                <w:i/>
                <w:sz w:val="16"/>
              </w:rPr>
              <w:t>A gender responsive approach fully considers the different needs, roles, benefits, impacts, risks and access to/control over resources of women and men and integrates appropriate measures taken to address and these and promote gender equality and women’s empowerment.</w:t>
            </w:r>
          </w:p>
        </w:tc>
      </w:tr>
      <w:tr w:rsidR="00563976" w:rsidRPr="00914146" w14:paraId="67EB0392" w14:textId="77777777" w:rsidTr="00A574E1">
        <w:tc>
          <w:tcPr>
            <w:tcW w:w="752" w:type="pct"/>
            <w:vMerge/>
            <w:shd w:val="clear" w:color="auto" w:fill="auto"/>
          </w:tcPr>
          <w:p w14:paraId="4E291C39" w14:textId="77777777" w:rsidR="00563976" w:rsidRPr="00914146" w:rsidRDefault="00563976" w:rsidP="00A574E1">
            <w:pPr>
              <w:spacing w:after="0"/>
              <w:rPr>
                <w:b/>
                <w:i/>
                <w:sz w:val="16"/>
              </w:rPr>
            </w:pPr>
          </w:p>
        </w:tc>
        <w:tc>
          <w:tcPr>
            <w:tcW w:w="752" w:type="pct"/>
            <w:shd w:val="clear" w:color="auto" w:fill="auto"/>
          </w:tcPr>
          <w:p w14:paraId="1A2C9EEF" w14:textId="77777777" w:rsidR="00563976" w:rsidRPr="00914146" w:rsidRDefault="00563976" w:rsidP="00A574E1">
            <w:pPr>
              <w:spacing w:after="0"/>
              <w:rPr>
                <w:i/>
                <w:sz w:val="16"/>
              </w:rPr>
            </w:pPr>
            <w:r w:rsidRPr="00914146">
              <w:rPr>
                <w:i/>
                <w:sz w:val="16"/>
              </w:rPr>
              <w:t xml:space="preserve">Percentage of countries that have produced reports for each ABT and/or national equivalent </w:t>
            </w:r>
          </w:p>
        </w:tc>
        <w:tc>
          <w:tcPr>
            <w:tcW w:w="594" w:type="pct"/>
            <w:shd w:val="clear" w:color="auto" w:fill="auto"/>
          </w:tcPr>
          <w:p w14:paraId="3CDA03B3" w14:textId="77777777" w:rsidR="00563976" w:rsidRPr="00914146" w:rsidRDefault="00563976" w:rsidP="00A574E1">
            <w:pPr>
              <w:spacing w:after="0"/>
              <w:rPr>
                <w:i/>
                <w:sz w:val="16"/>
              </w:rPr>
            </w:pPr>
            <w:r w:rsidRPr="00914146">
              <w:rPr>
                <w:i/>
                <w:sz w:val="16"/>
              </w:rPr>
              <w:t>0%</w:t>
            </w:r>
          </w:p>
        </w:tc>
        <w:tc>
          <w:tcPr>
            <w:tcW w:w="748" w:type="pct"/>
            <w:shd w:val="clear" w:color="auto" w:fill="auto"/>
          </w:tcPr>
          <w:p w14:paraId="12CCD1CE" w14:textId="77777777" w:rsidR="00563976" w:rsidRPr="00914146" w:rsidRDefault="00563976" w:rsidP="00A574E1">
            <w:pPr>
              <w:spacing w:after="0"/>
              <w:rPr>
                <w:i/>
                <w:sz w:val="16"/>
              </w:rPr>
            </w:pPr>
            <w:r w:rsidRPr="00914146">
              <w:rPr>
                <w:i/>
                <w:sz w:val="16"/>
              </w:rPr>
              <w:t xml:space="preserve">At least 80% of the countries have produced reports for each national </w:t>
            </w:r>
            <w:proofErr w:type="gramStart"/>
            <w:r w:rsidRPr="00914146">
              <w:rPr>
                <w:i/>
                <w:sz w:val="16"/>
              </w:rPr>
              <w:t>targets</w:t>
            </w:r>
            <w:proofErr w:type="gramEnd"/>
            <w:r w:rsidRPr="00914146">
              <w:rPr>
                <w:i/>
                <w:sz w:val="16"/>
              </w:rPr>
              <w:t xml:space="preserve"> by midterm of project time frame and 100% by project end</w:t>
            </w:r>
          </w:p>
        </w:tc>
        <w:tc>
          <w:tcPr>
            <w:tcW w:w="689" w:type="pct"/>
            <w:vMerge/>
            <w:shd w:val="clear" w:color="auto" w:fill="auto"/>
          </w:tcPr>
          <w:p w14:paraId="56999544" w14:textId="77777777" w:rsidR="00563976" w:rsidRPr="00914146" w:rsidRDefault="00563976" w:rsidP="00A574E1">
            <w:pPr>
              <w:spacing w:after="0"/>
              <w:rPr>
                <w:i/>
                <w:sz w:val="16"/>
              </w:rPr>
            </w:pPr>
          </w:p>
        </w:tc>
        <w:tc>
          <w:tcPr>
            <w:tcW w:w="621" w:type="pct"/>
            <w:vMerge/>
            <w:shd w:val="clear" w:color="auto" w:fill="auto"/>
          </w:tcPr>
          <w:p w14:paraId="5D002BD7" w14:textId="77777777" w:rsidR="00563976" w:rsidRPr="00914146" w:rsidRDefault="00563976" w:rsidP="00A574E1">
            <w:pPr>
              <w:spacing w:after="0"/>
              <w:rPr>
                <w:bCs/>
                <w:i/>
                <w:sz w:val="16"/>
              </w:rPr>
            </w:pPr>
          </w:p>
        </w:tc>
        <w:tc>
          <w:tcPr>
            <w:tcW w:w="844" w:type="pct"/>
            <w:vMerge/>
            <w:shd w:val="clear" w:color="auto" w:fill="auto"/>
          </w:tcPr>
          <w:p w14:paraId="6A9EC4A6" w14:textId="77777777" w:rsidR="00563976" w:rsidRPr="00914146" w:rsidRDefault="00563976" w:rsidP="00A574E1">
            <w:pPr>
              <w:spacing w:after="0"/>
              <w:rPr>
                <w:bCs/>
                <w:i/>
                <w:sz w:val="16"/>
              </w:rPr>
            </w:pPr>
          </w:p>
        </w:tc>
      </w:tr>
      <w:tr w:rsidR="00563976" w:rsidRPr="00914146" w14:paraId="0CA12A9D" w14:textId="77777777" w:rsidTr="00A574E1">
        <w:tc>
          <w:tcPr>
            <w:tcW w:w="752" w:type="pct"/>
            <w:vMerge/>
            <w:shd w:val="clear" w:color="auto" w:fill="auto"/>
          </w:tcPr>
          <w:p w14:paraId="3DF4EE20" w14:textId="77777777" w:rsidR="00563976" w:rsidRPr="00914146" w:rsidRDefault="00563976" w:rsidP="00A574E1">
            <w:pPr>
              <w:spacing w:after="0"/>
              <w:rPr>
                <w:b/>
                <w:i/>
                <w:sz w:val="16"/>
              </w:rPr>
            </w:pPr>
          </w:p>
        </w:tc>
        <w:tc>
          <w:tcPr>
            <w:tcW w:w="752" w:type="pct"/>
            <w:shd w:val="clear" w:color="auto" w:fill="auto"/>
          </w:tcPr>
          <w:p w14:paraId="786025A7" w14:textId="77777777" w:rsidR="00563976" w:rsidRPr="00914146" w:rsidRDefault="00563976" w:rsidP="00A574E1">
            <w:pPr>
              <w:spacing w:after="0"/>
              <w:rPr>
                <w:i/>
                <w:sz w:val="16"/>
              </w:rPr>
            </w:pPr>
            <w:r w:rsidRPr="00914146">
              <w:rPr>
                <w:i/>
                <w:sz w:val="16"/>
              </w:rPr>
              <w:t>Number of countries with gender-responsive reports for each ABT and/or national equivalent include a gender section</w:t>
            </w:r>
          </w:p>
        </w:tc>
        <w:tc>
          <w:tcPr>
            <w:tcW w:w="594" w:type="pct"/>
            <w:shd w:val="clear" w:color="auto" w:fill="auto"/>
          </w:tcPr>
          <w:p w14:paraId="1B916451" w14:textId="77777777" w:rsidR="00563976" w:rsidRPr="00914146" w:rsidRDefault="00563976" w:rsidP="00A574E1">
            <w:pPr>
              <w:spacing w:after="0"/>
              <w:rPr>
                <w:i/>
                <w:sz w:val="16"/>
              </w:rPr>
            </w:pPr>
            <w:r w:rsidRPr="00914146">
              <w:rPr>
                <w:i/>
                <w:sz w:val="16"/>
              </w:rPr>
              <w:t>0</w:t>
            </w:r>
          </w:p>
        </w:tc>
        <w:tc>
          <w:tcPr>
            <w:tcW w:w="748" w:type="pct"/>
            <w:shd w:val="clear" w:color="auto" w:fill="auto"/>
          </w:tcPr>
          <w:p w14:paraId="33C23997" w14:textId="77777777" w:rsidR="00563976" w:rsidRPr="00914146" w:rsidRDefault="00563976" w:rsidP="00A574E1">
            <w:pPr>
              <w:spacing w:after="0"/>
              <w:rPr>
                <w:i/>
                <w:sz w:val="16"/>
              </w:rPr>
            </w:pPr>
            <w:r>
              <w:rPr>
                <w:i/>
                <w:sz w:val="16"/>
              </w:rPr>
              <w:t>64</w:t>
            </w:r>
          </w:p>
        </w:tc>
        <w:tc>
          <w:tcPr>
            <w:tcW w:w="689" w:type="pct"/>
            <w:vMerge/>
            <w:shd w:val="clear" w:color="auto" w:fill="auto"/>
          </w:tcPr>
          <w:p w14:paraId="3D28183E" w14:textId="77777777" w:rsidR="00563976" w:rsidRPr="00914146" w:rsidRDefault="00563976" w:rsidP="00A574E1">
            <w:pPr>
              <w:spacing w:after="0"/>
              <w:rPr>
                <w:i/>
                <w:sz w:val="16"/>
              </w:rPr>
            </w:pPr>
          </w:p>
        </w:tc>
        <w:tc>
          <w:tcPr>
            <w:tcW w:w="621" w:type="pct"/>
            <w:vMerge/>
            <w:shd w:val="clear" w:color="auto" w:fill="auto"/>
          </w:tcPr>
          <w:p w14:paraId="4636D9D1" w14:textId="77777777" w:rsidR="00563976" w:rsidRPr="00914146" w:rsidRDefault="00563976" w:rsidP="00A574E1">
            <w:pPr>
              <w:spacing w:after="0"/>
              <w:rPr>
                <w:bCs/>
                <w:i/>
                <w:sz w:val="16"/>
              </w:rPr>
            </w:pPr>
          </w:p>
        </w:tc>
        <w:tc>
          <w:tcPr>
            <w:tcW w:w="844" w:type="pct"/>
            <w:vMerge/>
            <w:shd w:val="clear" w:color="auto" w:fill="auto"/>
          </w:tcPr>
          <w:p w14:paraId="414EF1DB" w14:textId="77777777" w:rsidR="00563976" w:rsidRPr="00914146" w:rsidRDefault="00563976" w:rsidP="00A574E1">
            <w:pPr>
              <w:spacing w:after="0"/>
              <w:rPr>
                <w:bCs/>
                <w:i/>
                <w:sz w:val="16"/>
              </w:rPr>
            </w:pPr>
          </w:p>
        </w:tc>
      </w:tr>
      <w:tr w:rsidR="00563976" w:rsidRPr="00914146" w14:paraId="25DBFCBA" w14:textId="77777777" w:rsidTr="00A574E1">
        <w:tc>
          <w:tcPr>
            <w:tcW w:w="752" w:type="pct"/>
            <w:vMerge/>
            <w:shd w:val="clear" w:color="auto" w:fill="auto"/>
          </w:tcPr>
          <w:p w14:paraId="1DEC8A86" w14:textId="77777777" w:rsidR="00563976" w:rsidRPr="00914146" w:rsidRDefault="00563976" w:rsidP="00A574E1">
            <w:pPr>
              <w:spacing w:after="0"/>
              <w:rPr>
                <w:b/>
                <w:i/>
                <w:sz w:val="16"/>
              </w:rPr>
            </w:pPr>
          </w:p>
        </w:tc>
        <w:tc>
          <w:tcPr>
            <w:tcW w:w="4248" w:type="pct"/>
            <w:gridSpan w:val="6"/>
            <w:shd w:val="clear" w:color="auto" w:fill="auto"/>
          </w:tcPr>
          <w:p w14:paraId="168B0715" w14:textId="77777777" w:rsidR="00563976" w:rsidRPr="00914146" w:rsidRDefault="00563976" w:rsidP="00A574E1">
            <w:pPr>
              <w:spacing w:after="0"/>
              <w:rPr>
                <w:i/>
                <w:sz w:val="16"/>
              </w:rPr>
            </w:pPr>
            <w:r w:rsidRPr="00914146">
              <w:rPr>
                <w:i/>
                <w:sz w:val="16"/>
              </w:rPr>
              <w:t>2.1. Scoping report/zero draft for each ABT and/or national equivalent is prepared.</w:t>
            </w:r>
          </w:p>
          <w:p w14:paraId="6E9B6048" w14:textId="77777777" w:rsidR="00563976" w:rsidRPr="00914146" w:rsidRDefault="00563976" w:rsidP="00A574E1">
            <w:pPr>
              <w:spacing w:after="0"/>
              <w:rPr>
                <w:i/>
                <w:sz w:val="16"/>
              </w:rPr>
            </w:pPr>
            <w:r w:rsidRPr="00914146">
              <w:rPr>
                <w:i/>
                <w:sz w:val="16"/>
              </w:rPr>
              <w:t>2.2. Consultations with stakeholders are undertaken to verify data and progress assessments and address information gaps for each ABT.</w:t>
            </w:r>
          </w:p>
          <w:p w14:paraId="59C99813" w14:textId="77777777" w:rsidR="00563976" w:rsidRPr="00914146" w:rsidRDefault="00563976" w:rsidP="00A574E1">
            <w:pPr>
              <w:spacing w:after="0"/>
              <w:rPr>
                <w:i/>
                <w:sz w:val="16"/>
              </w:rPr>
            </w:pPr>
            <w:r w:rsidRPr="00914146">
              <w:rPr>
                <w:i/>
                <w:sz w:val="16"/>
              </w:rPr>
              <w:t>2.3. Reports for each ABT and/or national equivalent are developed, which strive to be gender responsive, considering the resources and timeframe of the project in each country.</w:t>
            </w:r>
          </w:p>
        </w:tc>
      </w:tr>
      <w:tr w:rsidR="00563976" w:rsidRPr="00914146" w14:paraId="105775CF" w14:textId="77777777" w:rsidTr="00A574E1">
        <w:tc>
          <w:tcPr>
            <w:tcW w:w="752" w:type="pct"/>
            <w:vMerge w:val="restart"/>
            <w:shd w:val="clear" w:color="auto" w:fill="auto"/>
          </w:tcPr>
          <w:p w14:paraId="037B2DA9" w14:textId="77777777" w:rsidR="00563976" w:rsidRPr="00914146" w:rsidRDefault="00563976" w:rsidP="00A574E1">
            <w:pPr>
              <w:spacing w:after="0"/>
              <w:rPr>
                <w:i/>
                <w:sz w:val="16"/>
              </w:rPr>
            </w:pPr>
            <w:r w:rsidRPr="00914146">
              <w:rPr>
                <w:b/>
                <w:i/>
                <w:sz w:val="16"/>
              </w:rPr>
              <w:t>Outcome 3:</w:t>
            </w:r>
            <w:r w:rsidRPr="00914146">
              <w:rPr>
                <w:i/>
                <w:sz w:val="16"/>
              </w:rPr>
              <w:t xml:space="preserve"> A Stakeholder owned 6th national Report is produced and submitted to the CBD</w:t>
            </w:r>
          </w:p>
        </w:tc>
        <w:tc>
          <w:tcPr>
            <w:tcW w:w="752" w:type="pct"/>
            <w:shd w:val="clear" w:color="auto" w:fill="auto"/>
          </w:tcPr>
          <w:p w14:paraId="279367D1" w14:textId="77777777" w:rsidR="00563976" w:rsidRPr="00914146" w:rsidRDefault="00563976" w:rsidP="00A574E1">
            <w:pPr>
              <w:spacing w:after="0"/>
              <w:rPr>
                <w:i/>
                <w:sz w:val="16"/>
              </w:rPr>
            </w:pPr>
            <w:r w:rsidRPr="00914146">
              <w:rPr>
                <w:i/>
                <w:sz w:val="16"/>
              </w:rPr>
              <w:t>Percentage of the number of countries submitting 6NRs to the CBD</w:t>
            </w:r>
          </w:p>
        </w:tc>
        <w:tc>
          <w:tcPr>
            <w:tcW w:w="594" w:type="pct"/>
            <w:shd w:val="clear" w:color="auto" w:fill="auto"/>
          </w:tcPr>
          <w:p w14:paraId="5D0271F9" w14:textId="77777777" w:rsidR="00563976" w:rsidRPr="00914146" w:rsidRDefault="00563976" w:rsidP="00A574E1">
            <w:pPr>
              <w:spacing w:after="0"/>
              <w:rPr>
                <w:i/>
                <w:sz w:val="16"/>
              </w:rPr>
            </w:pPr>
            <w:r w:rsidRPr="00914146">
              <w:rPr>
                <w:i/>
                <w:sz w:val="16"/>
              </w:rPr>
              <w:t>None of the participating countries have submitted the 6</w:t>
            </w:r>
            <w:r w:rsidRPr="00914146">
              <w:rPr>
                <w:i/>
                <w:sz w:val="16"/>
                <w:vertAlign w:val="superscript"/>
              </w:rPr>
              <w:t>th</w:t>
            </w:r>
            <w:r w:rsidRPr="00914146">
              <w:rPr>
                <w:i/>
                <w:sz w:val="16"/>
              </w:rPr>
              <w:t xml:space="preserve"> NR to the CBD</w:t>
            </w:r>
          </w:p>
        </w:tc>
        <w:tc>
          <w:tcPr>
            <w:tcW w:w="748" w:type="pct"/>
            <w:shd w:val="clear" w:color="auto" w:fill="auto"/>
          </w:tcPr>
          <w:p w14:paraId="41DB4E60" w14:textId="77777777" w:rsidR="00563976" w:rsidRPr="00914146" w:rsidRDefault="00563976" w:rsidP="00A574E1">
            <w:pPr>
              <w:spacing w:after="0"/>
              <w:rPr>
                <w:i/>
                <w:sz w:val="16"/>
              </w:rPr>
            </w:pPr>
            <w:r w:rsidRPr="00914146">
              <w:rPr>
                <w:i/>
                <w:sz w:val="16"/>
              </w:rPr>
              <w:t>50% of the countries submit 6NRs to the CBD by midterm and 100% at project end</w:t>
            </w:r>
          </w:p>
        </w:tc>
        <w:tc>
          <w:tcPr>
            <w:tcW w:w="689" w:type="pct"/>
            <w:shd w:val="clear" w:color="auto" w:fill="auto"/>
          </w:tcPr>
          <w:p w14:paraId="155A8874" w14:textId="77777777" w:rsidR="00563976" w:rsidRPr="00914146" w:rsidRDefault="00563976" w:rsidP="00A574E1">
            <w:pPr>
              <w:spacing w:after="0"/>
              <w:rPr>
                <w:i/>
                <w:sz w:val="16"/>
              </w:rPr>
            </w:pPr>
            <w:r w:rsidRPr="00914146">
              <w:rPr>
                <w:i/>
                <w:sz w:val="16"/>
              </w:rPr>
              <w:t xml:space="preserve">Project reports. </w:t>
            </w:r>
          </w:p>
          <w:p w14:paraId="4D3179DF" w14:textId="77777777" w:rsidR="00563976" w:rsidRPr="00914146" w:rsidRDefault="00563976" w:rsidP="00A574E1">
            <w:pPr>
              <w:spacing w:after="0"/>
              <w:rPr>
                <w:i/>
                <w:sz w:val="16"/>
              </w:rPr>
            </w:pPr>
          </w:p>
          <w:p w14:paraId="7E1D2E88" w14:textId="77777777" w:rsidR="00563976" w:rsidRPr="00914146" w:rsidRDefault="00563976" w:rsidP="00A574E1">
            <w:pPr>
              <w:spacing w:after="0"/>
              <w:rPr>
                <w:i/>
                <w:sz w:val="16"/>
              </w:rPr>
            </w:pPr>
            <w:r w:rsidRPr="00914146">
              <w:rPr>
                <w:i/>
                <w:sz w:val="16"/>
              </w:rPr>
              <w:t>Minutes of the PSC.</w:t>
            </w:r>
          </w:p>
          <w:p w14:paraId="408F2565" w14:textId="77777777" w:rsidR="00563976" w:rsidRPr="00914146" w:rsidRDefault="00563976" w:rsidP="00A574E1">
            <w:pPr>
              <w:spacing w:after="0"/>
              <w:rPr>
                <w:i/>
                <w:sz w:val="16"/>
              </w:rPr>
            </w:pPr>
          </w:p>
          <w:p w14:paraId="4E9A759F" w14:textId="77777777" w:rsidR="00563976" w:rsidRPr="00914146" w:rsidRDefault="00563976" w:rsidP="00A574E1">
            <w:pPr>
              <w:spacing w:after="0"/>
              <w:rPr>
                <w:i/>
                <w:sz w:val="16"/>
              </w:rPr>
            </w:pPr>
            <w:proofErr w:type="gramStart"/>
            <w:r w:rsidRPr="00914146">
              <w:rPr>
                <w:i/>
                <w:sz w:val="16"/>
              </w:rPr>
              <w:t>Terminal  evaluation</w:t>
            </w:r>
            <w:proofErr w:type="gramEnd"/>
          </w:p>
          <w:p w14:paraId="169F3E1D" w14:textId="77777777" w:rsidR="00563976" w:rsidRPr="00914146" w:rsidRDefault="00563976" w:rsidP="00A574E1">
            <w:pPr>
              <w:spacing w:after="0"/>
              <w:rPr>
                <w:i/>
                <w:sz w:val="16"/>
              </w:rPr>
            </w:pPr>
          </w:p>
          <w:p w14:paraId="761EA0D8" w14:textId="77777777" w:rsidR="00563976" w:rsidRPr="00914146" w:rsidRDefault="00563976" w:rsidP="00A574E1">
            <w:pPr>
              <w:spacing w:after="0"/>
              <w:rPr>
                <w:i/>
                <w:sz w:val="16"/>
              </w:rPr>
            </w:pPr>
            <w:r w:rsidRPr="00914146">
              <w:rPr>
                <w:i/>
                <w:sz w:val="16"/>
              </w:rPr>
              <w:lastRenderedPageBreak/>
              <w:t>Interviews with government agents, CBD focal points</w:t>
            </w:r>
          </w:p>
        </w:tc>
        <w:tc>
          <w:tcPr>
            <w:tcW w:w="621" w:type="pct"/>
            <w:shd w:val="clear" w:color="auto" w:fill="auto"/>
          </w:tcPr>
          <w:p w14:paraId="100D7529" w14:textId="77777777" w:rsidR="00563976" w:rsidRPr="00914146" w:rsidRDefault="00563976" w:rsidP="00A574E1">
            <w:pPr>
              <w:spacing w:after="0"/>
              <w:rPr>
                <w:bCs/>
                <w:i/>
                <w:sz w:val="16"/>
              </w:rPr>
            </w:pPr>
            <w:r w:rsidRPr="00914146">
              <w:rPr>
                <w:bCs/>
                <w:i/>
                <w:sz w:val="16"/>
              </w:rPr>
              <w:lastRenderedPageBreak/>
              <w:t>NA</w:t>
            </w:r>
          </w:p>
        </w:tc>
        <w:tc>
          <w:tcPr>
            <w:tcW w:w="844" w:type="pct"/>
            <w:shd w:val="clear" w:color="auto" w:fill="auto"/>
          </w:tcPr>
          <w:p w14:paraId="6F544E94" w14:textId="77777777" w:rsidR="00563976" w:rsidRPr="00914146" w:rsidRDefault="00563976" w:rsidP="00A574E1">
            <w:pPr>
              <w:spacing w:after="0"/>
              <w:rPr>
                <w:bCs/>
                <w:i/>
                <w:sz w:val="16"/>
              </w:rPr>
            </w:pPr>
            <w:r w:rsidRPr="00914146">
              <w:rPr>
                <w:bCs/>
                <w:i/>
                <w:sz w:val="16"/>
              </w:rPr>
              <w:t>The ongoing training by SCBD will support countries and contribute to better articulation of country requirements for the project.</w:t>
            </w:r>
          </w:p>
        </w:tc>
      </w:tr>
      <w:tr w:rsidR="00563976" w:rsidRPr="00914146" w14:paraId="079D8B06" w14:textId="77777777" w:rsidTr="00A574E1">
        <w:tc>
          <w:tcPr>
            <w:tcW w:w="752" w:type="pct"/>
            <w:vMerge/>
            <w:shd w:val="clear" w:color="auto" w:fill="auto"/>
          </w:tcPr>
          <w:p w14:paraId="064F4B5D" w14:textId="77777777" w:rsidR="00563976" w:rsidRPr="00914146" w:rsidRDefault="00563976" w:rsidP="00A574E1">
            <w:pPr>
              <w:spacing w:after="0"/>
              <w:rPr>
                <w:b/>
                <w:i/>
                <w:sz w:val="16"/>
              </w:rPr>
            </w:pPr>
          </w:p>
        </w:tc>
        <w:tc>
          <w:tcPr>
            <w:tcW w:w="4248" w:type="pct"/>
            <w:gridSpan w:val="6"/>
            <w:shd w:val="clear" w:color="auto" w:fill="auto"/>
          </w:tcPr>
          <w:p w14:paraId="2B0AD500" w14:textId="77777777" w:rsidR="00563976" w:rsidRPr="00914146" w:rsidRDefault="00563976" w:rsidP="00A574E1">
            <w:pPr>
              <w:spacing w:after="0"/>
              <w:rPr>
                <w:i/>
                <w:sz w:val="16"/>
              </w:rPr>
            </w:pPr>
            <w:r w:rsidRPr="00914146">
              <w:rPr>
                <w:b/>
                <w:i/>
                <w:sz w:val="16"/>
              </w:rPr>
              <w:t>Outputs:</w:t>
            </w:r>
          </w:p>
          <w:p w14:paraId="599A2CE7" w14:textId="77777777" w:rsidR="00563976" w:rsidRPr="00914146" w:rsidRDefault="00563976" w:rsidP="00A574E1">
            <w:pPr>
              <w:spacing w:after="0"/>
              <w:rPr>
                <w:i/>
                <w:sz w:val="16"/>
              </w:rPr>
            </w:pPr>
            <w:r w:rsidRPr="00914146">
              <w:rPr>
                <w:i/>
                <w:sz w:val="16"/>
              </w:rPr>
              <w:t>3.1. The draft 6NR is compiled, undergoes a technical peer review, revised and finalized.</w:t>
            </w:r>
          </w:p>
          <w:p w14:paraId="0AB973D6" w14:textId="77777777" w:rsidR="00563976" w:rsidRPr="00914146" w:rsidRDefault="00563976" w:rsidP="00A574E1">
            <w:pPr>
              <w:spacing w:after="0"/>
              <w:rPr>
                <w:b/>
                <w:i/>
                <w:sz w:val="16"/>
              </w:rPr>
            </w:pPr>
            <w:r w:rsidRPr="00914146">
              <w:rPr>
                <w:i/>
                <w:sz w:val="16"/>
              </w:rPr>
              <w:t>3.2. The 6NR is validated and officially submitted to the CBD.</w:t>
            </w:r>
          </w:p>
        </w:tc>
      </w:tr>
    </w:tbl>
    <w:p w14:paraId="2B1CE488" w14:textId="77777777" w:rsidR="00CC6327" w:rsidRDefault="00CC6327"/>
    <w:sectPr w:rsidR="00CC6327" w:rsidSect="005639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76"/>
    <w:rsid w:val="00563976"/>
    <w:rsid w:val="00CC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0A83"/>
  <w15:chartTrackingRefBased/>
  <w15:docId w15:val="{3D587A60-9A39-4F2D-8BBC-4D46B98E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976"/>
    <w:pPr>
      <w:spacing w:after="200" w:line="276" w:lineRule="auto"/>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Valastinova</dc:creator>
  <cp:keywords/>
  <dc:description/>
  <cp:lastModifiedBy>Petra Valastinova</cp:lastModifiedBy>
  <cp:revision>1</cp:revision>
  <dcterms:created xsi:type="dcterms:W3CDTF">2020-09-28T09:00:00Z</dcterms:created>
  <dcterms:modified xsi:type="dcterms:W3CDTF">2020-09-28T09:01:00Z</dcterms:modified>
</cp:coreProperties>
</file>