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D46E" w14:textId="1A06CABD" w:rsidR="00B63E42" w:rsidRDefault="00487F1A" w:rsidP="00487F1A">
      <w:pPr>
        <w:pStyle w:val="Titre1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34EA94" wp14:editId="451DC8D1">
            <wp:simplePos x="0" y="0"/>
            <wp:positionH relativeFrom="margin">
              <wp:posOffset>5085370</wp:posOffset>
            </wp:positionH>
            <wp:positionV relativeFrom="paragraph">
              <wp:posOffset>-487375</wp:posOffset>
            </wp:positionV>
            <wp:extent cx="747294" cy="14185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U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7" cy="143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195">
        <w:rPr>
          <w:lang w:val="fr-CA"/>
        </w:rPr>
        <w:t>Termes de références</w:t>
      </w:r>
    </w:p>
    <w:p w14:paraId="7F9C6F26" w14:textId="77777777" w:rsidR="003E747F" w:rsidRDefault="003E747F" w:rsidP="00CC2DCA">
      <w:pPr>
        <w:pStyle w:val="Sous-titre"/>
      </w:pPr>
    </w:p>
    <w:p w14:paraId="7CF94C62" w14:textId="28D2DC5B" w:rsidR="009C3195" w:rsidRPr="00487F1A" w:rsidRDefault="009C3195" w:rsidP="00CC2DCA">
      <w:pPr>
        <w:pStyle w:val="Sous-titre"/>
      </w:pPr>
      <w:proofErr w:type="spellStart"/>
      <w:r w:rsidRPr="00487F1A">
        <w:t>Consultant.e</w:t>
      </w:r>
      <w:proofErr w:type="spellEnd"/>
      <w:r w:rsidRPr="00487F1A">
        <w:t xml:space="preserve"> </w:t>
      </w:r>
      <w:proofErr w:type="spellStart"/>
      <w:r w:rsidR="00961724">
        <w:t>national</w:t>
      </w:r>
      <w:r w:rsidRPr="00487F1A">
        <w:t>.e</w:t>
      </w:r>
      <w:proofErr w:type="spellEnd"/>
      <w:r w:rsidRPr="00487F1A">
        <w:t xml:space="preserve"> </w:t>
      </w:r>
      <w:r w:rsidR="00C75481">
        <w:t>en réduction de risques et catastrophes</w:t>
      </w:r>
    </w:p>
    <w:p w14:paraId="66D1F02E" w14:textId="7A580233" w:rsidR="009C3195" w:rsidRPr="00C75481" w:rsidRDefault="009C3195" w:rsidP="003E747F">
      <w:pPr>
        <w:pStyle w:val="Titre2"/>
        <w:jc w:val="left"/>
        <w:rPr>
          <w:sz w:val="22"/>
          <w:szCs w:val="22"/>
          <w:lang w:val="fr-CA"/>
        </w:rPr>
      </w:pPr>
      <w:r w:rsidRPr="00C75481">
        <w:rPr>
          <w:sz w:val="22"/>
          <w:szCs w:val="22"/>
          <w:lang w:val="fr-CA"/>
        </w:rPr>
        <w:t>Projet</w:t>
      </w:r>
      <w:r w:rsidR="00C75481" w:rsidRPr="00C75481">
        <w:rPr>
          <w:sz w:val="22"/>
          <w:szCs w:val="22"/>
          <w:lang w:val="fr-CA"/>
        </w:rPr>
        <w:t xml:space="preserve"> de</w:t>
      </w:r>
      <w:r w:rsidR="00961724" w:rsidRPr="00C75481">
        <w:rPr>
          <w:sz w:val="22"/>
          <w:szCs w:val="22"/>
          <w:lang w:val="fr-CA"/>
        </w:rPr>
        <w:t xml:space="preserve"> </w:t>
      </w:r>
      <w:r w:rsidR="00C75481" w:rsidRPr="00C75481">
        <w:rPr>
          <w:sz w:val="22"/>
          <w:szCs w:val="22"/>
          <w:lang w:val="fr-CA"/>
        </w:rPr>
        <w:t>Renforcement des capacités de réduction des risques de catastrophe et d’adaptation à l’appui de la résilience dans la région du Sahel : promouvoir des solutions de développement durable tenant compte des risques</w:t>
      </w:r>
    </w:p>
    <w:p w14:paraId="59645030" w14:textId="77777777" w:rsidR="003E747F" w:rsidRPr="003E747F" w:rsidRDefault="003E747F" w:rsidP="003E747F">
      <w:pPr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9CB" w14:paraId="1806054F" w14:textId="77777777" w:rsidTr="000639CB">
        <w:tc>
          <w:tcPr>
            <w:tcW w:w="4531" w:type="dxa"/>
            <w:tcBorders>
              <w:right w:val="single" w:sz="4" w:space="0" w:color="auto"/>
            </w:tcBorders>
          </w:tcPr>
          <w:p w14:paraId="6E1352AC" w14:textId="0FE29B59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9C3195">
              <w:rPr>
                <w:rFonts w:ascii="Trebuchet MS" w:hAnsi="Trebuchet MS" w:cs="Arial"/>
                <w:bCs/>
                <w:szCs w:val="20"/>
              </w:rPr>
              <w:t>Type de contrat et Grade</w:t>
            </w:r>
            <w:r>
              <w:rPr>
                <w:rFonts w:ascii="Trebuchet MS" w:hAnsi="Trebuchet MS" w:cs="Arial"/>
                <w:bCs/>
                <w:szCs w:val="20"/>
              </w:rPr>
              <w:t> 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6578E96" w14:textId="518BA44E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9C3195">
              <w:rPr>
                <w:rFonts w:ascii="Trebuchet MS" w:hAnsi="Trebuchet MS" w:cs="Arial"/>
                <w:bCs/>
                <w:szCs w:val="20"/>
              </w:rPr>
              <w:t>Contrat individuel</w:t>
            </w:r>
          </w:p>
        </w:tc>
      </w:tr>
      <w:tr w:rsidR="000639CB" w14:paraId="1F036A26" w14:textId="77777777" w:rsidTr="000639CB">
        <w:tc>
          <w:tcPr>
            <w:tcW w:w="453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A066212" w14:textId="7F528981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9C3195">
              <w:rPr>
                <w:rFonts w:ascii="Trebuchet MS" w:hAnsi="Trebuchet MS" w:cs="Arial"/>
                <w:bCs/>
                <w:szCs w:val="20"/>
              </w:rPr>
              <w:t>Lieu d</w:t>
            </w:r>
            <w:r>
              <w:rPr>
                <w:rFonts w:ascii="Trebuchet MS" w:hAnsi="Trebuchet MS" w:cs="Arial"/>
                <w:bCs/>
                <w:szCs w:val="20"/>
              </w:rPr>
              <w:t>’</w:t>
            </w:r>
            <w:r w:rsidRPr="009C3195">
              <w:rPr>
                <w:rFonts w:ascii="Trebuchet MS" w:hAnsi="Trebuchet MS" w:cs="Arial"/>
                <w:bCs/>
                <w:szCs w:val="20"/>
              </w:rPr>
              <w:t>affectation</w:t>
            </w:r>
            <w:r>
              <w:rPr>
                <w:rFonts w:ascii="Trebuchet MS" w:hAnsi="Trebuchet MS" w:cs="Arial"/>
                <w:bCs/>
                <w:szCs w:val="20"/>
              </w:rPr>
              <w:t> 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ED1320" w14:textId="1D595883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9C3195">
              <w:rPr>
                <w:rFonts w:ascii="Trebuchet MS" w:hAnsi="Trebuchet MS" w:cs="Arial"/>
                <w:bCs/>
                <w:szCs w:val="20"/>
              </w:rPr>
              <w:t>Dakar, Sénégal</w:t>
            </w:r>
            <w:r w:rsidRPr="009C3195">
              <w:rPr>
                <w:rFonts w:ascii="Trebuchet MS" w:hAnsi="Trebuchet MS" w:cs="Arial"/>
                <w:bCs/>
                <w:szCs w:val="20"/>
              </w:rPr>
              <w:tab/>
            </w:r>
          </w:p>
        </w:tc>
      </w:tr>
      <w:tr w:rsidR="000639CB" w14:paraId="2A89750F" w14:textId="77777777" w:rsidTr="000639CB">
        <w:tc>
          <w:tcPr>
            <w:tcW w:w="4531" w:type="dxa"/>
            <w:tcBorders>
              <w:right w:val="single" w:sz="4" w:space="0" w:color="auto"/>
            </w:tcBorders>
          </w:tcPr>
          <w:p w14:paraId="610BFE22" w14:textId="37DDA743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9C3195">
              <w:rPr>
                <w:rFonts w:ascii="Trebuchet MS" w:hAnsi="Trebuchet MS" w:cs="Arial"/>
                <w:bCs/>
                <w:szCs w:val="20"/>
              </w:rPr>
              <w:t>Durée de la mission</w:t>
            </w:r>
            <w:r>
              <w:rPr>
                <w:rFonts w:ascii="Trebuchet MS" w:hAnsi="Trebuchet MS" w:cs="Arial"/>
                <w:bCs/>
                <w:szCs w:val="20"/>
              </w:rPr>
              <w:t> 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4213F63" w14:textId="584A7F46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>
              <w:rPr>
                <w:rFonts w:ascii="Trebuchet MS" w:hAnsi="Trebuchet MS" w:cs="Arial"/>
                <w:bCs/>
                <w:szCs w:val="20"/>
              </w:rPr>
              <w:t>30</w:t>
            </w:r>
            <w:r w:rsidRPr="009C3195">
              <w:rPr>
                <w:rFonts w:ascii="Trebuchet MS" w:hAnsi="Trebuchet MS" w:cs="Arial"/>
                <w:bCs/>
                <w:szCs w:val="20"/>
              </w:rPr>
              <w:t xml:space="preserve"> Jours</w:t>
            </w:r>
          </w:p>
        </w:tc>
      </w:tr>
      <w:tr w:rsidR="000639CB" w14:paraId="2FFFA920" w14:textId="77777777" w:rsidTr="000639CB">
        <w:tc>
          <w:tcPr>
            <w:tcW w:w="453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65C8DD9" w14:textId="0C442B56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9C3195">
              <w:rPr>
                <w:rFonts w:ascii="Trebuchet MS" w:hAnsi="Trebuchet MS" w:cs="Arial"/>
                <w:bCs/>
                <w:szCs w:val="20"/>
              </w:rPr>
              <w:t xml:space="preserve">Date estimative de démarrage </w:t>
            </w:r>
            <w:r>
              <w:rPr>
                <w:rFonts w:ascii="Trebuchet MS" w:hAnsi="Trebuchet MS" w:cs="Arial"/>
                <w:bCs/>
                <w:szCs w:val="20"/>
              </w:rPr>
              <w:t>du contrat 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7BAB006" w14:textId="53207B1D" w:rsidR="000639CB" w:rsidRDefault="000639CB" w:rsidP="009C3195">
            <w:pPr>
              <w:jc w:val="both"/>
              <w:rPr>
                <w:rFonts w:ascii="Trebuchet MS" w:hAnsi="Trebuchet MS" w:cs="Arial"/>
                <w:bCs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1</w:t>
            </w:r>
            <w:r w:rsidRPr="009C3195">
              <w:rPr>
                <w:rFonts w:ascii="Trebuchet MS" w:hAnsi="Trebuchet MS" w:cs="Arial"/>
                <w:szCs w:val="20"/>
                <w:vertAlign w:val="superscript"/>
              </w:rPr>
              <w:t>er</w:t>
            </w:r>
            <w:r>
              <w:rPr>
                <w:rFonts w:ascii="Trebuchet MS" w:hAnsi="Trebuchet MS" w:cs="Arial"/>
                <w:szCs w:val="20"/>
              </w:rPr>
              <w:t xml:space="preserve"> </w:t>
            </w:r>
            <w:r w:rsidR="00512221">
              <w:rPr>
                <w:rFonts w:ascii="Trebuchet MS" w:hAnsi="Trebuchet MS" w:cs="Arial"/>
                <w:szCs w:val="20"/>
              </w:rPr>
              <w:t>juillet</w:t>
            </w:r>
            <w:r>
              <w:rPr>
                <w:rFonts w:ascii="Trebuchet MS" w:hAnsi="Trebuchet MS" w:cs="Arial"/>
                <w:szCs w:val="20"/>
              </w:rPr>
              <w:t xml:space="preserve"> </w:t>
            </w:r>
            <w:r w:rsidRPr="00E50BC7">
              <w:rPr>
                <w:rFonts w:ascii="Trebuchet MS" w:hAnsi="Trebuchet MS" w:cs="Arial"/>
                <w:szCs w:val="20"/>
              </w:rPr>
              <w:t>20</w:t>
            </w:r>
            <w:r>
              <w:rPr>
                <w:rFonts w:ascii="Trebuchet MS" w:hAnsi="Trebuchet MS" w:cs="Arial"/>
                <w:szCs w:val="20"/>
              </w:rPr>
              <w:t>20</w:t>
            </w:r>
          </w:p>
        </w:tc>
      </w:tr>
    </w:tbl>
    <w:p w14:paraId="6F2818C7" w14:textId="59467923" w:rsidR="009C3195" w:rsidRPr="009C3195" w:rsidRDefault="009C3195" w:rsidP="00942202">
      <w:pPr>
        <w:pStyle w:val="Sous-titre"/>
      </w:pPr>
      <w:r w:rsidRPr="009C3195">
        <w:t>Contexte</w:t>
      </w:r>
    </w:p>
    <w:p w14:paraId="7095B291" w14:textId="3FB423AF" w:rsidR="00014DE5" w:rsidRDefault="009C3195" w:rsidP="000E1980">
      <w:r>
        <w:t xml:space="preserve">Le projet </w:t>
      </w:r>
      <w:r w:rsidR="000E1980">
        <w:t>de r</w:t>
      </w:r>
      <w:r w:rsidR="000E1980" w:rsidRPr="000E1980">
        <w:t>enforcement des capacités de réduction des risques de catastrophe et d’adaptation à l’appui de la résilience dans la région du Sahe</w:t>
      </w:r>
      <w:r w:rsidR="000E1980">
        <w:t xml:space="preserve">l à démarré </w:t>
      </w:r>
      <w:bookmarkStart w:id="0" w:name="_GoBack"/>
      <w:bookmarkEnd w:id="0"/>
    </w:p>
    <w:p w14:paraId="64F1F364" w14:textId="05E7FB8D" w:rsidR="002474BD" w:rsidRPr="002474BD" w:rsidRDefault="002474BD" w:rsidP="000639CB">
      <w:pPr>
        <w:pStyle w:val="Sous-titre"/>
      </w:pPr>
      <w:r w:rsidRPr="002474BD">
        <w:t xml:space="preserve">Objectifs du </w:t>
      </w:r>
      <w:r w:rsidRPr="000639CB">
        <w:t>contrat</w:t>
      </w:r>
    </w:p>
    <w:p w14:paraId="17B91109" w14:textId="5D48C13E" w:rsidR="007A36D6" w:rsidRDefault="002474BD" w:rsidP="002474BD">
      <w:pPr>
        <w:jc w:val="both"/>
      </w:pPr>
      <w:r>
        <w:t>En vue de la conclusion du PRGTE, il est prévu</w:t>
      </w:r>
      <w:r w:rsidR="007A36D6">
        <w:t> de :</w:t>
      </w:r>
    </w:p>
    <w:p w14:paraId="62905873" w14:textId="77777777" w:rsidR="00543C16" w:rsidRPr="00543C16" w:rsidRDefault="007A36D6" w:rsidP="00543C16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543C16">
        <w:rPr>
          <w:b/>
          <w:bCs/>
        </w:rPr>
        <w:t>E</w:t>
      </w:r>
      <w:r w:rsidR="002474BD" w:rsidRPr="00543C16">
        <w:rPr>
          <w:b/>
          <w:bCs/>
        </w:rPr>
        <w:t xml:space="preserve">valuer l’impact du projet et ses modalités de réalisations </w:t>
      </w:r>
    </w:p>
    <w:p w14:paraId="53842524" w14:textId="345E7AA3" w:rsidR="007A36D6" w:rsidRDefault="00543C16" w:rsidP="00543C16">
      <w:pPr>
        <w:pStyle w:val="Paragraphedeliste"/>
        <w:ind w:left="765"/>
        <w:jc w:val="both"/>
      </w:pPr>
      <w:r>
        <w:t>En plus d’évaluer l’atteinte de l’ensemble des objectifs du projet</w:t>
      </w:r>
      <w:r w:rsidR="002A371B">
        <w:t xml:space="preserve"> et de formuler des recommandations</w:t>
      </w:r>
      <w:r>
        <w:t xml:space="preserve">, l’étude évaluera également la mise en œuvre du projet, notamment </w:t>
      </w:r>
      <w:r w:rsidR="002474BD">
        <w:t xml:space="preserve">la coordination des différents acteurs impliqués dans le projet. </w:t>
      </w:r>
    </w:p>
    <w:p w14:paraId="1B387B04" w14:textId="77777777" w:rsidR="00543C16" w:rsidRPr="00543C16" w:rsidRDefault="007A36D6" w:rsidP="007A36D6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543C16">
        <w:rPr>
          <w:b/>
          <w:bCs/>
        </w:rPr>
        <w:t>Produire</w:t>
      </w:r>
      <w:r w:rsidR="002474BD" w:rsidRPr="00543C16">
        <w:rPr>
          <w:b/>
          <w:bCs/>
        </w:rPr>
        <w:t xml:space="preserve"> de</w:t>
      </w:r>
      <w:r w:rsidRPr="00543C16">
        <w:rPr>
          <w:b/>
          <w:bCs/>
        </w:rPr>
        <w:t>s outils de</w:t>
      </w:r>
      <w:r w:rsidR="002474BD" w:rsidRPr="00543C16">
        <w:rPr>
          <w:b/>
          <w:bCs/>
        </w:rPr>
        <w:t xml:space="preserve"> capitalisation des résultats</w:t>
      </w:r>
    </w:p>
    <w:p w14:paraId="5B643799" w14:textId="23267C13" w:rsidR="00F01507" w:rsidRDefault="00543C16" w:rsidP="00543C16">
      <w:pPr>
        <w:pStyle w:val="Paragraphedeliste"/>
        <w:ind w:left="765"/>
        <w:jc w:val="both"/>
      </w:pPr>
      <w:r>
        <w:t>Ces outils permettront</w:t>
      </w:r>
      <w:r w:rsidR="002474BD">
        <w:t xml:space="preserve"> de mettre en valeur les leçons apprises et les bonnes pratiques. </w:t>
      </w:r>
      <w:r>
        <w:t>Ils</w:t>
      </w:r>
      <w:r w:rsidR="00095451">
        <w:t xml:space="preserve"> seront utilisés comme outils de communications sur le projet, mais également dans la construction de projets à venir. Nous souhaitons capitaliser sur les lacunes du projet aussi bien que sur les bonnes pratiques développées au cours du projet.</w:t>
      </w:r>
    </w:p>
    <w:p w14:paraId="704B9030" w14:textId="2B371072" w:rsidR="009C3195" w:rsidRDefault="00F01507" w:rsidP="00F01507">
      <w:pPr>
        <w:pStyle w:val="Sous-titre"/>
      </w:pPr>
      <w:r>
        <w:t>Responsabilités</w:t>
      </w:r>
    </w:p>
    <w:p w14:paraId="68C171B6" w14:textId="53FE00DF" w:rsidR="00F01507" w:rsidRDefault="00F01507" w:rsidP="001309C6">
      <w:pPr>
        <w:jc w:val="both"/>
      </w:pPr>
      <w:r w:rsidRPr="00F01507">
        <w:t xml:space="preserve">Les responsabilités de la consultance s’orientent autour </w:t>
      </w:r>
      <w:r w:rsidR="001309C6">
        <w:t xml:space="preserve">de </w:t>
      </w:r>
      <w:r w:rsidR="006A1698">
        <w:t>quatre</w:t>
      </w:r>
      <w:r w:rsidR="001309C6">
        <w:t xml:space="preserve"> livrables.</w:t>
      </w:r>
      <w:r w:rsidRPr="00F01507">
        <w:t xml:space="preserve"> Il est attendu que le/la </w:t>
      </w:r>
      <w:proofErr w:type="spellStart"/>
      <w:r w:rsidRPr="00F01507">
        <w:t>consultant.e</w:t>
      </w:r>
      <w:proofErr w:type="spellEnd"/>
      <w:r w:rsidRPr="00F01507">
        <w:t xml:space="preserve">. analyse </w:t>
      </w:r>
      <w:r w:rsidR="001309C6">
        <w:t>les</w:t>
      </w:r>
      <w:r w:rsidRPr="00F01507">
        <w:t xml:space="preserve"> actions nécessaires afin de mener à bien la réalisation du livrable en collaboration avec l’unité environnement du PNUD </w:t>
      </w:r>
      <w:r w:rsidR="001309C6">
        <w:t>et l’équipe de PRGTE.</w:t>
      </w:r>
    </w:p>
    <w:p w14:paraId="2F8D1A3B" w14:textId="09D6EFA2" w:rsidR="001309C6" w:rsidRDefault="001309C6" w:rsidP="001309C6">
      <w:pPr>
        <w:jc w:val="both"/>
      </w:pPr>
      <w:r>
        <w:t>L’évaluation doit être conforme aux politiques et directives d’évaluation du PNUD ainsi qu’au politique d’évaluation du Gouvernement du Sénégal.</w:t>
      </w:r>
    </w:p>
    <w:p w14:paraId="5BCD1B91" w14:textId="77777777" w:rsidR="007B22C7" w:rsidRDefault="001309C6" w:rsidP="001309C6">
      <w:pPr>
        <w:jc w:val="both"/>
      </w:pPr>
      <w:r>
        <w:t xml:space="preserve">Le/la </w:t>
      </w:r>
      <w:proofErr w:type="spellStart"/>
      <w:r>
        <w:t>consultant.e</w:t>
      </w:r>
      <w:proofErr w:type="spellEnd"/>
      <w:r>
        <w:t xml:space="preserve"> travail sous la direction de l’Unité Environnement et changement climatique du PNUD Sénégal et en collaboration avec l’équipe de projet du PRGTE</w:t>
      </w:r>
      <w:r w:rsidR="007B22C7">
        <w:t xml:space="preserve"> et </w:t>
      </w:r>
      <w:r>
        <w:t>les membres du Ministère de l’Environnement et du Développement durable impliqués dans le projet</w:t>
      </w:r>
      <w:r w:rsidR="007B22C7">
        <w:t>s.</w:t>
      </w:r>
    </w:p>
    <w:p w14:paraId="15B3BEB8" w14:textId="52743DCF" w:rsidR="001309C6" w:rsidRPr="00F01507" w:rsidRDefault="007B22C7" w:rsidP="001309C6">
      <w:pPr>
        <w:jc w:val="both"/>
      </w:pPr>
      <w:r>
        <w:t>La consultance est soumis</w:t>
      </w:r>
      <w:r w:rsidR="006A1698">
        <w:t>e</w:t>
      </w:r>
      <w:r>
        <w:t xml:space="preserve"> au politique de contrôle de la qualité du PNUD.</w:t>
      </w:r>
      <w:r w:rsidR="001309C6">
        <w:t xml:space="preserve"> </w:t>
      </w:r>
    </w:p>
    <w:p w14:paraId="20B9434A" w14:textId="51D219C5" w:rsidR="005D0488" w:rsidRPr="00387C57" w:rsidRDefault="005D0488" w:rsidP="00F01507">
      <w:pPr>
        <w:pStyle w:val="Sous-titre"/>
      </w:pPr>
      <w:r w:rsidRPr="000639CB">
        <w:t>Livrables</w:t>
      </w:r>
    </w:p>
    <w:p w14:paraId="1201C798" w14:textId="5E3F3E06" w:rsidR="00643F3D" w:rsidRDefault="00643F3D" w:rsidP="005D0488">
      <w:pPr>
        <w:jc w:val="both"/>
      </w:pPr>
      <w:r>
        <w:t xml:space="preserve">Les livrables représentent </w:t>
      </w:r>
      <w:r w:rsidR="00776745">
        <w:t>30</w:t>
      </w:r>
      <w:r>
        <w:t xml:space="preserve"> jours de travail</w:t>
      </w:r>
      <w:r w:rsidR="001309C6">
        <w:t xml:space="preserve"> qui doivent être effectuée de façon à réponde aux dates de livraison mentionnées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29"/>
      </w:tblGrid>
      <w:tr w:rsidR="005D0488" w14:paraId="1C88590C" w14:textId="77777777" w:rsidTr="008F5F28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C593C20" w14:textId="127318CF" w:rsidR="005D0488" w:rsidRPr="00387C57" w:rsidRDefault="005D0488" w:rsidP="00682973">
            <w:pPr>
              <w:rPr>
                <w:b/>
                <w:bCs/>
              </w:rPr>
            </w:pPr>
            <w:r w:rsidRPr="00387C57">
              <w:rPr>
                <w:b/>
                <w:bCs/>
              </w:rPr>
              <w:lastRenderedPageBreak/>
              <w:t>Livrable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645F08" w14:textId="2BEF4459" w:rsidR="005D0488" w:rsidRPr="00387C57" w:rsidRDefault="005D0488" w:rsidP="00682973">
            <w:pPr>
              <w:rPr>
                <w:b/>
                <w:bCs/>
              </w:rPr>
            </w:pPr>
            <w:r w:rsidRPr="00387C57">
              <w:rPr>
                <w:b/>
                <w:bCs/>
              </w:rPr>
              <w:t>Date de livraison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39E93B8" w14:textId="7FBF76F5" w:rsidR="005D0488" w:rsidRPr="00387C57" w:rsidRDefault="005D0488" w:rsidP="00682973">
            <w:pPr>
              <w:rPr>
                <w:b/>
                <w:bCs/>
              </w:rPr>
            </w:pPr>
            <w:r w:rsidRPr="00387C57">
              <w:rPr>
                <w:b/>
                <w:bCs/>
              </w:rPr>
              <w:t>Jours de travail estimés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595BD34" w14:textId="429F7F19" w:rsidR="005D0488" w:rsidRPr="00387C57" w:rsidRDefault="005D0488" w:rsidP="00682973">
            <w:pPr>
              <w:rPr>
                <w:b/>
                <w:bCs/>
              </w:rPr>
            </w:pPr>
            <w:r w:rsidRPr="00387C57">
              <w:rPr>
                <w:b/>
                <w:bCs/>
              </w:rPr>
              <w:t>Paiement</w:t>
            </w:r>
          </w:p>
        </w:tc>
      </w:tr>
      <w:tr w:rsidR="00643F3D" w14:paraId="7FE6514D" w14:textId="77777777" w:rsidTr="006A1698">
        <w:tc>
          <w:tcPr>
            <w:tcW w:w="4815" w:type="dxa"/>
            <w:tcBorders>
              <w:top w:val="nil"/>
              <w:left w:val="nil"/>
              <w:bottom w:val="nil"/>
            </w:tcBorders>
          </w:tcPr>
          <w:p w14:paraId="4285B4A5" w14:textId="77777777" w:rsidR="00643F3D" w:rsidRPr="00643F3D" w:rsidRDefault="00643F3D" w:rsidP="005D0488">
            <w:pPr>
              <w:jc w:val="both"/>
              <w:rPr>
                <w:b/>
                <w:bCs/>
              </w:rPr>
            </w:pPr>
            <w:r w:rsidRPr="00643F3D">
              <w:rPr>
                <w:b/>
                <w:bCs/>
              </w:rPr>
              <w:t>Livrable 1. Documents préparatoires</w:t>
            </w:r>
          </w:p>
          <w:p w14:paraId="10655294" w14:textId="77777777" w:rsidR="00643F3D" w:rsidRDefault="00643F3D" w:rsidP="00643F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Méthodologie d’évaluation choisies (incluant les méthodes de collecte de données et d’évaluation d’impact) </w:t>
            </w:r>
          </w:p>
          <w:p w14:paraId="52695F29" w14:textId="77777777" w:rsidR="00643F3D" w:rsidRDefault="00643F3D" w:rsidP="00643F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Calendrier des livrables (incluant calendrier des missions et entrevues, ainsi que la liste des personnes à interroger)</w:t>
            </w:r>
          </w:p>
          <w:p w14:paraId="587E5640" w14:textId="77777777" w:rsidR="00776745" w:rsidRDefault="00776745" w:rsidP="00643F3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Revue de la littérature et des documents de projet</w:t>
            </w:r>
          </w:p>
          <w:p w14:paraId="19847295" w14:textId="19888469" w:rsidR="001309C6" w:rsidRPr="001309C6" w:rsidRDefault="001309C6" w:rsidP="00643F3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309C6">
              <w:t>Questionnaires et outils de collecte de données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2C73B5" w14:textId="426E331F" w:rsidR="00643F3D" w:rsidRPr="00387C57" w:rsidRDefault="00643F3D" w:rsidP="005D0488">
            <w:pPr>
              <w:jc w:val="both"/>
              <w:rPr>
                <w:b/>
                <w:bCs/>
              </w:rPr>
            </w:pPr>
            <w:r w:rsidRPr="00387C57">
              <w:rPr>
                <w:b/>
                <w:bCs/>
              </w:rPr>
              <w:t>15 avril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5F955D" w14:textId="23FA5177" w:rsidR="00643F3D" w:rsidRPr="00387C57" w:rsidRDefault="00643F3D" w:rsidP="005D0488">
            <w:pPr>
              <w:jc w:val="both"/>
              <w:rPr>
                <w:b/>
                <w:bCs/>
              </w:rPr>
            </w:pPr>
            <w:r w:rsidRPr="00387C57">
              <w:rPr>
                <w:b/>
                <w:bCs/>
              </w:rPr>
              <w:t xml:space="preserve">5 jours 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32F1C383" w14:textId="7940B9F3" w:rsidR="00643F3D" w:rsidRDefault="00643F3D" w:rsidP="005D0488">
            <w:pPr>
              <w:jc w:val="both"/>
            </w:pPr>
            <w:r>
              <w:t>10%</w:t>
            </w:r>
          </w:p>
        </w:tc>
      </w:tr>
      <w:tr w:rsidR="00DA0EA0" w14:paraId="01F58E09" w14:textId="77777777" w:rsidTr="006A1698">
        <w:tc>
          <w:tcPr>
            <w:tcW w:w="481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3ACB265" w14:textId="11048EE0" w:rsidR="00643F3D" w:rsidRDefault="00643F3D" w:rsidP="005D0488">
            <w:pPr>
              <w:jc w:val="both"/>
              <w:rPr>
                <w:b/>
                <w:bCs/>
              </w:rPr>
            </w:pPr>
            <w:r w:rsidRPr="00643F3D">
              <w:rPr>
                <w:b/>
                <w:bCs/>
              </w:rPr>
              <w:t xml:space="preserve">Livrable </w:t>
            </w:r>
            <w:r w:rsidR="006A1698">
              <w:rPr>
                <w:b/>
                <w:bCs/>
              </w:rPr>
              <w:t>2</w:t>
            </w:r>
            <w:r w:rsidRPr="00643F3D">
              <w:rPr>
                <w:b/>
                <w:bCs/>
              </w:rPr>
              <w:t xml:space="preserve">. </w:t>
            </w:r>
            <w:r w:rsidR="00DA0EA0" w:rsidRPr="00643F3D">
              <w:rPr>
                <w:b/>
                <w:bCs/>
              </w:rPr>
              <w:t>Compte rendu des entrevues</w:t>
            </w:r>
          </w:p>
          <w:p w14:paraId="213473BD" w14:textId="77777777" w:rsidR="00DA0EA0" w:rsidRDefault="00E90926" w:rsidP="00643F3D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643F3D" w:rsidRPr="00E90926">
              <w:rPr>
                <w:i/>
                <w:iCs/>
              </w:rPr>
              <w:t>ission terrain</w:t>
            </w:r>
          </w:p>
          <w:p w14:paraId="50E42141" w14:textId="7A17AB0C" w:rsidR="00E90926" w:rsidRPr="00E90926" w:rsidRDefault="00E90926" w:rsidP="00643F3D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Rédaction des compte rendu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1443D95" w14:textId="77777777" w:rsidR="00DA0EA0" w:rsidRDefault="00643F3D" w:rsidP="005D0488">
            <w:pPr>
              <w:jc w:val="both"/>
              <w:rPr>
                <w:b/>
                <w:bCs/>
              </w:rPr>
            </w:pPr>
            <w:r w:rsidRPr="00387C57">
              <w:rPr>
                <w:b/>
                <w:bCs/>
              </w:rPr>
              <w:t>15 mai 2020</w:t>
            </w:r>
          </w:p>
          <w:p w14:paraId="1BC3E4A6" w14:textId="35DA4DB4" w:rsidR="00E90926" w:rsidRPr="00E90926" w:rsidRDefault="00E90926" w:rsidP="005D0488">
            <w:p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1-15 mai 2020</w:t>
            </w:r>
          </w:p>
          <w:p w14:paraId="5ADC98F2" w14:textId="6B28A2F3" w:rsidR="00E90926" w:rsidRPr="00387C57" w:rsidRDefault="00E90926" w:rsidP="005D0488">
            <w:pPr>
              <w:jc w:val="both"/>
              <w:rPr>
                <w:b/>
                <w:bCs/>
              </w:rPr>
            </w:pPr>
            <w:r w:rsidRPr="00E90926">
              <w:rPr>
                <w:i/>
                <w:iCs/>
              </w:rPr>
              <w:t>15 mai 2020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88D4014" w14:textId="114991A5" w:rsidR="00DA0EA0" w:rsidRDefault="00643F3D" w:rsidP="005D0488">
            <w:pPr>
              <w:jc w:val="both"/>
              <w:rPr>
                <w:b/>
                <w:bCs/>
              </w:rPr>
            </w:pPr>
            <w:r w:rsidRPr="00387C57">
              <w:rPr>
                <w:b/>
                <w:bCs/>
              </w:rPr>
              <w:t>1</w:t>
            </w:r>
            <w:r w:rsidR="001309C6">
              <w:rPr>
                <w:b/>
                <w:bCs/>
              </w:rPr>
              <w:t>2</w:t>
            </w:r>
            <w:r w:rsidRPr="00387C57">
              <w:rPr>
                <w:b/>
                <w:bCs/>
              </w:rPr>
              <w:t xml:space="preserve"> jours</w:t>
            </w:r>
          </w:p>
          <w:p w14:paraId="0D5C7C87" w14:textId="5CA44E91" w:rsidR="00E90926" w:rsidRPr="00E90926" w:rsidRDefault="001309C6" w:rsidP="005D04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E90926" w:rsidRPr="00E90926">
              <w:rPr>
                <w:i/>
                <w:iCs/>
              </w:rPr>
              <w:t xml:space="preserve"> jours</w:t>
            </w:r>
          </w:p>
          <w:p w14:paraId="5BE4700D" w14:textId="4F3115B8" w:rsidR="00E90926" w:rsidRPr="00E90926" w:rsidRDefault="00E90926" w:rsidP="005D0488">
            <w:pPr>
              <w:jc w:val="both"/>
            </w:pPr>
            <w:r w:rsidRPr="00E90926">
              <w:rPr>
                <w:i/>
                <w:iCs/>
              </w:rPr>
              <w:t>2 jours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5AB9164" w14:textId="224A2CE5" w:rsidR="00DA0EA0" w:rsidRDefault="00387C57" w:rsidP="005D0488">
            <w:pPr>
              <w:jc w:val="both"/>
            </w:pPr>
            <w:r>
              <w:t>10%</w:t>
            </w:r>
          </w:p>
        </w:tc>
      </w:tr>
      <w:tr w:rsidR="005D0488" w14:paraId="650CB5FF" w14:textId="77777777" w:rsidTr="006A1698">
        <w:tc>
          <w:tcPr>
            <w:tcW w:w="4815" w:type="dxa"/>
            <w:tcBorders>
              <w:top w:val="nil"/>
              <w:left w:val="nil"/>
              <w:bottom w:val="nil"/>
            </w:tcBorders>
          </w:tcPr>
          <w:p w14:paraId="49794E39" w14:textId="0369BB49" w:rsidR="00387C57" w:rsidRPr="00387C57" w:rsidRDefault="00387C57" w:rsidP="005D0488">
            <w:pPr>
              <w:jc w:val="both"/>
              <w:rPr>
                <w:b/>
                <w:bCs/>
              </w:rPr>
            </w:pPr>
            <w:r w:rsidRPr="00387C57">
              <w:rPr>
                <w:b/>
                <w:bCs/>
              </w:rPr>
              <w:t xml:space="preserve">Livrable </w:t>
            </w:r>
            <w:r w:rsidR="006A1698">
              <w:rPr>
                <w:b/>
                <w:bCs/>
              </w:rPr>
              <w:t>3</w:t>
            </w:r>
            <w:r w:rsidRPr="00387C57">
              <w:rPr>
                <w:b/>
                <w:bCs/>
              </w:rPr>
              <w:t xml:space="preserve">. </w:t>
            </w:r>
            <w:r w:rsidR="005D0488" w:rsidRPr="00387C57">
              <w:rPr>
                <w:b/>
                <w:bCs/>
              </w:rPr>
              <w:t xml:space="preserve">Évaluation d’impact du projet </w:t>
            </w:r>
          </w:p>
          <w:p w14:paraId="3A2129E1" w14:textId="77777777" w:rsidR="005D0488" w:rsidRPr="00E90926" w:rsidRDefault="00387C57" w:rsidP="00387C57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V</w:t>
            </w:r>
            <w:r w:rsidR="005D0488" w:rsidRPr="00E90926">
              <w:rPr>
                <w:i/>
                <w:iCs/>
              </w:rPr>
              <w:t>ersion initiale</w:t>
            </w:r>
          </w:p>
          <w:p w14:paraId="15FC5180" w14:textId="77777777" w:rsidR="00387C57" w:rsidRPr="00776745" w:rsidRDefault="00387C57" w:rsidP="00387C57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E90926">
              <w:rPr>
                <w:i/>
                <w:iCs/>
              </w:rPr>
              <w:t>Version finale</w:t>
            </w:r>
          </w:p>
          <w:p w14:paraId="35CCDD14" w14:textId="3F0C44E0" w:rsidR="00776745" w:rsidRDefault="00776745" w:rsidP="00387C57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rPr>
                <w:i/>
                <w:iCs/>
              </w:rPr>
              <w:t>Présentation des résultats de l’étude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7B5F28" w14:textId="59DF5CEC" w:rsidR="00387C57" w:rsidRPr="00387C57" w:rsidRDefault="00387C57" w:rsidP="005D0488">
            <w:pPr>
              <w:jc w:val="both"/>
              <w:rPr>
                <w:b/>
                <w:bCs/>
              </w:rPr>
            </w:pPr>
            <w:r w:rsidRPr="00387C57">
              <w:rPr>
                <w:b/>
                <w:bCs/>
              </w:rPr>
              <w:t>1</w:t>
            </w:r>
            <w:r w:rsidRPr="00387C57">
              <w:rPr>
                <w:b/>
                <w:bCs/>
                <w:vertAlign w:val="superscript"/>
              </w:rPr>
              <w:t>er</w:t>
            </w:r>
            <w:r w:rsidRPr="00387C57">
              <w:rPr>
                <w:b/>
                <w:bCs/>
              </w:rPr>
              <w:t xml:space="preserve"> juin 2020</w:t>
            </w:r>
          </w:p>
          <w:p w14:paraId="2D1A25C3" w14:textId="77777777" w:rsidR="005D0488" w:rsidRPr="00387C57" w:rsidRDefault="005D0488" w:rsidP="005D0488">
            <w:pPr>
              <w:jc w:val="both"/>
              <w:rPr>
                <w:i/>
                <w:iCs/>
              </w:rPr>
            </w:pPr>
            <w:r w:rsidRPr="00387C57">
              <w:rPr>
                <w:i/>
                <w:iCs/>
              </w:rPr>
              <w:t>15 mai 2020</w:t>
            </w:r>
          </w:p>
          <w:p w14:paraId="39D6F11C" w14:textId="77777777" w:rsidR="00387C57" w:rsidRDefault="00387C57" w:rsidP="005D0488">
            <w:pPr>
              <w:jc w:val="both"/>
              <w:rPr>
                <w:i/>
                <w:iCs/>
              </w:rPr>
            </w:pPr>
            <w:r w:rsidRPr="00387C57">
              <w:rPr>
                <w:i/>
                <w:iCs/>
              </w:rPr>
              <w:t>1</w:t>
            </w:r>
            <w:r w:rsidRPr="00387C57">
              <w:rPr>
                <w:i/>
                <w:iCs/>
                <w:vertAlign w:val="superscript"/>
              </w:rPr>
              <w:t>er</w:t>
            </w:r>
            <w:r w:rsidRPr="00387C57">
              <w:rPr>
                <w:i/>
                <w:iCs/>
              </w:rPr>
              <w:t xml:space="preserve"> juin 2020</w:t>
            </w:r>
          </w:p>
          <w:p w14:paraId="0F4A1931" w14:textId="31A6D8B9" w:rsidR="00776745" w:rsidRPr="00776745" w:rsidRDefault="00776745" w:rsidP="005D0488">
            <w:pPr>
              <w:jc w:val="both"/>
              <w:rPr>
                <w:i/>
                <w:iCs/>
              </w:rPr>
            </w:pPr>
            <w:r w:rsidRPr="00776745">
              <w:rPr>
                <w:i/>
                <w:iCs/>
              </w:rPr>
              <w:t>12 juin 2020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E9CA48" w14:textId="1270E6DC" w:rsidR="005D0488" w:rsidRPr="00387C57" w:rsidRDefault="00776745" w:rsidP="005D04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43F3D" w:rsidRPr="00387C57">
              <w:rPr>
                <w:b/>
                <w:bCs/>
              </w:rPr>
              <w:t xml:space="preserve"> jours</w:t>
            </w:r>
          </w:p>
          <w:p w14:paraId="371A400E" w14:textId="422C83A4" w:rsidR="00387C57" w:rsidRPr="00387C57" w:rsidRDefault="00776745" w:rsidP="005D04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387C57" w:rsidRPr="00387C57">
              <w:rPr>
                <w:i/>
                <w:iCs/>
              </w:rPr>
              <w:t xml:space="preserve"> jours</w:t>
            </w:r>
          </w:p>
          <w:p w14:paraId="2875C07E" w14:textId="77777777" w:rsidR="00387C57" w:rsidRDefault="00387C57" w:rsidP="005D0488">
            <w:pPr>
              <w:jc w:val="both"/>
              <w:rPr>
                <w:i/>
                <w:iCs/>
              </w:rPr>
            </w:pPr>
            <w:r w:rsidRPr="00387C57">
              <w:rPr>
                <w:i/>
                <w:iCs/>
              </w:rPr>
              <w:t>1 jours</w:t>
            </w:r>
          </w:p>
          <w:p w14:paraId="28B526DF" w14:textId="5CA12B89" w:rsidR="00776745" w:rsidRPr="00776745" w:rsidRDefault="00776745" w:rsidP="005D0488">
            <w:pPr>
              <w:jc w:val="both"/>
              <w:rPr>
                <w:i/>
                <w:iCs/>
              </w:rPr>
            </w:pPr>
            <w:r w:rsidRPr="00776745">
              <w:rPr>
                <w:i/>
                <w:iCs/>
              </w:rPr>
              <w:t>2 jours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48A10A15" w14:textId="4B896098" w:rsidR="005D0488" w:rsidRPr="00387C57" w:rsidRDefault="00387C57" w:rsidP="005D0488">
            <w:pPr>
              <w:jc w:val="both"/>
            </w:pPr>
            <w:r w:rsidRPr="00387C57">
              <w:t>40 %</w:t>
            </w:r>
            <w:r>
              <w:t> *</w:t>
            </w:r>
          </w:p>
        </w:tc>
      </w:tr>
      <w:tr w:rsidR="005D0488" w14:paraId="65A52D89" w14:textId="77777777" w:rsidTr="006A1698">
        <w:tc>
          <w:tcPr>
            <w:tcW w:w="481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5E662D2" w14:textId="38CE7E22" w:rsidR="00387C57" w:rsidRPr="00CB2D61" w:rsidRDefault="00387C57" w:rsidP="005D0488">
            <w:pPr>
              <w:jc w:val="both"/>
              <w:rPr>
                <w:b/>
                <w:bCs/>
              </w:rPr>
            </w:pPr>
            <w:r w:rsidRPr="00CB2D61">
              <w:rPr>
                <w:b/>
                <w:bCs/>
              </w:rPr>
              <w:t xml:space="preserve">Livrable </w:t>
            </w:r>
            <w:r w:rsidR="006A1698">
              <w:rPr>
                <w:b/>
                <w:bCs/>
              </w:rPr>
              <w:t>4</w:t>
            </w:r>
            <w:r w:rsidRPr="00CB2D61">
              <w:rPr>
                <w:b/>
                <w:bCs/>
              </w:rPr>
              <w:t>. Outils de capitalisation</w:t>
            </w:r>
          </w:p>
          <w:p w14:paraId="6B4A8165" w14:textId="78EA1E5E" w:rsidR="00387C57" w:rsidRPr="00E90926" w:rsidRDefault="00387C57" w:rsidP="00387C57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 xml:space="preserve">2-pagers sur les apprentissages faits (version initiale) </w:t>
            </w:r>
          </w:p>
          <w:p w14:paraId="17D6125C" w14:textId="7E9D2BA0" w:rsidR="00387C57" w:rsidRPr="00E90926" w:rsidRDefault="00387C57" w:rsidP="00387C57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 xml:space="preserve">2-pagers sur les apprentissages faits (version finale) </w:t>
            </w:r>
          </w:p>
          <w:p w14:paraId="18BF4130" w14:textId="77777777" w:rsidR="005D0488" w:rsidRPr="00E90926" w:rsidRDefault="00387C57" w:rsidP="00387C57">
            <w:pPr>
              <w:pStyle w:val="Paragraphedeliste"/>
              <w:numPr>
                <w:ilvl w:val="0"/>
                <w:numId w:val="4"/>
              </w:num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5 fiches ou 2-pagers de bonnes pratiques observée (version initiale)</w:t>
            </w:r>
          </w:p>
          <w:p w14:paraId="33AEE6D5" w14:textId="781927F0" w:rsidR="00387C57" w:rsidRDefault="00387C57" w:rsidP="00387C57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E90926">
              <w:rPr>
                <w:i/>
                <w:iCs/>
              </w:rPr>
              <w:t>5 fiches ou 2-pagers de bonnes pratiques observée (version finale)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6984B91" w14:textId="6E79FD6A" w:rsidR="005D0488" w:rsidRPr="00CB2D61" w:rsidRDefault="005D0488" w:rsidP="005D0488">
            <w:pPr>
              <w:jc w:val="both"/>
              <w:rPr>
                <w:b/>
                <w:bCs/>
              </w:rPr>
            </w:pPr>
            <w:r w:rsidRPr="00CB2D61">
              <w:rPr>
                <w:b/>
                <w:bCs/>
              </w:rPr>
              <w:t>1</w:t>
            </w:r>
            <w:r w:rsidR="00CB2D61" w:rsidRPr="00CB2D61">
              <w:rPr>
                <w:b/>
                <w:bCs/>
              </w:rPr>
              <w:t xml:space="preserve">5 </w:t>
            </w:r>
            <w:r w:rsidRPr="00CB2D61">
              <w:rPr>
                <w:b/>
                <w:bCs/>
              </w:rPr>
              <w:t>juin 2020</w:t>
            </w:r>
          </w:p>
          <w:p w14:paraId="62E52FD4" w14:textId="77777777" w:rsidR="00387C57" w:rsidRPr="00E90926" w:rsidRDefault="00387C57" w:rsidP="005D0488">
            <w:p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1</w:t>
            </w:r>
            <w:r w:rsidRPr="00E90926">
              <w:rPr>
                <w:i/>
                <w:iCs/>
                <w:vertAlign w:val="superscript"/>
              </w:rPr>
              <w:t>er</w:t>
            </w:r>
            <w:r w:rsidRPr="00E90926">
              <w:rPr>
                <w:i/>
                <w:iCs/>
              </w:rPr>
              <w:t xml:space="preserve"> juin 2020</w:t>
            </w:r>
          </w:p>
          <w:p w14:paraId="06EE940B" w14:textId="77777777" w:rsidR="00CB2D61" w:rsidRPr="00E90926" w:rsidRDefault="00CB2D61" w:rsidP="005D0488">
            <w:pPr>
              <w:jc w:val="both"/>
              <w:rPr>
                <w:i/>
                <w:iCs/>
              </w:rPr>
            </w:pPr>
          </w:p>
          <w:p w14:paraId="083405F0" w14:textId="77777777" w:rsidR="00CB2D61" w:rsidRPr="00E90926" w:rsidRDefault="00CB2D61" w:rsidP="005D0488">
            <w:p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15 juin 2020</w:t>
            </w:r>
          </w:p>
          <w:p w14:paraId="4600F84E" w14:textId="77777777" w:rsidR="00CB2D61" w:rsidRPr="00E90926" w:rsidRDefault="00CB2D61" w:rsidP="005D0488">
            <w:pPr>
              <w:jc w:val="both"/>
              <w:rPr>
                <w:i/>
                <w:iCs/>
              </w:rPr>
            </w:pPr>
          </w:p>
          <w:p w14:paraId="3762BF1D" w14:textId="77777777" w:rsidR="00CB2D61" w:rsidRPr="00E90926" w:rsidRDefault="00CB2D61" w:rsidP="00CB2D61">
            <w:p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1</w:t>
            </w:r>
            <w:r w:rsidRPr="00E90926">
              <w:rPr>
                <w:i/>
                <w:iCs/>
                <w:vertAlign w:val="superscript"/>
              </w:rPr>
              <w:t>er</w:t>
            </w:r>
            <w:r w:rsidRPr="00E90926">
              <w:rPr>
                <w:i/>
                <w:iCs/>
              </w:rPr>
              <w:t xml:space="preserve"> juin 2020</w:t>
            </w:r>
          </w:p>
          <w:p w14:paraId="4C321715" w14:textId="77777777" w:rsidR="00CB2D61" w:rsidRPr="00E90926" w:rsidRDefault="00CB2D61" w:rsidP="005D0488">
            <w:pPr>
              <w:jc w:val="both"/>
              <w:rPr>
                <w:i/>
                <w:iCs/>
              </w:rPr>
            </w:pPr>
          </w:p>
          <w:p w14:paraId="57DA4222" w14:textId="38AC5440" w:rsidR="00CB2D61" w:rsidRPr="00CB2D61" w:rsidRDefault="00CB2D61" w:rsidP="005D0488">
            <w:pPr>
              <w:jc w:val="both"/>
            </w:pPr>
            <w:r w:rsidRPr="00E90926">
              <w:rPr>
                <w:i/>
                <w:iCs/>
              </w:rPr>
              <w:t>15 juin 2020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2D64642" w14:textId="63C424DD" w:rsidR="00387C57" w:rsidRPr="00CB2D61" w:rsidRDefault="00CB2D61" w:rsidP="005D04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8641B" w:rsidRPr="00CB2D61">
              <w:rPr>
                <w:b/>
                <w:bCs/>
              </w:rPr>
              <w:t xml:space="preserve"> jours</w:t>
            </w:r>
          </w:p>
          <w:p w14:paraId="145E68C0" w14:textId="77777777" w:rsidR="005D0488" w:rsidRPr="00E90926" w:rsidRDefault="00387C57" w:rsidP="005D0488">
            <w:pPr>
              <w:jc w:val="both"/>
              <w:rPr>
                <w:i/>
                <w:iCs/>
              </w:rPr>
            </w:pPr>
            <w:r w:rsidRPr="00E90926">
              <w:rPr>
                <w:i/>
                <w:iCs/>
              </w:rPr>
              <w:t>2 jours</w:t>
            </w:r>
          </w:p>
          <w:p w14:paraId="6D14DC6F" w14:textId="77777777" w:rsidR="00CB2D61" w:rsidRPr="00E90926" w:rsidRDefault="00CB2D61" w:rsidP="00CB2D61">
            <w:pPr>
              <w:jc w:val="center"/>
              <w:rPr>
                <w:i/>
                <w:iCs/>
              </w:rPr>
            </w:pPr>
          </w:p>
          <w:p w14:paraId="22885087" w14:textId="38846273" w:rsidR="00CB2D61" w:rsidRPr="00E90926" w:rsidRDefault="00CB2D61" w:rsidP="00CB2D61">
            <w:pPr>
              <w:rPr>
                <w:i/>
                <w:iCs/>
              </w:rPr>
            </w:pPr>
            <w:r w:rsidRPr="00E90926">
              <w:rPr>
                <w:i/>
                <w:iCs/>
              </w:rPr>
              <w:t>1 jours</w:t>
            </w:r>
          </w:p>
          <w:p w14:paraId="4E11117B" w14:textId="77777777" w:rsidR="00CB2D61" w:rsidRPr="00E90926" w:rsidRDefault="00CB2D61" w:rsidP="00CB2D61">
            <w:pPr>
              <w:rPr>
                <w:i/>
                <w:iCs/>
              </w:rPr>
            </w:pPr>
          </w:p>
          <w:p w14:paraId="07562C3F" w14:textId="77777777" w:rsidR="00CB2D61" w:rsidRPr="00E90926" w:rsidRDefault="00CB2D61" w:rsidP="00CB2D61">
            <w:pPr>
              <w:rPr>
                <w:i/>
                <w:iCs/>
              </w:rPr>
            </w:pPr>
            <w:r w:rsidRPr="00E90926">
              <w:rPr>
                <w:i/>
                <w:iCs/>
              </w:rPr>
              <w:t>2 jours</w:t>
            </w:r>
          </w:p>
          <w:p w14:paraId="704385B9" w14:textId="77777777" w:rsidR="00CB2D61" w:rsidRPr="00E90926" w:rsidRDefault="00CB2D61" w:rsidP="00CB2D61">
            <w:pPr>
              <w:rPr>
                <w:i/>
                <w:iCs/>
              </w:rPr>
            </w:pPr>
          </w:p>
          <w:p w14:paraId="6B27FA80" w14:textId="22D1FC3C" w:rsidR="00CB2D61" w:rsidRPr="00CB2D61" w:rsidRDefault="00CB2D61" w:rsidP="00CB2D61">
            <w:r w:rsidRPr="00E90926">
              <w:rPr>
                <w:i/>
                <w:iCs/>
              </w:rPr>
              <w:t>1 jours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77C1ECC5" w14:textId="74AB0431" w:rsidR="005D0488" w:rsidRPr="00CB2D61" w:rsidRDefault="000F26C8" w:rsidP="005D0488">
            <w:pPr>
              <w:jc w:val="both"/>
            </w:pPr>
            <w:r>
              <w:t>4</w:t>
            </w:r>
            <w:r w:rsidR="00CB2D61" w:rsidRPr="00CB2D61">
              <w:t>0 % *</w:t>
            </w:r>
          </w:p>
        </w:tc>
      </w:tr>
    </w:tbl>
    <w:p w14:paraId="3B158B17" w14:textId="77777777" w:rsidR="00C6058B" w:rsidRDefault="00C6058B" w:rsidP="005D0488">
      <w:pPr>
        <w:jc w:val="both"/>
        <w:rPr>
          <w:i/>
          <w:iCs/>
        </w:rPr>
      </w:pPr>
    </w:p>
    <w:p w14:paraId="14B1373E" w14:textId="56EC1CB1" w:rsidR="00CB2D61" w:rsidRDefault="00CB2D61" w:rsidP="005D0488">
      <w:pPr>
        <w:jc w:val="both"/>
      </w:pPr>
      <w:r w:rsidRPr="00C6058B">
        <w:rPr>
          <w:i/>
          <w:iCs/>
        </w:rPr>
        <w:t>*Les paiements seront faits lors de la validation par l’équipe du PNUD des versions finales de ces produits</w:t>
      </w:r>
      <w:r>
        <w:t>.</w:t>
      </w:r>
    </w:p>
    <w:p w14:paraId="2B8B3483" w14:textId="4EA24E2D" w:rsidR="005D0488" w:rsidRDefault="005D0488" w:rsidP="00B84F93">
      <w:pPr>
        <w:pStyle w:val="Sous-titre"/>
      </w:pPr>
      <w:r>
        <w:t>Profil attendu</w:t>
      </w:r>
    </w:p>
    <w:p w14:paraId="439E008B" w14:textId="77777777" w:rsidR="00B84F93" w:rsidRPr="00B84F93" w:rsidRDefault="00B84F93" w:rsidP="00B84F93"/>
    <w:tbl>
      <w:tblPr>
        <w:tblW w:w="5030" w:type="pct"/>
        <w:shd w:val="clear" w:color="auto" w:fill="E0E0E0"/>
        <w:tblLook w:val="0000" w:firstRow="0" w:lastRow="0" w:firstColumn="0" w:lastColumn="0" w:noHBand="0" w:noVBand="0"/>
      </w:tblPr>
      <w:tblGrid>
        <w:gridCol w:w="1632"/>
        <w:gridCol w:w="7494"/>
      </w:tblGrid>
      <w:tr w:rsidR="00B84F93" w:rsidRPr="00E63BC6" w14:paraId="7B002A5F" w14:textId="77777777" w:rsidTr="0074343D">
        <w:trPr>
          <w:trHeight w:val="230"/>
        </w:trPr>
        <w:tc>
          <w:tcPr>
            <w:tcW w:w="894" w:type="pct"/>
          </w:tcPr>
          <w:p w14:paraId="7ED6E3DA" w14:textId="77777777" w:rsidR="00B84F93" w:rsidRPr="00E63BC6" w:rsidRDefault="00B84F93" w:rsidP="00C3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C378E5">
              <w:rPr>
                <w:b/>
                <w:bCs/>
              </w:rPr>
              <w:t>Education</w:t>
            </w:r>
          </w:p>
        </w:tc>
        <w:tc>
          <w:tcPr>
            <w:tcW w:w="4106" w:type="pct"/>
          </w:tcPr>
          <w:p w14:paraId="21B6C068" w14:textId="4E5CFA0E" w:rsidR="00B84F93" w:rsidRPr="00C378E5" w:rsidRDefault="00F01507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T</w:t>
            </w:r>
            <w:r w:rsidR="00B84F93" w:rsidRPr="00C378E5">
              <w:t>itulaire au minimum d’un</w:t>
            </w:r>
            <w:r w:rsidRPr="00C378E5">
              <w:t xml:space="preserve"> Master</w:t>
            </w:r>
            <w:r w:rsidR="00B84F93" w:rsidRPr="00C378E5">
              <w:t xml:space="preserve"> universitaire en </w:t>
            </w:r>
            <w:r w:rsidR="000841A5" w:rsidRPr="00C378E5">
              <w:t>évaluation, économique, sciences sociales ou tout autre domaine pertinente ;</w:t>
            </w:r>
          </w:p>
        </w:tc>
      </w:tr>
      <w:tr w:rsidR="00B84F93" w:rsidRPr="00E63BC6" w14:paraId="17370993" w14:textId="77777777" w:rsidTr="0074343D">
        <w:trPr>
          <w:trHeight w:val="230"/>
        </w:trPr>
        <w:tc>
          <w:tcPr>
            <w:tcW w:w="894" w:type="pct"/>
            <w:shd w:val="clear" w:color="auto" w:fill="E7E6E6" w:themeFill="background2"/>
          </w:tcPr>
          <w:p w14:paraId="5066817C" w14:textId="77777777" w:rsidR="00B84F93" w:rsidRPr="00C378E5" w:rsidRDefault="00B84F93" w:rsidP="00C378E5">
            <w:pPr>
              <w:spacing w:after="0" w:line="240" w:lineRule="auto"/>
              <w:jc w:val="both"/>
              <w:rPr>
                <w:b/>
                <w:bCs/>
              </w:rPr>
            </w:pPr>
            <w:r w:rsidRPr="00C378E5">
              <w:rPr>
                <w:b/>
                <w:bCs/>
              </w:rPr>
              <w:t>Expérience</w:t>
            </w:r>
          </w:p>
          <w:p w14:paraId="07825F5F" w14:textId="77777777" w:rsidR="00B84F93" w:rsidRPr="00E63BC6" w:rsidRDefault="00B84F93" w:rsidP="00A03DE9">
            <w:pPr>
              <w:spacing w:before="120" w:after="120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106" w:type="pct"/>
            <w:shd w:val="clear" w:color="auto" w:fill="E7E6E6" w:themeFill="background2"/>
          </w:tcPr>
          <w:p w14:paraId="2F917383" w14:textId="7222A52B" w:rsidR="00B84F93" w:rsidRPr="00C378E5" w:rsidRDefault="000841A5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 xml:space="preserve">Expérience en évaluation </w:t>
            </w:r>
            <w:r w:rsidR="0074343D" w:rsidRPr="00C378E5">
              <w:t xml:space="preserve">ou en gestion </w:t>
            </w:r>
            <w:r w:rsidRPr="00C378E5">
              <w:t>de projets avec des organisations</w:t>
            </w:r>
            <w:r w:rsidR="0074343D" w:rsidRPr="00C378E5">
              <w:t> internationales ;</w:t>
            </w:r>
          </w:p>
          <w:p w14:paraId="11050C05" w14:textId="77777777" w:rsidR="0074343D" w:rsidRPr="00C378E5" w:rsidRDefault="0074343D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 xml:space="preserve">Évaluation ou gestion de projet avec le Fonds Environnemental Vert, les Nations Unies ou des bailleurs internationaux ; </w:t>
            </w:r>
          </w:p>
          <w:p w14:paraId="3FDCDDD5" w14:textId="49FBE920" w:rsidR="00B84F93" w:rsidRPr="00C378E5" w:rsidRDefault="00B84F93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Développer des consultations participatives avec des jeunes et des femmes ;</w:t>
            </w:r>
          </w:p>
        </w:tc>
      </w:tr>
      <w:tr w:rsidR="000841A5" w:rsidRPr="00E63BC6" w14:paraId="19E8BCCE" w14:textId="77777777" w:rsidTr="0074343D">
        <w:trPr>
          <w:trHeight w:val="230"/>
        </w:trPr>
        <w:tc>
          <w:tcPr>
            <w:tcW w:w="894" w:type="pct"/>
          </w:tcPr>
          <w:p w14:paraId="2282FD36" w14:textId="53354F74" w:rsidR="000841A5" w:rsidRDefault="00860ABF" w:rsidP="00C3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C378E5">
              <w:rPr>
                <w:b/>
                <w:bCs/>
              </w:rPr>
              <w:t>Connaissances</w:t>
            </w:r>
          </w:p>
        </w:tc>
        <w:tc>
          <w:tcPr>
            <w:tcW w:w="4106" w:type="pct"/>
          </w:tcPr>
          <w:p w14:paraId="43543CC9" w14:textId="77777777" w:rsidR="00860ABF" w:rsidRPr="00C378E5" w:rsidRDefault="00860ABF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Maitriser les indicateurs d’étude d’impact établis par l’OCDE ;</w:t>
            </w:r>
          </w:p>
          <w:p w14:paraId="5D16F47E" w14:textId="77777777" w:rsidR="000841A5" w:rsidRPr="00C378E5" w:rsidRDefault="00860ABF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Méthodes d’évaluation participatives et innovatives ;</w:t>
            </w:r>
          </w:p>
          <w:p w14:paraId="674D8F1C" w14:textId="77777777" w:rsidR="00860ABF" w:rsidRPr="00C378E5" w:rsidRDefault="005264AF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Connaissance de logiciels ou d’o</w:t>
            </w:r>
            <w:r w:rsidR="00860ABF" w:rsidRPr="00C378E5">
              <w:t>utils d</w:t>
            </w:r>
            <w:r w:rsidR="0074343D" w:rsidRPr="00C378E5">
              <w:t>’infographie pour le</w:t>
            </w:r>
            <w:r w:rsidR="00860ABF" w:rsidRPr="00C378E5">
              <w:t xml:space="preserve"> design </w:t>
            </w:r>
            <w:r w:rsidR="0074343D" w:rsidRPr="00C378E5">
              <w:t>de documents attractifs ;</w:t>
            </w:r>
          </w:p>
          <w:p w14:paraId="1638BE49" w14:textId="4DA9A720" w:rsidR="0074343D" w:rsidRPr="00C378E5" w:rsidRDefault="0074343D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Connaissances du français, wolof un atout ;</w:t>
            </w:r>
          </w:p>
        </w:tc>
      </w:tr>
      <w:tr w:rsidR="00B84F93" w:rsidRPr="00E63BC6" w14:paraId="250BBEC5" w14:textId="77777777" w:rsidTr="00C378E5">
        <w:trPr>
          <w:trHeight w:val="1245"/>
        </w:trPr>
        <w:tc>
          <w:tcPr>
            <w:tcW w:w="894" w:type="pct"/>
            <w:shd w:val="clear" w:color="auto" w:fill="E7E6E6" w:themeFill="background2"/>
          </w:tcPr>
          <w:p w14:paraId="35771409" w14:textId="77777777" w:rsidR="00B84F93" w:rsidRPr="00E63BC6" w:rsidRDefault="00B84F93" w:rsidP="00C3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C378E5">
              <w:rPr>
                <w:b/>
                <w:bCs/>
              </w:rPr>
              <w:lastRenderedPageBreak/>
              <w:t>Compétences</w:t>
            </w:r>
          </w:p>
        </w:tc>
        <w:tc>
          <w:tcPr>
            <w:tcW w:w="4106" w:type="pct"/>
            <w:shd w:val="clear" w:color="auto" w:fill="E7E6E6" w:themeFill="background2"/>
          </w:tcPr>
          <w:p w14:paraId="3448699F" w14:textId="60E819FA" w:rsidR="00B84F93" w:rsidRPr="00C378E5" w:rsidRDefault="00B84F93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Bonnes capacités d’analyse et de synthèse ;</w:t>
            </w:r>
          </w:p>
          <w:p w14:paraId="43396D87" w14:textId="7A0358EA" w:rsidR="000841A5" w:rsidRPr="00C378E5" w:rsidRDefault="000841A5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Capacité à penser de façon innovative et créative ;</w:t>
            </w:r>
          </w:p>
          <w:p w14:paraId="5908D61F" w14:textId="77777777" w:rsidR="00B84F93" w:rsidRPr="00C378E5" w:rsidRDefault="00B84F93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Adaptabilité et flexibilité permettant de comprendre rapidement de nouveaux contextes et de s’adapter au terrain et aux normes locales ;</w:t>
            </w:r>
          </w:p>
          <w:p w14:paraId="430B498A" w14:textId="77777777" w:rsidR="00B84F93" w:rsidRPr="00C378E5" w:rsidRDefault="00B84F93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>Mener des entrevues et atelier participatifs dynamiques ;</w:t>
            </w:r>
          </w:p>
          <w:p w14:paraId="5FD26223" w14:textId="6C7E87FF" w:rsidR="00B84F93" w:rsidRPr="00C378E5" w:rsidRDefault="00B84F93" w:rsidP="00C378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378E5">
              <w:t xml:space="preserve">Capacité à écrire des rapports synthétiques et attractifs. </w:t>
            </w:r>
          </w:p>
        </w:tc>
      </w:tr>
    </w:tbl>
    <w:p w14:paraId="00AEB84C" w14:textId="77777777" w:rsidR="00B84F93" w:rsidRDefault="00B84F93" w:rsidP="005D0488">
      <w:pPr>
        <w:jc w:val="both"/>
      </w:pPr>
    </w:p>
    <w:p w14:paraId="7F1657B9" w14:textId="737BBB98" w:rsidR="005D0488" w:rsidRDefault="005D0488" w:rsidP="00F01507">
      <w:pPr>
        <w:pStyle w:val="Sous-titre"/>
      </w:pPr>
      <w:r>
        <w:t>Critères de sélections</w:t>
      </w:r>
    </w:p>
    <w:p w14:paraId="6CD8997F" w14:textId="4C8590E7" w:rsidR="000C2022" w:rsidRDefault="000C2022" w:rsidP="000C20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C2022" w14:paraId="6D0AC05E" w14:textId="77777777" w:rsidTr="000C2022">
        <w:tc>
          <w:tcPr>
            <w:tcW w:w="6941" w:type="dxa"/>
            <w:shd w:val="clear" w:color="auto" w:fill="E7E6E6" w:themeFill="background2"/>
          </w:tcPr>
          <w:p w14:paraId="08283C7A" w14:textId="638F1F5F" w:rsidR="000C2022" w:rsidRPr="000C2022" w:rsidRDefault="000C2022" w:rsidP="000C2022">
            <w:pPr>
              <w:rPr>
                <w:b/>
                <w:bCs/>
              </w:rPr>
            </w:pPr>
            <w:r w:rsidRPr="000C2022">
              <w:rPr>
                <w:b/>
                <w:bCs/>
              </w:rPr>
              <w:t>Critère</w:t>
            </w:r>
          </w:p>
        </w:tc>
        <w:tc>
          <w:tcPr>
            <w:tcW w:w="2121" w:type="dxa"/>
            <w:shd w:val="clear" w:color="auto" w:fill="E7E6E6" w:themeFill="background2"/>
          </w:tcPr>
          <w:p w14:paraId="0AA4BD9C" w14:textId="45C1E7FB" w:rsidR="000C2022" w:rsidRPr="000C2022" w:rsidRDefault="000C2022" w:rsidP="000C2022">
            <w:pPr>
              <w:rPr>
                <w:b/>
                <w:bCs/>
              </w:rPr>
            </w:pPr>
            <w:r w:rsidRPr="000C2022">
              <w:rPr>
                <w:b/>
                <w:bCs/>
              </w:rPr>
              <w:t>Pondération</w:t>
            </w:r>
          </w:p>
        </w:tc>
      </w:tr>
      <w:tr w:rsidR="000C2022" w14:paraId="174EF5EF" w14:textId="77777777" w:rsidTr="000C2022">
        <w:tc>
          <w:tcPr>
            <w:tcW w:w="6941" w:type="dxa"/>
          </w:tcPr>
          <w:p w14:paraId="5082C6EA" w14:textId="7513A543" w:rsidR="000C2022" w:rsidRDefault="005C2C35" w:rsidP="000C2022">
            <w:r>
              <w:t>Expérience en évaluation de projet avec des bailleurs comme le GEF</w:t>
            </w:r>
            <w:r w:rsidR="00431710">
              <w:t xml:space="preserve"> (incluant la maitrise des outils d’évaluation pertinents)</w:t>
            </w:r>
          </w:p>
        </w:tc>
        <w:tc>
          <w:tcPr>
            <w:tcW w:w="2121" w:type="dxa"/>
          </w:tcPr>
          <w:p w14:paraId="4415E715" w14:textId="0048F443" w:rsidR="000C2022" w:rsidRDefault="00C4699B" w:rsidP="000C2022">
            <w:r>
              <w:t>4</w:t>
            </w:r>
            <w:r w:rsidR="005C2C35">
              <w:t>0 points</w:t>
            </w:r>
          </w:p>
        </w:tc>
      </w:tr>
      <w:tr w:rsidR="000C2022" w14:paraId="4B697EF7" w14:textId="77777777" w:rsidTr="000C2022">
        <w:tc>
          <w:tcPr>
            <w:tcW w:w="6941" w:type="dxa"/>
            <w:shd w:val="clear" w:color="auto" w:fill="E7E6E6" w:themeFill="background2"/>
          </w:tcPr>
          <w:p w14:paraId="4B3D9B7A" w14:textId="492A2ACD" w:rsidR="000C2022" w:rsidRDefault="005C2C35" w:rsidP="000C2022">
            <w:r>
              <w:t>Expérience ou connaissance en évaluation participatives</w:t>
            </w:r>
          </w:p>
        </w:tc>
        <w:tc>
          <w:tcPr>
            <w:tcW w:w="2121" w:type="dxa"/>
            <w:shd w:val="clear" w:color="auto" w:fill="E7E6E6" w:themeFill="background2"/>
          </w:tcPr>
          <w:p w14:paraId="1582865E" w14:textId="60C27A1E" w:rsidR="000C2022" w:rsidRDefault="005C2C35" w:rsidP="000C2022">
            <w:r>
              <w:t>2</w:t>
            </w:r>
            <w:r w:rsidR="00C4699B">
              <w:t>5</w:t>
            </w:r>
            <w:r>
              <w:t xml:space="preserve"> points</w:t>
            </w:r>
          </w:p>
        </w:tc>
      </w:tr>
      <w:tr w:rsidR="000C2022" w14:paraId="10C84599" w14:textId="77777777" w:rsidTr="000C2022">
        <w:tc>
          <w:tcPr>
            <w:tcW w:w="6941" w:type="dxa"/>
          </w:tcPr>
          <w:p w14:paraId="2938BA20" w14:textId="236548DC" w:rsidR="000C2022" w:rsidRDefault="005C2C35" w:rsidP="000C2022">
            <w:r>
              <w:t>Capacité à faire des outils de communication à partir des résultats de l’étude d’évaluation</w:t>
            </w:r>
          </w:p>
        </w:tc>
        <w:tc>
          <w:tcPr>
            <w:tcW w:w="2121" w:type="dxa"/>
          </w:tcPr>
          <w:p w14:paraId="004922CA" w14:textId="15E26AFE" w:rsidR="000C2022" w:rsidRDefault="005C2C35" w:rsidP="000C2022">
            <w:r>
              <w:t>2</w:t>
            </w:r>
            <w:r w:rsidR="00C4699B">
              <w:t>5</w:t>
            </w:r>
            <w:r>
              <w:t xml:space="preserve"> points</w:t>
            </w:r>
          </w:p>
        </w:tc>
      </w:tr>
      <w:tr w:rsidR="000C2022" w14:paraId="008A754F" w14:textId="77777777" w:rsidTr="000C2022">
        <w:tc>
          <w:tcPr>
            <w:tcW w:w="6941" w:type="dxa"/>
            <w:shd w:val="clear" w:color="auto" w:fill="E7E6E6" w:themeFill="background2"/>
          </w:tcPr>
          <w:p w14:paraId="6E22CA7C" w14:textId="04125C17" w:rsidR="000C2022" w:rsidRDefault="005C2C35" w:rsidP="000C2022">
            <w:r>
              <w:t>Bonne connaissance du français (wolof un atout)</w:t>
            </w:r>
          </w:p>
        </w:tc>
        <w:tc>
          <w:tcPr>
            <w:tcW w:w="2121" w:type="dxa"/>
            <w:shd w:val="clear" w:color="auto" w:fill="E7E6E6" w:themeFill="background2"/>
          </w:tcPr>
          <w:p w14:paraId="47BEDF54" w14:textId="2A2F4035" w:rsidR="000C2022" w:rsidRDefault="00C4699B" w:rsidP="000C2022">
            <w:r>
              <w:t>5</w:t>
            </w:r>
            <w:r w:rsidR="005C2C35">
              <w:t xml:space="preserve"> points</w:t>
            </w:r>
          </w:p>
        </w:tc>
      </w:tr>
      <w:tr w:rsidR="005C2C35" w14:paraId="3544EAE8" w14:textId="77777777" w:rsidTr="005C2C35">
        <w:tc>
          <w:tcPr>
            <w:tcW w:w="6941" w:type="dxa"/>
            <w:shd w:val="clear" w:color="auto" w:fill="auto"/>
          </w:tcPr>
          <w:p w14:paraId="659BB668" w14:textId="5B9C1478" w:rsidR="005C2C35" w:rsidRDefault="005C2C35" w:rsidP="005C2C35">
            <w:pPr>
              <w:tabs>
                <w:tab w:val="left" w:pos="2843"/>
              </w:tabs>
              <w:jc w:val="both"/>
            </w:pPr>
            <w:r>
              <w:t>Études pertinentes pour avoir des connaissances méthodologiques</w:t>
            </w:r>
          </w:p>
        </w:tc>
        <w:tc>
          <w:tcPr>
            <w:tcW w:w="2121" w:type="dxa"/>
            <w:shd w:val="clear" w:color="auto" w:fill="auto"/>
          </w:tcPr>
          <w:p w14:paraId="21B198F0" w14:textId="1251988A" w:rsidR="005C2C35" w:rsidRDefault="005C2C35" w:rsidP="000C2022">
            <w:r>
              <w:t>5 points</w:t>
            </w:r>
          </w:p>
        </w:tc>
      </w:tr>
      <w:tr w:rsidR="000C2022" w14:paraId="30C1C51D" w14:textId="77777777" w:rsidTr="000C2022">
        <w:tc>
          <w:tcPr>
            <w:tcW w:w="6941" w:type="dxa"/>
          </w:tcPr>
          <w:p w14:paraId="5AC2F85E" w14:textId="77777777" w:rsidR="000C2022" w:rsidRDefault="000C2022" w:rsidP="000C2022"/>
        </w:tc>
        <w:tc>
          <w:tcPr>
            <w:tcW w:w="2121" w:type="dxa"/>
          </w:tcPr>
          <w:p w14:paraId="04BF0F7C" w14:textId="77777777" w:rsidR="000C2022" w:rsidRDefault="000C2022" w:rsidP="000C2022"/>
        </w:tc>
      </w:tr>
    </w:tbl>
    <w:p w14:paraId="3E3A0F03" w14:textId="77777777" w:rsidR="00F01507" w:rsidRPr="009C3195" w:rsidRDefault="00F01507" w:rsidP="00431710">
      <w:pPr>
        <w:pStyle w:val="Titre2"/>
        <w:jc w:val="left"/>
      </w:pPr>
    </w:p>
    <w:sectPr w:rsidR="00F01507" w:rsidRPr="009C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2C1"/>
    <w:multiLevelType w:val="hybridMultilevel"/>
    <w:tmpl w:val="79F04BE8"/>
    <w:lvl w:ilvl="0" w:tplc="2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40C08"/>
    <w:multiLevelType w:val="hybridMultilevel"/>
    <w:tmpl w:val="69FA3004"/>
    <w:lvl w:ilvl="0" w:tplc="2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561AC"/>
    <w:multiLevelType w:val="hybridMultilevel"/>
    <w:tmpl w:val="A08C97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F464F"/>
    <w:multiLevelType w:val="hybridMultilevel"/>
    <w:tmpl w:val="FD3EE1E0"/>
    <w:lvl w:ilvl="0" w:tplc="2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C26F1"/>
    <w:multiLevelType w:val="hybridMultilevel"/>
    <w:tmpl w:val="9D985B28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79E2"/>
    <w:multiLevelType w:val="hybridMultilevel"/>
    <w:tmpl w:val="56A0A72C"/>
    <w:lvl w:ilvl="0" w:tplc="2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34309AA"/>
    <w:multiLevelType w:val="hybridMultilevel"/>
    <w:tmpl w:val="9B74225C"/>
    <w:lvl w:ilvl="0" w:tplc="2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F77D9"/>
    <w:multiLevelType w:val="hybridMultilevel"/>
    <w:tmpl w:val="1020047A"/>
    <w:lvl w:ilvl="0" w:tplc="2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85F69"/>
    <w:multiLevelType w:val="hybridMultilevel"/>
    <w:tmpl w:val="12D621A2"/>
    <w:lvl w:ilvl="0" w:tplc="2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F0663"/>
    <w:multiLevelType w:val="multilevel"/>
    <w:tmpl w:val="42A2D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5"/>
    <w:rsid w:val="00014DE5"/>
    <w:rsid w:val="00034595"/>
    <w:rsid w:val="000639CB"/>
    <w:rsid w:val="000841A5"/>
    <w:rsid w:val="00095451"/>
    <w:rsid w:val="000A2BD3"/>
    <w:rsid w:val="000C2022"/>
    <w:rsid w:val="000E1980"/>
    <w:rsid w:val="000F26C8"/>
    <w:rsid w:val="001309C6"/>
    <w:rsid w:val="00204800"/>
    <w:rsid w:val="002474BD"/>
    <w:rsid w:val="002A371B"/>
    <w:rsid w:val="00387C57"/>
    <w:rsid w:val="003E747F"/>
    <w:rsid w:val="00425BC7"/>
    <w:rsid w:val="00431710"/>
    <w:rsid w:val="00487F1A"/>
    <w:rsid w:val="00512221"/>
    <w:rsid w:val="005264AF"/>
    <w:rsid w:val="00543C16"/>
    <w:rsid w:val="005C2C35"/>
    <w:rsid w:val="005D0488"/>
    <w:rsid w:val="00643F3D"/>
    <w:rsid w:val="00682973"/>
    <w:rsid w:val="00691836"/>
    <w:rsid w:val="006A1698"/>
    <w:rsid w:val="0072516E"/>
    <w:rsid w:val="0074343D"/>
    <w:rsid w:val="00776745"/>
    <w:rsid w:val="007A36D6"/>
    <w:rsid w:val="007B22C7"/>
    <w:rsid w:val="00860ABF"/>
    <w:rsid w:val="008F5F28"/>
    <w:rsid w:val="00942202"/>
    <w:rsid w:val="00961724"/>
    <w:rsid w:val="0098641B"/>
    <w:rsid w:val="009C3195"/>
    <w:rsid w:val="00A87107"/>
    <w:rsid w:val="00B84F93"/>
    <w:rsid w:val="00C378E5"/>
    <w:rsid w:val="00C4699B"/>
    <w:rsid w:val="00C6058B"/>
    <w:rsid w:val="00C75481"/>
    <w:rsid w:val="00C84380"/>
    <w:rsid w:val="00CB2D61"/>
    <w:rsid w:val="00CC2DCA"/>
    <w:rsid w:val="00D64020"/>
    <w:rsid w:val="00DA0EA0"/>
    <w:rsid w:val="00DD605F"/>
    <w:rsid w:val="00E90926"/>
    <w:rsid w:val="00F01507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6D9"/>
  <w15:chartTrackingRefBased/>
  <w15:docId w15:val="{9565ACC2-B341-406D-A694-382C07D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F1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F1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6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1"/>
    <w:next w:val="Normal"/>
    <w:link w:val="Sous-titreCar"/>
    <w:uiPriority w:val="11"/>
    <w:qFormat/>
    <w:rsid w:val="00487F1A"/>
    <w:pPr>
      <w:numPr>
        <w:ilvl w:val="1"/>
      </w:numPr>
      <w:jc w:val="left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87F1A"/>
    <w:rPr>
      <w:rFonts w:asciiTheme="majorHAnsi" w:eastAsiaTheme="minorEastAsia" w:hAnsiTheme="majorHAnsi" w:cstheme="majorBidi"/>
      <w:b/>
      <w:color w:val="5A5A5A" w:themeColor="text1" w:themeTint="A5"/>
      <w:spacing w:val="1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7F1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87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8CD9B2B3D4449A2CE0D7BC0E4BAA8" ma:contentTypeVersion="5" ma:contentTypeDescription="Create a new document." ma:contentTypeScope="" ma:versionID="23d8467ce4ee4775a6d47f162ec73d4e">
  <xsd:schema xmlns:xsd="http://www.w3.org/2001/XMLSchema" xmlns:xs="http://www.w3.org/2001/XMLSchema" xmlns:p="http://schemas.microsoft.com/office/2006/metadata/properties" xmlns:ns3="57e1a3af-6f2d-4b91-902c-aeed25ea0249" xmlns:ns4="d9be5f3c-d617-431c-a8a0-cd7b20574052" targetNamespace="http://schemas.microsoft.com/office/2006/metadata/properties" ma:root="true" ma:fieldsID="2dff89abe2cf0a61bd2e05822ffe30e5" ns3:_="" ns4:_="">
    <xsd:import namespace="57e1a3af-6f2d-4b91-902c-aeed25ea0249"/>
    <xsd:import namespace="d9be5f3c-d617-431c-a8a0-cd7b20574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a3af-6f2d-4b91-902c-aeed25ea0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5f3c-d617-431c-a8a0-cd7b20574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24BF7-6902-462F-BCD9-2DBAA63B0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1C3F8-BF70-4361-9B41-08C73B091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3247C-A542-4DC1-90F0-E06798EB7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1a3af-6f2d-4b91-902c-aeed25ea0249"/>
    <ds:schemaRef ds:uri="d9be5f3c-d617-431c-a8a0-cd7b20574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Ebel</dc:creator>
  <cp:keywords/>
  <dc:description/>
  <cp:lastModifiedBy>Manon Ebel</cp:lastModifiedBy>
  <cp:revision>48</cp:revision>
  <dcterms:created xsi:type="dcterms:W3CDTF">2020-02-24T11:01:00Z</dcterms:created>
  <dcterms:modified xsi:type="dcterms:W3CDTF">2020-06-12T14:19:00Z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0x0101003DF8CD9B2B3D4449A2CE0D7BC0E4BAA8</vt:lpwstr>
  </property>
</Properties>
</file>