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F8D7" w14:textId="1C5EE0D6" w:rsidR="005D2741" w:rsidRPr="00454728" w:rsidRDefault="005C0BEF" w:rsidP="005D2741">
      <w:pPr>
        <w:rPr>
          <w:u w:val="single"/>
        </w:rPr>
      </w:pPr>
      <w:r w:rsidRPr="001B4950">
        <w:rPr>
          <w:noProof/>
          <w:u w:val="single"/>
          <w:lang w:val="en-US" w:eastAsia="en-US"/>
        </w:rPr>
        <w:drawing>
          <wp:inline distT="0" distB="0" distL="0" distR="0" wp14:anchorId="246A327F" wp14:editId="191FED42">
            <wp:extent cx="1123315" cy="1123315"/>
            <wp:effectExtent l="0" t="0" r="0" b="0"/>
            <wp:docPr id="1" name="Picture 10" descr="Global_Environment_Facility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lobal_Environment_Facility_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315" cy="1123315"/>
                    </a:xfrm>
                    <a:prstGeom prst="rect">
                      <a:avLst/>
                    </a:prstGeom>
                    <a:noFill/>
                    <a:ln>
                      <a:noFill/>
                    </a:ln>
                  </pic:spPr>
                </pic:pic>
              </a:graphicData>
            </a:graphic>
          </wp:inline>
        </w:drawing>
      </w:r>
      <w:r w:rsidR="005C3564">
        <w:rPr>
          <w:u w:val="single"/>
        </w:rPr>
        <w:t xml:space="preserve">                     </w:t>
      </w:r>
      <w:r w:rsidR="00233913">
        <w:rPr>
          <w:u w:val="single"/>
        </w:rPr>
        <w:t xml:space="preserve">    </w:t>
      </w:r>
      <w:r w:rsidR="005C3564">
        <w:rPr>
          <w:u w:val="single"/>
        </w:rPr>
        <w:t xml:space="preserve">         </w:t>
      </w:r>
      <w:r w:rsidR="00233913" w:rsidRPr="00233913">
        <w:rPr>
          <w:noProof/>
          <w:u w:val="single"/>
          <w:lang w:val="en-US" w:eastAsia="en-US"/>
        </w:rPr>
        <w:drawing>
          <wp:inline distT="0" distB="0" distL="0" distR="0" wp14:anchorId="4B2530B5" wp14:editId="3E108C36">
            <wp:extent cx="741045" cy="1199436"/>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9"/>
                    <a:stretch>
                      <a:fillRect/>
                    </a:stretch>
                  </pic:blipFill>
                  <pic:spPr>
                    <a:xfrm>
                      <a:off x="0" y="0"/>
                      <a:ext cx="741405" cy="1200019"/>
                    </a:xfrm>
                    <a:prstGeom prst="rect">
                      <a:avLst/>
                    </a:prstGeom>
                  </pic:spPr>
                </pic:pic>
              </a:graphicData>
            </a:graphic>
          </wp:inline>
        </w:drawing>
      </w:r>
      <w:r w:rsidR="005C3564">
        <w:rPr>
          <w:u w:val="single"/>
        </w:rPr>
        <w:t xml:space="preserve">                  </w:t>
      </w:r>
      <w:r w:rsidR="00233913">
        <w:rPr>
          <w:u w:val="single"/>
        </w:rPr>
        <w:t xml:space="preserve">          </w:t>
      </w:r>
      <w:r w:rsidR="005C3564">
        <w:rPr>
          <w:u w:val="single"/>
        </w:rPr>
        <w:t xml:space="preserve">              </w:t>
      </w:r>
      <w:r w:rsidRPr="001B4950">
        <w:rPr>
          <w:rFonts w:ascii="Times" w:eastAsia="Calibri" w:hAnsi="Times" w:cs="Times"/>
          <w:noProof/>
          <w:color w:val="000000"/>
          <w:u w:val="single"/>
          <w:lang w:val="en-US" w:eastAsia="en-US"/>
        </w:rPr>
        <w:drawing>
          <wp:inline distT="0" distB="0" distL="0" distR="0" wp14:anchorId="2BFE546D" wp14:editId="56F99E75">
            <wp:extent cx="835025" cy="1113155"/>
            <wp:effectExtent l="0" t="0" r="0" b="0"/>
            <wp:docPr id="3"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p w14:paraId="0EEB3676" w14:textId="77777777" w:rsidR="005D2741" w:rsidRDefault="005D2741" w:rsidP="009655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Arial" w:hAnsi="Arial" w:cs="Arial"/>
          <w:color w:val="000000"/>
          <w:sz w:val="20"/>
          <w:szCs w:val="20"/>
          <w:lang w:val="sk-SK"/>
        </w:rPr>
      </w:pPr>
    </w:p>
    <w:p w14:paraId="70950523" w14:textId="5133D8AB" w:rsidR="0053545C" w:rsidRDefault="0053545C" w:rsidP="008A2614">
      <w:pPr>
        <w:autoSpaceDE w:val="0"/>
        <w:autoSpaceDN w:val="0"/>
        <w:adjustRightInd w:val="0"/>
        <w:spacing w:after="240" w:line="480" w:lineRule="atLeast"/>
        <w:rPr>
          <w:rFonts w:ascii="Times" w:hAnsi="Times" w:cs="Times"/>
          <w:color w:val="011F88"/>
          <w:sz w:val="36"/>
          <w:szCs w:val="36"/>
          <w:lang w:val="sk-SK"/>
        </w:rPr>
      </w:pPr>
    </w:p>
    <w:p w14:paraId="4D0BE812" w14:textId="52A15306" w:rsidR="00233913" w:rsidRDefault="00233913" w:rsidP="00233913">
      <w:pPr>
        <w:autoSpaceDE w:val="0"/>
        <w:autoSpaceDN w:val="0"/>
        <w:adjustRightInd w:val="0"/>
        <w:spacing w:after="240" w:line="480" w:lineRule="atLeast"/>
        <w:jc w:val="center"/>
        <w:rPr>
          <w:rFonts w:ascii="Times" w:hAnsi="Times" w:cs="Times"/>
          <w:color w:val="011F88"/>
          <w:sz w:val="36"/>
          <w:szCs w:val="36"/>
          <w:lang w:val="sk-SK"/>
        </w:rPr>
      </w:pPr>
      <w:r w:rsidRPr="00233913">
        <w:rPr>
          <w:rFonts w:ascii="Times" w:hAnsi="Times" w:cs="Times"/>
          <w:color w:val="011F88"/>
          <w:sz w:val="36"/>
          <w:szCs w:val="36"/>
          <w:lang w:val="sk-SK"/>
        </w:rPr>
        <w:t>ESTABLISHING TRANSPARENCY FRAMEWORK FOR THE REPUBLIC OF SERBIA</w:t>
      </w:r>
    </w:p>
    <w:p w14:paraId="2CFCCA0A" w14:textId="77777777" w:rsidR="0053545C" w:rsidRDefault="0053545C" w:rsidP="0053545C"/>
    <w:p w14:paraId="378740E4" w14:textId="5A3C38CA" w:rsidR="0053545C" w:rsidRDefault="008A2614" w:rsidP="000B30EA">
      <w:pPr>
        <w:autoSpaceDE w:val="0"/>
        <w:autoSpaceDN w:val="0"/>
        <w:adjustRightInd w:val="0"/>
        <w:spacing w:after="240" w:line="480" w:lineRule="atLeast"/>
        <w:jc w:val="center"/>
        <w:rPr>
          <w:rFonts w:ascii="Times" w:hAnsi="Times" w:cs="Times"/>
          <w:color w:val="000000"/>
          <w:lang w:val="sk-SK"/>
        </w:rPr>
      </w:pPr>
      <w:r>
        <w:rPr>
          <w:rFonts w:ascii="Times" w:hAnsi="Times" w:cs="Times"/>
          <w:color w:val="011F88"/>
          <w:sz w:val="36"/>
          <w:szCs w:val="36"/>
          <w:lang w:val="sk-SK"/>
        </w:rPr>
        <w:t xml:space="preserve">MID-TERM REVIEW </w:t>
      </w:r>
      <w:r w:rsidR="0053545C" w:rsidRPr="00DA0D43">
        <w:rPr>
          <w:rFonts w:ascii="Times" w:hAnsi="Times" w:cs="Times"/>
          <w:color w:val="011F88"/>
          <w:sz w:val="36"/>
          <w:szCs w:val="36"/>
          <w:lang w:val="sk-SK"/>
        </w:rPr>
        <w:t xml:space="preserve">REPORT </w:t>
      </w:r>
    </w:p>
    <w:p w14:paraId="5AD14976" w14:textId="77777777" w:rsidR="0053545C" w:rsidRDefault="0053545C" w:rsidP="0053545C">
      <w:pPr>
        <w:autoSpaceDE w:val="0"/>
        <w:autoSpaceDN w:val="0"/>
        <w:adjustRightInd w:val="0"/>
        <w:spacing w:after="120"/>
        <w:jc w:val="right"/>
        <w:rPr>
          <w:rFonts w:ascii="Times" w:hAnsi="Times" w:cs="Times"/>
          <w:color w:val="000000"/>
          <w:lang w:val="sk-SK"/>
        </w:rPr>
      </w:pPr>
    </w:p>
    <w:p w14:paraId="12E402EC" w14:textId="0D2D3A54" w:rsidR="008A2614" w:rsidRDefault="008A2614" w:rsidP="000B30EA">
      <w:pPr>
        <w:autoSpaceDE w:val="0"/>
        <w:autoSpaceDN w:val="0"/>
        <w:adjustRightInd w:val="0"/>
        <w:spacing w:after="120"/>
        <w:jc w:val="center"/>
        <w:rPr>
          <w:rFonts w:ascii="Times" w:hAnsi="Times" w:cs="Times"/>
          <w:color w:val="000000"/>
          <w:lang w:val="sk-SK"/>
        </w:rPr>
      </w:pPr>
    </w:p>
    <w:p w14:paraId="5050D553" w14:textId="77777777" w:rsidR="008A2614" w:rsidRDefault="008A2614" w:rsidP="0053545C">
      <w:pPr>
        <w:autoSpaceDE w:val="0"/>
        <w:autoSpaceDN w:val="0"/>
        <w:adjustRightInd w:val="0"/>
        <w:spacing w:after="120"/>
        <w:jc w:val="right"/>
        <w:rPr>
          <w:rFonts w:ascii="Times" w:hAnsi="Times" w:cs="Times"/>
          <w:color w:val="000000"/>
          <w:lang w:val="sk-SK"/>
        </w:rPr>
      </w:pPr>
    </w:p>
    <w:p w14:paraId="449E8299" w14:textId="556715C3" w:rsidR="0053545C" w:rsidRPr="005D675B" w:rsidRDefault="002D38B7" w:rsidP="002D38B7">
      <w:pPr>
        <w:autoSpaceDE w:val="0"/>
        <w:autoSpaceDN w:val="0"/>
        <w:adjustRightInd w:val="0"/>
        <w:spacing w:before="0"/>
        <w:jc w:val="left"/>
        <w:rPr>
          <w:rFonts w:ascii="Times" w:hAnsi="Times" w:cs="Times"/>
          <w:color w:val="002060"/>
          <w:lang w:val="sk-SK"/>
        </w:rPr>
      </w:pPr>
      <w:r>
        <w:rPr>
          <w:rFonts w:ascii="Times" w:hAnsi="Times" w:cs="Times"/>
          <w:color w:val="002060"/>
          <w:lang w:val="sk-SK"/>
        </w:rPr>
        <w:t xml:space="preserve">      </w:t>
      </w:r>
      <w:r w:rsidR="0053545C" w:rsidRPr="00FE2EEF">
        <w:rPr>
          <w:rFonts w:ascii="Times" w:hAnsi="Times" w:cs="Times"/>
          <w:color w:val="002060"/>
          <w:lang w:val="sk-SK"/>
        </w:rPr>
        <w:t>Dalibor Kysela</w:t>
      </w:r>
      <w:r w:rsidR="00900726">
        <w:rPr>
          <w:rFonts w:ascii="Times" w:hAnsi="Times" w:cs="Times"/>
          <w:color w:val="002060"/>
          <w:lang w:val="sk-SK"/>
        </w:rPr>
        <w:tab/>
      </w:r>
      <w:r w:rsidR="00900726">
        <w:rPr>
          <w:rFonts w:ascii="Times" w:hAnsi="Times" w:cs="Times"/>
          <w:color w:val="002060"/>
          <w:lang w:val="sk-SK"/>
        </w:rPr>
        <w:tab/>
      </w:r>
      <w:r w:rsidR="00900726">
        <w:rPr>
          <w:rFonts w:ascii="Times" w:hAnsi="Times" w:cs="Times"/>
          <w:color w:val="002060"/>
          <w:lang w:val="sk-SK"/>
        </w:rPr>
        <w:tab/>
      </w:r>
      <w:r w:rsidR="005D675B" w:rsidRPr="005D675B">
        <w:rPr>
          <w:rFonts w:ascii="Times" w:hAnsi="Times" w:cs="Times"/>
          <w:noProof/>
          <w:color w:val="002060"/>
          <w:lang w:val="en-US" w:eastAsia="en-US"/>
        </w:rPr>
        <w:drawing>
          <wp:inline distT="0" distB="0" distL="0" distR="0" wp14:anchorId="1997ED19" wp14:editId="275241D8">
            <wp:extent cx="1602029" cy="2383387"/>
            <wp:effectExtent l="0" t="0" r="0" b="444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a:stretch>
                      <a:fillRect/>
                    </a:stretch>
                  </pic:blipFill>
                  <pic:spPr>
                    <a:xfrm>
                      <a:off x="0" y="0"/>
                      <a:ext cx="1602942" cy="2384745"/>
                    </a:xfrm>
                    <a:prstGeom prst="rect">
                      <a:avLst/>
                    </a:prstGeom>
                  </pic:spPr>
                </pic:pic>
              </a:graphicData>
            </a:graphic>
          </wp:inline>
        </w:drawing>
      </w:r>
      <w:r w:rsidR="00900726">
        <w:rPr>
          <w:rFonts w:ascii="Times" w:hAnsi="Times" w:cs="Times"/>
          <w:color w:val="002060"/>
          <w:lang w:val="sk-SK"/>
        </w:rPr>
        <w:tab/>
      </w:r>
      <w:r w:rsidR="005D675B">
        <w:rPr>
          <w:rFonts w:ascii="Times" w:hAnsi="Times" w:cs="Times"/>
          <w:color w:val="002060"/>
          <w:lang w:val="sk-SK"/>
        </w:rPr>
        <w:t xml:space="preserve">               Mirjana Strugar </w:t>
      </w:r>
      <w:r w:rsidR="00DE0BED">
        <w:rPr>
          <w:rFonts w:ascii="Times" w:hAnsi="Times" w:cs="Times"/>
          <w:color w:val="002060"/>
          <w:lang w:val="sk-SK"/>
        </w:rPr>
        <w:t>International Consultant</w:t>
      </w:r>
      <w:r w:rsidR="00900726">
        <w:rPr>
          <w:rFonts w:ascii="Times" w:hAnsi="Times" w:cs="Times"/>
          <w:color w:val="002060"/>
          <w:lang w:val="sk-SK"/>
        </w:rPr>
        <w:tab/>
      </w:r>
      <w:r w:rsidR="00900726">
        <w:rPr>
          <w:rFonts w:ascii="Times" w:hAnsi="Times" w:cs="Times"/>
          <w:color w:val="002060"/>
          <w:lang w:val="sk-SK"/>
        </w:rPr>
        <w:tab/>
      </w:r>
      <w:r w:rsidR="00900726">
        <w:rPr>
          <w:rFonts w:ascii="Times" w:hAnsi="Times" w:cs="Times"/>
          <w:color w:val="002060"/>
          <w:lang w:val="sk-SK"/>
        </w:rPr>
        <w:tab/>
      </w:r>
      <w:r w:rsidR="00900726">
        <w:rPr>
          <w:rFonts w:ascii="Times" w:hAnsi="Times" w:cs="Times"/>
          <w:color w:val="002060"/>
          <w:lang w:val="sk-SK"/>
        </w:rPr>
        <w:tab/>
      </w:r>
      <w:r w:rsidR="00900726">
        <w:rPr>
          <w:rFonts w:ascii="Times" w:hAnsi="Times" w:cs="Times"/>
          <w:color w:val="002060"/>
          <w:lang w:val="sk-SK"/>
        </w:rPr>
        <w:tab/>
      </w:r>
      <w:r w:rsidR="00900726">
        <w:rPr>
          <w:rFonts w:ascii="Times" w:hAnsi="Times" w:cs="Times"/>
          <w:color w:val="002060"/>
          <w:lang w:val="sk-SK"/>
        </w:rPr>
        <w:tab/>
      </w:r>
      <w:r w:rsidR="008D47C8">
        <w:rPr>
          <w:rFonts w:ascii="Times" w:hAnsi="Times" w:cs="Times"/>
          <w:color w:val="002060"/>
          <w:lang w:val="sk-SK"/>
        </w:rPr>
        <w:t xml:space="preserve">   </w:t>
      </w:r>
      <w:r w:rsidR="005D675B">
        <w:rPr>
          <w:rFonts w:ascii="Times" w:hAnsi="Times" w:cs="Times"/>
          <w:color w:val="002060"/>
          <w:lang w:val="sk-SK"/>
        </w:rPr>
        <w:t xml:space="preserve">         </w:t>
      </w:r>
      <w:r w:rsidR="00900726">
        <w:rPr>
          <w:rFonts w:ascii="Times" w:hAnsi="Times" w:cs="Times"/>
          <w:color w:val="002060"/>
          <w:lang w:val="sk-SK"/>
        </w:rPr>
        <w:t>National Consultant</w:t>
      </w:r>
    </w:p>
    <w:p w14:paraId="37A9743D" w14:textId="77777777" w:rsidR="000B30EA" w:rsidRDefault="000B30EA" w:rsidP="000E66E6">
      <w:pPr>
        <w:autoSpaceDE w:val="0"/>
        <w:autoSpaceDN w:val="0"/>
        <w:adjustRightInd w:val="0"/>
        <w:spacing w:after="240" w:line="480" w:lineRule="atLeast"/>
        <w:jc w:val="center"/>
        <w:rPr>
          <w:rFonts w:ascii="Times" w:hAnsi="Times" w:cs="Times"/>
          <w:color w:val="011F88"/>
          <w:sz w:val="32"/>
          <w:szCs w:val="32"/>
          <w:lang w:val="sk-SK"/>
        </w:rPr>
      </w:pPr>
    </w:p>
    <w:p w14:paraId="2BD2155F" w14:textId="07077840" w:rsidR="005D2741" w:rsidRDefault="00635909" w:rsidP="000B30EA">
      <w:pPr>
        <w:autoSpaceDE w:val="0"/>
        <w:autoSpaceDN w:val="0"/>
        <w:adjustRightInd w:val="0"/>
        <w:spacing w:after="240" w:line="480" w:lineRule="atLeast"/>
        <w:jc w:val="center"/>
        <w:rPr>
          <w:rFonts w:ascii="Arial" w:hAnsi="Arial" w:cs="Arial"/>
          <w:color w:val="000000"/>
          <w:sz w:val="20"/>
          <w:szCs w:val="20"/>
          <w:lang w:val="sk-SK"/>
        </w:rPr>
      </w:pPr>
      <w:r>
        <w:rPr>
          <w:rFonts w:ascii="Times" w:hAnsi="Times" w:cs="Times"/>
          <w:color w:val="011F88"/>
          <w:sz w:val="32"/>
          <w:szCs w:val="32"/>
          <w:lang w:val="sk-SK"/>
        </w:rPr>
        <w:t>March</w:t>
      </w:r>
      <w:r w:rsidR="00233913">
        <w:rPr>
          <w:rFonts w:ascii="Times" w:hAnsi="Times" w:cs="Times"/>
          <w:color w:val="011F88"/>
          <w:sz w:val="32"/>
          <w:szCs w:val="32"/>
          <w:lang w:val="sk-SK"/>
        </w:rPr>
        <w:t xml:space="preserve"> </w:t>
      </w:r>
      <w:r w:rsidR="0053545C">
        <w:rPr>
          <w:rFonts w:ascii="Times" w:hAnsi="Times" w:cs="Times"/>
          <w:color w:val="011F88"/>
          <w:sz w:val="32"/>
          <w:szCs w:val="32"/>
          <w:lang w:val="sk-SK"/>
        </w:rPr>
        <w:t>20</w:t>
      </w:r>
      <w:r w:rsidR="00233913">
        <w:rPr>
          <w:rFonts w:ascii="Times" w:hAnsi="Times" w:cs="Times"/>
          <w:color w:val="011F88"/>
          <w:sz w:val="32"/>
          <w:szCs w:val="32"/>
          <w:lang w:val="sk-SK"/>
        </w:rPr>
        <w:t>21</w:t>
      </w:r>
    </w:p>
    <w:p w14:paraId="4C62FAA6" w14:textId="6EC48744" w:rsidR="00B81512" w:rsidRDefault="0053545C" w:rsidP="00B81512">
      <w:pPr>
        <w:spacing w:before="0" w:after="120"/>
        <w:jc w:val="center"/>
        <w:rPr>
          <w:b/>
          <w:color w:val="2F5496"/>
          <w:lang w:val="sk-SK"/>
        </w:rPr>
      </w:pPr>
      <w:r>
        <w:rPr>
          <w:rFonts w:ascii="Arial" w:hAnsi="Arial" w:cs="Arial"/>
          <w:color w:val="000000"/>
          <w:sz w:val="20"/>
          <w:szCs w:val="20"/>
          <w:lang w:val="sk-SK"/>
        </w:rPr>
        <w:br w:type="page"/>
      </w:r>
      <w:r w:rsidR="005313ED" w:rsidRPr="005313ED">
        <w:rPr>
          <w:b/>
          <w:color w:val="2F5496"/>
          <w:lang w:val="sk-SK"/>
        </w:rPr>
        <w:lastRenderedPageBreak/>
        <w:t>Acronyms and Abbreviations</w:t>
      </w:r>
    </w:p>
    <w:p w14:paraId="11305DAC" w14:textId="77777777" w:rsidR="00B81512" w:rsidRPr="00421412" w:rsidRDefault="00B81512" w:rsidP="00B81512">
      <w:pPr>
        <w:spacing w:before="40"/>
      </w:pPr>
      <w:r w:rsidRPr="00421412">
        <w:t>2BUR</w:t>
      </w:r>
      <w:r w:rsidRPr="00421412">
        <w:tab/>
      </w:r>
      <w:r w:rsidRPr="00421412">
        <w:tab/>
        <w:t>Second Biennial Update Report</w:t>
      </w:r>
    </w:p>
    <w:p w14:paraId="07864968" w14:textId="77777777" w:rsidR="00B81512" w:rsidRPr="00421412" w:rsidRDefault="00B81512" w:rsidP="00B81512">
      <w:pPr>
        <w:spacing w:before="40"/>
      </w:pPr>
      <w:r w:rsidRPr="00421412">
        <w:t>3NC</w:t>
      </w:r>
      <w:r w:rsidRPr="00421412">
        <w:tab/>
      </w:r>
      <w:r w:rsidRPr="00421412">
        <w:tab/>
        <w:t>Third National Communication</w:t>
      </w:r>
    </w:p>
    <w:p w14:paraId="45BADDEB" w14:textId="77777777" w:rsidR="00B81512" w:rsidRPr="00421412" w:rsidRDefault="00B81512" w:rsidP="00B81512">
      <w:pPr>
        <w:spacing w:before="40"/>
      </w:pPr>
      <w:r w:rsidRPr="00421412">
        <w:t>BUR</w:t>
      </w:r>
      <w:r w:rsidRPr="00421412">
        <w:tab/>
      </w:r>
      <w:r w:rsidRPr="00421412">
        <w:tab/>
        <w:t>Biennial Update Report</w:t>
      </w:r>
    </w:p>
    <w:p w14:paraId="2CE0509F" w14:textId="77777777" w:rsidR="00B81512" w:rsidRDefault="00B81512" w:rsidP="00B81512">
      <w:pPr>
        <w:spacing w:before="40"/>
      </w:pPr>
      <w:r>
        <w:t>CBIT</w:t>
      </w:r>
      <w:r>
        <w:tab/>
      </w:r>
      <w:r>
        <w:tab/>
      </w:r>
      <w:r w:rsidRPr="00421412">
        <w:t>Capacity-Building Initiative for Transparency</w:t>
      </w:r>
    </w:p>
    <w:p w14:paraId="3481ABD8" w14:textId="77777777" w:rsidR="00B81512" w:rsidRDefault="00B81512" w:rsidP="00B81512">
      <w:pPr>
        <w:spacing w:before="40"/>
      </w:pPr>
      <w:r>
        <w:t>CEO</w:t>
      </w:r>
      <w:r>
        <w:tab/>
      </w:r>
      <w:r>
        <w:tab/>
        <w:t>Chief Executive Officer</w:t>
      </w:r>
    </w:p>
    <w:p w14:paraId="6DAA4D44" w14:textId="77777777" w:rsidR="00B81512" w:rsidRPr="00421412" w:rsidRDefault="00B81512" w:rsidP="00B81512">
      <w:pPr>
        <w:spacing w:before="40"/>
      </w:pPr>
      <w:r w:rsidRPr="00421412">
        <w:t>CO</w:t>
      </w:r>
      <w:r w:rsidRPr="00421412">
        <w:tab/>
      </w:r>
      <w:r w:rsidRPr="00421412">
        <w:tab/>
        <w:t>UNDP Country Office</w:t>
      </w:r>
    </w:p>
    <w:p w14:paraId="396314B4" w14:textId="77777777" w:rsidR="00B81512" w:rsidRDefault="00B81512" w:rsidP="00B81512">
      <w:pPr>
        <w:spacing w:before="40"/>
      </w:pPr>
      <w:r>
        <w:t>COP</w:t>
      </w:r>
      <w:r>
        <w:tab/>
      </w:r>
      <w:r>
        <w:tab/>
        <w:t>Conference of Parties</w:t>
      </w:r>
    </w:p>
    <w:p w14:paraId="291DFF8E" w14:textId="77777777" w:rsidR="00B81512" w:rsidRPr="00421412" w:rsidRDefault="00B81512" w:rsidP="00B81512">
      <w:pPr>
        <w:spacing w:before="40"/>
      </w:pPr>
      <w:r w:rsidRPr="00421412">
        <w:t>CSO</w:t>
      </w:r>
      <w:r w:rsidRPr="00421412">
        <w:tab/>
      </w:r>
      <w:r w:rsidRPr="00421412">
        <w:tab/>
        <w:t>Civil Society Organization</w:t>
      </w:r>
    </w:p>
    <w:p w14:paraId="7EE1ACF8" w14:textId="77777777" w:rsidR="00B81512" w:rsidRPr="00421412" w:rsidRDefault="00B81512" w:rsidP="00B81512">
      <w:pPr>
        <w:spacing w:before="40"/>
      </w:pPr>
      <w:r w:rsidRPr="00421412">
        <w:t>CTA</w:t>
      </w:r>
      <w:r w:rsidRPr="00421412">
        <w:tab/>
      </w:r>
      <w:r w:rsidRPr="00421412">
        <w:tab/>
        <w:t>Chief Technical Advisor</w:t>
      </w:r>
    </w:p>
    <w:p w14:paraId="32B5A3C0" w14:textId="77777777" w:rsidR="00B81512" w:rsidRPr="00421412" w:rsidRDefault="00B81512" w:rsidP="00B81512">
      <w:pPr>
        <w:spacing w:before="40"/>
      </w:pPr>
      <w:r w:rsidRPr="00421412">
        <w:t>ETF</w:t>
      </w:r>
      <w:r w:rsidRPr="00421412">
        <w:tab/>
      </w:r>
      <w:r w:rsidRPr="00421412">
        <w:tab/>
        <w:t>Enhanced Transparency Framework</w:t>
      </w:r>
    </w:p>
    <w:p w14:paraId="7D57C7C0" w14:textId="77777777" w:rsidR="00B81512" w:rsidRPr="00421412" w:rsidRDefault="00B81512" w:rsidP="00B81512">
      <w:pPr>
        <w:spacing w:before="40"/>
      </w:pPr>
      <w:r w:rsidRPr="00421412">
        <w:t>EU</w:t>
      </w:r>
      <w:r w:rsidRPr="00421412">
        <w:tab/>
      </w:r>
      <w:r w:rsidRPr="00421412">
        <w:tab/>
        <w:t>European Union</w:t>
      </w:r>
    </w:p>
    <w:p w14:paraId="2B970A23" w14:textId="77777777" w:rsidR="00B81512" w:rsidRPr="00421412" w:rsidRDefault="00B81512" w:rsidP="00B81512">
      <w:pPr>
        <w:spacing w:before="40"/>
      </w:pPr>
      <w:r w:rsidRPr="00421412">
        <w:t>GEF</w:t>
      </w:r>
      <w:r w:rsidRPr="00421412">
        <w:tab/>
      </w:r>
      <w:r w:rsidRPr="00421412">
        <w:tab/>
        <w:t>Global Environment Facility</w:t>
      </w:r>
    </w:p>
    <w:p w14:paraId="5C6C9E14" w14:textId="77777777" w:rsidR="00B81512" w:rsidRDefault="00B81512" w:rsidP="00B81512">
      <w:pPr>
        <w:spacing w:before="40"/>
      </w:pPr>
      <w:r>
        <w:t>GHG</w:t>
      </w:r>
      <w:r>
        <w:tab/>
      </w:r>
      <w:r>
        <w:tab/>
        <w:t>Greenhouse Gas</w:t>
      </w:r>
    </w:p>
    <w:p w14:paraId="4DF95C67" w14:textId="77777777" w:rsidR="00B81512" w:rsidRDefault="00B81512" w:rsidP="00B81512">
      <w:pPr>
        <w:spacing w:before="40"/>
      </w:pPr>
      <w:r>
        <w:t>INDC</w:t>
      </w:r>
      <w:r>
        <w:tab/>
      </w:r>
      <w:r>
        <w:tab/>
      </w:r>
      <w:r w:rsidRPr="00D2601D">
        <w:t>Intended Nationally Determined Contributions</w:t>
      </w:r>
    </w:p>
    <w:p w14:paraId="725AADE9" w14:textId="77777777" w:rsidR="00B81512" w:rsidRDefault="00B81512" w:rsidP="00B81512">
      <w:pPr>
        <w:spacing w:before="40"/>
      </w:pPr>
      <w:r>
        <w:t>IPCC</w:t>
      </w:r>
      <w:r>
        <w:tab/>
      </w:r>
      <w:r>
        <w:tab/>
      </w:r>
      <w:r w:rsidRPr="003136E0">
        <w:t>Intergovernmental Panel on Climate Change</w:t>
      </w:r>
    </w:p>
    <w:p w14:paraId="1BCEC353" w14:textId="77777777" w:rsidR="00B81512" w:rsidRDefault="00B81512" w:rsidP="00B81512">
      <w:pPr>
        <w:spacing w:before="40"/>
      </w:pPr>
      <w:r>
        <w:t>KM</w:t>
      </w:r>
      <w:r>
        <w:tab/>
      </w:r>
      <w:r>
        <w:tab/>
        <w:t>Knowledge Management</w:t>
      </w:r>
    </w:p>
    <w:p w14:paraId="66280E68" w14:textId="77777777" w:rsidR="00B81512" w:rsidRPr="00421412" w:rsidRDefault="00B81512" w:rsidP="00B81512">
      <w:pPr>
        <w:spacing w:before="40"/>
      </w:pPr>
      <w:r w:rsidRPr="00421412">
        <w:t>M&amp;E</w:t>
      </w:r>
      <w:r w:rsidRPr="00421412">
        <w:tab/>
      </w:r>
      <w:r w:rsidRPr="00421412">
        <w:tab/>
        <w:t>Monitoring and Evaluation</w:t>
      </w:r>
    </w:p>
    <w:p w14:paraId="29BDA205" w14:textId="67C0A759" w:rsidR="00B81512" w:rsidRPr="00421412" w:rsidRDefault="00B81512" w:rsidP="00B81512">
      <w:pPr>
        <w:spacing w:before="40"/>
      </w:pPr>
      <w:r w:rsidRPr="00421412">
        <w:t>MEP</w:t>
      </w:r>
      <w:r w:rsidRPr="00421412">
        <w:tab/>
      </w:r>
      <w:r w:rsidRPr="00421412">
        <w:tab/>
        <w:t>Ministry of Environmental Protection</w:t>
      </w:r>
    </w:p>
    <w:p w14:paraId="6AFD656B" w14:textId="77777777" w:rsidR="00B81512" w:rsidRPr="00421412" w:rsidRDefault="00B81512" w:rsidP="00B81512">
      <w:pPr>
        <w:spacing w:before="40"/>
      </w:pPr>
      <w:r w:rsidRPr="00421412">
        <w:t>M</w:t>
      </w:r>
      <w:r>
        <w:t>RV</w:t>
      </w:r>
      <w:r w:rsidRPr="00421412">
        <w:tab/>
      </w:r>
      <w:r w:rsidRPr="00421412">
        <w:tab/>
        <w:t xml:space="preserve">Monitoring, Reporting </w:t>
      </w:r>
      <w:r>
        <w:t xml:space="preserve">and </w:t>
      </w:r>
      <w:r w:rsidRPr="00421412">
        <w:t>Verification</w:t>
      </w:r>
    </w:p>
    <w:p w14:paraId="16289E47" w14:textId="77777777" w:rsidR="00B81512" w:rsidRPr="00421412" w:rsidRDefault="00B81512" w:rsidP="00B81512">
      <w:pPr>
        <w:spacing w:before="40"/>
      </w:pPr>
      <w:r w:rsidRPr="00421412">
        <w:t>NC</w:t>
      </w:r>
      <w:r w:rsidRPr="00421412">
        <w:tab/>
      </w:r>
      <w:r w:rsidRPr="00421412">
        <w:tab/>
        <w:t>National Communication</w:t>
      </w:r>
    </w:p>
    <w:p w14:paraId="2F4CCC8E" w14:textId="77777777" w:rsidR="00B81512" w:rsidRDefault="00B81512" w:rsidP="00B81512">
      <w:pPr>
        <w:spacing w:before="40"/>
      </w:pPr>
      <w:r>
        <w:t>NCCC</w:t>
      </w:r>
      <w:r>
        <w:tab/>
      </w:r>
      <w:r>
        <w:tab/>
      </w:r>
      <w:r w:rsidRPr="005065A0">
        <w:t>National Climate Change Committee</w:t>
      </w:r>
    </w:p>
    <w:p w14:paraId="3050375B" w14:textId="77777777" w:rsidR="00B81512" w:rsidRDefault="00B81512" w:rsidP="00B81512">
      <w:pPr>
        <w:spacing w:before="40"/>
      </w:pPr>
      <w:r>
        <w:t>NDC</w:t>
      </w:r>
      <w:r>
        <w:tab/>
      </w:r>
      <w:r>
        <w:tab/>
      </w:r>
      <w:r w:rsidRPr="00D2601D">
        <w:t>Nationally Determined Contributions</w:t>
      </w:r>
    </w:p>
    <w:p w14:paraId="10687AC0" w14:textId="77777777" w:rsidR="00B81512" w:rsidRPr="00421412" w:rsidRDefault="00B81512" w:rsidP="00B81512">
      <w:pPr>
        <w:spacing w:before="40"/>
      </w:pPr>
      <w:r w:rsidRPr="00421412">
        <w:t>NIM</w:t>
      </w:r>
      <w:r w:rsidRPr="00421412">
        <w:tab/>
      </w:r>
      <w:r w:rsidRPr="00421412">
        <w:tab/>
        <w:t>National Implementation</w:t>
      </w:r>
      <w:r>
        <w:t xml:space="preserve"> Modality</w:t>
      </w:r>
    </w:p>
    <w:p w14:paraId="1339BF51" w14:textId="77777777" w:rsidR="00B81512" w:rsidRPr="00421412" w:rsidRDefault="00B81512" w:rsidP="00B81512">
      <w:pPr>
        <w:spacing w:before="40"/>
      </w:pPr>
      <w:r w:rsidRPr="00421412">
        <w:t>NGO</w:t>
      </w:r>
      <w:r w:rsidRPr="00421412">
        <w:tab/>
      </w:r>
      <w:r w:rsidRPr="00421412">
        <w:tab/>
        <w:t>Non-Governmental Organization</w:t>
      </w:r>
    </w:p>
    <w:p w14:paraId="296D364F" w14:textId="77777777" w:rsidR="00B81512" w:rsidRPr="00421412" w:rsidRDefault="00B81512" w:rsidP="00B81512">
      <w:pPr>
        <w:spacing w:before="40"/>
      </w:pPr>
      <w:r w:rsidRPr="00421412">
        <w:t>PB</w:t>
      </w:r>
      <w:r w:rsidRPr="00421412">
        <w:tab/>
      </w:r>
      <w:r w:rsidRPr="00421412">
        <w:tab/>
        <w:t>Project Board</w:t>
      </w:r>
    </w:p>
    <w:p w14:paraId="5DC92ACC" w14:textId="77777777" w:rsidR="00B81512" w:rsidRDefault="00B81512" w:rsidP="00B81512">
      <w:pPr>
        <w:spacing w:before="40"/>
      </w:pPr>
      <w:r>
        <w:t>PCA</w:t>
      </w:r>
      <w:r>
        <w:tab/>
      </w:r>
      <w:r>
        <w:tab/>
        <w:t>Paris Climate Agreement</w:t>
      </w:r>
    </w:p>
    <w:p w14:paraId="097BB37F" w14:textId="77777777" w:rsidR="00B81512" w:rsidRPr="00421412" w:rsidRDefault="00B81512" w:rsidP="00B81512">
      <w:pPr>
        <w:spacing w:before="40"/>
      </w:pPr>
      <w:r w:rsidRPr="00421412">
        <w:t>PIR</w:t>
      </w:r>
      <w:r w:rsidRPr="00421412">
        <w:tab/>
      </w:r>
      <w:r w:rsidRPr="00421412">
        <w:tab/>
        <w:t>Project Implementation Review</w:t>
      </w:r>
    </w:p>
    <w:p w14:paraId="69A1CB60" w14:textId="77777777" w:rsidR="00B81512" w:rsidRPr="00421412" w:rsidRDefault="00B81512" w:rsidP="00B81512">
      <w:pPr>
        <w:spacing w:before="40"/>
      </w:pPr>
      <w:r w:rsidRPr="00421412">
        <w:t>PMU</w:t>
      </w:r>
      <w:r w:rsidRPr="00421412">
        <w:tab/>
      </w:r>
      <w:r w:rsidRPr="00421412">
        <w:tab/>
        <w:t>Project Management Unit</w:t>
      </w:r>
    </w:p>
    <w:p w14:paraId="7F042393" w14:textId="77777777" w:rsidR="00B81512" w:rsidRPr="00421412" w:rsidRDefault="00B81512" w:rsidP="00B81512">
      <w:pPr>
        <w:spacing w:before="40"/>
      </w:pPr>
      <w:r w:rsidRPr="00421412">
        <w:t>PPG</w:t>
      </w:r>
      <w:r w:rsidRPr="00421412">
        <w:tab/>
      </w:r>
      <w:r w:rsidRPr="00421412">
        <w:tab/>
        <w:t>Project Preparation Grant</w:t>
      </w:r>
    </w:p>
    <w:p w14:paraId="5CD5A859" w14:textId="77777777" w:rsidR="00B81512" w:rsidRPr="00421412" w:rsidRDefault="00B81512" w:rsidP="00B81512">
      <w:pPr>
        <w:spacing w:before="40"/>
      </w:pPr>
      <w:r w:rsidRPr="00421412">
        <w:t>PSC</w:t>
      </w:r>
      <w:r w:rsidRPr="00421412">
        <w:tab/>
      </w:r>
      <w:r w:rsidRPr="00421412">
        <w:tab/>
        <w:t>Project Steering Committee</w:t>
      </w:r>
    </w:p>
    <w:p w14:paraId="0BA8588B" w14:textId="77777777" w:rsidR="00B81512" w:rsidRPr="00421412" w:rsidRDefault="00B81512" w:rsidP="00B81512">
      <w:pPr>
        <w:spacing w:before="40"/>
      </w:pPr>
      <w:r w:rsidRPr="00421412">
        <w:t>QPR</w:t>
      </w:r>
      <w:r w:rsidRPr="00421412">
        <w:tab/>
      </w:r>
      <w:r w:rsidRPr="00421412">
        <w:tab/>
        <w:t>Quarterly Progress Report</w:t>
      </w:r>
    </w:p>
    <w:p w14:paraId="545989C9" w14:textId="77777777" w:rsidR="00B81512" w:rsidRPr="00421412" w:rsidRDefault="00B81512" w:rsidP="00B81512">
      <w:pPr>
        <w:spacing w:before="40"/>
      </w:pPr>
      <w:r w:rsidRPr="00421412">
        <w:t>SEPA</w:t>
      </w:r>
      <w:r w:rsidRPr="00421412">
        <w:tab/>
      </w:r>
      <w:r w:rsidRPr="00421412">
        <w:tab/>
        <w:t>Serbian Environment Protection Agency</w:t>
      </w:r>
    </w:p>
    <w:p w14:paraId="6DF5A57D" w14:textId="418C8397" w:rsidR="00C660E1" w:rsidRDefault="00C660E1" w:rsidP="00B81512">
      <w:pPr>
        <w:spacing w:before="40"/>
      </w:pPr>
      <w:r>
        <w:t>TT</w:t>
      </w:r>
      <w:r>
        <w:tab/>
      </w:r>
      <w:r>
        <w:tab/>
        <w:t>Tracking Tool</w:t>
      </w:r>
    </w:p>
    <w:p w14:paraId="0A07D431" w14:textId="655E4E7B" w:rsidR="00B81512" w:rsidRPr="00421412" w:rsidRDefault="00B81512" w:rsidP="00B81512">
      <w:pPr>
        <w:spacing w:before="40"/>
      </w:pPr>
      <w:r w:rsidRPr="00421412">
        <w:t>UNDP</w:t>
      </w:r>
      <w:r w:rsidRPr="00421412">
        <w:tab/>
      </w:r>
      <w:r w:rsidRPr="00421412">
        <w:tab/>
        <w:t>United Nations Development Programme</w:t>
      </w:r>
    </w:p>
    <w:p w14:paraId="69640C0D" w14:textId="77777777" w:rsidR="00B81512" w:rsidRPr="00421412" w:rsidRDefault="00B81512" w:rsidP="00B81512">
      <w:pPr>
        <w:pStyle w:val="ListParagraph"/>
        <w:spacing w:before="40"/>
        <w:ind w:left="0"/>
        <w:rPr>
          <w:sz w:val="24"/>
          <w:szCs w:val="24"/>
          <w:lang w:val="en-GB"/>
        </w:rPr>
      </w:pPr>
      <w:r w:rsidRPr="00421412">
        <w:rPr>
          <w:sz w:val="24"/>
          <w:szCs w:val="24"/>
          <w:lang w:val="en-GB"/>
        </w:rPr>
        <w:t>UNFCCC</w:t>
      </w:r>
      <w:r w:rsidRPr="00421412">
        <w:rPr>
          <w:sz w:val="24"/>
          <w:szCs w:val="24"/>
          <w:lang w:val="en-GB"/>
        </w:rPr>
        <w:tab/>
        <w:t>United Nations Framework Convention on Climate Change</w:t>
      </w:r>
    </w:p>
    <w:p w14:paraId="20DDCC08" w14:textId="77777777" w:rsidR="00B81512" w:rsidRDefault="00B81512" w:rsidP="006C761C">
      <w:pPr>
        <w:spacing w:before="0" w:after="120"/>
        <w:jc w:val="center"/>
        <w:rPr>
          <w:rFonts w:ascii="Arial" w:hAnsi="Arial" w:cs="Arial"/>
          <w:color w:val="000000"/>
          <w:sz w:val="20"/>
          <w:szCs w:val="20"/>
          <w:lang w:val="sk-SK"/>
        </w:rPr>
      </w:pPr>
    </w:p>
    <w:p w14:paraId="543DFF5A" w14:textId="77777777" w:rsidR="00550CCF" w:rsidRDefault="006C761C" w:rsidP="006C761C">
      <w:pPr>
        <w:spacing w:before="0"/>
        <w:jc w:val="center"/>
        <w:rPr>
          <w:b/>
          <w:color w:val="2F5496"/>
        </w:rPr>
      </w:pPr>
      <w:r>
        <w:rPr>
          <w:sz w:val="22"/>
          <w:szCs w:val="22"/>
          <w:lang w:val="en-CA"/>
        </w:rPr>
        <w:br w:type="page"/>
      </w:r>
      <w:r w:rsidRPr="006C761C">
        <w:rPr>
          <w:b/>
          <w:color w:val="2F5496"/>
        </w:rPr>
        <w:lastRenderedPageBreak/>
        <w:t>Acknowledgement</w:t>
      </w:r>
    </w:p>
    <w:p w14:paraId="697A0B24" w14:textId="77777777" w:rsidR="006C761C" w:rsidRDefault="006C761C" w:rsidP="006C761C">
      <w:pPr>
        <w:spacing w:before="0"/>
        <w:jc w:val="center"/>
        <w:rPr>
          <w:b/>
          <w:color w:val="2F5496"/>
        </w:rPr>
      </w:pPr>
    </w:p>
    <w:p w14:paraId="0DBAC925" w14:textId="054BCB64" w:rsidR="004B443F" w:rsidRDefault="004B443F" w:rsidP="00C77B5E">
      <w:pPr>
        <w:tabs>
          <w:tab w:val="left" w:pos="5600"/>
        </w:tabs>
        <w:spacing w:before="0"/>
        <w:rPr>
          <w:color w:val="000000"/>
          <w:sz w:val="22"/>
          <w:szCs w:val="22"/>
        </w:rPr>
      </w:pPr>
      <w:r w:rsidRPr="004B443F">
        <w:rPr>
          <w:color w:val="000000"/>
          <w:sz w:val="22"/>
          <w:szCs w:val="22"/>
        </w:rPr>
        <w:t xml:space="preserve">The MTR Team would like to express appreciation to </w:t>
      </w:r>
      <w:r>
        <w:rPr>
          <w:color w:val="000000"/>
          <w:sz w:val="22"/>
          <w:szCs w:val="22"/>
        </w:rPr>
        <w:t xml:space="preserve">the Project Implementing Unit </w:t>
      </w:r>
      <w:r w:rsidRPr="004B443F">
        <w:rPr>
          <w:color w:val="000000"/>
          <w:sz w:val="22"/>
          <w:szCs w:val="22"/>
        </w:rPr>
        <w:t>for sharing all relevant document</w:t>
      </w:r>
      <w:r>
        <w:rPr>
          <w:color w:val="000000"/>
          <w:sz w:val="22"/>
          <w:szCs w:val="22"/>
        </w:rPr>
        <w:t>s</w:t>
      </w:r>
      <w:r w:rsidRPr="004B443F">
        <w:rPr>
          <w:color w:val="000000"/>
          <w:sz w:val="22"/>
          <w:szCs w:val="22"/>
        </w:rPr>
        <w:t xml:space="preserve"> on the project and </w:t>
      </w:r>
      <w:r>
        <w:rPr>
          <w:color w:val="000000"/>
          <w:sz w:val="22"/>
          <w:szCs w:val="22"/>
        </w:rPr>
        <w:t xml:space="preserve">to </w:t>
      </w:r>
      <w:r w:rsidRPr="004B443F">
        <w:rPr>
          <w:color w:val="000000"/>
          <w:sz w:val="22"/>
          <w:szCs w:val="22"/>
        </w:rPr>
        <w:t xml:space="preserve">all </w:t>
      </w:r>
      <w:r>
        <w:rPr>
          <w:color w:val="000000"/>
          <w:sz w:val="22"/>
          <w:szCs w:val="22"/>
        </w:rPr>
        <w:t xml:space="preserve">interviewed </w:t>
      </w:r>
      <w:r w:rsidRPr="004B443F">
        <w:rPr>
          <w:color w:val="000000"/>
          <w:sz w:val="22"/>
          <w:szCs w:val="22"/>
        </w:rPr>
        <w:t xml:space="preserve">project stakeholders for </w:t>
      </w:r>
      <w:r>
        <w:rPr>
          <w:color w:val="000000"/>
          <w:sz w:val="22"/>
          <w:szCs w:val="22"/>
        </w:rPr>
        <w:t xml:space="preserve">participation </w:t>
      </w:r>
      <w:r w:rsidR="003A7551">
        <w:rPr>
          <w:color w:val="000000"/>
          <w:sz w:val="22"/>
          <w:szCs w:val="22"/>
        </w:rPr>
        <w:t xml:space="preserve">in the </w:t>
      </w:r>
      <w:r w:rsidRPr="004B443F">
        <w:rPr>
          <w:color w:val="000000"/>
          <w:sz w:val="22"/>
          <w:szCs w:val="22"/>
        </w:rPr>
        <w:t>dialogue</w:t>
      </w:r>
      <w:r>
        <w:rPr>
          <w:color w:val="000000"/>
          <w:sz w:val="22"/>
          <w:szCs w:val="22"/>
        </w:rPr>
        <w:t xml:space="preserve"> </w:t>
      </w:r>
      <w:r w:rsidRPr="004B443F">
        <w:rPr>
          <w:color w:val="000000"/>
          <w:sz w:val="22"/>
          <w:szCs w:val="22"/>
        </w:rPr>
        <w:t>about key findings and pertinent issues of the</w:t>
      </w:r>
      <w:r>
        <w:rPr>
          <w:color w:val="000000"/>
          <w:sz w:val="22"/>
          <w:szCs w:val="22"/>
        </w:rPr>
        <w:t xml:space="preserve"> review</w:t>
      </w:r>
      <w:r w:rsidRPr="004B443F">
        <w:rPr>
          <w:color w:val="000000"/>
          <w:sz w:val="22"/>
          <w:szCs w:val="22"/>
        </w:rPr>
        <w:t xml:space="preserve">. Through provision of </w:t>
      </w:r>
      <w:r>
        <w:rPr>
          <w:color w:val="000000"/>
          <w:sz w:val="22"/>
          <w:szCs w:val="22"/>
        </w:rPr>
        <w:t xml:space="preserve">the documentation and </w:t>
      </w:r>
      <w:r w:rsidRPr="004B443F">
        <w:rPr>
          <w:color w:val="000000"/>
          <w:sz w:val="22"/>
          <w:szCs w:val="22"/>
        </w:rPr>
        <w:t>their valuable insights and candid opinions on the project implementation and results, they have collectively contributed to the smooth conduct and effective completion of this</w:t>
      </w:r>
      <w:r>
        <w:rPr>
          <w:color w:val="000000"/>
          <w:sz w:val="22"/>
          <w:szCs w:val="22"/>
        </w:rPr>
        <w:t xml:space="preserve"> review</w:t>
      </w:r>
      <w:r w:rsidRPr="004B443F">
        <w:rPr>
          <w:color w:val="000000"/>
          <w:sz w:val="22"/>
          <w:szCs w:val="22"/>
        </w:rPr>
        <w:t>.</w:t>
      </w:r>
    </w:p>
    <w:p w14:paraId="4A568873" w14:textId="77777777" w:rsidR="004B443F" w:rsidRDefault="004B443F" w:rsidP="00C77B5E">
      <w:pPr>
        <w:tabs>
          <w:tab w:val="left" w:pos="5600"/>
        </w:tabs>
        <w:spacing w:before="0"/>
        <w:rPr>
          <w:color w:val="000000"/>
          <w:sz w:val="22"/>
          <w:szCs w:val="22"/>
        </w:rPr>
      </w:pPr>
    </w:p>
    <w:p w14:paraId="42577CFF" w14:textId="2BD4B725" w:rsidR="00C77B5E" w:rsidRPr="004B443F" w:rsidRDefault="00C77B5E" w:rsidP="00C77B5E">
      <w:pPr>
        <w:tabs>
          <w:tab w:val="left" w:pos="5600"/>
        </w:tabs>
        <w:spacing w:before="0"/>
        <w:rPr>
          <w:color w:val="000000"/>
          <w:sz w:val="22"/>
          <w:szCs w:val="22"/>
        </w:rPr>
      </w:pPr>
      <w:r w:rsidRPr="004B443F">
        <w:rPr>
          <w:color w:val="000000"/>
          <w:sz w:val="22"/>
          <w:szCs w:val="22"/>
        </w:rPr>
        <w:tab/>
      </w:r>
    </w:p>
    <w:p w14:paraId="48ADD2BF" w14:textId="445D1766" w:rsidR="005313ED" w:rsidRDefault="005313ED" w:rsidP="00C77B5E">
      <w:pPr>
        <w:tabs>
          <w:tab w:val="left" w:pos="5600"/>
        </w:tabs>
        <w:spacing w:before="0"/>
        <w:rPr>
          <w:rFonts w:ascii="Helvetica" w:hAnsi="Helvetica" w:cs="Helvetica"/>
          <w:color w:val="000000"/>
          <w:sz w:val="20"/>
          <w:szCs w:val="20"/>
          <w:lang w:val="sk-SK"/>
        </w:rPr>
      </w:pPr>
      <w:r w:rsidRPr="004B443F">
        <w:rPr>
          <w:sz w:val="22"/>
          <w:szCs w:val="22"/>
        </w:rPr>
        <w:br w:type="page"/>
      </w:r>
      <w:r w:rsidR="00C77B5E">
        <w:rPr>
          <w:color w:val="000000"/>
          <w:sz w:val="22"/>
          <w:szCs w:val="22"/>
          <w:lang w:val="sk-SK"/>
        </w:rPr>
        <w:lastRenderedPageBreak/>
        <w:tab/>
      </w:r>
    </w:p>
    <w:p w14:paraId="7085FFD9" w14:textId="765581E6" w:rsidR="00697AC5" w:rsidRDefault="005313ED" w:rsidP="002E2D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b/>
          <w:color w:val="2F5496"/>
          <w:sz w:val="28"/>
          <w:szCs w:val="28"/>
          <w:lang w:val="sk-SK"/>
        </w:rPr>
      </w:pPr>
      <w:r w:rsidRPr="00B671C6">
        <w:rPr>
          <w:b/>
          <w:color w:val="2F5496"/>
          <w:sz w:val="28"/>
          <w:szCs w:val="28"/>
          <w:lang w:val="sk-SK"/>
        </w:rPr>
        <w:t xml:space="preserve">Table of </w:t>
      </w:r>
      <w:r w:rsidR="0004025A" w:rsidRPr="00B671C6">
        <w:rPr>
          <w:b/>
          <w:color w:val="2F5496"/>
          <w:sz w:val="28"/>
          <w:szCs w:val="28"/>
          <w:lang w:val="sk-SK"/>
        </w:rPr>
        <w:t>Contents</w:t>
      </w:r>
    </w:p>
    <w:p w14:paraId="49654506" w14:textId="77777777" w:rsidR="002E2D7C" w:rsidRDefault="002E2D7C" w:rsidP="002E2D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b/>
          <w:color w:val="2F5496"/>
          <w:sz w:val="28"/>
          <w:szCs w:val="28"/>
          <w:lang w:val="sk-SK"/>
        </w:rPr>
      </w:pPr>
    </w:p>
    <w:p w14:paraId="6B6D6812" w14:textId="61947824" w:rsidR="002E2D7C" w:rsidRDefault="008512B2" w:rsidP="002E2D7C">
      <w:pPr>
        <w:pStyle w:val="TOC1"/>
        <w:tabs>
          <w:tab w:val="right" w:leader="dot" w:pos="9056"/>
        </w:tabs>
        <w:spacing w:after="0" w:line="240" w:lineRule="auto"/>
        <w:rPr>
          <w:rFonts w:asciiTheme="minorHAnsi" w:eastAsiaTheme="minorEastAsia" w:hAnsiTheme="minorHAnsi" w:cstheme="minorBidi"/>
          <w:noProof/>
        </w:rPr>
      </w:pPr>
      <w:r>
        <w:rPr>
          <w:b/>
          <w:color w:val="2F5496"/>
          <w:sz w:val="28"/>
          <w:szCs w:val="28"/>
          <w:lang w:val="sk-SK"/>
        </w:rPr>
        <w:fldChar w:fldCharType="begin"/>
      </w:r>
      <w:r>
        <w:rPr>
          <w:b/>
          <w:color w:val="2F5496"/>
          <w:sz w:val="28"/>
          <w:szCs w:val="28"/>
          <w:lang w:val="sk-SK"/>
        </w:rPr>
        <w:instrText xml:space="preserve"> TOC \o "1-3" \h \z \u </w:instrText>
      </w:r>
      <w:r>
        <w:rPr>
          <w:b/>
          <w:color w:val="2F5496"/>
          <w:sz w:val="28"/>
          <w:szCs w:val="28"/>
          <w:lang w:val="sk-SK"/>
        </w:rPr>
        <w:fldChar w:fldCharType="separate"/>
      </w:r>
      <w:hyperlink w:anchor="_Toc66777391" w:history="1">
        <w:r w:rsidR="002E2D7C" w:rsidRPr="00DA4683">
          <w:rPr>
            <w:rStyle w:val="Hyperlink"/>
            <w:noProof/>
          </w:rPr>
          <w:t>Executive Summary</w:t>
        </w:r>
        <w:r w:rsidR="002E2D7C">
          <w:rPr>
            <w:noProof/>
            <w:webHidden/>
          </w:rPr>
          <w:tab/>
        </w:r>
        <w:r w:rsidR="002E2D7C">
          <w:rPr>
            <w:noProof/>
            <w:webHidden/>
          </w:rPr>
          <w:fldChar w:fldCharType="begin"/>
        </w:r>
        <w:r w:rsidR="002E2D7C">
          <w:rPr>
            <w:noProof/>
            <w:webHidden/>
          </w:rPr>
          <w:instrText xml:space="preserve"> PAGEREF _Toc66777391 \h </w:instrText>
        </w:r>
        <w:r w:rsidR="002E2D7C">
          <w:rPr>
            <w:noProof/>
            <w:webHidden/>
          </w:rPr>
        </w:r>
        <w:r w:rsidR="002E2D7C">
          <w:rPr>
            <w:noProof/>
            <w:webHidden/>
          </w:rPr>
          <w:fldChar w:fldCharType="separate"/>
        </w:r>
        <w:r w:rsidR="002E2D7C">
          <w:rPr>
            <w:noProof/>
            <w:webHidden/>
          </w:rPr>
          <w:t>i</w:t>
        </w:r>
        <w:r w:rsidR="002E2D7C">
          <w:rPr>
            <w:noProof/>
            <w:webHidden/>
          </w:rPr>
          <w:fldChar w:fldCharType="end"/>
        </w:r>
      </w:hyperlink>
    </w:p>
    <w:p w14:paraId="5F3E7618" w14:textId="7C485B49" w:rsidR="002E2D7C" w:rsidRDefault="00714358" w:rsidP="002E2D7C">
      <w:pPr>
        <w:pStyle w:val="TOC1"/>
        <w:tabs>
          <w:tab w:val="right" w:leader="dot" w:pos="9056"/>
        </w:tabs>
        <w:spacing w:after="0" w:line="240" w:lineRule="auto"/>
        <w:rPr>
          <w:rFonts w:asciiTheme="minorHAnsi" w:eastAsiaTheme="minorEastAsia" w:hAnsiTheme="minorHAnsi" w:cstheme="minorBidi"/>
          <w:noProof/>
        </w:rPr>
      </w:pPr>
      <w:hyperlink w:anchor="_Toc66777392" w:history="1">
        <w:r w:rsidR="002E2D7C" w:rsidRPr="00DA4683">
          <w:rPr>
            <w:rStyle w:val="Hyperlink"/>
            <w:noProof/>
          </w:rPr>
          <w:t>Introduction</w:t>
        </w:r>
        <w:r w:rsidR="002E2D7C">
          <w:rPr>
            <w:noProof/>
            <w:webHidden/>
          </w:rPr>
          <w:tab/>
        </w:r>
        <w:r w:rsidR="002E2D7C">
          <w:rPr>
            <w:noProof/>
            <w:webHidden/>
          </w:rPr>
          <w:fldChar w:fldCharType="begin"/>
        </w:r>
        <w:r w:rsidR="002E2D7C">
          <w:rPr>
            <w:noProof/>
            <w:webHidden/>
          </w:rPr>
          <w:instrText xml:space="preserve"> PAGEREF _Toc66777392 \h </w:instrText>
        </w:r>
        <w:r w:rsidR="002E2D7C">
          <w:rPr>
            <w:noProof/>
            <w:webHidden/>
          </w:rPr>
        </w:r>
        <w:r w:rsidR="002E2D7C">
          <w:rPr>
            <w:noProof/>
            <w:webHidden/>
          </w:rPr>
          <w:fldChar w:fldCharType="separate"/>
        </w:r>
        <w:r w:rsidR="002E2D7C">
          <w:rPr>
            <w:noProof/>
            <w:webHidden/>
          </w:rPr>
          <w:t>1</w:t>
        </w:r>
        <w:r w:rsidR="002E2D7C">
          <w:rPr>
            <w:noProof/>
            <w:webHidden/>
          </w:rPr>
          <w:fldChar w:fldCharType="end"/>
        </w:r>
      </w:hyperlink>
    </w:p>
    <w:p w14:paraId="7A4564C9" w14:textId="1C0AC3B0"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393" w:history="1">
        <w:r w:rsidR="002E2D7C" w:rsidRPr="00DA4683">
          <w:rPr>
            <w:rStyle w:val="Hyperlink"/>
            <w:noProof/>
          </w:rPr>
          <w:t>Purpose of the MTR and Objectives</w:t>
        </w:r>
        <w:r w:rsidR="002E2D7C">
          <w:rPr>
            <w:noProof/>
            <w:webHidden/>
          </w:rPr>
          <w:tab/>
        </w:r>
        <w:r w:rsidR="002E2D7C">
          <w:rPr>
            <w:noProof/>
            <w:webHidden/>
          </w:rPr>
          <w:fldChar w:fldCharType="begin"/>
        </w:r>
        <w:r w:rsidR="002E2D7C">
          <w:rPr>
            <w:noProof/>
            <w:webHidden/>
          </w:rPr>
          <w:instrText xml:space="preserve"> PAGEREF _Toc66777393 \h </w:instrText>
        </w:r>
        <w:r w:rsidR="002E2D7C">
          <w:rPr>
            <w:noProof/>
            <w:webHidden/>
          </w:rPr>
        </w:r>
        <w:r w:rsidR="002E2D7C">
          <w:rPr>
            <w:noProof/>
            <w:webHidden/>
          </w:rPr>
          <w:fldChar w:fldCharType="separate"/>
        </w:r>
        <w:r w:rsidR="002E2D7C">
          <w:rPr>
            <w:noProof/>
            <w:webHidden/>
          </w:rPr>
          <w:t>1</w:t>
        </w:r>
        <w:r w:rsidR="002E2D7C">
          <w:rPr>
            <w:noProof/>
            <w:webHidden/>
          </w:rPr>
          <w:fldChar w:fldCharType="end"/>
        </w:r>
      </w:hyperlink>
    </w:p>
    <w:p w14:paraId="53386CB4" w14:textId="5F66B047"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394" w:history="1">
        <w:r w:rsidR="002E2D7C" w:rsidRPr="00DA4683">
          <w:rPr>
            <w:rStyle w:val="Hyperlink"/>
            <w:noProof/>
          </w:rPr>
          <w:t>Scope and Methodology</w:t>
        </w:r>
        <w:r w:rsidR="002E2D7C">
          <w:rPr>
            <w:noProof/>
            <w:webHidden/>
          </w:rPr>
          <w:tab/>
        </w:r>
        <w:r w:rsidR="002E2D7C">
          <w:rPr>
            <w:noProof/>
            <w:webHidden/>
          </w:rPr>
          <w:fldChar w:fldCharType="begin"/>
        </w:r>
        <w:r w:rsidR="002E2D7C">
          <w:rPr>
            <w:noProof/>
            <w:webHidden/>
          </w:rPr>
          <w:instrText xml:space="preserve"> PAGEREF _Toc66777394 \h </w:instrText>
        </w:r>
        <w:r w:rsidR="002E2D7C">
          <w:rPr>
            <w:noProof/>
            <w:webHidden/>
          </w:rPr>
        </w:r>
        <w:r w:rsidR="002E2D7C">
          <w:rPr>
            <w:noProof/>
            <w:webHidden/>
          </w:rPr>
          <w:fldChar w:fldCharType="separate"/>
        </w:r>
        <w:r w:rsidR="002E2D7C">
          <w:rPr>
            <w:noProof/>
            <w:webHidden/>
          </w:rPr>
          <w:t>1</w:t>
        </w:r>
        <w:r w:rsidR="002E2D7C">
          <w:rPr>
            <w:noProof/>
            <w:webHidden/>
          </w:rPr>
          <w:fldChar w:fldCharType="end"/>
        </w:r>
      </w:hyperlink>
    </w:p>
    <w:p w14:paraId="36AF0EA2" w14:textId="17B6F424"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395" w:history="1">
        <w:r w:rsidR="002E2D7C" w:rsidRPr="00DA4683">
          <w:rPr>
            <w:rStyle w:val="Hyperlink"/>
            <w:noProof/>
          </w:rPr>
          <w:t>MTR Approach and Data Collection Methods</w:t>
        </w:r>
        <w:r w:rsidR="002E2D7C">
          <w:rPr>
            <w:noProof/>
            <w:webHidden/>
          </w:rPr>
          <w:tab/>
        </w:r>
        <w:r w:rsidR="002E2D7C">
          <w:rPr>
            <w:noProof/>
            <w:webHidden/>
          </w:rPr>
          <w:fldChar w:fldCharType="begin"/>
        </w:r>
        <w:r w:rsidR="002E2D7C">
          <w:rPr>
            <w:noProof/>
            <w:webHidden/>
          </w:rPr>
          <w:instrText xml:space="preserve"> PAGEREF _Toc66777395 \h </w:instrText>
        </w:r>
        <w:r w:rsidR="002E2D7C">
          <w:rPr>
            <w:noProof/>
            <w:webHidden/>
          </w:rPr>
        </w:r>
        <w:r w:rsidR="002E2D7C">
          <w:rPr>
            <w:noProof/>
            <w:webHidden/>
          </w:rPr>
          <w:fldChar w:fldCharType="separate"/>
        </w:r>
        <w:r w:rsidR="002E2D7C">
          <w:rPr>
            <w:noProof/>
            <w:webHidden/>
          </w:rPr>
          <w:t>2</w:t>
        </w:r>
        <w:r w:rsidR="002E2D7C">
          <w:rPr>
            <w:noProof/>
            <w:webHidden/>
          </w:rPr>
          <w:fldChar w:fldCharType="end"/>
        </w:r>
      </w:hyperlink>
    </w:p>
    <w:p w14:paraId="74D11D23" w14:textId="048475CF"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396" w:history="1">
        <w:r w:rsidR="002E2D7C" w:rsidRPr="00DA4683">
          <w:rPr>
            <w:rStyle w:val="Hyperlink"/>
            <w:noProof/>
          </w:rPr>
          <w:t>Structure of the MTR Report</w:t>
        </w:r>
        <w:r w:rsidR="002E2D7C">
          <w:rPr>
            <w:noProof/>
            <w:webHidden/>
          </w:rPr>
          <w:tab/>
        </w:r>
        <w:r w:rsidR="002E2D7C">
          <w:rPr>
            <w:noProof/>
            <w:webHidden/>
          </w:rPr>
          <w:fldChar w:fldCharType="begin"/>
        </w:r>
        <w:r w:rsidR="002E2D7C">
          <w:rPr>
            <w:noProof/>
            <w:webHidden/>
          </w:rPr>
          <w:instrText xml:space="preserve"> PAGEREF _Toc66777396 \h </w:instrText>
        </w:r>
        <w:r w:rsidR="002E2D7C">
          <w:rPr>
            <w:noProof/>
            <w:webHidden/>
          </w:rPr>
        </w:r>
        <w:r w:rsidR="002E2D7C">
          <w:rPr>
            <w:noProof/>
            <w:webHidden/>
          </w:rPr>
          <w:fldChar w:fldCharType="separate"/>
        </w:r>
        <w:r w:rsidR="002E2D7C">
          <w:rPr>
            <w:noProof/>
            <w:webHidden/>
          </w:rPr>
          <w:t>2</w:t>
        </w:r>
        <w:r w:rsidR="002E2D7C">
          <w:rPr>
            <w:noProof/>
            <w:webHidden/>
          </w:rPr>
          <w:fldChar w:fldCharType="end"/>
        </w:r>
      </w:hyperlink>
    </w:p>
    <w:p w14:paraId="1557C213" w14:textId="4FAC6E9A"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397" w:history="1">
        <w:r w:rsidR="002E2D7C" w:rsidRPr="00DA4683">
          <w:rPr>
            <w:rStyle w:val="Hyperlink"/>
            <w:noProof/>
          </w:rPr>
          <w:t>Constraints and Limitations</w:t>
        </w:r>
        <w:r w:rsidR="002E2D7C">
          <w:rPr>
            <w:noProof/>
            <w:webHidden/>
          </w:rPr>
          <w:tab/>
        </w:r>
        <w:r w:rsidR="002E2D7C">
          <w:rPr>
            <w:noProof/>
            <w:webHidden/>
          </w:rPr>
          <w:fldChar w:fldCharType="begin"/>
        </w:r>
        <w:r w:rsidR="002E2D7C">
          <w:rPr>
            <w:noProof/>
            <w:webHidden/>
          </w:rPr>
          <w:instrText xml:space="preserve"> PAGEREF _Toc66777397 \h </w:instrText>
        </w:r>
        <w:r w:rsidR="002E2D7C">
          <w:rPr>
            <w:noProof/>
            <w:webHidden/>
          </w:rPr>
        </w:r>
        <w:r w:rsidR="002E2D7C">
          <w:rPr>
            <w:noProof/>
            <w:webHidden/>
          </w:rPr>
          <w:fldChar w:fldCharType="separate"/>
        </w:r>
        <w:r w:rsidR="002E2D7C">
          <w:rPr>
            <w:noProof/>
            <w:webHidden/>
          </w:rPr>
          <w:t>3</w:t>
        </w:r>
        <w:r w:rsidR="002E2D7C">
          <w:rPr>
            <w:noProof/>
            <w:webHidden/>
          </w:rPr>
          <w:fldChar w:fldCharType="end"/>
        </w:r>
      </w:hyperlink>
    </w:p>
    <w:p w14:paraId="62BD1E34" w14:textId="75534DAC" w:rsidR="002E2D7C" w:rsidRDefault="00714358" w:rsidP="002E2D7C">
      <w:pPr>
        <w:pStyle w:val="TOC1"/>
        <w:tabs>
          <w:tab w:val="right" w:leader="dot" w:pos="9056"/>
        </w:tabs>
        <w:spacing w:after="0" w:line="240" w:lineRule="auto"/>
        <w:rPr>
          <w:rFonts w:asciiTheme="minorHAnsi" w:eastAsiaTheme="minorEastAsia" w:hAnsiTheme="minorHAnsi" w:cstheme="minorBidi"/>
          <w:noProof/>
        </w:rPr>
      </w:pPr>
      <w:hyperlink w:anchor="_Toc66777398" w:history="1">
        <w:r w:rsidR="002E2D7C" w:rsidRPr="00DA4683">
          <w:rPr>
            <w:rStyle w:val="Hyperlink"/>
            <w:noProof/>
          </w:rPr>
          <w:t>Project Description and Background Context</w:t>
        </w:r>
        <w:r w:rsidR="002E2D7C">
          <w:rPr>
            <w:noProof/>
            <w:webHidden/>
          </w:rPr>
          <w:tab/>
        </w:r>
        <w:r w:rsidR="002E2D7C">
          <w:rPr>
            <w:noProof/>
            <w:webHidden/>
          </w:rPr>
          <w:fldChar w:fldCharType="begin"/>
        </w:r>
        <w:r w:rsidR="002E2D7C">
          <w:rPr>
            <w:noProof/>
            <w:webHidden/>
          </w:rPr>
          <w:instrText xml:space="preserve"> PAGEREF _Toc66777398 \h </w:instrText>
        </w:r>
        <w:r w:rsidR="002E2D7C">
          <w:rPr>
            <w:noProof/>
            <w:webHidden/>
          </w:rPr>
        </w:r>
        <w:r w:rsidR="002E2D7C">
          <w:rPr>
            <w:noProof/>
            <w:webHidden/>
          </w:rPr>
          <w:fldChar w:fldCharType="separate"/>
        </w:r>
        <w:r w:rsidR="002E2D7C">
          <w:rPr>
            <w:noProof/>
            <w:webHidden/>
          </w:rPr>
          <w:t>4</w:t>
        </w:r>
        <w:r w:rsidR="002E2D7C">
          <w:rPr>
            <w:noProof/>
            <w:webHidden/>
          </w:rPr>
          <w:fldChar w:fldCharType="end"/>
        </w:r>
      </w:hyperlink>
    </w:p>
    <w:p w14:paraId="0C3C9FCA" w14:textId="6C9A6B4B"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399" w:history="1">
        <w:r w:rsidR="002E2D7C" w:rsidRPr="00DA4683">
          <w:rPr>
            <w:rStyle w:val="Hyperlink"/>
            <w:noProof/>
          </w:rPr>
          <w:t>Project Context</w:t>
        </w:r>
        <w:r w:rsidR="002E2D7C">
          <w:rPr>
            <w:noProof/>
            <w:webHidden/>
          </w:rPr>
          <w:tab/>
        </w:r>
        <w:r w:rsidR="002E2D7C">
          <w:rPr>
            <w:noProof/>
            <w:webHidden/>
          </w:rPr>
          <w:fldChar w:fldCharType="begin"/>
        </w:r>
        <w:r w:rsidR="002E2D7C">
          <w:rPr>
            <w:noProof/>
            <w:webHidden/>
          </w:rPr>
          <w:instrText xml:space="preserve"> PAGEREF _Toc66777399 \h </w:instrText>
        </w:r>
        <w:r w:rsidR="002E2D7C">
          <w:rPr>
            <w:noProof/>
            <w:webHidden/>
          </w:rPr>
        </w:r>
        <w:r w:rsidR="002E2D7C">
          <w:rPr>
            <w:noProof/>
            <w:webHidden/>
          </w:rPr>
          <w:fldChar w:fldCharType="separate"/>
        </w:r>
        <w:r w:rsidR="002E2D7C">
          <w:rPr>
            <w:noProof/>
            <w:webHidden/>
          </w:rPr>
          <w:t>4</w:t>
        </w:r>
        <w:r w:rsidR="002E2D7C">
          <w:rPr>
            <w:noProof/>
            <w:webHidden/>
          </w:rPr>
          <w:fldChar w:fldCharType="end"/>
        </w:r>
      </w:hyperlink>
    </w:p>
    <w:p w14:paraId="0CCAB545" w14:textId="125A628C"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00" w:history="1">
        <w:r w:rsidR="002E2D7C" w:rsidRPr="00DA4683">
          <w:rPr>
            <w:rStyle w:val="Hyperlink"/>
            <w:noProof/>
          </w:rPr>
          <w:t>Problems that the project addresses</w:t>
        </w:r>
        <w:r w:rsidR="002E2D7C">
          <w:rPr>
            <w:noProof/>
            <w:webHidden/>
          </w:rPr>
          <w:tab/>
        </w:r>
        <w:r w:rsidR="002E2D7C">
          <w:rPr>
            <w:noProof/>
            <w:webHidden/>
          </w:rPr>
          <w:fldChar w:fldCharType="begin"/>
        </w:r>
        <w:r w:rsidR="002E2D7C">
          <w:rPr>
            <w:noProof/>
            <w:webHidden/>
          </w:rPr>
          <w:instrText xml:space="preserve"> PAGEREF _Toc66777400 \h </w:instrText>
        </w:r>
        <w:r w:rsidR="002E2D7C">
          <w:rPr>
            <w:noProof/>
            <w:webHidden/>
          </w:rPr>
        </w:r>
        <w:r w:rsidR="002E2D7C">
          <w:rPr>
            <w:noProof/>
            <w:webHidden/>
          </w:rPr>
          <w:fldChar w:fldCharType="separate"/>
        </w:r>
        <w:r w:rsidR="002E2D7C">
          <w:rPr>
            <w:noProof/>
            <w:webHidden/>
          </w:rPr>
          <w:t>5</w:t>
        </w:r>
        <w:r w:rsidR="002E2D7C">
          <w:rPr>
            <w:noProof/>
            <w:webHidden/>
          </w:rPr>
          <w:fldChar w:fldCharType="end"/>
        </w:r>
      </w:hyperlink>
    </w:p>
    <w:p w14:paraId="5798C3F9" w14:textId="01520F18"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01" w:history="1">
        <w:r w:rsidR="002E2D7C" w:rsidRPr="00DA4683">
          <w:rPr>
            <w:rStyle w:val="Hyperlink"/>
            <w:noProof/>
          </w:rPr>
          <w:t>Project description and strategy</w:t>
        </w:r>
        <w:r w:rsidR="002E2D7C">
          <w:rPr>
            <w:noProof/>
            <w:webHidden/>
          </w:rPr>
          <w:tab/>
        </w:r>
        <w:r w:rsidR="002E2D7C">
          <w:rPr>
            <w:noProof/>
            <w:webHidden/>
          </w:rPr>
          <w:fldChar w:fldCharType="begin"/>
        </w:r>
        <w:r w:rsidR="002E2D7C">
          <w:rPr>
            <w:noProof/>
            <w:webHidden/>
          </w:rPr>
          <w:instrText xml:space="preserve"> PAGEREF _Toc66777401 \h </w:instrText>
        </w:r>
        <w:r w:rsidR="002E2D7C">
          <w:rPr>
            <w:noProof/>
            <w:webHidden/>
          </w:rPr>
        </w:r>
        <w:r w:rsidR="002E2D7C">
          <w:rPr>
            <w:noProof/>
            <w:webHidden/>
          </w:rPr>
          <w:fldChar w:fldCharType="separate"/>
        </w:r>
        <w:r w:rsidR="002E2D7C">
          <w:rPr>
            <w:noProof/>
            <w:webHidden/>
          </w:rPr>
          <w:t>6</w:t>
        </w:r>
        <w:r w:rsidR="002E2D7C">
          <w:rPr>
            <w:noProof/>
            <w:webHidden/>
          </w:rPr>
          <w:fldChar w:fldCharType="end"/>
        </w:r>
      </w:hyperlink>
    </w:p>
    <w:p w14:paraId="1AA3123C" w14:textId="16A943B2"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02" w:history="1">
        <w:r w:rsidR="002E2D7C" w:rsidRPr="00DA4683">
          <w:rPr>
            <w:rStyle w:val="Hyperlink"/>
            <w:noProof/>
          </w:rPr>
          <w:t>Expected project results</w:t>
        </w:r>
        <w:r w:rsidR="002E2D7C">
          <w:rPr>
            <w:noProof/>
            <w:webHidden/>
          </w:rPr>
          <w:tab/>
        </w:r>
        <w:r w:rsidR="002E2D7C">
          <w:rPr>
            <w:noProof/>
            <w:webHidden/>
          </w:rPr>
          <w:fldChar w:fldCharType="begin"/>
        </w:r>
        <w:r w:rsidR="002E2D7C">
          <w:rPr>
            <w:noProof/>
            <w:webHidden/>
          </w:rPr>
          <w:instrText xml:space="preserve"> PAGEREF _Toc66777402 \h </w:instrText>
        </w:r>
        <w:r w:rsidR="002E2D7C">
          <w:rPr>
            <w:noProof/>
            <w:webHidden/>
          </w:rPr>
        </w:r>
        <w:r w:rsidR="002E2D7C">
          <w:rPr>
            <w:noProof/>
            <w:webHidden/>
          </w:rPr>
          <w:fldChar w:fldCharType="separate"/>
        </w:r>
        <w:r w:rsidR="002E2D7C">
          <w:rPr>
            <w:noProof/>
            <w:webHidden/>
          </w:rPr>
          <w:t>7</w:t>
        </w:r>
        <w:r w:rsidR="002E2D7C">
          <w:rPr>
            <w:noProof/>
            <w:webHidden/>
          </w:rPr>
          <w:fldChar w:fldCharType="end"/>
        </w:r>
      </w:hyperlink>
    </w:p>
    <w:p w14:paraId="7CFF350D" w14:textId="6D8454DC"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03" w:history="1">
        <w:r w:rsidR="002E2D7C" w:rsidRPr="00DA4683">
          <w:rPr>
            <w:rStyle w:val="Hyperlink"/>
            <w:noProof/>
          </w:rPr>
          <w:t>Project implementation arrangements</w:t>
        </w:r>
        <w:r w:rsidR="002E2D7C">
          <w:rPr>
            <w:noProof/>
            <w:webHidden/>
          </w:rPr>
          <w:tab/>
        </w:r>
        <w:r w:rsidR="002E2D7C">
          <w:rPr>
            <w:noProof/>
            <w:webHidden/>
          </w:rPr>
          <w:fldChar w:fldCharType="begin"/>
        </w:r>
        <w:r w:rsidR="002E2D7C">
          <w:rPr>
            <w:noProof/>
            <w:webHidden/>
          </w:rPr>
          <w:instrText xml:space="preserve"> PAGEREF _Toc66777403 \h </w:instrText>
        </w:r>
        <w:r w:rsidR="002E2D7C">
          <w:rPr>
            <w:noProof/>
            <w:webHidden/>
          </w:rPr>
        </w:r>
        <w:r w:rsidR="002E2D7C">
          <w:rPr>
            <w:noProof/>
            <w:webHidden/>
          </w:rPr>
          <w:fldChar w:fldCharType="separate"/>
        </w:r>
        <w:r w:rsidR="002E2D7C">
          <w:rPr>
            <w:noProof/>
            <w:webHidden/>
          </w:rPr>
          <w:t>7</w:t>
        </w:r>
        <w:r w:rsidR="002E2D7C">
          <w:rPr>
            <w:noProof/>
            <w:webHidden/>
          </w:rPr>
          <w:fldChar w:fldCharType="end"/>
        </w:r>
      </w:hyperlink>
    </w:p>
    <w:p w14:paraId="65A328D5" w14:textId="267C149C"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04" w:history="1">
        <w:r w:rsidR="002E2D7C" w:rsidRPr="00DA4683">
          <w:rPr>
            <w:rStyle w:val="Hyperlink"/>
            <w:noProof/>
          </w:rPr>
          <w:t>Project timing and milestones</w:t>
        </w:r>
        <w:r w:rsidR="002E2D7C">
          <w:rPr>
            <w:noProof/>
            <w:webHidden/>
          </w:rPr>
          <w:tab/>
        </w:r>
        <w:r w:rsidR="002E2D7C">
          <w:rPr>
            <w:noProof/>
            <w:webHidden/>
          </w:rPr>
          <w:fldChar w:fldCharType="begin"/>
        </w:r>
        <w:r w:rsidR="002E2D7C">
          <w:rPr>
            <w:noProof/>
            <w:webHidden/>
          </w:rPr>
          <w:instrText xml:space="preserve"> PAGEREF _Toc66777404 \h </w:instrText>
        </w:r>
        <w:r w:rsidR="002E2D7C">
          <w:rPr>
            <w:noProof/>
            <w:webHidden/>
          </w:rPr>
        </w:r>
        <w:r w:rsidR="002E2D7C">
          <w:rPr>
            <w:noProof/>
            <w:webHidden/>
          </w:rPr>
          <w:fldChar w:fldCharType="separate"/>
        </w:r>
        <w:r w:rsidR="002E2D7C">
          <w:rPr>
            <w:noProof/>
            <w:webHidden/>
          </w:rPr>
          <w:t>8</w:t>
        </w:r>
        <w:r w:rsidR="002E2D7C">
          <w:rPr>
            <w:noProof/>
            <w:webHidden/>
          </w:rPr>
          <w:fldChar w:fldCharType="end"/>
        </w:r>
      </w:hyperlink>
    </w:p>
    <w:p w14:paraId="3F626FFC" w14:textId="2E19F93B"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05" w:history="1">
        <w:r w:rsidR="002E2D7C" w:rsidRPr="00DA4683">
          <w:rPr>
            <w:rStyle w:val="Hyperlink"/>
            <w:noProof/>
          </w:rPr>
          <w:t>Main project stakeholders</w:t>
        </w:r>
        <w:r w:rsidR="002E2D7C">
          <w:rPr>
            <w:noProof/>
            <w:webHidden/>
          </w:rPr>
          <w:tab/>
        </w:r>
        <w:r w:rsidR="002E2D7C">
          <w:rPr>
            <w:noProof/>
            <w:webHidden/>
          </w:rPr>
          <w:fldChar w:fldCharType="begin"/>
        </w:r>
        <w:r w:rsidR="002E2D7C">
          <w:rPr>
            <w:noProof/>
            <w:webHidden/>
          </w:rPr>
          <w:instrText xml:space="preserve"> PAGEREF _Toc66777405 \h </w:instrText>
        </w:r>
        <w:r w:rsidR="002E2D7C">
          <w:rPr>
            <w:noProof/>
            <w:webHidden/>
          </w:rPr>
        </w:r>
        <w:r w:rsidR="002E2D7C">
          <w:rPr>
            <w:noProof/>
            <w:webHidden/>
          </w:rPr>
          <w:fldChar w:fldCharType="separate"/>
        </w:r>
        <w:r w:rsidR="002E2D7C">
          <w:rPr>
            <w:noProof/>
            <w:webHidden/>
          </w:rPr>
          <w:t>8</w:t>
        </w:r>
        <w:r w:rsidR="002E2D7C">
          <w:rPr>
            <w:noProof/>
            <w:webHidden/>
          </w:rPr>
          <w:fldChar w:fldCharType="end"/>
        </w:r>
      </w:hyperlink>
    </w:p>
    <w:p w14:paraId="3E6EF302" w14:textId="37108F1F" w:rsidR="002E2D7C" w:rsidRDefault="00714358" w:rsidP="002E2D7C">
      <w:pPr>
        <w:pStyle w:val="TOC1"/>
        <w:tabs>
          <w:tab w:val="right" w:leader="dot" w:pos="9056"/>
        </w:tabs>
        <w:spacing w:after="0" w:line="240" w:lineRule="auto"/>
        <w:rPr>
          <w:rFonts w:asciiTheme="minorHAnsi" w:eastAsiaTheme="minorEastAsia" w:hAnsiTheme="minorHAnsi" w:cstheme="minorBidi"/>
          <w:noProof/>
        </w:rPr>
      </w:pPr>
      <w:hyperlink w:anchor="_Toc66777406" w:history="1">
        <w:r w:rsidR="002E2D7C" w:rsidRPr="00DA4683">
          <w:rPr>
            <w:rStyle w:val="Hyperlink"/>
            <w:noProof/>
          </w:rPr>
          <w:t>Findings</w:t>
        </w:r>
        <w:r w:rsidR="002E2D7C">
          <w:rPr>
            <w:noProof/>
            <w:webHidden/>
          </w:rPr>
          <w:tab/>
        </w:r>
        <w:r w:rsidR="002E2D7C">
          <w:rPr>
            <w:noProof/>
            <w:webHidden/>
          </w:rPr>
          <w:fldChar w:fldCharType="begin"/>
        </w:r>
        <w:r w:rsidR="002E2D7C">
          <w:rPr>
            <w:noProof/>
            <w:webHidden/>
          </w:rPr>
          <w:instrText xml:space="preserve"> PAGEREF _Toc66777406 \h </w:instrText>
        </w:r>
        <w:r w:rsidR="002E2D7C">
          <w:rPr>
            <w:noProof/>
            <w:webHidden/>
          </w:rPr>
        </w:r>
        <w:r w:rsidR="002E2D7C">
          <w:rPr>
            <w:noProof/>
            <w:webHidden/>
          </w:rPr>
          <w:fldChar w:fldCharType="separate"/>
        </w:r>
        <w:r w:rsidR="002E2D7C">
          <w:rPr>
            <w:noProof/>
            <w:webHidden/>
          </w:rPr>
          <w:t>10</w:t>
        </w:r>
        <w:r w:rsidR="002E2D7C">
          <w:rPr>
            <w:noProof/>
            <w:webHidden/>
          </w:rPr>
          <w:fldChar w:fldCharType="end"/>
        </w:r>
      </w:hyperlink>
    </w:p>
    <w:p w14:paraId="416D731C" w14:textId="3B0C9545"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07" w:history="1">
        <w:r w:rsidR="002E2D7C" w:rsidRPr="00DA4683">
          <w:rPr>
            <w:rStyle w:val="Hyperlink"/>
            <w:noProof/>
          </w:rPr>
          <w:t>Project Strategy</w:t>
        </w:r>
        <w:r w:rsidR="002E2D7C">
          <w:rPr>
            <w:noProof/>
            <w:webHidden/>
          </w:rPr>
          <w:tab/>
        </w:r>
        <w:r w:rsidR="002E2D7C">
          <w:rPr>
            <w:noProof/>
            <w:webHidden/>
          </w:rPr>
          <w:fldChar w:fldCharType="begin"/>
        </w:r>
        <w:r w:rsidR="002E2D7C">
          <w:rPr>
            <w:noProof/>
            <w:webHidden/>
          </w:rPr>
          <w:instrText xml:space="preserve"> PAGEREF _Toc66777407 \h </w:instrText>
        </w:r>
        <w:r w:rsidR="002E2D7C">
          <w:rPr>
            <w:noProof/>
            <w:webHidden/>
          </w:rPr>
        </w:r>
        <w:r w:rsidR="002E2D7C">
          <w:rPr>
            <w:noProof/>
            <w:webHidden/>
          </w:rPr>
          <w:fldChar w:fldCharType="separate"/>
        </w:r>
        <w:r w:rsidR="002E2D7C">
          <w:rPr>
            <w:noProof/>
            <w:webHidden/>
          </w:rPr>
          <w:t>10</w:t>
        </w:r>
        <w:r w:rsidR="002E2D7C">
          <w:rPr>
            <w:noProof/>
            <w:webHidden/>
          </w:rPr>
          <w:fldChar w:fldCharType="end"/>
        </w:r>
      </w:hyperlink>
    </w:p>
    <w:p w14:paraId="1EE5DBC8" w14:textId="476F0272"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08" w:history="1">
        <w:r w:rsidR="002E2D7C" w:rsidRPr="00DA4683">
          <w:rPr>
            <w:rStyle w:val="Hyperlink"/>
            <w:noProof/>
          </w:rPr>
          <w:t>Project Design</w:t>
        </w:r>
        <w:r w:rsidR="002E2D7C">
          <w:rPr>
            <w:noProof/>
            <w:webHidden/>
          </w:rPr>
          <w:tab/>
        </w:r>
        <w:r w:rsidR="002E2D7C">
          <w:rPr>
            <w:noProof/>
            <w:webHidden/>
          </w:rPr>
          <w:fldChar w:fldCharType="begin"/>
        </w:r>
        <w:r w:rsidR="002E2D7C">
          <w:rPr>
            <w:noProof/>
            <w:webHidden/>
          </w:rPr>
          <w:instrText xml:space="preserve"> PAGEREF _Toc66777408 \h </w:instrText>
        </w:r>
        <w:r w:rsidR="002E2D7C">
          <w:rPr>
            <w:noProof/>
            <w:webHidden/>
          </w:rPr>
        </w:r>
        <w:r w:rsidR="002E2D7C">
          <w:rPr>
            <w:noProof/>
            <w:webHidden/>
          </w:rPr>
          <w:fldChar w:fldCharType="separate"/>
        </w:r>
        <w:r w:rsidR="002E2D7C">
          <w:rPr>
            <w:noProof/>
            <w:webHidden/>
          </w:rPr>
          <w:t>10</w:t>
        </w:r>
        <w:r w:rsidR="002E2D7C">
          <w:rPr>
            <w:noProof/>
            <w:webHidden/>
          </w:rPr>
          <w:fldChar w:fldCharType="end"/>
        </w:r>
      </w:hyperlink>
    </w:p>
    <w:p w14:paraId="732D3CA1" w14:textId="155B3AD1"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09" w:history="1">
        <w:r w:rsidR="002E2D7C" w:rsidRPr="00DA4683">
          <w:rPr>
            <w:rStyle w:val="Hyperlink"/>
            <w:noProof/>
          </w:rPr>
          <w:t>Results Framework/Logframe</w:t>
        </w:r>
        <w:r w:rsidR="002E2D7C">
          <w:rPr>
            <w:noProof/>
            <w:webHidden/>
          </w:rPr>
          <w:tab/>
        </w:r>
        <w:r w:rsidR="002E2D7C">
          <w:rPr>
            <w:noProof/>
            <w:webHidden/>
          </w:rPr>
          <w:fldChar w:fldCharType="begin"/>
        </w:r>
        <w:r w:rsidR="002E2D7C">
          <w:rPr>
            <w:noProof/>
            <w:webHidden/>
          </w:rPr>
          <w:instrText xml:space="preserve"> PAGEREF _Toc66777409 \h </w:instrText>
        </w:r>
        <w:r w:rsidR="002E2D7C">
          <w:rPr>
            <w:noProof/>
            <w:webHidden/>
          </w:rPr>
        </w:r>
        <w:r w:rsidR="002E2D7C">
          <w:rPr>
            <w:noProof/>
            <w:webHidden/>
          </w:rPr>
          <w:fldChar w:fldCharType="separate"/>
        </w:r>
        <w:r w:rsidR="002E2D7C">
          <w:rPr>
            <w:noProof/>
            <w:webHidden/>
          </w:rPr>
          <w:t>11</w:t>
        </w:r>
        <w:r w:rsidR="002E2D7C">
          <w:rPr>
            <w:noProof/>
            <w:webHidden/>
          </w:rPr>
          <w:fldChar w:fldCharType="end"/>
        </w:r>
      </w:hyperlink>
    </w:p>
    <w:p w14:paraId="297BD670" w14:textId="51738A83"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10" w:history="1">
        <w:r w:rsidR="002E2D7C" w:rsidRPr="00DA4683">
          <w:rPr>
            <w:rStyle w:val="Hyperlink"/>
            <w:noProof/>
          </w:rPr>
          <w:t>Progress Towards Results</w:t>
        </w:r>
        <w:r w:rsidR="002E2D7C">
          <w:rPr>
            <w:noProof/>
            <w:webHidden/>
          </w:rPr>
          <w:tab/>
        </w:r>
        <w:r w:rsidR="002E2D7C">
          <w:rPr>
            <w:noProof/>
            <w:webHidden/>
          </w:rPr>
          <w:fldChar w:fldCharType="begin"/>
        </w:r>
        <w:r w:rsidR="002E2D7C">
          <w:rPr>
            <w:noProof/>
            <w:webHidden/>
          </w:rPr>
          <w:instrText xml:space="preserve"> PAGEREF _Toc66777410 \h </w:instrText>
        </w:r>
        <w:r w:rsidR="002E2D7C">
          <w:rPr>
            <w:noProof/>
            <w:webHidden/>
          </w:rPr>
        </w:r>
        <w:r w:rsidR="002E2D7C">
          <w:rPr>
            <w:noProof/>
            <w:webHidden/>
          </w:rPr>
          <w:fldChar w:fldCharType="separate"/>
        </w:r>
        <w:r w:rsidR="002E2D7C">
          <w:rPr>
            <w:noProof/>
            <w:webHidden/>
          </w:rPr>
          <w:t>15</w:t>
        </w:r>
        <w:r w:rsidR="002E2D7C">
          <w:rPr>
            <w:noProof/>
            <w:webHidden/>
          </w:rPr>
          <w:fldChar w:fldCharType="end"/>
        </w:r>
      </w:hyperlink>
    </w:p>
    <w:p w14:paraId="0EDE5A89" w14:textId="2C128A77"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11" w:history="1">
        <w:r w:rsidR="002E2D7C" w:rsidRPr="00DA4683">
          <w:rPr>
            <w:rStyle w:val="Hyperlink"/>
            <w:noProof/>
          </w:rPr>
          <w:t>Progress towards Outcomes analysis</w:t>
        </w:r>
        <w:r w:rsidR="002E2D7C">
          <w:rPr>
            <w:noProof/>
            <w:webHidden/>
          </w:rPr>
          <w:tab/>
        </w:r>
        <w:r w:rsidR="002E2D7C">
          <w:rPr>
            <w:noProof/>
            <w:webHidden/>
          </w:rPr>
          <w:fldChar w:fldCharType="begin"/>
        </w:r>
        <w:r w:rsidR="002E2D7C">
          <w:rPr>
            <w:noProof/>
            <w:webHidden/>
          </w:rPr>
          <w:instrText xml:space="preserve"> PAGEREF _Toc66777411 \h </w:instrText>
        </w:r>
        <w:r w:rsidR="002E2D7C">
          <w:rPr>
            <w:noProof/>
            <w:webHidden/>
          </w:rPr>
        </w:r>
        <w:r w:rsidR="002E2D7C">
          <w:rPr>
            <w:noProof/>
            <w:webHidden/>
          </w:rPr>
          <w:fldChar w:fldCharType="separate"/>
        </w:r>
        <w:r w:rsidR="002E2D7C">
          <w:rPr>
            <w:noProof/>
            <w:webHidden/>
          </w:rPr>
          <w:t>15</w:t>
        </w:r>
        <w:r w:rsidR="002E2D7C">
          <w:rPr>
            <w:noProof/>
            <w:webHidden/>
          </w:rPr>
          <w:fldChar w:fldCharType="end"/>
        </w:r>
      </w:hyperlink>
    </w:p>
    <w:p w14:paraId="0343F711" w14:textId="539F1384"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12" w:history="1">
        <w:r w:rsidR="002E2D7C" w:rsidRPr="00DA4683">
          <w:rPr>
            <w:rStyle w:val="Hyperlink"/>
            <w:noProof/>
          </w:rPr>
          <w:t>Project Implementation and Adaptive Management Arrangements</w:t>
        </w:r>
        <w:r w:rsidR="002E2D7C">
          <w:rPr>
            <w:noProof/>
            <w:webHidden/>
          </w:rPr>
          <w:tab/>
        </w:r>
        <w:r w:rsidR="002E2D7C">
          <w:rPr>
            <w:noProof/>
            <w:webHidden/>
          </w:rPr>
          <w:fldChar w:fldCharType="begin"/>
        </w:r>
        <w:r w:rsidR="002E2D7C">
          <w:rPr>
            <w:noProof/>
            <w:webHidden/>
          </w:rPr>
          <w:instrText xml:space="preserve"> PAGEREF _Toc66777412 \h </w:instrText>
        </w:r>
        <w:r w:rsidR="002E2D7C">
          <w:rPr>
            <w:noProof/>
            <w:webHidden/>
          </w:rPr>
        </w:r>
        <w:r w:rsidR="002E2D7C">
          <w:rPr>
            <w:noProof/>
            <w:webHidden/>
          </w:rPr>
          <w:fldChar w:fldCharType="separate"/>
        </w:r>
        <w:r w:rsidR="002E2D7C">
          <w:rPr>
            <w:noProof/>
            <w:webHidden/>
          </w:rPr>
          <w:t>26</w:t>
        </w:r>
        <w:r w:rsidR="002E2D7C">
          <w:rPr>
            <w:noProof/>
            <w:webHidden/>
          </w:rPr>
          <w:fldChar w:fldCharType="end"/>
        </w:r>
      </w:hyperlink>
    </w:p>
    <w:p w14:paraId="6169EA9D" w14:textId="66AF94FD"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13" w:history="1">
        <w:r w:rsidR="002E2D7C" w:rsidRPr="00DA4683">
          <w:rPr>
            <w:rStyle w:val="Hyperlink"/>
            <w:noProof/>
          </w:rPr>
          <w:t>Management arrangements</w:t>
        </w:r>
        <w:r w:rsidR="002E2D7C">
          <w:rPr>
            <w:noProof/>
            <w:webHidden/>
          </w:rPr>
          <w:tab/>
        </w:r>
        <w:r w:rsidR="002E2D7C">
          <w:rPr>
            <w:noProof/>
            <w:webHidden/>
          </w:rPr>
          <w:fldChar w:fldCharType="begin"/>
        </w:r>
        <w:r w:rsidR="002E2D7C">
          <w:rPr>
            <w:noProof/>
            <w:webHidden/>
          </w:rPr>
          <w:instrText xml:space="preserve"> PAGEREF _Toc66777413 \h </w:instrText>
        </w:r>
        <w:r w:rsidR="002E2D7C">
          <w:rPr>
            <w:noProof/>
            <w:webHidden/>
          </w:rPr>
        </w:r>
        <w:r w:rsidR="002E2D7C">
          <w:rPr>
            <w:noProof/>
            <w:webHidden/>
          </w:rPr>
          <w:fldChar w:fldCharType="separate"/>
        </w:r>
        <w:r w:rsidR="002E2D7C">
          <w:rPr>
            <w:noProof/>
            <w:webHidden/>
          </w:rPr>
          <w:t>26</w:t>
        </w:r>
        <w:r w:rsidR="002E2D7C">
          <w:rPr>
            <w:noProof/>
            <w:webHidden/>
          </w:rPr>
          <w:fldChar w:fldCharType="end"/>
        </w:r>
      </w:hyperlink>
    </w:p>
    <w:p w14:paraId="375A8605" w14:textId="644DB8D7"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14" w:history="1">
        <w:r w:rsidR="002E2D7C" w:rsidRPr="00DA4683">
          <w:rPr>
            <w:rStyle w:val="Hyperlink"/>
            <w:noProof/>
          </w:rPr>
          <w:t>Work planning</w:t>
        </w:r>
        <w:r w:rsidR="002E2D7C">
          <w:rPr>
            <w:noProof/>
            <w:webHidden/>
          </w:rPr>
          <w:tab/>
        </w:r>
        <w:r w:rsidR="002E2D7C">
          <w:rPr>
            <w:noProof/>
            <w:webHidden/>
          </w:rPr>
          <w:fldChar w:fldCharType="begin"/>
        </w:r>
        <w:r w:rsidR="002E2D7C">
          <w:rPr>
            <w:noProof/>
            <w:webHidden/>
          </w:rPr>
          <w:instrText xml:space="preserve"> PAGEREF _Toc66777414 \h </w:instrText>
        </w:r>
        <w:r w:rsidR="002E2D7C">
          <w:rPr>
            <w:noProof/>
            <w:webHidden/>
          </w:rPr>
        </w:r>
        <w:r w:rsidR="002E2D7C">
          <w:rPr>
            <w:noProof/>
            <w:webHidden/>
          </w:rPr>
          <w:fldChar w:fldCharType="separate"/>
        </w:r>
        <w:r w:rsidR="002E2D7C">
          <w:rPr>
            <w:noProof/>
            <w:webHidden/>
          </w:rPr>
          <w:t>27</w:t>
        </w:r>
        <w:r w:rsidR="002E2D7C">
          <w:rPr>
            <w:noProof/>
            <w:webHidden/>
          </w:rPr>
          <w:fldChar w:fldCharType="end"/>
        </w:r>
      </w:hyperlink>
    </w:p>
    <w:p w14:paraId="26D43766" w14:textId="0C132DA3"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15" w:history="1">
        <w:r w:rsidR="002E2D7C" w:rsidRPr="00DA4683">
          <w:rPr>
            <w:rStyle w:val="Hyperlink"/>
            <w:noProof/>
          </w:rPr>
          <w:t>Monitoring and evaluation</w:t>
        </w:r>
        <w:r w:rsidR="002E2D7C">
          <w:rPr>
            <w:noProof/>
            <w:webHidden/>
          </w:rPr>
          <w:tab/>
        </w:r>
        <w:r w:rsidR="002E2D7C">
          <w:rPr>
            <w:noProof/>
            <w:webHidden/>
          </w:rPr>
          <w:fldChar w:fldCharType="begin"/>
        </w:r>
        <w:r w:rsidR="002E2D7C">
          <w:rPr>
            <w:noProof/>
            <w:webHidden/>
          </w:rPr>
          <w:instrText xml:space="preserve"> PAGEREF _Toc66777415 \h </w:instrText>
        </w:r>
        <w:r w:rsidR="002E2D7C">
          <w:rPr>
            <w:noProof/>
            <w:webHidden/>
          </w:rPr>
        </w:r>
        <w:r w:rsidR="002E2D7C">
          <w:rPr>
            <w:noProof/>
            <w:webHidden/>
          </w:rPr>
          <w:fldChar w:fldCharType="separate"/>
        </w:r>
        <w:r w:rsidR="002E2D7C">
          <w:rPr>
            <w:noProof/>
            <w:webHidden/>
          </w:rPr>
          <w:t>28</w:t>
        </w:r>
        <w:r w:rsidR="002E2D7C">
          <w:rPr>
            <w:noProof/>
            <w:webHidden/>
          </w:rPr>
          <w:fldChar w:fldCharType="end"/>
        </w:r>
      </w:hyperlink>
    </w:p>
    <w:p w14:paraId="365E05C5" w14:textId="5DB441E6"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16" w:history="1">
        <w:r w:rsidR="002E2D7C" w:rsidRPr="00DA4683">
          <w:rPr>
            <w:rStyle w:val="Hyperlink"/>
            <w:noProof/>
          </w:rPr>
          <w:t>Identification and management of risks</w:t>
        </w:r>
        <w:r w:rsidR="002E2D7C">
          <w:rPr>
            <w:noProof/>
            <w:webHidden/>
          </w:rPr>
          <w:tab/>
        </w:r>
        <w:r w:rsidR="002E2D7C">
          <w:rPr>
            <w:noProof/>
            <w:webHidden/>
          </w:rPr>
          <w:fldChar w:fldCharType="begin"/>
        </w:r>
        <w:r w:rsidR="002E2D7C">
          <w:rPr>
            <w:noProof/>
            <w:webHidden/>
          </w:rPr>
          <w:instrText xml:space="preserve"> PAGEREF _Toc66777416 \h </w:instrText>
        </w:r>
        <w:r w:rsidR="002E2D7C">
          <w:rPr>
            <w:noProof/>
            <w:webHidden/>
          </w:rPr>
        </w:r>
        <w:r w:rsidR="002E2D7C">
          <w:rPr>
            <w:noProof/>
            <w:webHidden/>
          </w:rPr>
          <w:fldChar w:fldCharType="separate"/>
        </w:r>
        <w:r w:rsidR="002E2D7C">
          <w:rPr>
            <w:noProof/>
            <w:webHidden/>
          </w:rPr>
          <w:t>29</w:t>
        </w:r>
        <w:r w:rsidR="002E2D7C">
          <w:rPr>
            <w:noProof/>
            <w:webHidden/>
          </w:rPr>
          <w:fldChar w:fldCharType="end"/>
        </w:r>
      </w:hyperlink>
    </w:p>
    <w:p w14:paraId="50101581" w14:textId="352B76BA"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17" w:history="1">
        <w:r w:rsidR="002E2D7C" w:rsidRPr="00DA4683">
          <w:rPr>
            <w:rStyle w:val="Hyperlink"/>
            <w:noProof/>
          </w:rPr>
          <w:t>Finance and co-finance</w:t>
        </w:r>
        <w:r w:rsidR="002E2D7C">
          <w:rPr>
            <w:noProof/>
            <w:webHidden/>
          </w:rPr>
          <w:tab/>
        </w:r>
        <w:r w:rsidR="002E2D7C">
          <w:rPr>
            <w:noProof/>
            <w:webHidden/>
          </w:rPr>
          <w:fldChar w:fldCharType="begin"/>
        </w:r>
        <w:r w:rsidR="002E2D7C">
          <w:rPr>
            <w:noProof/>
            <w:webHidden/>
          </w:rPr>
          <w:instrText xml:space="preserve"> PAGEREF _Toc66777417 \h </w:instrText>
        </w:r>
        <w:r w:rsidR="002E2D7C">
          <w:rPr>
            <w:noProof/>
            <w:webHidden/>
          </w:rPr>
        </w:r>
        <w:r w:rsidR="002E2D7C">
          <w:rPr>
            <w:noProof/>
            <w:webHidden/>
          </w:rPr>
          <w:fldChar w:fldCharType="separate"/>
        </w:r>
        <w:r w:rsidR="002E2D7C">
          <w:rPr>
            <w:noProof/>
            <w:webHidden/>
          </w:rPr>
          <w:t>29</w:t>
        </w:r>
        <w:r w:rsidR="002E2D7C">
          <w:rPr>
            <w:noProof/>
            <w:webHidden/>
          </w:rPr>
          <w:fldChar w:fldCharType="end"/>
        </w:r>
      </w:hyperlink>
    </w:p>
    <w:p w14:paraId="1415E5E2" w14:textId="7CA5931F"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18" w:history="1">
        <w:r w:rsidR="002E2D7C" w:rsidRPr="00DA4683">
          <w:rPr>
            <w:rStyle w:val="Hyperlink"/>
            <w:noProof/>
          </w:rPr>
          <w:t>Stakeholder engagement</w:t>
        </w:r>
        <w:r w:rsidR="002E2D7C">
          <w:rPr>
            <w:noProof/>
            <w:webHidden/>
          </w:rPr>
          <w:tab/>
        </w:r>
        <w:r w:rsidR="002E2D7C">
          <w:rPr>
            <w:noProof/>
            <w:webHidden/>
          </w:rPr>
          <w:fldChar w:fldCharType="begin"/>
        </w:r>
        <w:r w:rsidR="002E2D7C">
          <w:rPr>
            <w:noProof/>
            <w:webHidden/>
          </w:rPr>
          <w:instrText xml:space="preserve"> PAGEREF _Toc66777418 \h </w:instrText>
        </w:r>
        <w:r w:rsidR="002E2D7C">
          <w:rPr>
            <w:noProof/>
            <w:webHidden/>
          </w:rPr>
        </w:r>
        <w:r w:rsidR="002E2D7C">
          <w:rPr>
            <w:noProof/>
            <w:webHidden/>
          </w:rPr>
          <w:fldChar w:fldCharType="separate"/>
        </w:r>
        <w:r w:rsidR="002E2D7C">
          <w:rPr>
            <w:noProof/>
            <w:webHidden/>
          </w:rPr>
          <w:t>31</w:t>
        </w:r>
        <w:r w:rsidR="002E2D7C">
          <w:rPr>
            <w:noProof/>
            <w:webHidden/>
          </w:rPr>
          <w:fldChar w:fldCharType="end"/>
        </w:r>
      </w:hyperlink>
    </w:p>
    <w:p w14:paraId="2720D7C9" w14:textId="389BE15C"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19" w:history="1">
        <w:r w:rsidR="002E2D7C" w:rsidRPr="00DA4683">
          <w:rPr>
            <w:rStyle w:val="Hyperlink"/>
            <w:noProof/>
          </w:rPr>
          <w:t>Reporting and communication</w:t>
        </w:r>
        <w:r w:rsidR="002E2D7C">
          <w:rPr>
            <w:noProof/>
            <w:webHidden/>
          </w:rPr>
          <w:tab/>
        </w:r>
        <w:r w:rsidR="002E2D7C">
          <w:rPr>
            <w:noProof/>
            <w:webHidden/>
          </w:rPr>
          <w:fldChar w:fldCharType="begin"/>
        </w:r>
        <w:r w:rsidR="002E2D7C">
          <w:rPr>
            <w:noProof/>
            <w:webHidden/>
          </w:rPr>
          <w:instrText xml:space="preserve"> PAGEREF _Toc66777419 \h </w:instrText>
        </w:r>
        <w:r w:rsidR="002E2D7C">
          <w:rPr>
            <w:noProof/>
            <w:webHidden/>
          </w:rPr>
        </w:r>
        <w:r w:rsidR="002E2D7C">
          <w:rPr>
            <w:noProof/>
            <w:webHidden/>
          </w:rPr>
          <w:fldChar w:fldCharType="separate"/>
        </w:r>
        <w:r w:rsidR="002E2D7C">
          <w:rPr>
            <w:noProof/>
            <w:webHidden/>
          </w:rPr>
          <w:t>32</w:t>
        </w:r>
        <w:r w:rsidR="002E2D7C">
          <w:rPr>
            <w:noProof/>
            <w:webHidden/>
          </w:rPr>
          <w:fldChar w:fldCharType="end"/>
        </w:r>
      </w:hyperlink>
    </w:p>
    <w:p w14:paraId="3202F4D7" w14:textId="5DA5B145"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20" w:history="1">
        <w:r w:rsidR="002E2D7C" w:rsidRPr="00DA4683">
          <w:rPr>
            <w:rStyle w:val="Hyperlink"/>
            <w:noProof/>
          </w:rPr>
          <w:t>Mainstreaming</w:t>
        </w:r>
        <w:r w:rsidR="002E2D7C">
          <w:rPr>
            <w:noProof/>
            <w:webHidden/>
          </w:rPr>
          <w:tab/>
        </w:r>
        <w:r w:rsidR="002E2D7C">
          <w:rPr>
            <w:noProof/>
            <w:webHidden/>
          </w:rPr>
          <w:fldChar w:fldCharType="begin"/>
        </w:r>
        <w:r w:rsidR="002E2D7C">
          <w:rPr>
            <w:noProof/>
            <w:webHidden/>
          </w:rPr>
          <w:instrText xml:space="preserve"> PAGEREF _Toc66777420 \h </w:instrText>
        </w:r>
        <w:r w:rsidR="002E2D7C">
          <w:rPr>
            <w:noProof/>
            <w:webHidden/>
          </w:rPr>
        </w:r>
        <w:r w:rsidR="002E2D7C">
          <w:rPr>
            <w:noProof/>
            <w:webHidden/>
          </w:rPr>
          <w:fldChar w:fldCharType="separate"/>
        </w:r>
        <w:r w:rsidR="002E2D7C">
          <w:rPr>
            <w:noProof/>
            <w:webHidden/>
          </w:rPr>
          <w:t>34</w:t>
        </w:r>
        <w:r w:rsidR="002E2D7C">
          <w:rPr>
            <w:noProof/>
            <w:webHidden/>
          </w:rPr>
          <w:fldChar w:fldCharType="end"/>
        </w:r>
      </w:hyperlink>
    </w:p>
    <w:p w14:paraId="3677A623" w14:textId="606045F6"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21" w:history="1">
        <w:r w:rsidR="002E2D7C" w:rsidRPr="00DA4683">
          <w:rPr>
            <w:rStyle w:val="Hyperlink"/>
            <w:noProof/>
          </w:rPr>
          <w:t>Sustainability</w:t>
        </w:r>
        <w:r w:rsidR="002E2D7C">
          <w:rPr>
            <w:noProof/>
            <w:webHidden/>
          </w:rPr>
          <w:tab/>
        </w:r>
        <w:r w:rsidR="002E2D7C">
          <w:rPr>
            <w:noProof/>
            <w:webHidden/>
          </w:rPr>
          <w:fldChar w:fldCharType="begin"/>
        </w:r>
        <w:r w:rsidR="002E2D7C">
          <w:rPr>
            <w:noProof/>
            <w:webHidden/>
          </w:rPr>
          <w:instrText xml:space="preserve"> PAGEREF _Toc66777421 \h </w:instrText>
        </w:r>
        <w:r w:rsidR="002E2D7C">
          <w:rPr>
            <w:noProof/>
            <w:webHidden/>
          </w:rPr>
        </w:r>
        <w:r w:rsidR="002E2D7C">
          <w:rPr>
            <w:noProof/>
            <w:webHidden/>
          </w:rPr>
          <w:fldChar w:fldCharType="separate"/>
        </w:r>
        <w:r w:rsidR="002E2D7C">
          <w:rPr>
            <w:noProof/>
            <w:webHidden/>
          </w:rPr>
          <w:t>35</w:t>
        </w:r>
        <w:r w:rsidR="002E2D7C">
          <w:rPr>
            <w:noProof/>
            <w:webHidden/>
          </w:rPr>
          <w:fldChar w:fldCharType="end"/>
        </w:r>
      </w:hyperlink>
    </w:p>
    <w:p w14:paraId="272D51E0" w14:textId="2523742C"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22" w:history="1">
        <w:r w:rsidR="002E2D7C" w:rsidRPr="00DA4683">
          <w:rPr>
            <w:rStyle w:val="Hyperlink"/>
            <w:noProof/>
          </w:rPr>
          <w:t>Financial sustainability</w:t>
        </w:r>
        <w:r w:rsidR="002E2D7C">
          <w:rPr>
            <w:noProof/>
            <w:webHidden/>
          </w:rPr>
          <w:tab/>
        </w:r>
        <w:r w:rsidR="002E2D7C">
          <w:rPr>
            <w:noProof/>
            <w:webHidden/>
          </w:rPr>
          <w:fldChar w:fldCharType="begin"/>
        </w:r>
        <w:r w:rsidR="002E2D7C">
          <w:rPr>
            <w:noProof/>
            <w:webHidden/>
          </w:rPr>
          <w:instrText xml:space="preserve"> PAGEREF _Toc66777422 \h </w:instrText>
        </w:r>
        <w:r w:rsidR="002E2D7C">
          <w:rPr>
            <w:noProof/>
            <w:webHidden/>
          </w:rPr>
        </w:r>
        <w:r w:rsidR="002E2D7C">
          <w:rPr>
            <w:noProof/>
            <w:webHidden/>
          </w:rPr>
          <w:fldChar w:fldCharType="separate"/>
        </w:r>
        <w:r w:rsidR="002E2D7C">
          <w:rPr>
            <w:noProof/>
            <w:webHidden/>
          </w:rPr>
          <w:t>35</w:t>
        </w:r>
        <w:r w:rsidR="002E2D7C">
          <w:rPr>
            <w:noProof/>
            <w:webHidden/>
          </w:rPr>
          <w:fldChar w:fldCharType="end"/>
        </w:r>
      </w:hyperlink>
    </w:p>
    <w:p w14:paraId="10AACAF4" w14:textId="4440FE1D"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23" w:history="1">
        <w:r w:rsidR="002E2D7C" w:rsidRPr="00DA4683">
          <w:rPr>
            <w:rStyle w:val="Hyperlink"/>
            <w:noProof/>
          </w:rPr>
          <w:t>Institutional framework and governance sustainability</w:t>
        </w:r>
        <w:r w:rsidR="002E2D7C">
          <w:rPr>
            <w:noProof/>
            <w:webHidden/>
          </w:rPr>
          <w:tab/>
        </w:r>
        <w:r w:rsidR="002E2D7C">
          <w:rPr>
            <w:noProof/>
            <w:webHidden/>
          </w:rPr>
          <w:fldChar w:fldCharType="begin"/>
        </w:r>
        <w:r w:rsidR="002E2D7C">
          <w:rPr>
            <w:noProof/>
            <w:webHidden/>
          </w:rPr>
          <w:instrText xml:space="preserve"> PAGEREF _Toc66777423 \h </w:instrText>
        </w:r>
        <w:r w:rsidR="002E2D7C">
          <w:rPr>
            <w:noProof/>
            <w:webHidden/>
          </w:rPr>
        </w:r>
        <w:r w:rsidR="002E2D7C">
          <w:rPr>
            <w:noProof/>
            <w:webHidden/>
          </w:rPr>
          <w:fldChar w:fldCharType="separate"/>
        </w:r>
        <w:r w:rsidR="002E2D7C">
          <w:rPr>
            <w:noProof/>
            <w:webHidden/>
          </w:rPr>
          <w:t>35</w:t>
        </w:r>
        <w:r w:rsidR="002E2D7C">
          <w:rPr>
            <w:noProof/>
            <w:webHidden/>
          </w:rPr>
          <w:fldChar w:fldCharType="end"/>
        </w:r>
      </w:hyperlink>
    </w:p>
    <w:p w14:paraId="0338BE8C" w14:textId="0D50696E"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24" w:history="1">
        <w:r w:rsidR="002E2D7C" w:rsidRPr="00DA4683">
          <w:rPr>
            <w:rStyle w:val="Hyperlink"/>
            <w:noProof/>
          </w:rPr>
          <w:t>Socio-economic sustainability</w:t>
        </w:r>
        <w:r w:rsidR="002E2D7C">
          <w:rPr>
            <w:noProof/>
            <w:webHidden/>
          </w:rPr>
          <w:tab/>
        </w:r>
        <w:r w:rsidR="002E2D7C">
          <w:rPr>
            <w:noProof/>
            <w:webHidden/>
          </w:rPr>
          <w:fldChar w:fldCharType="begin"/>
        </w:r>
        <w:r w:rsidR="002E2D7C">
          <w:rPr>
            <w:noProof/>
            <w:webHidden/>
          </w:rPr>
          <w:instrText xml:space="preserve"> PAGEREF _Toc66777424 \h </w:instrText>
        </w:r>
        <w:r w:rsidR="002E2D7C">
          <w:rPr>
            <w:noProof/>
            <w:webHidden/>
          </w:rPr>
        </w:r>
        <w:r w:rsidR="002E2D7C">
          <w:rPr>
            <w:noProof/>
            <w:webHidden/>
          </w:rPr>
          <w:fldChar w:fldCharType="separate"/>
        </w:r>
        <w:r w:rsidR="002E2D7C">
          <w:rPr>
            <w:noProof/>
            <w:webHidden/>
          </w:rPr>
          <w:t>36</w:t>
        </w:r>
        <w:r w:rsidR="002E2D7C">
          <w:rPr>
            <w:noProof/>
            <w:webHidden/>
          </w:rPr>
          <w:fldChar w:fldCharType="end"/>
        </w:r>
      </w:hyperlink>
    </w:p>
    <w:p w14:paraId="32F2B469" w14:textId="7A6E55E5" w:rsidR="002E2D7C" w:rsidRDefault="00714358" w:rsidP="002E2D7C">
      <w:pPr>
        <w:pStyle w:val="TOC3"/>
        <w:tabs>
          <w:tab w:val="right" w:leader="dot" w:pos="9056"/>
        </w:tabs>
        <w:spacing w:after="0" w:line="240" w:lineRule="auto"/>
        <w:rPr>
          <w:rFonts w:asciiTheme="minorHAnsi" w:eastAsiaTheme="minorEastAsia" w:hAnsiTheme="minorHAnsi" w:cstheme="minorBidi"/>
          <w:noProof/>
        </w:rPr>
      </w:pPr>
      <w:hyperlink w:anchor="_Toc66777425" w:history="1">
        <w:r w:rsidR="002E2D7C" w:rsidRPr="00DA4683">
          <w:rPr>
            <w:rStyle w:val="Hyperlink"/>
            <w:noProof/>
          </w:rPr>
          <w:t>Environmental sustainability</w:t>
        </w:r>
        <w:r w:rsidR="002E2D7C">
          <w:rPr>
            <w:noProof/>
            <w:webHidden/>
          </w:rPr>
          <w:tab/>
        </w:r>
        <w:r w:rsidR="002E2D7C">
          <w:rPr>
            <w:noProof/>
            <w:webHidden/>
          </w:rPr>
          <w:fldChar w:fldCharType="begin"/>
        </w:r>
        <w:r w:rsidR="002E2D7C">
          <w:rPr>
            <w:noProof/>
            <w:webHidden/>
          </w:rPr>
          <w:instrText xml:space="preserve"> PAGEREF _Toc66777425 \h </w:instrText>
        </w:r>
        <w:r w:rsidR="002E2D7C">
          <w:rPr>
            <w:noProof/>
            <w:webHidden/>
          </w:rPr>
        </w:r>
        <w:r w:rsidR="002E2D7C">
          <w:rPr>
            <w:noProof/>
            <w:webHidden/>
          </w:rPr>
          <w:fldChar w:fldCharType="separate"/>
        </w:r>
        <w:r w:rsidR="002E2D7C">
          <w:rPr>
            <w:noProof/>
            <w:webHidden/>
          </w:rPr>
          <w:t>36</w:t>
        </w:r>
        <w:r w:rsidR="002E2D7C">
          <w:rPr>
            <w:noProof/>
            <w:webHidden/>
          </w:rPr>
          <w:fldChar w:fldCharType="end"/>
        </w:r>
      </w:hyperlink>
    </w:p>
    <w:p w14:paraId="23FFF8CA" w14:textId="3E87A727" w:rsidR="002E2D7C" w:rsidRDefault="00714358" w:rsidP="002E2D7C">
      <w:pPr>
        <w:pStyle w:val="TOC1"/>
        <w:tabs>
          <w:tab w:val="right" w:leader="dot" w:pos="9056"/>
        </w:tabs>
        <w:spacing w:after="0" w:line="240" w:lineRule="auto"/>
        <w:rPr>
          <w:rFonts w:asciiTheme="minorHAnsi" w:eastAsiaTheme="minorEastAsia" w:hAnsiTheme="minorHAnsi" w:cstheme="minorBidi"/>
          <w:noProof/>
        </w:rPr>
      </w:pPr>
      <w:hyperlink w:anchor="_Toc66777426" w:history="1">
        <w:r w:rsidR="002E2D7C" w:rsidRPr="00DA4683">
          <w:rPr>
            <w:rStyle w:val="Hyperlink"/>
            <w:noProof/>
          </w:rPr>
          <w:t>Conclusions and Recommendations</w:t>
        </w:r>
        <w:r w:rsidR="002E2D7C">
          <w:rPr>
            <w:noProof/>
            <w:webHidden/>
          </w:rPr>
          <w:tab/>
        </w:r>
        <w:r w:rsidR="002E2D7C">
          <w:rPr>
            <w:noProof/>
            <w:webHidden/>
          </w:rPr>
          <w:fldChar w:fldCharType="begin"/>
        </w:r>
        <w:r w:rsidR="002E2D7C">
          <w:rPr>
            <w:noProof/>
            <w:webHidden/>
          </w:rPr>
          <w:instrText xml:space="preserve"> PAGEREF _Toc66777426 \h </w:instrText>
        </w:r>
        <w:r w:rsidR="002E2D7C">
          <w:rPr>
            <w:noProof/>
            <w:webHidden/>
          </w:rPr>
        </w:r>
        <w:r w:rsidR="002E2D7C">
          <w:rPr>
            <w:noProof/>
            <w:webHidden/>
          </w:rPr>
          <w:fldChar w:fldCharType="separate"/>
        </w:r>
        <w:r w:rsidR="002E2D7C">
          <w:rPr>
            <w:noProof/>
            <w:webHidden/>
          </w:rPr>
          <w:t>37</w:t>
        </w:r>
        <w:r w:rsidR="002E2D7C">
          <w:rPr>
            <w:noProof/>
            <w:webHidden/>
          </w:rPr>
          <w:fldChar w:fldCharType="end"/>
        </w:r>
      </w:hyperlink>
    </w:p>
    <w:p w14:paraId="2DF8234B" w14:textId="3FE520E9"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27" w:history="1">
        <w:r w:rsidR="002E2D7C" w:rsidRPr="00DA4683">
          <w:rPr>
            <w:rStyle w:val="Hyperlink"/>
            <w:noProof/>
          </w:rPr>
          <w:t>Good practices and lessons learned</w:t>
        </w:r>
        <w:r w:rsidR="002E2D7C">
          <w:rPr>
            <w:noProof/>
            <w:webHidden/>
          </w:rPr>
          <w:tab/>
        </w:r>
        <w:r w:rsidR="002E2D7C">
          <w:rPr>
            <w:noProof/>
            <w:webHidden/>
          </w:rPr>
          <w:fldChar w:fldCharType="begin"/>
        </w:r>
        <w:r w:rsidR="002E2D7C">
          <w:rPr>
            <w:noProof/>
            <w:webHidden/>
          </w:rPr>
          <w:instrText xml:space="preserve"> PAGEREF _Toc66777427 \h </w:instrText>
        </w:r>
        <w:r w:rsidR="002E2D7C">
          <w:rPr>
            <w:noProof/>
            <w:webHidden/>
          </w:rPr>
        </w:r>
        <w:r w:rsidR="002E2D7C">
          <w:rPr>
            <w:noProof/>
            <w:webHidden/>
          </w:rPr>
          <w:fldChar w:fldCharType="separate"/>
        </w:r>
        <w:r w:rsidR="002E2D7C">
          <w:rPr>
            <w:noProof/>
            <w:webHidden/>
          </w:rPr>
          <w:t>39</w:t>
        </w:r>
        <w:r w:rsidR="002E2D7C">
          <w:rPr>
            <w:noProof/>
            <w:webHidden/>
          </w:rPr>
          <w:fldChar w:fldCharType="end"/>
        </w:r>
      </w:hyperlink>
    </w:p>
    <w:p w14:paraId="236EB9C8" w14:textId="579049F4"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28" w:history="1">
        <w:r w:rsidR="002E2D7C" w:rsidRPr="00DA4683">
          <w:rPr>
            <w:rStyle w:val="Hyperlink"/>
            <w:noProof/>
          </w:rPr>
          <w:t>Annex 1: UNDP-GEF Midterm Review Terms of Reference</w:t>
        </w:r>
        <w:r w:rsidR="002E2D7C">
          <w:rPr>
            <w:noProof/>
            <w:webHidden/>
          </w:rPr>
          <w:tab/>
          <w:t>A-</w:t>
        </w:r>
        <w:r w:rsidR="002E2D7C">
          <w:rPr>
            <w:noProof/>
            <w:webHidden/>
          </w:rPr>
          <w:fldChar w:fldCharType="begin"/>
        </w:r>
        <w:r w:rsidR="002E2D7C">
          <w:rPr>
            <w:noProof/>
            <w:webHidden/>
          </w:rPr>
          <w:instrText xml:space="preserve"> PAGEREF _Toc66777428 \h </w:instrText>
        </w:r>
        <w:r w:rsidR="002E2D7C">
          <w:rPr>
            <w:noProof/>
            <w:webHidden/>
          </w:rPr>
        </w:r>
        <w:r w:rsidR="002E2D7C">
          <w:rPr>
            <w:noProof/>
            <w:webHidden/>
          </w:rPr>
          <w:fldChar w:fldCharType="separate"/>
        </w:r>
        <w:r w:rsidR="002E2D7C">
          <w:rPr>
            <w:noProof/>
            <w:webHidden/>
          </w:rPr>
          <w:t>1</w:t>
        </w:r>
        <w:r w:rsidR="002E2D7C">
          <w:rPr>
            <w:noProof/>
            <w:webHidden/>
          </w:rPr>
          <w:fldChar w:fldCharType="end"/>
        </w:r>
      </w:hyperlink>
    </w:p>
    <w:p w14:paraId="69D9F6B6" w14:textId="12B1A8AE" w:rsidR="002E2D7C" w:rsidRDefault="00714358" w:rsidP="002E2D7C">
      <w:pPr>
        <w:pStyle w:val="TOC1"/>
        <w:tabs>
          <w:tab w:val="right" w:leader="dot" w:pos="9056"/>
        </w:tabs>
        <w:spacing w:after="0" w:line="240" w:lineRule="auto"/>
        <w:rPr>
          <w:rFonts w:asciiTheme="minorHAnsi" w:eastAsiaTheme="minorEastAsia" w:hAnsiTheme="minorHAnsi" w:cstheme="minorBidi"/>
          <w:noProof/>
        </w:rPr>
      </w:pPr>
      <w:hyperlink w:anchor="_Toc66777429" w:history="1">
        <w:r w:rsidR="002E2D7C" w:rsidRPr="00DA4683">
          <w:rPr>
            <w:rStyle w:val="Hyperlink"/>
            <w:noProof/>
          </w:rPr>
          <w:t>Annex 2: Evaluation Matrix</w:t>
        </w:r>
        <w:r w:rsidR="002E2D7C">
          <w:rPr>
            <w:noProof/>
            <w:webHidden/>
          </w:rPr>
          <w:tab/>
          <w:t>A-</w:t>
        </w:r>
        <w:r w:rsidR="002E2D7C">
          <w:rPr>
            <w:noProof/>
            <w:webHidden/>
          </w:rPr>
          <w:fldChar w:fldCharType="begin"/>
        </w:r>
        <w:r w:rsidR="002E2D7C">
          <w:rPr>
            <w:noProof/>
            <w:webHidden/>
          </w:rPr>
          <w:instrText xml:space="preserve"> PAGEREF _Toc66777429 \h </w:instrText>
        </w:r>
        <w:r w:rsidR="002E2D7C">
          <w:rPr>
            <w:noProof/>
            <w:webHidden/>
          </w:rPr>
        </w:r>
        <w:r w:rsidR="002E2D7C">
          <w:rPr>
            <w:noProof/>
            <w:webHidden/>
          </w:rPr>
          <w:fldChar w:fldCharType="separate"/>
        </w:r>
        <w:r w:rsidR="002E2D7C">
          <w:rPr>
            <w:noProof/>
            <w:webHidden/>
          </w:rPr>
          <w:t>11</w:t>
        </w:r>
        <w:r w:rsidR="002E2D7C">
          <w:rPr>
            <w:noProof/>
            <w:webHidden/>
          </w:rPr>
          <w:fldChar w:fldCharType="end"/>
        </w:r>
      </w:hyperlink>
    </w:p>
    <w:p w14:paraId="69DA81C6" w14:textId="6B3F63EA"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30" w:history="1">
        <w:r w:rsidR="002E2D7C" w:rsidRPr="00DA4683">
          <w:rPr>
            <w:rStyle w:val="Hyperlink"/>
            <w:noProof/>
          </w:rPr>
          <w:t>Annex 3: List of Stakeholders Interviewed</w:t>
        </w:r>
        <w:r w:rsidR="002E2D7C">
          <w:rPr>
            <w:noProof/>
            <w:webHidden/>
          </w:rPr>
          <w:tab/>
          <w:t>A-</w:t>
        </w:r>
        <w:r w:rsidR="002E2D7C">
          <w:rPr>
            <w:noProof/>
            <w:webHidden/>
          </w:rPr>
          <w:fldChar w:fldCharType="begin"/>
        </w:r>
        <w:r w:rsidR="002E2D7C">
          <w:rPr>
            <w:noProof/>
            <w:webHidden/>
          </w:rPr>
          <w:instrText xml:space="preserve"> PAGEREF _Toc66777430 \h </w:instrText>
        </w:r>
        <w:r w:rsidR="002E2D7C">
          <w:rPr>
            <w:noProof/>
            <w:webHidden/>
          </w:rPr>
        </w:r>
        <w:r w:rsidR="002E2D7C">
          <w:rPr>
            <w:noProof/>
            <w:webHidden/>
          </w:rPr>
          <w:fldChar w:fldCharType="separate"/>
        </w:r>
        <w:r w:rsidR="002E2D7C">
          <w:rPr>
            <w:noProof/>
            <w:webHidden/>
          </w:rPr>
          <w:t>16</w:t>
        </w:r>
        <w:r w:rsidR="002E2D7C">
          <w:rPr>
            <w:noProof/>
            <w:webHidden/>
          </w:rPr>
          <w:fldChar w:fldCharType="end"/>
        </w:r>
      </w:hyperlink>
    </w:p>
    <w:p w14:paraId="7EB18B14" w14:textId="78213D13"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31" w:history="1">
        <w:r w:rsidR="002E2D7C" w:rsidRPr="00DA4683">
          <w:rPr>
            <w:rStyle w:val="Hyperlink"/>
            <w:noProof/>
          </w:rPr>
          <w:t>Annex 4: Interview Guide</w:t>
        </w:r>
        <w:r w:rsidR="002E2D7C">
          <w:rPr>
            <w:noProof/>
            <w:webHidden/>
          </w:rPr>
          <w:tab/>
          <w:t>A-</w:t>
        </w:r>
        <w:r w:rsidR="002E2D7C">
          <w:rPr>
            <w:noProof/>
            <w:webHidden/>
          </w:rPr>
          <w:fldChar w:fldCharType="begin"/>
        </w:r>
        <w:r w:rsidR="002E2D7C">
          <w:rPr>
            <w:noProof/>
            <w:webHidden/>
          </w:rPr>
          <w:instrText xml:space="preserve"> PAGEREF _Toc66777431 \h </w:instrText>
        </w:r>
        <w:r w:rsidR="002E2D7C">
          <w:rPr>
            <w:noProof/>
            <w:webHidden/>
          </w:rPr>
        </w:r>
        <w:r w:rsidR="002E2D7C">
          <w:rPr>
            <w:noProof/>
            <w:webHidden/>
          </w:rPr>
          <w:fldChar w:fldCharType="separate"/>
        </w:r>
        <w:r w:rsidR="002E2D7C">
          <w:rPr>
            <w:noProof/>
            <w:webHidden/>
          </w:rPr>
          <w:t>17</w:t>
        </w:r>
        <w:r w:rsidR="002E2D7C">
          <w:rPr>
            <w:noProof/>
            <w:webHidden/>
          </w:rPr>
          <w:fldChar w:fldCharType="end"/>
        </w:r>
      </w:hyperlink>
    </w:p>
    <w:p w14:paraId="7C316BA8" w14:textId="262DF9F5"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32" w:history="1">
        <w:r w:rsidR="002E2D7C" w:rsidRPr="00DA4683">
          <w:rPr>
            <w:rStyle w:val="Hyperlink"/>
            <w:noProof/>
          </w:rPr>
          <w:t>Annex 5: List of Documents Consulted</w:t>
        </w:r>
        <w:r w:rsidR="002E2D7C">
          <w:rPr>
            <w:noProof/>
            <w:webHidden/>
          </w:rPr>
          <w:tab/>
          <w:t>A-</w:t>
        </w:r>
        <w:r w:rsidR="002E2D7C">
          <w:rPr>
            <w:noProof/>
            <w:webHidden/>
          </w:rPr>
          <w:fldChar w:fldCharType="begin"/>
        </w:r>
        <w:r w:rsidR="002E2D7C">
          <w:rPr>
            <w:noProof/>
            <w:webHidden/>
          </w:rPr>
          <w:instrText xml:space="preserve"> PAGEREF _Toc66777432 \h </w:instrText>
        </w:r>
        <w:r w:rsidR="002E2D7C">
          <w:rPr>
            <w:noProof/>
            <w:webHidden/>
          </w:rPr>
        </w:r>
        <w:r w:rsidR="002E2D7C">
          <w:rPr>
            <w:noProof/>
            <w:webHidden/>
          </w:rPr>
          <w:fldChar w:fldCharType="separate"/>
        </w:r>
        <w:r w:rsidR="002E2D7C">
          <w:rPr>
            <w:noProof/>
            <w:webHidden/>
          </w:rPr>
          <w:t>18</w:t>
        </w:r>
        <w:r w:rsidR="002E2D7C">
          <w:rPr>
            <w:noProof/>
            <w:webHidden/>
          </w:rPr>
          <w:fldChar w:fldCharType="end"/>
        </w:r>
      </w:hyperlink>
    </w:p>
    <w:p w14:paraId="0EFC13BB" w14:textId="08037216"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33" w:history="1">
        <w:r w:rsidR="002E2D7C" w:rsidRPr="00DA4683">
          <w:rPr>
            <w:rStyle w:val="Hyperlink"/>
            <w:noProof/>
          </w:rPr>
          <w:t>Annex 6: MTR Rating Scales</w:t>
        </w:r>
        <w:r w:rsidR="002E2D7C">
          <w:rPr>
            <w:noProof/>
            <w:webHidden/>
          </w:rPr>
          <w:tab/>
          <w:t>A-</w:t>
        </w:r>
        <w:r w:rsidR="002E2D7C">
          <w:rPr>
            <w:noProof/>
            <w:webHidden/>
          </w:rPr>
          <w:fldChar w:fldCharType="begin"/>
        </w:r>
        <w:r w:rsidR="002E2D7C">
          <w:rPr>
            <w:noProof/>
            <w:webHidden/>
          </w:rPr>
          <w:instrText xml:space="preserve"> PAGEREF _Toc66777433 \h </w:instrText>
        </w:r>
        <w:r w:rsidR="002E2D7C">
          <w:rPr>
            <w:noProof/>
            <w:webHidden/>
          </w:rPr>
        </w:r>
        <w:r w:rsidR="002E2D7C">
          <w:rPr>
            <w:noProof/>
            <w:webHidden/>
          </w:rPr>
          <w:fldChar w:fldCharType="separate"/>
        </w:r>
        <w:r w:rsidR="002E2D7C">
          <w:rPr>
            <w:noProof/>
            <w:webHidden/>
          </w:rPr>
          <w:t>19</w:t>
        </w:r>
        <w:r w:rsidR="002E2D7C">
          <w:rPr>
            <w:noProof/>
            <w:webHidden/>
          </w:rPr>
          <w:fldChar w:fldCharType="end"/>
        </w:r>
      </w:hyperlink>
    </w:p>
    <w:p w14:paraId="778D9E9C" w14:textId="34000E42"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34" w:history="1">
        <w:r w:rsidR="002E2D7C" w:rsidRPr="00DA4683">
          <w:rPr>
            <w:rStyle w:val="Hyperlink"/>
            <w:noProof/>
          </w:rPr>
          <w:t>Annex 7: Project Results Matrix</w:t>
        </w:r>
        <w:r w:rsidR="002E2D7C">
          <w:rPr>
            <w:noProof/>
            <w:webHidden/>
          </w:rPr>
          <w:tab/>
          <w:t>A-</w:t>
        </w:r>
        <w:r w:rsidR="002E2D7C">
          <w:rPr>
            <w:noProof/>
            <w:webHidden/>
          </w:rPr>
          <w:fldChar w:fldCharType="begin"/>
        </w:r>
        <w:r w:rsidR="002E2D7C">
          <w:rPr>
            <w:noProof/>
            <w:webHidden/>
          </w:rPr>
          <w:instrText xml:space="preserve"> PAGEREF _Toc66777434 \h </w:instrText>
        </w:r>
        <w:r w:rsidR="002E2D7C">
          <w:rPr>
            <w:noProof/>
            <w:webHidden/>
          </w:rPr>
        </w:r>
        <w:r w:rsidR="002E2D7C">
          <w:rPr>
            <w:noProof/>
            <w:webHidden/>
          </w:rPr>
          <w:fldChar w:fldCharType="separate"/>
        </w:r>
        <w:r w:rsidR="002E2D7C">
          <w:rPr>
            <w:noProof/>
            <w:webHidden/>
          </w:rPr>
          <w:t>20</w:t>
        </w:r>
        <w:r w:rsidR="002E2D7C">
          <w:rPr>
            <w:noProof/>
            <w:webHidden/>
          </w:rPr>
          <w:fldChar w:fldCharType="end"/>
        </w:r>
      </w:hyperlink>
    </w:p>
    <w:p w14:paraId="0F0AB0EC" w14:textId="20E6C13B"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35" w:history="1">
        <w:r w:rsidR="002E2D7C" w:rsidRPr="00DA4683">
          <w:rPr>
            <w:rStyle w:val="Hyperlink"/>
            <w:noProof/>
          </w:rPr>
          <w:t>Annex 8: Consultants’ Agreement Forms</w:t>
        </w:r>
        <w:r w:rsidR="002E2D7C">
          <w:rPr>
            <w:noProof/>
            <w:webHidden/>
          </w:rPr>
          <w:tab/>
          <w:t>A-</w:t>
        </w:r>
        <w:r w:rsidR="002E2D7C">
          <w:rPr>
            <w:noProof/>
            <w:webHidden/>
          </w:rPr>
          <w:fldChar w:fldCharType="begin"/>
        </w:r>
        <w:r w:rsidR="002E2D7C">
          <w:rPr>
            <w:noProof/>
            <w:webHidden/>
          </w:rPr>
          <w:instrText xml:space="preserve"> PAGEREF _Toc66777435 \h </w:instrText>
        </w:r>
        <w:r w:rsidR="002E2D7C">
          <w:rPr>
            <w:noProof/>
            <w:webHidden/>
          </w:rPr>
        </w:r>
        <w:r w:rsidR="002E2D7C">
          <w:rPr>
            <w:noProof/>
            <w:webHidden/>
          </w:rPr>
          <w:fldChar w:fldCharType="separate"/>
        </w:r>
        <w:r w:rsidR="002E2D7C">
          <w:rPr>
            <w:noProof/>
            <w:webHidden/>
          </w:rPr>
          <w:t>25</w:t>
        </w:r>
        <w:r w:rsidR="002E2D7C">
          <w:rPr>
            <w:noProof/>
            <w:webHidden/>
          </w:rPr>
          <w:fldChar w:fldCharType="end"/>
        </w:r>
      </w:hyperlink>
    </w:p>
    <w:p w14:paraId="021A2241" w14:textId="3CBF88D1" w:rsidR="002E2D7C" w:rsidRPr="002E2D7C" w:rsidRDefault="00714358" w:rsidP="002E2D7C">
      <w:pPr>
        <w:pStyle w:val="TOC2"/>
        <w:tabs>
          <w:tab w:val="right" w:leader="dot" w:pos="9056"/>
        </w:tabs>
        <w:spacing w:after="0" w:line="240" w:lineRule="auto"/>
        <w:rPr>
          <w:noProof/>
          <w:color w:val="0563C1"/>
          <w:u w:val="single"/>
        </w:rPr>
      </w:pPr>
      <w:hyperlink w:anchor="_Toc66777436" w:history="1">
        <w:r w:rsidR="002E2D7C" w:rsidRPr="00DA4683">
          <w:rPr>
            <w:rStyle w:val="Hyperlink"/>
            <w:noProof/>
          </w:rPr>
          <w:t>Annex 9: GEF Tracking Tools (submitted as separate annex)</w:t>
        </w:r>
      </w:hyperlink>
      <w:r w:rsidR="002E2D7C" w:rsidRPr="002E2D7C">
        <w:rPr>
          <w:noProof/>
          <w:color w:val="0563C1"/>
          <w:u w:val="single"/>
        </w:rPr>
        <w:t xml:space="preserve"> </w:t>
      </w:r>
    </w:p>
    <w:p w14:paraId="24ACA087" w14:textId="11FCB4CC" w:rsidR="002E2D7C" w:rsidRDefault="00714358" w:rsidP="002E2D7C">
      <w:pPr>
        <w:pStyle w:val="TOC2"/>
        <w:tabs>
          <w:tab w:val="right" w:leader="dot" w:pos="9056"/>
        </w:tabs>
        <w:spacing w:after="0" w:line="240" w:lineRule="auto"/>
        <w:rPr>
          <w:rFonts w:asciiTheme="minorHAnsi" w:eastAsiaTheme="minorEastAsia" w:hAnsiTheme="minorHAnsi" w:cstheme="minorBidi"/>
          <w:noProof/>
        </w:rPr>
      </w:pPr>
      <w:hyperlink w:anchor="_Toc66777437" w:history="1">
        <w:r w:rsidR="002E2D7C" w:rsidRPr="00DA4683">
          <w:rPr>
            <w:rStyle w:val="Hyperlink"/>
            <w:noProof/>
          </w:rPr>
          <w:t>Annex 10: Audit Trail (submitted as separate annex)</w:t>
        </w:r>
      </w:hyperlink>
      <w:r w:rsidR="002E2D7C">
        <w:rPr>
          <w:rFonts w:asciiTheme="minorHAnsi" w:eastAsiaTheme="minorEastAsia" w:hAnsiTheme="minorHAnsi" w:cstheme="minorBidi"/>
          <w:noProof/>
        </w:rPr>
        <w:t xml:space="preserve"> </w:t>
      </w:r>
    </w:p>
    <w:p w14:paraId="627686BE" w14:textId="0D972659" w:rsidR="00697AC5" w:rsidRPr="00B671C6" w:rsidRDefault="008512B2" w:rsidP="002E2D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b/>
          <w:color w:val="2F5496"/>
          <w:sz w:val="28"/>
          <w:szCs w:val="28"/>
          <w:lang w:val="sk-SK"/>
        </w:rPr>
        <w:sectPr w:rsidR="00697AC5" w:rsidRPr="00B671C6" w:rsidSect="00B671C6">
          <w:footerReference w:type="even" r:id="rId12"/>
          <w:footerReference w:type="default" r:id="rId13"/>
          <w:pgSz w:w="11900" w:h="16840"/>
          <w:pgMar w:top="1417" w:right="1417" w:bottom="1417" w:left="1417" w:header="708" w:footer="708" w:gutter="0"/>
          <w:pgNumType w:fmt="lowerRoman" w:start="1"/>
          <w:cols w:space="708"/>
          <w:titlePg/>
          <w:docGrid w:linePitch="360"/>
        </w:sectPr>
      </w:pPr>
      <w:r>
        <w:rPr>
          <w:b/>
          <w:color w:val="2F5496"/>
          <w:sz w:val="28"/>
          <w:szCs w:val="28"/>
          <w:lang w:val="sk-SK"/>
        </w:rPr>
        <w:fldChar w:fldCharType="end"/>
      </w:r>
    </w:p>
    <w:p w14:paraId="781C025C" w14:textId="77777777" w:rsidR="005313ED" w:rsidRPr="005313ED" w:rsidRDefault="005313ED" w:rsidP="005313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b/>
          <w:color w:val="2F5496"/>
          <w:lang w:val="sk-SK"/>
        </w:rPr>
      </w:pPr>
    </w:p>
    <w:p w14:paraId="65936D5E" w14:textId="77777777" w:rsidR="009655DB" w:rsidRPr="00A472FD" w:rsidRDefault="009655DB" w:rsidP="00580CB8">
      <w:pPr>
        <w:pStyle w:val="Heading1"/>
      </w:pPr>
      <w:bookmarkStart w:id="0" w:name="_Toc515816631"/>
      <w:bookmarkStart w:id="1" w:name="_Toc66777391"/>
      <w:r w:rsidRPr="00A472FD">
        <w:t>Executive Summary</w:t>
      </w:r>
      <w:bookmarkEnd w:id="0"/>
      <w:bookmarkEnd w:id="1"/>
    </w:p>
    <w:p w14:paraId="63D7A95B" w14:textId="77777777" w:rsidR="003071B2" w:rsidRDefault="003071B2" w:rsidP="009655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Helvetica" w:hAnsi="Helvetica" w:cs="Helvetica"/>
          <w:color w:val="000000"/>
          <w:sz w:val="20"/>
          <w:szCs w:val="20"/>
          <w:lang w:val="sk-SK"/>
        </w:rPr>
      </w:pPr>
    </w:p>
    <w:p w14:paraId="6388EBB6" w14:textId="77777777" w:rsidR="009655DB" w:rsidRPr="00BC5A97" w:rsidRDefault="009655DB" w:rsidP="009655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
          <w:color w:val="2F5496"/>
        </w:rPr>
      </w:pPr>
      <w:r w:rsidRPr="00BC5A97">
        <w:rPr>
          <w:b/>
          <w:color w:val="2F5496"/>
        </w:rPr>
        <w:t>Project Information Table</w:t>
      </w:r>
    </w:p>
    <w:p w14:paraId="16C7954A" w14:textId="77777777" w:rsidR="00452545" w:rsidRPr="00452545" w:rsidRDefault="00452545" w:rsidP="009655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6"/>
        <w:gridCol w:w="1985"/>
        <w:gridCol w:w="1831"/>
      </w:tblGrid>
      <w:tr w:rsidR="00EC1227" w:rsidRPr="00452545" w14:paraId="1A067AD1" w14:textId="77777777" w:rsidTr="001B4950">
        <w:tc>
          <w:tcPr>
            <w:tcW w:w="3114" w:type="dxa"/>
            <w:shd w:val="clear" w:color="auto" w:fill="D9D9D9"/>
          </w:tcPr>
          <w:p w14:paraId="01B6E824"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
                <w:color w:val="000000"/>
                <w:sz w:val="20"/>
                <w:szCs w:val="20"/>
              </w:rPr>
            </w:pPr>
            <w:r w:rsidRPr="001B4950">
              <w:rPr>
                <w:b/>
                <w:color w:val="000000"/>
                <w:sz w:val="20"/>
                <w:szCs w:val="20"/>
              </w:rPr>
              <w:t>Project Title</w:t>
            </w:r>
          </w:p>
        </w:tc>
        <w:tc>
          <w:tcPr>
            <w:tcW w:w="5942" w:type="dxa"/>
            <w:gridSpan w:val="3"/>
          </w:tcPr>
          <w:p w14:paraId="60F45FA7" w14:textId="1739B6B0" w:rsidR="00EC1227" w:rsidRPr="001B4950" w:rsidRDefault="00233913"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233913">
              <w:rPr>
                <w:color w:val="000000"/>
                <w:sz w:val="20"/>
                <w:szCs w:val="20"/>
              </w:rPr>
              <w:t xml:space="preserve">Establishing Transparency Framework </w:t>
            </w:r>
            <w:r>
              <w:rPr>
                <w:color w:val="000000"/>
                <w:sz w:val="20"/>
                <w:szCs w:val="20"/>
              </w:rPr>
              <w:t>f</w:t>
            </w:r>
            <w:r w:rsidRPr="00233913">
              <w:rPr>
                <w:color w:val="000000"/>
                <w:sz w:val="20"/>
                <w:szCs w:val="20"/>
              </w:rPr>
              <w:t xml:space="preserve">or </w:t>
            </w:r>
            <w:r>
              <w:rPr>
                <w:color w:val="000000"/>
                <w:sz w:val="20"/>
                <w:szCs w:val="20"/>
              </w:rPr>
              <w:t>t</w:t>
            </w:r>
            <w:r w:rsidRPr="00233913">
              <w:rPr>
                <w:color w:val="000000"/>
                <w:sz w:val="20"/>
                <w:szCs w:val="20"/>
              </w:rPr>
              <w:t xml:space="preserve">he Republic </w:t>
            </w:r>
            <w:r w:rsidR="00E067A3">
              <w:rPr>
                <w:color w:val="000000"/>
                <w:sz w:val="20"/>
                <w:szCs w:val="20"/>
              </w:rPr>
              <w:t>o</w:t>
            </w:r>
            <w:r w:rsidRPr="00233913">
              <w:rPr>
                <w:color w:val="000000"/>
                <w:sz w:val="20"/>
                <w:szCs w:val="20"/>
              </w:rPr>
              <w:t>f Serbia</w:t>
            </w:r>
          </w:p>
        </w:tc>
      </w:tr>
      <w:tr w:rsidR="00EC1227" w:rsidRPr="00452545" w14:paraId="31D31A8B" w14:textId="77777777" w:rsidTr="001B4950">
        <w:trPr>
          <w:trHeight w:val="346"/>
        </w:trPr>
        <w:tc>
          <w:tcPr>
            <w:tcW w:w="3114" w:type="dxa"/>
            <w:shd w:val="clear" w:color="auto" w:fill="D9D9D9"/>
          </w:tcPr>
          <w:p w14:paraId="05A252AF"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color w:val="000000"/>
                <w:sz w:val="20"/>
                <w:szCs w:val="20"/>
              </w:rPr>
              <w:t>UNDP Project ID (PIMS #):</w:t>
            </w:r>
          </w:p>
        </w:tc>
        <w:tc>
          <w:tcPr>
            <w:tcW w:w="2126" w:type="dxa"/>
          </w:tcPr>
          <w:p w14:paraId="3F4AC43D" w14:textId="7683C73B" w:rsidR="00EC1227" w:rsidRPr="001B4950" w:rsidRDefault="00233913"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sidRPr="00233913">
              <w:rPr>
                <w:color w:val="000000"/>
                <w:sz w:val="20"/>
                <w:szCs w:val="20"/>
              </w:rPr>
              <w:t>6211</w:t>
            </w:r>
          </w:p>
        </w:tc>
        <w:tc>
          <w:tcPr>
            <w:tcW w:w="1985" w:type="dxa"/>
            <w:shd w:val="clear" w:color="auto" w:fill="D9D9D9"/>
          </w:tcPr>
          <w:p w14:paraId="325728A2"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color w:val="000000"/>
                <w:sz w:val="20"/>
                <w:szCs w:val="20"/>
              </w:rPr>
              <w:t>PIF Approval Date:</w:t>
            </w:r>
          </w:p>
        </w:tc>
        <w:tc>
          <w:tcPr>
            <w:tcW w:w="1831" w:type="dxa"/>
          </w:tcPr>
          <w:p w14:paraId="54BEABD6" w14:textId="05EDA1B0" w:rsidR="00EC1227" w:rsidRPr="001B4950" w:rsidRDefault="00233913"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Pr>
                <w:color w:val="000000"/>
                <w:sz w:val="20"/>
                <w:szCs w:val="20"/>
              </w:rPr>
              <w:t xml:space="preserve">18 </w:t>
            </w:r>
            <w:r w:rsidRPr="00233913">
              <w:rPr>
                <w:color w:val="000000"/>
                <w:sz w:val="20"/>
                <w:szCs w:val="20"/>
              </w:rPr>
              <w:t>May 2018</w:t>
            </w:r>
          </w:p>
        </w:tc>
      </w:tr>
      <w:tr w:rsidR="00EC1227" w:rsidRPr="00452545" w14:paraId="3CDDD805" w14:textId="77777777" w:rsidTr="001B4950">
        <w:tc>
          <w:tcPr>
            <w:tcW w:w="3114" w:type="dxa"/>
            <w:shd w:val="clear" w:color="auto" w:fill="D9D9D9"/>
          </w:tcPr>
          <w:p w14:paraId="0AAE0C42"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color w:val="000000"/>
                <w:sz w:val="20"/>
                <w:szCs w:val="20"/>
              </w:rPr>
              <w:t>GEF Project ID (PMIS #):</w:t>
            </w:r>
          </w:p>
        </w:tc>
        <w:tc>
          <w:tcPr>
            <w:tcW w:w="2126" w:type="dxa"/>
          </w:tcPr>
          <w:p w14:paraId="5218F793" w14:textId="4A6C4A91" w:rsidR="00EC1227" w:rsidRPr="001B4950" w:rsidRDefault="00233913"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sidRPr="00233913">
              <w:rPr>
                <w:color w:val="000000"/>
                <w:sz w:val="20"/>
                <w:szCs w:val="20"/>
              </w:rPr>
              <w:t>10029</w:t>
            </w:r>
          </w:p>
        </w:tc>
        <w:tc>
          <w:tcPr>
            <w:tcW w:w="1985" w:type="dxa"/>
            <w:shd w:val="clear" w:color="auto" w:fill="D9D9D9"/>
          </w:tcPr>
          <w:p w14:paraId="22DE93B4"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CEO Endorsement Date:</w:t>
            </w:r>
          </w:p>
        </w:tc>
        <w:tc>
          <w:tcPr>
            <w:tcW w:w="1831" w:type="dxa"/>
          </w:tcPr>
          <w:p w14:paraId="4FD516F0" w14:textId="18A7DDA0" w:rsidR="00EC1227" w:rsidRPr="001B4950" w:rsidRDefault="00233913"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233913">
              <w:rPr>
                <w:color w:val="000000"/>
                <w:sz w:val="20"/>
                <w:szCs w:val="20"/>
              </w:rPr>
              <w:t>11</w:t>
            </w:r>
            <w:r>
              <w:rPr>
                <w:color w:val="000000"/>
                <w:sz w:val="20"/>
                <w:szCs w:val="20"/>
              </w:rPr>
              <w:t xml:space="preserve"> </w:t>
            </w:r>
            <w:r w:rsidRPr="00233913">
              <w:rPr>
                <w:color w:val="000000"/>
                <w:sz w:val="20"/>
                <w:szCs w:val="20"/>
              </w:rPr>
              <w:t>Jan</w:t>
            </w:r>
            <w:r>
              <w:rPr>
                <w:color w:val="000000"/>
                <w:sz w:val="20"/>
                <w:szCs w:val="20"/>
              </w:rPr>
              <w:t>uary</w:t>
            </w:r>
            <w:r w:rsidRPr="00233913">
              <w:rPr>
                <w:color w:val="000000"/>
                <w:sz w:val="20"/>
                <w:szCs w:val="20"/>
              </w:rPr>
              <w:t xml:space="preserve"> 2019</w:t>
            </w:r>
          </w:p>
        </w:tc>
      </w:tr>
      <w:tr w:rsidR="00EC1227" w:rsidRPr="00452545" w14:paraId="086F1F43" w14:textId="77777777" w:rsidTr="001B4950">
        <w:tc>
          <w:tcPr>
            <w:tcW w:w="3114" w:type="dxa"/>
            <w:shd w:val="clear" w:color="auto" w:fill="D9D9D9"/>
          </w:tcPr>
          <w:p w14:paraId="25B501B3"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Country(</w:t>
            </w:r>
            <w:proofErr w:type="spellStart"/>
            <w:r w:rsidRPr="001B4950">
              <w:rPr>
                <w:rFonts w:eastAsia="Garamond"/>
                <w:sz w:val="20"/>
                <w:szCs w:val="20"/>
              </w:rPr>
              <w:t>ies</w:t>
            </w:r>
            <w:proofErr w:type="spellEnd"/>
            <w:r w:rsidRPr="001B4950">
              <w:rPr>
                <w:rFonts w:eastAsia="Garamond"/>
                <w:sz w:val="20"/>
                <w:szCs w:val="20"/>
              </w:rPr>
              <w:t>):</w:t>
            </w:r>
          </w:p>
        </w:tc>
        <w:tc>
          <w:tcPr>
            <w:tcW w:w="2126" w:type="dxa"/>
          </w:tcPr>
          <w:p w14:paraId="2C0EE740" w14:textId="2C30F025" w:rsidR="00EC1227" w:rsidRPr="001B4950" w:rsidRDefault="00233913"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Pr>
                <w:color w:val="000000"/>
                <w:sz w:val="20"/>
                <w:szCs w:val="20"/>
              </w:rPr>
              <w:t>Serbia</w:t>
            </w:r>
          </w:p>
        </w:tc>
        <w:tc>
          <w:tcPr>
            <w:tcW w:w="1985" w:type="dxa"/>
            <w:shd w:val="clear" w:color="auto" w:fill="D9D9D9"/>
          </w:tcPr>
          <w:p w14:paraId="52CA5711"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proofErr w:type="spellStart"/>
            <w:r w:rsidRPr="001B4950">
              <w:rPr>
                <w:color w:val="000000"/>
                <w:sz w:val="20"/>
                <w:szCs w:val="20"/>
              </w:rPr>
              <w:t>ProDoc</w:t>
            </w:r>
            <w:proofErr w:type="spellEnd"/>
            <w:r w:rsidRPr="001B4950">
              <w:rPr>
                <w:color w:val="000000"/>
                <w:sz w:val="20"/>
                <w:szCs w:val="20"/>
              </w:rPr>
              <w:t xml:space="preserve"> Signature Date:</w:t>
            </w:r>
          </w:p>
        </w:tc>
        <w:tc>
          <w:tcPr>
            <w:tcW w:w="1831" w:type="dxa"/>
          </w:tcPr>
          <w:p w14:paraId="377B18B1" w14:textId="2B1F1BD4" w:rsidR="00EC1227" w:rsidRPr="001B4950" w:rsidRDefault="00233913"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Pr>
                <w:color w:val="000000"/>
                <w:sz w:val="20"/>
                <w:szCs w:val="20"/>
              </w:rPr>
              <w:t>8 March 2019</w:t>
            </w:r>
          </w:p>
        </w:tc>
      </w:tr>
      <w:tr w:rsidR="00EC1227" w:rsidRPr="00452545" w14:paraId="2C5A9272" w14:textId="77777777" w:rsidTr="001B4950">
        <w:tc>
          <w:tcPr>
            <w:tcW w:w="3114" w:type="dxa"/>
            <w:shd w:val="clear" w:color="auto" w:fill="D9D9D9"/>
          </w:tcPr>
          <w:p w14:paraId="2A0F0277"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Region:</w:t>
            </w:r>
          </w:p>
        </w:tc>
        <w:tc>
          <w:tcPr>
            <w:tcW w:w="2126" w:type="dxa"/>
          </w:tcPr>
          <w:p w14:paraId="1CDE60C1"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sidRPr="001B4950">
              <w:rPr>
                <w:color w:val="000000"/>
                <w:sz w:val="20"/>
                <w:szCs w:val="20"/>
              </w:rPr>
              <w:t>CEE</w:t>
            </w:r>
          </w:p>
        </w:tc>
        <w:tc>
          <w:tcPr>
            <w:tcW w:w="1985" w:type="dxa"/>
            <w:shd w:val="clear" w:color="auto" w:fill="D9D9D9"/>
          </w:tcPr>
          <w:p w14:paraId="1A329792"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highlight w:val="lightGray"/>
              </w:rPr>
              <w:t>Date project manager hired:</w:t>
            </w:r>
          </w:p>
        </w:tc>
        <w:tc>
          <w:tcPr>
            <w:tcW w:w="1831" w:type="dxa"/>
          </w:tcPr>
          <w:p w14:paraId="21ED6C25" w14:textId="2D47EA11"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p>
        </w:tc>
      </w:tr>
      <w:tr w:rsidR="00EC1227" w:rsidRPr="00452545" w14:paraId="638C652F" w14:textId="77777777" w:rsidTr="001B4950">
        <w:tc>
          <w:tcPr>
            <w:tcW w:w="3114" w:type="dxa"/>
            <w:shd w:val="clear" w:color="auto" w:fill="D9D9D9"/>
          </w:tcPr>
          <w:p w14:paraId="29B0F270"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Focal Area:</w:t>
            </w:r>
          </w:p>
        </w:tc>
        <w:tc>
          <w:tcPr>
            <w:tcW w:w="2126" w:type="dxa"/>
          </w:tcPr>
          <w:p w14:paraId="0451700F" w14:textId="44AB3CBB" w:rsidR="00EC1227" w:rsidRPr="001B4950" w:rsidRDefault="00E56F09"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Pr>
                <w:color w:val="000000"/>
                <w:sz w:val="20"/>
                <w:szCs w:val="20"/>
              </w:rPr>
              <w:t>Climate Change</w:t>
            </w:r>
          </w:p>
        </w:tc>
        <w:tc>
          <w:tcPr>
            <w:tcW w:w="1985" w:type="dxa"/>
            <w:shd w:val="clear" w:color="auto" w:fill="D9D9D9"/>
          </w:tcPr>
          <w:p w14:paraId="434499DC"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Inception Workshop date:</w:t>
            </w:r>
          </w:p>
        </w:tc>
        <w:tc>
          <w:tcPr>
            <w:tcW w:w="1831" w:type="dxa"/>
          </w:tcPr>
          <w:p w14:paraId="39CF5F6B" w14:textId="3AEB50DD" w:rsidR="00EC1227" w:rsidRPr="001B4950" w:rsidRDefault="00233913"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Pr>
                <w:color w:val="000000"/>
                <w:sz w:val="20"/>
                <w:szCs w:val="20"/>
              </w:rPr>
              <w:t>24 April 2019</w:t>
            </w:r>
          </w:p>
        </w:tc>
      </w:tr>
      <w:tr w:rsidR="00EC1227" w:rsidRPr="00452545" w14:paraId="7DEFF226" w14:textId="77777777" w:rsidTr="001B4950">
        <w:tc>
          <w:tcPr>
            <w:tcW w:w="3114" w:type="dxa"/>
            <w:shd w:val="clear" w:color="auto" w:fill="D9D9D9"/>
            <w:vAlign w:val="bottom"/>
          </w:tcPr>
          <w:p w14:paraId="1C12A9B2"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GEF Focal Area Strategic Objective:</w:t>
            </w:r>
          </w:p>
        </w:tc>
        <w:tc>
          <w:tcPr>
            <w:tcW w:w="2126" w:type="dxa"/>
          </w:tcPr>
          <w:p w14:paraId="77D9EE0A" w14:textId="77777777" w:rsidR="00EC1227"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sidRPr="001B4950">
              <w:rPr>
                <w:color w:val="000000"/>
                <w:sz w:val="20"/>
                <w:szCs w:val="20"/>
              </w:rPr>
              <w:t xml:space="preserve">GEF-6 </w:t>
            </w:r>
          </w:p>
          <w:p w14:paraId="1304E18A" w14:textId="7DE0D9B8" w:rsidR="001C35DD" w:rsidRPr="001B4950" w:rsidRDefault="001C35DD"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Pr>
                <w:color w:val="000000"/>
                <w:sz w:val="20"/>
                <w:szCs w:val="20"/>
              </w:rPr>
              <w:t>CBIT</w:t>
            </w:r>
          </w:p>
        </w:tc>
        <w:tc>
          <w:tcPr>
            <w:tcW w:w="1985" w:type="dxa"/>
            <w:shd w:val="clear" w:color="auto" w:fill="D9D9D9"/>
          </w:tcPr>
          <w:p w14:paraId="3D4D36BC"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Midterm Review Date:</w:t>
            </w:r>
          </w:p>
        </w:tc>
        <w:tc>
          <w:tcPr>
            <w:tcW w:w="1831" w:type="dxa"/>
          </w:tcPr>
          <w:p w14:paraId="5639AEB3" w14:textId="457A05A3" w:rsidR="00EC1227" w:rsidRPr="001B4950" w:rsidRDefault="00233913"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Pr>
                <w:color w:val="000000"/>
                <w:sz w:val="20"/>
                <w:szCs w:val="20"/>
              </w:rPr>
              <w:t>January – February 2021</w:t>
            </w:r>
          </w:p>
        </w:tc>
      </w:tr>
      <w:tr w:rsidR="00EC1227" w:rsidRPr="00452545" w14:paraId="564C5FBD" w14:textId="77777777" w:rsidTr="001B4950">
        <w:tc>
          <w:tcPr>
            <w:tcW w:w="3114" w:type="dxa"/>
            <w:shd w:val="clear" w:color="auto" w:fill="D9D9D9"/>
            <w:vAlign w:val="bottom"/>
          </w:tcPr>
          <w:p w14:paraId="792995EF"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 xml:space="preserve">Trust Fund: </w:t>
            </w:r>
          </w:p>
        </w:tc>
        <w:tc>
          <w:tcPr>
            <w:tcW w:w="2126" w:type="dxa"/>
          </w:tcPr>
          <w:p w14:paraId="4B69F506" w14:textId="6ED3BAD1"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sidRPr="001B4950">
              <w:rPr>
                <w:rFonts w:ascii="Garamond" w:eastAsia="Garamond" w:hAnsi="Garamond" w:cs="Garamond"/>
                <w:sz w:val="20"/>
                <w:szCs w:val="20"/>
              </w:rPr>
              <w:t xml:space="preserve">GEF </w:t>
            </w:r>
            <w:r w:rsidR="001C35DD" w:rsidRPr="001C35DD">
              <w:rPr>
                <w:rFonts w:ascii="Garamond" w:eastAsia="Garamond" w:hAnsi="Garamond" w:cs="Garamond"/>
                <w:sz w:val="20"/>
                <w:szCs w:val="20"/>
              </w:rPr>
              <w:t>CBIT T</w:t>
            </w:r>
            <w:r w:rsidR="001C35DD">
              <w:rPr>
                <w:rFonts w:ascii="Garamond" w:eastAsia="Garamond" w:hAnsi="Garamond" w:cs="Garamond"/>
                <w:sz w:val="20"/>
                <w:szCs w:val="20"/>
              </w:rPr>
              <w:t>F</w:t>
            </w:r>
          </w:p>
        </w:tc>
        <w:tc>
          <w:tcPr>
            <w:tcW w:w="1985" w:type="dxa"/>
            <w:shd w:val="clear" w:color="auto" w:fill="D9D9D9"/>
          </w:tcPr>
          <w:p w14:paraId="3AE9C31E"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highlight w:val="lightGray"/>
              </w:rPr>
              <w:t>Planned closing date:</w:t>
            </w:r>
          </w:p>
        </w:tc>
        <w:tc>
          <w:tcPr>
            <w:tcW w:w="1831" w:type="dxa"/>
          </w:tcPr>
          <w:p w14:paraId="34EF2ADE" w14:textId="0AAED6BC" w:rsidR="00EC1227" w:rsidRPr="001B4950" w:rsidRDefault="00233913"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Pr>
                <w:color w:val="000000"/>
                <w:sz w:val="20"/>
                <w:szCs w:val="20"/>
              </w:rPr>
              <w:t xml:space="preserve">8 March </w:t>
            </w:r>
            <w:r w:rsidR="00EC1227" w:rsidRPr="001B4950">
              <w:rPr>
                <w:color w:val="000000"/>
                <w:sz w:val="20"/>
                <w:szCs w:val="20"/>
              </w:rPr>
              <w:t>202</w:t>
            </w:r>
            <w:r>
              <w:rPr>
                <w:color w:val="000000"/>
                <w:sz w:val="20"/>
                <w:szCs w:val="20"/>
              </w:rPr>
              <w:t>2</w:t>
            </w:r>
          </w:p>
        </w:tc>
      </w:tr>
      <w:tr w:rsidR="00EC1227" w:rsidRPr="00452545" w14:paraId="7318A403" w14:textId="77777777" w:rsidTr="001B4950">
        <w:tc>
          <w:tcPr>
            <w:tcW w:w="3114" w:type="dxa"/>
            <w:shd w:val="clear" w:color="auto" w:fill="D9D9D9"/>
          </w:tcPr>
          <w:p w14:paraId="4B01AE60"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Executing Agency/ Implementing Partner</w:t>
            </w:r>
          </w:p>
        </w:tc>
        <w:tc>
          <w:tcPr>
            <w:tcW w:w="5942" w:type="dxa"/>
            <w:gridSpan w:val="3"/>
          </w:tcPr>
          <w:p w14:paraId="1A8B751D" w14:textId="160241A2"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color w:val="000000"/>
                <w:sz w:val="20"/>
                <w:szCs w:val="20"/>
              </w:rPr>
              <w:t xml:space="preserve">UNDP </w:t>
            </w:r>
            <w:r w:rsidR="001C35DD">
              <w:rPr>
                <w:color w:val="000000"/>
                <w:sz w:val="20"/>
                <w:szCs w:val="20"/>
              </w:rPr>
              <w:t>Serbia</w:t>
            </w:r>
          </w:p>
        </w:tc>
      </w:tr>
      <w:tr w:rsidR="00EC1227" w:rsidRPr="00452545" w14:paraId="15D262C8" w14:textId="77777777" w:rsidTr="001B4950">
        <w:tc>
          <w:tcPr>
            <w:tcW w:w="3114" w:type="dxa"/>
            <w:shd w:val="clear" w:color="auto" w:fill="D9D9D9"/>
          </w:tcPr>
          <w:p w14:paraId="1358F610"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Other execution partners:</w:t>
            </w:r>
          </w:p>
        </w:tc>
        <w:tc>
          <w:tcPr>
            <w:tcW w:w="5942" w:type="dxa"/>
            <w:gridSpan w:val="3"/>
          </w:tcPr>
          <w:p w14:paraId="56E477BD"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p>
        </w:tc>
      </w:tr>
      <w:tr w:rsidR="00EC1227" w:rsidRPr="00452545" w14:paraId="272A4DF4" w14:textId="77777777" w:rsidTr="001B4950">
        <w:tc>
          <w:tcPr>
            <w:tcW w:w="3114" w:type="dxa"/>
            <w:shd w:val="clear" w:color="auto" w:fill="D9D9D9"/>
            <w:vAlign w:val="bottom"/>
          </w:tcPr>
          <w:p w14:paraId="43245352"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
                <w:color w:val="000000"/>
                <w:sz w:val="20"/>
                <w:szCs w:val="20"/>
              </w:rPr>
            </w:pPr>
            <w:r w:rsidRPr="001B4950">
              <w:rPr>
                <w:rFonts w:eastAsia="Garamond"/>
                <w:b/>
                <w:bCs/>
                <w:color w:val="000000"/>
                <w:sz w:val="20"/>
                <w:szCs w:val="20"/>
              </w:rPr>
              <w:t>Project Financing</w:t>
            </w:r>
          </w:p>
        </w:tc>
        <w:tc>
          <w:tcPr>
            <w:tcW w:w="2126" w:type="dxa"/>
          </w:tcPr>
          <w:p w14:paraId="639D4143"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ascii="Garamond" w:eastAsia="Garamond" w:hAnsi="Garamond" w:cs="Garamond"/>
                <w:i/>
                <w:iCs/>
                <w:sz w:val="20"/>
                <w:szCs w:val="20"/>
              </w:rPr>
              <w:t xml:space="preserve">at CEO endorsement </w:t>
            </w:r>
            <w:r w:rsidRPr="001B4950">
              <w:rPr>
                <w:rFonts w:ascii="Garamond" w:eastAsia="Garamond" w:hAnsi="Garamond" w:cs="Garamond"/>
                <w:i/>
                <w:iCs/>
                <w:sz w:val="20"/>
                <w:szCs w:val="20"/>
                <w:u w:val="single"/>
              </w:rPr>
              <w:t>(US$</w:t>
            </w:r>
            <w:r w:rsidRPr="001B4950">
              <w:rPr>
                <w:rFonts w:ascii="Garamond" w:eastAsia="Garamond" w:hAnsi="Garamond" w:cs="Garamond"/>
                <w:i/>
                <w:iCs/>
                <w:sz w:val="20"/>
                <w:szCs w:val="20"/>
              </w:rPr>
              <w:t>)</w:t>
            </w:r>
          </w:p>
        </w:tc>
        <w:tc>
          <w:tcPr>
            <w:tcW w:w="3816" w:type="dxa"/>
            <w:gridSpan w:val="2"/>
            <w:shd w:val="clear" w:color="auto" w:fill="auto"/>
          </w:tcPr>
          <w:p w14:paraId="22DD8454"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sidRPr="001B4950">
              <w:rPr>
                <w:rFonts w:ascii="Garamond" w:eastAsia="Garamond" w:hAnsi="Garamond" w:cs="Garamond"/>
                <w:i/>
                <w:iCs/>
                <w:sz w:val="20"/>
                <w:szCs w:val="20"/>
              </w:rPr>
              <w:t xml:space="preserve">at Midterm Review </w:t>
            </w:r>
            <w:r w:rsidRPr="001B4950">
              <w:rPr>
                <w:rFonts w:ascii="Garamond" w:eastAsia="Garamond" w:hAnsi="Garamond" w:cs="Garamond"/>
                <w:i/>
                <w:iCs/>
                <w:sz w:val="20"/>
                <w:szCs w:val="20"/>
                <w:u w:val="single"/>
              </w:rPr>
              <w:t>(US$</w:t>
            </w:r>
            <w:r w:rsidRPr="001B4950">
              <w:rPr>
                <w:rFonts w:ascii="Garamond" w:eastAsia="Garamond" w:hAnsi="Garamond" w:cs="Garamond"/>
                <w:i/>
                <w:iCs/>
                <w:sz w:val="20"/>
                <w:szCs w:val="20"/>
              </w:rPr>
              <w:t>)</w:t>
            </w:r>
          </w:p>
        </w:tc>
      </w:tr>
      <w:tr w:rsidR="00EC1227" w:rsidRPr="009D70C9" w14:paraId="2B554EAA" w14:textId="77777777" w:rsidTr="001B4950">
        <w:tc>
          <w:tcPr>
            <w:tcW w:w="3114" w:type="dxa"/>
            <w:shd w:val="clear" w:color="auto" w:fill="D9D9D9"/>
            <w:vAlign w:val="bottom"/>
          </w:tcPr>
          <w:p w14:paraId="1CFD4F67"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[1] GEF financing:</w:t>
            </w:r>
          </w:p>
        </w:tc>
        <w:tc>
          <w:tcPr>
            <w:tcW w:w="2126" w:type="dxa"/>
          </w:tcPr>
          <w:p w14:paraId="3CDBDA04" w14:textId="29425179" w:rsidR="00EC1227" w:rsidRPr="001B4950" w:rsidRDefault="001C35DD"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Pr>
                <w:color w:val="000000"/>
                <w:sz w:val="20"/>
                <w:szCs w:val="20"/>
              </w:rPr>
              <w:t>1,000,000</w:t>
            </w:r>
          </w:p>
        </w:tc>
        <w:tc>
          <w:tcPr>
            <w:tcW w:w="3816" w:type="dxa"/>
            <w:gridSpan w:val="2"/>
            <w:shd w:val="clear" w:color="auto" w:fill="auto"/>
            <w:vAlign w:val="center"/>
          </w:tcPr>
          <w:p w14:paraId="59479CC0" w14:textId="401385D4" w:rsidR="00EC1227" w:rsidRPr="001B4950" w:rsidRDefault="008642F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sidRPr="008642F7">
              <w:rPr>
                <w:color w:val="000000"/>
                <w:sz w:val="20"/>
                <w:szCs w:val="20"/>
              </w:rPr>
              <w:t>584,521.69</w:t>
            </w:r>
          </w:p>
        </w:tc>
      </w:tr>
      <w:tr w:rsidR="00EC1227" w:rsidRPr="009D70C9" w14:paraId="48835B1B" w14:textId="77777777" w:rsidTr="001B4950">
        <w:tc>
          <w:tcPr>
            <w:tcW w:w="3114" w:type="dxa"/>
            <w:shd w:val="clear" w:color="auto" w:fill="D9D9D9"/>
            <w:vAlign w:val="bottom"/>
          </w:tcPr>
          <w:p w14:paraId="02B78C3B"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[2] UNDP contribution:</w:t>
            </w:r>
          </w:p>
        </w:tc>
        <w:tc>
          <w:tcPr>
            <w:tcW w:w="2126" w:type="dxa"/>
          </w:tcPr>
          <w:p w14:paraId="568B56F3" w14:textId="36D627C0" w:rsidR="00EC1227" w:rsidRPr="001B4950" w:rsidRDefault="001C35DD"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Pr>
                <w:color w:val="000000"/>
                <w:sz w:val="20"/>
                <w:szCs w:val="20"/>
              </w:rPr>
              <w:t>68,000 (in kind)</w:t>
            </w:r>
          </w:p>
        </w:tc>
        <w:tc>
          <w:tcPr>
            <w:tcW w:w="3816" w:type="dxa"/>
            <w:gridSpan w:val="2"/>
            <w:shd w:val="clear" w:color="auto" w:fill="auto"/>
            <w:vAlign w:val="center"/>
          </w:tcPr>
          <w:p w14:paraId="3A9385DE" w14:textId="39C76595" w:rsidR="00EC1227" w:rsidRPr="001B4950" w:rsidRDefault="00F137ED"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Pr>
                <w:color w:val="000000"/>
                <w:sz w:val="20"/>
                <w:szCs w:val="20"/>
              </w:rPr>
              <w:t>-</w:t>
            </w:r>
          </w:p>
        </w:tc>
      </w:tr>
      <w:tr w:rsidR="00EC1227" w:rsidRPr="009D70C9" w14:paraId="10BBAA41" w14:textId="77777777" w:rsidTr="001B4950">
        <w:tc>
          <w:tcPr>
            <w:tcW w:w="3114" w:type="dxa"/>
            <w:shd w:val="clear" w:color="auto" w:fill="D9D9D9"/>
            <w:vAlign w:val="bottom"/>
          </w:tcPr>
          <w:p w14:paraId="724B0342"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[3] Government:</w:t>
            </w:r>
          </w:p>
        </w:tc>
        <w:tc>
          <w:tcPr>
            <w:tcW w:w="2126" w:type="dxa"/>
          </w:tcPr>
          <w:p w14:paraId="42C8DCC2" w14:textId="0245929C" w:rsidR="00EC1227" w:rsidRPr="001B4950" w:rsidRDefault="001C35DD"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Pr>
                <w:color w:val="000000"/>
                <w:sz w:val="20"/>
                <w:szCs w:val="20"/>
              </w:rPr>
              <w:t>32</w:t>
            </w:r>
            <w:r w:rsidR="00B94492" w:rsidRPr="001B4950">
              <w:rPr>
                <w:color w:val="000000"/>
                <w:sz w:val="20"/>
                <w:szCs w:val="20"/>
              </w:rPr>
              <w:t>,000</w:t>
            </w:r>
            <w:r w:rsidR="00D456AC">
              <w:rPr>
                <w:color w:val="000000"/>
                <w:sz w:val="20"/>
                <w:szCs w:val="20"/>
              </w:rPr>
              <w:t xml:space="preserve"> (in kind)</w:t>
            </w:r>
            <w:r w:rsidR="006A1A3F">
              <w:rPr>
                <w:color w:val="000000"/>
                <w:sz w:val="20"/>
                <w:szCs w:val="20"/>
              </w:rPr>
              <w:t xml:space="preserve"> </w:t>
            </w:r>
          </w:p>
        </w:tc>
        <w:tc>
          <w:tcPr>
            <w:tcW w:w="3816" w:type="dxa"/>
            <w:gridSpan w:val="2"/>
            <w:shd w:val="clear" w:color="auto" w:fill="auto"/>
          </w:tcPr>
          <w:p w14:paraId="2EC9D9F7" w14:textId="3190CB43" w:rsidR="00EC1227" w:rsidRPr="001B4950" w:rsidRDefault="00F137ED"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Pr>
                <w:color w:val="000000"/>
                <w:sz w:val="20"/>
                <w:szCs w:val="20"/>
              </w:rPr>
              <w:t>-</w:t>
            </w:r>
          </w:p>
        </w:tc>
      </w:tr>
      <w:tr w:rsidR="00EC1227" w:rsidRPr="009D70C9" w14:paraId="39EC73EF" w14:textId="77777777" w:rsidTr="001B4950">
        <w:tc>
          <w:tcPr>
            <w:tcW w:w="3114" w:type="dxa"/>
            <w:shd w:val="clear" w:color="auto" w:fill="D9D9D9"/>
            <w:vAlign w:val="bottom"/>
          </w:tcPr>
          <w:p w14:paraId="0A7F4B12" w14:textId="0F7BC729"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[4] Other partners:</w:t>
            </w:r>
            <w:r w:rsidR="008642F7">
              <w:rPr>
                <w:rFonts w:eastAsia="Garamond"/>
                <w:sz w:val="20"/>
                <w:szCs w:val="20"/>
              </w:rPr>
              <w:t xml:space="preserve"> Climate Promise</w:t>
            </w:r>
          </w:p>
        </w:tc>
        <w:tc>
          <w:tcPr>
            <w:tcW w:w="2126" w:type="dxa"/>
          </w:tcPr>
          <w:p w14:paraId="506FA1A4" w14:textId="1A943342" w:rsidR="00EC1227" w:rsidRPr="001B4950" w:rsidRDefault="008642F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Pr>
                <w:color w:val="000000"/>
                <w:sz w:val="20"/>
                <w:szCs w:val="20"/>
              </w:rPr>
              <w:t>-</w:t>
            </w:r>
          </w:p>
        </w:tc>
        <w:tc>
          <w:tcPr>
            <w:tcW w:w="3816" w:type="dxa"/>
            <w:gridSpan w:val="2"/>
            <w:shd w:val="clear" w:color="auto" w:fill="auto"/>
          </w:tcPr>
          <w:p w14:paraId="659901F1" w14:textId="0FEDC962" w:rsidR="00EC1227" w:rsidRPr="001B4950" w:rsidRDefault="008642F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sidRPr="008642F7">
              <w:rPr>
                <w:color w:val="000000"/>
                <w:sz w:val="20"/>
                <w:szCs w:val="20"/>
              </w:rPr>
              <w:t>64,372.83</w:t>
            </w:r>
          </w:p>
        </w:tc>
      </w:tr>
      <w:tr w:rsidR="00EC1227" w:rsidRPr="009D70C9" w14:paraId="053B9EB1" w14:textId="77777777" w:rsidTr="001B4950">
        <w:tc>
          <w:tcPr>
            <w:tcW w:w="3114" w:type="dxa"/>
            <w:shd w:val="clear" w:color="auto" w:fill="D9D9D9"/>
            <w:vAlign w:val="bottom"/>
          </w:tcPr>
          <w:p w14:paraId="3F287B8E"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rPr>
              <w:t>[5] Total co-financing [2 + 3+ 4]:</w:t>
            </w:r>
          </w:p>
        </w:tc>
        <w:tc>
          <w:tcPr>
            <w:tcW w:w="2126" w:type="dxa"/>
          </w:tcPr>
          <w:p w14:paraId="0F18C75D" w14:textId="65C8E6E4"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p>
        </w:tc>
        <w:tc>
          <w:tcPr>
            <w:tcW w:w="3816" w:type="dxa"/>
            <w:gridSpan w:val="2"/>
            <w:shd w:val="clear" w:color="auto" w:fill="auto"/>
          </w:tcPr>
          <w:p w14:paraId="44A4E6EB" w14:textId="059A4F91" w:rsidR="00EC1227" w:rsidRPr="001B4950" w:rsidRDefault="008642F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sidRPr="008642F7">
              <w:rPr>
                <w:color w:val="000000"/>
                <w:sz w:val="20"/>
                <w:szCs w:val="20"/>
              </w:rPr>
              <w:t>64,372.83</w:t>
            </w:r>
          </w:p>
        </w:tc>
      </w:tr>
      <w:tr w:rsidR="00EC1227" w:rsidRPr="009D70C9" w14:paraId="466A2033" w14:textId="77777777" w:rsidTr="001B4950">
        <w:tc>
          <w:tcPr>
            <w:tcW w:w="3114" w:type="dxa"/>
            <w:shd w:val="clear" w:color="auto" w:fill="D9D9D9"/>
            <w:vAlign w:val="bottom"/>
          </w:tcPr>
          <w:p w14:paraId="5B438D31" w14:textId="77777777" w:rsidR="00EC1227" w:rsidRPr="001B4950" w:rsidRDefault="00EC122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color w:val="000000"/>
                <w:sz w:val="20"/>
                <w:szCs w:val="20"/>
              </w:rPr>
            </w:pPr>
            <w:r w:rsidRPr="001B4950">
              <w:rPr>
                <w:rFonts w:eastAsia="Garamond"/>
                <w:sz w:val="20"/>
                <w:szCs w:val="20"/>
                <w:highlight w:val="lightGray"/>
              </w:rPr>
              <w:t>PROJECT TOTAL COSTS [1 + 5]</w:t>
            </w:r>
          </w:p>
        </w:tc>
        <w:tc>
          <w:tcPr>
            <w:tcW w:w="2126" w:type="dxa"/>
          </w:tcPr>
          <w:p w14:paraId="498C870A" w14:textId="07E604ED" w:rsidR="00EC1227" w:rsidRPr="001B4950" w:rsidRDefault="001C35DD"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Pr>
                <w:color w:val="000000"/>
                <w:sz w:val="20"/>
                <w:szCs w:val="20"/>
              </w:rPr>
              <w:t>1,200,000</w:t>
            </w:r>
          </w:p>
        </w:tc>
        <w:tc>
          <w:tcPr>
            <w:tcW w:w="3816" w:type="dxa"/>
            <w:gridSpan w:val="2"/>
            <w:shd w:val="clear" w:color="auto" w:fill="auto"/>
          </w:tcPr>
          <w:p w14:paraId="2F25563D" w14:textId="7F185786" w:rsidR="00EC1227" w:rsidRPr="001B4950" w:rsidRDefault="008642F7" w:rsidP="001B49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color w:val="000000"/>
                <w:sz w:val="20"/>
                <w:szCs w:val="20"/>
              </w:rPr>
            </w:pPr>
            <w:r>
              <w:rPr>
                <w:color w:val="000000"/>
                <w:sz w:val="20"/>
                <w:szCs w:val="20"/>
              </w:rPr>
              <w:t>648,894.52</w:t>
            </w:r>
          </w:p>
        </w:tc>
      </w:tr>
    </w:tbl>
    <w:p w14:paraId="70622DA6" w14:textId="77777777" w:rsidR="00452545" w:rsidRPr="00452545" w:rsidRDefault="00452545" w:rsidP="009655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Arial" w:hAnsi="Arial" w:cs="Arial"/>
          <w:color w:val="000000"/>
          <w:sz w:val="20"/>
          <w:szCs w:val="20"/>
        </w:rPr>
      </w:pPr>
    </w:p>
    <w:p w14:paraId="017E3371" w14:textId="77777777" w:rsidR="0053545C" w:rsidRPr="00452545" w:rsidRDefault="0053545C" w:rsidP="009655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Arial" w:hAnsi="Arial" w:cs="Arial"/>
          <w:color w:val="000000"/>
          <w:sz w:val="20"/>
          <w:szCs w:val="20"/>
        </w:rPr>
      </w:pPr>
    </w:p>
    <w:p w14:paraId="61882C86" w14:textId="77777777" w:rsidR="009655DB" w:rsidRDefault="00BC5A97" w:rsidP="009655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
          <w:color w:val="2F5496"/>
        </w:rPr>
      </w:pPr>
      <w:r>
        <w:rPr>
          <w:b/>
          <w:color w:val="2F5496"/>
        </w:rPr>
        <w:t>Project Description</w:t>
      </w:r>
    </w:p>
    <w:p w14:paraId="6CE7787B" w14:textId="77777777" w:rsidR="00F43D27" w:rsidRDefault="00F43D27" w:rsidP="00F43D27">
      <w:r>
        <w:t xml:space="preserve">The development objective of the CBIT project is to accelerate Serbia’s movement towards a low-carbon and climate resilience development pathway by mainstreaming and integrating climate change considerations into development strategies and sector-based policy frameworks and linking the relevant policies and measures with a routine mechanism for climate change monitoring, reporting and verification. </w:t>
      </w:r>
    </w:p>
    <w:p w14:paraId="070604DE" w14:textId="77777777" w:rsidR="00F43D27" w:rsidRDefault="00F43D27" w:rsidP="00F43D27">
      <w:r>
        <w:t>The immediate objective of the project is to assist the Government of Serbia with establishing a National Transparency Framework to enhance implementation of Serbia’s commitments under the PCA and abide by its transparency provisions.</w:t>
      </w:r>
    </w:p>
    <w:p w14:paraId="0CF567A2" w14:textId="77777777" w:rsidR="00F43D27" w:rsidRDefault="00F43D27" w:rsidP="00F43D27">
      <w:r>
        <w:t xml:space="preserve">In particular, the project aims at finalizing and launching a Monitoring, Reporting, and Verification (MRV) system in order to provide more accurate information and analysis of the instruments selected for mitigation and adaptation to climate change. The functional MRV system is also needed to formulate and effectively implement climate change-related policies and measures as expressed in the NDC. It is a prerequisite for a more intensive engagement of stakeholders, including local governments and the private sector in a gender-inclusive </w:t>
      </w:r>
      <w:r>
        <w:lastRenderedPageBreak/>
        <w:t xml:space="preserve">manner.  Finally, the project aims at using training and peer exchanges to strengthen capacity for transparency and allow for more ambitious commitments in the NDCs over time.  </w:t>
      </w:r>
    </w:p>
    <w:p w14:paraId="3D95610F" w14:textId="77777777" w:rsidR="00F43D27" w:rsidRDefault="00F43D27" w:rsidP="00F43D27">
      <w:r>
        <w:t xml:space="preserve">Specifically, the CBIT project was designed to: </w:t>
      </w:r>
    </w:p>
    <w:p w14:paraId="26B94090" w14:textId="77777777" w:rsidR="00F43D27" w:rsidRDefault="00F43D27" w:rsidP="00F43D27">
      <w:pPr>
        <w:spacing w:before="60"/>
      </w:pPr>
      <w:r>
        <w:t>•</w:t>
      </w:r>
      <w:r>
        <w:tab/>
        <w:t xml:space="preserve">support the Government of Serbia in mainstreaming and integrating climate change considerations into development strategies and sector-based policy frameworks by strengthening and sustaining efforts to monitor, report, and verify activities to address climate change, </w:t>
      </w:r>
    </w:p>
    <w:p w14:paraId="2BEE8C10" w14:textId="77777777" w:rsidR="00F43D27" w:rsidRDefault="00F43D27" w:rsidP="00F43D27">
      <w:pPr>
        <w:spacing w:before="60"/>
      </w:pPr>
      <w:r>
        <w:t>•</w:t>
      </w:r>
      <w:r>
        <w:tab/>
        <w:t>assist the Government of Serbia with strengthening the methodologies and tools necessary to enhance transparency as described in Article 13 of the Paris Agreement,</w:t>
      </w:r>
    </w:p>
    <w:p w14:paraId="3B9EF95E" w14:textId="4585BC76" w:rsidR="00F43D27" w:rsidRPr="00F43D27" w:rsidRDefault="00F43D27" w:rsidP="00F43D27">
      <w:pPr>
        <w:spacing w:before="60"/>
      </w:pPr>
      <w:r>
        <w:t>•</w:t>
      </w:r>
      <w:r>
        <w:tab/>
        <w:t>accelerate Serbia’s EU accession process in the area of environment, energy and climate change, contributing to creation of enabling policy and institutional environment for effective implementation of relevant EU Acquis and related national legal acts.</w:t>
      </w:r>
    </w:p>
    <w:p w14:paraId="4CD65BE2" w14:textId="77777777" w:rsidR="009655DB" w:rsidRDefault="009655DB" w:rsidP="00F43D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b/>
          <w:color w:val="2F5496"/>
        </w:rPr>
      </w:pPr>
      <w:r w:rsidRPr="00DE4B96">
        <w:rPr>
          <w:b/>
          <w:color w:val="2F5496"/>
        </w:rPr>
        <w:t xml:space="preserve">Project Progress Summary </w:t>
      </w:r>
    </w:p>
    <w:p w14:paraId="3C3CA958" w14:textId="77777777" w:rsidR="00270069" w:rsidRDefault="00270069" w:rsidP="00410A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t>The project has engaged a relatively wide range of national stakeholders through establishment of an Inter-Ministerial Working Group with representation of a number of line ministries, agencies and institutes responsible for collection of data related to mitigation and adaptation aspects of climate reporting.</w:t>
      </w:r>
    </w:p>
    <w:p w14:paraId="735119B7" w14:textId="341A4D24" w:rsidR="00270069"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The capacity building component of the project progressed well and the mid-term targets were achieved, although progress was slowed down due to COVID-19 outbreak in 2020. The national MRV system, including an IT platform, as well as compilation of </w:t>
      </w:r>
      <w:r w:rsidRPr="00DB29CA">
        <w:t xml:space="preserve">Modalities, Procedures and Guidelines </w:t>
      </w:r>
      <w:r>
        <w:t xml:space="preserve">for transparency in climate reporting were still under development at the time of the MTR but there are all signs that the new MRV system could be operational by the end of 2021. </w:t>
      </w:r>
    </w:p>
    <w:p w14:paraId="7A25377F" w14:textId="6A4203FD" w:rsidR="00410A8A"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The management arrangements for the project established in line with the NIM modality with support of the UNDP CO were found functional and the project monitoring &amp; evaluation framework, planning of work and reporting are considered effective and efficient. Project finances are well managed and additional source of co-financing was utilized in addition to the in-kind co-financing pledged at the project inception.</w:t>
      </w:r>
    </w:p>
    <w:p w14:paraId="019FF368" w14:textId="45EBD8BC" w:rsidR="00270069"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The project has </w:t>
      </w:r>
      <w:r w:rsidR="00E527E8">
        <w:t xml:space="preserve">built on previous work on </w:t>
      </w:r>
      <w:r>
        <w:t xml:space="preserve">gender mainstreaming </w:t>
      </w:r>
      <w:r w:rsidR="00E527E8">
        <w:t xml:space="preserve">for climate reporting in Serbia and has established a working framework for systematic </w:t>
      </w:r>
      <w:r w:rsidR="00A209C6">
        <w:t>collection of data and assessment of relation between climate change and gender equality.</w:t>
      </w:r>
    </w:p>
    <w:p w14:paraId="03E676F2" w14:textId="31C9EF2F" w:rsidR="00D775B1" w:rsidRPr="00F43D27" w:rsidRDefault="009351D1"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O</w:t>
      </w:r>
      <w:r w:rsidRPr="009351D1">
        <w:t>verall</w:t>
      </w:r>
      <w:r>
        <w:t>, the</w:t>
      </w:r>
      <w:r w:rsidRPr="009351D1">
        <w:t xml:space="preserve"> progress towards the results of the </w:t>
      </w:r>
      <w:r>
        <w:t>p</w:t>
      </w:r>
      <w:r w:rsidRPr="009351D1">
        <w:t xml:space="preserve">roject is adjudged as </w:t>
      </w:r>
      <w:r>
        <w:t>‘Satisfactory’</w:t>
      </w:r>
      <w:r w:rsidRPr="009351D1">
        <w:t xml:space="preserve"> and the project </w:t>
      </w:r>
      <w:r>
        <w:t xml:space="preserve">is expected </w:t>
      </w:r>
      <w:r w:rsidRPr="009351D1">
        <w:t xml:space="preserve">to </w:t>
      </w:r>
      <w:r>
        <w:t xml:space="preserve">achieve a majority </w:t>
      </w:r>
      <w:r w:rsidRPr="009351D1">
        <w:t xml:space="preserve">of the </w:t>
      </w:r>
      <w:r>
        <w:t xml:space="preserve">planned </w:t>
      </w:r>
      <w:r w:rsidRPr="009351D1">
        <w:t>targets.</w:t>
      </w:r>
    </w:p>
    <w:p w14:paraId="00CEFB67" w14:textId="77777777" w:rsidR="00CE07B3" w:rsidRDefault="00080993" w:rsidP="00EB2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color w:val="2F5496"/>
        </w:rPr>
      </w:pPr>
      <w:r>
        <w:rPr>
          <w:b/>
          <w:color w:val="2F5496"/>
        </w:rPr>
        <w:br w:type="page"/>
      </w:r>
      <w:r w:rsidR="00A93CCB" w:rsidRPr="00007B5B">
        <w:rPr>
          <w:b/>
          <w:color w:val="2F5496"/>
        </w:rPr>
        <w:lastRenderedPageBreak/>
        <w:t>MTR Ratings &amp; Achievement Summary</w:t>
      </w:r>
    </w:p>
    <w:tbl>
      <w:tblPr>
        <w:tblpPr w:leftFromText="180" w:rightFromText="180" w:vertAnchor="page" w:horzAnchor="margin" w:tblpY="20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261"/>
        <w:gridCol w:w="4099"/>
      </w:tblGrid>
      <w:tr w:rsidR="00080993" w:rsidRPr="00DB3E9F" w14:paraId="187A6901" w14:textId="77777777" w:rsidTr="00270069">
        <w:tc>
          <w:tcPr>
            <w:tcW w:w="1696" w:type="dxa"/>
            <w:shd w:val="clear" w:color="auto" w:fill="auto"/>
          </w:tcPr>
          <w:p w14:paraId="1F8F4010" w14:textId="77777777" w:rsidR="00080993" w:rsidRPr="00DB3E9F" w:rsidRDefault="0008099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b/>
                <w:sz w:val="22"/>
                <w:szCs w:val="22"/>
              </w:rPr>
            </w:pPr>
            <w:r w:rsidRPr="00DB3E9F">
              <w:rPr>
                <w:b/>
                <w:sz w:val="22"/>
                <w:szCs w:val="22"/>
              </w:rPr>
              <w:t>Measure</w:t>
            </w:r>
          </w:p>
        </w:tc>
        <w:tc>
          <w:tcPr>
            <w:tcW w:w="3261" w:type="dxa"/>
            <w:shd w:val="clear" w:color="auto" w:fill="auto"/>
          </w:tcPr>
          <w:p w14:paraId="55996EA5" w14:textId="77777777" w:rsidR="00080993" w:rsidRPr="00DB3E9F" w:rsidRDefault="0008099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b/>
                <w:sz w:val="22"/>
                <w:szCs w:val="22"/>
              </w:rPr>
            </w:pPr>
            <w:r w:rsidRPr="00DB3E9F">
              <w:rPr>
                <w:b/>
                <w:sz w:val="22"/>
                <w:szCs w:val="22"/>
              </w:rPr>
              <w:t>MTR Rating</w:t>
            </w:r>
            <w:r w:rsidRPr="00DB3E9F">
              <w:rPr>
                <w:rStyle w:val="FootnoteReference"/>
                <w:b/>
                <w:sz w:val="22"/>
                <w:szCs w:val="22"/>
              </w:rPr>
              <w:footnoteReference w:id="1"/>
            </w:r>
          </w:p>
        </w:tc>
        <w:tc>
          <w:tcPr>
            <w:tcW w:w="4099" w:type="dxa"/>
            <w:shd w:val="clear" w:color="auto" w:fill="auto"/>
          </w:tcPr>
          <w:p w14:paraId="7A368432" w14:textId="77777777" w:rsidR="00080993" w:rsidRPr="00DB3E9F" w:rsidRDefault="0008099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b/>
                <w:sz w:val="22"/>
                <w:szCs w:val="22"/>
              </w:rPr>
            </w:pPr>
            <w:r w:rsidRPr="00DB3E9F">
              <w:rPr>
                <w:b/>
                <w:sz w:val="22"/>
                <w:szCs w:val="22"/>
              </w:rPr>
              <w:t>Achievement Description</w:t>
            </w:r>
            <w:r w:rsidRPr="00DB3E9F">
              <w:rPr>
                <w:rStyle w:val="FootnoteReference"/>
                <w:b/>
                <w:sz w:val="22"/>
                <w:szCs w:val="22"/>
              </w:rPr>
              <w:footnoteReference w:id="2"/>
            </w:r>
          </w:p>
        </w:tc>
      </w:tr>
      <w:tr w:rsidR="00E067A3" w:rsidRPr="00DB3E9F" w14:paraId="3FEBE176" w14:textId="77777777" w:rsidTr="00270069">
        <w:tc>
          <w:tcPr>
            <w:tcW w:w="1696" w:type="dxa"/>
            <w:vMerge w:val="restart"/>
            <w:shd w:val="clear" w:color="auto" w:fill="auto"/>
            <w:vAlign w:val="center"/>
          </w:tcPr>
          <w:p w14:paraId="2B1B0223" w14:textId="77777777" w:rsidR="00E067A3" w:rsidRPr="00DB3E9F" w:rsidRDefault="00E067A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sz w:val="22"/>
                <w:szCs w:val="22"/>
              </w:rPr>
            </w:pPr>
            <w:r w:rsidRPr="00DB3E9F">
              <w:rPr>
                <w:sz w:val="22"/>
                <w:szCs w:val="22"/>
              </w:rPr>
              <w:t>Progress Towards Results</w:t>
            </w:r>
          </w:p>
        </w:tc>
        <w:tc>
          <w:tcPr>
            <w:tcW w:w="3261" w:type="dxa"/>
            <w:shd w:val="clear" w:color="auto" w:fill="auto"/>
          </w:tcPr>
          <w:p w14:paraId="462DCA16" w14:textId="77777777" w:rsidR="00E067A3" w:rsidRPr="00DB3E9F" w:rsidRDefault="00E067A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sz w:val="22"/>
                <w:szCs w:val="22"/>
              </w:rPr>
            </w:pPr>
            <w:r w:rsidRPr="00DB3E9F">
              <w:rPr>
                <w:sz w:val="22"/>
                <w:szCs w:val="22"/>
              </w:rPr>
              <w:t xml:space="preserve">Project Objective </w:t>
            </w:r>
          </w:p>
          <w:p w14:paraId="65AE91DF" w14:textId="3C59F0DD" w:rsidR="00E067A3" w:rsidRPr="00DB3E9F" w:rsidRDefault="00E067A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sz w:val="22"/>
                <w:szCs w:val="22"/>
              </w:rPr>
            </w:pPr>
            <w:r w:rsidRPr="00DB3E9F">
              <w:rPr>
                <w:sz w:val="22"/>
                <w:szCs w:val="22"/>
              </w:rPr>
              <w:t xml:space="preserve">Rating:  </w:t>
            </w:r>
            <w:r w:rsidR="00270069">
              <w:rPr>
                <w:sz w:val="22"/>
                <w:szCs w:val="22"/>
              </w:rPr>
              <w:t xml:space="preserve"> Satisfactory (S)</w:t>
            </w:r>
          </w:p>
        </w:tc>
        <w:tc>
          <w:tcPr>
            <w:tcW w:w="4099" w:type="dxa"/>
            <w:shd w:val="clear" w:color="auto" w:fill="auto"/>
          </w:tcPr>
          <w:p w14:paraId="751EF6B8" w14:textId="3F4B26F5" w:rsidR="00E067A3" w:rsidRPr="00DB3E9F"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sz w:val="22"/>
                <w:szCs w:val="22"/>
              </w:rPr>
            </w:pPr>
            <w:r>
              <w:rPr>
                <w:sz w:val="22"/>
                <w:szCs w:val="22"/>
              </w:rPr>
              <w:t>Mid-term target on quality of the MRV system achieved, mid-term target for institutional capacity pending on approval of the revised Law on Climate Change</w:t>
            </w:r>
          </w:p>
        </w:tc>
      </w:tr>
      <w:tr w:rsidR="00E067A3" w:rsidRPr="00DB3E9F" w14:paraId="658167F1" w14:textId="77777777" w:rsidTr="00270069">
        <w:tc>
          <w:tcPr>
            <w:tcW w:w="1696" w:type="dxa"/>
            <w:vMerge/>
            <w:shd w:val="clear" w:color="auto" w:fill="auto"/>
          </w:tcPr>
          <w:p w14:paraId="57354601" w14:textId="77777777" w:rsidR="00E067A3" w:rsidRPr="00DB3E9F" w:rsidRDefault="00E067A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rPr>
            </w:pPr>
          </w:p>
        </w:tc>
        <w:tc>
          <w:tcPr>
            <w:tcW w:w="3261" w:type="dxa"/>
            <w:shd w:val="clear" w:color="auto" w:fill="auto"/>
          </w:tcPr>
          <w:p w14:paraId="31CB81E9" w14:textId="77777777" w:rsidR="00E067A3" w:rsidRPr="00DB3E9F" w:rsidRDefault="00E067A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sz w:val="22"/>
                <w:szCs w:val="22"/>
              </w:rPr>
            </w:pPr>
            <w:r w:rsidRPr="00DB3E9F">
              <w:rPr>
                <w:sz w:val="22"/>
                <w:szCs w:val="22"/>
              </w:rPr>
              <w:t>Outcome 1</w:t>
            </w:r>
          </w:p>
          <w:p w14:paraId="6743908C" w14:textId="6B3609F2" w:rsidR="00E067A3" w:rsidRPr="00DB3E9F" w:rsidRDefault="00E067A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sz w:val="22"/>
                <w:szCs w:val="22"/>
              </w:rPr>
            </w:pPr>
            <w:r w:rsidRPr="00DB3E9F">
              <w:rPr>
                <w:sz w:val="22"/>
                <w:szCs w:val="22"/>
              </w:rPr>
              <w:t xml:space="preserve">Rating: </w:t>
            </w:r>
            <w:r w:rsidR="00270069">
              <w:rPr>
                <w:sz w:val="22"/>
                <w:szCs w:val="22"/>
              </w:rPr>
              <w:t xml:space="preserve">  Satisfactory (S)</w:t>
            </w:r>
          </w:p>
        </w:tc>
        <w:tc>
          <w:tcPr>
            <w:tcW w:w="4099" w:type="dxa"/>
            <w:shd w:val="clear" w:color="auto" w:fill="auto"/>
          </w:tcPr>
          <w:p w14:paraId="260D40F3" w14:textId="07976E5F" w:rsidR="00E067A3" w:rsidRPr="00DB3E9F"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sz w:val="22"/>
                <w:szCs w:val="22"/>
              </w:rPr>
            </w:pPr>
            <w:r>
              <w:rPr>
                <w:sz w:val="22"/>
                <w:szCs w:val="22"/>
              </w:rPr>
              <w:t>Mid-term targets achieved for capacity building on mitigation aspects, development of the MRV system on-going</w:t>
            </w:r>
          </w:p>
        </w:tc>
      </w:tr>
      <w:tr w:rsidR="00E067A3" w:rsidRPr="00DB3E9F" w14:paraId="077B0809" w14:textId="77777777" w:rsidTr="00270069">
        <w:tc>
          <w:tcPr>
            <w:tcW w:w="1696" w:type="dxa"/>
            <w:vMerge/>
            <w:shd w:val="clear" w:color="auto" w:fill="auto"/>
          </w:tcPr>
          <w:p w14:paraId="307D7533" w14:textId="77777777" w:rsidR="00E067A3" w:rsidRPr="00DB3E9F" w:rsidRDefault="00E067A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rPr>
            </w:pPr>
          </w:p>
        </w:tc>
        <w:tc>
          <w:tcPr>
            <w:tcW w:w="3261" w:type="dxa"/>
            <w:shd w:val="clear" w:color="auto" w:fill="auto"/>
          </w:tcPr>
          <w:p w14:paraId="5805E78A" w14:textId="77777777" w:rsidR="00E067A3" w:rsidRPr="00DB3E9F" w:rsidRDefault="00E067A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sz w:val="22"/>
                <w:szCs w:val="22"/>
              </w:rPr>
            </w:pPr>
            <w:r w:rsidRPr="00DB3E9F">
              <w:rPr>
                <w:sz w:val="22"/>
                <w:szCs w:val="22"/>
              </w:rPr>
              <w:t>Outcome 2</w:t>
            </w:r>
          </w:p>
          <w:p w14:paraId="759073F1" w14:textId="7A53B203" w:rsidR="00E067A3" w:rsidRPr="00DB3E9F" w:rsidRDefault="00E067A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sz w:val="22"/>
                <w:szCs w:val="22"/>
              </w:rPr>
            </w:pPr>
            <w:r w:rsidRPr="00DB3E9F">
              <w:rPr>
                <w:sz w:val="22"/>
                <w:szCs w:val="22"/>
              </w:rPr>
              <w:t xml:space="preserve">Rating: </w:t>
            </w:r>
            <w:r w:rsidR="00270069">
              <w:rPr>
                <w:sz w:val="22"/>
                <w:szCs w:val="22"/>
              </w:rPr>
              <w:t xml:space="preserve">  Satisfactory (S)</w:t>
            </w:r>
          </w:p>
        </w:tc>
        <w:tc>
          <w:tcPr>
            <w:tcW w:w="4099" w:type="dxa"/>
            <w:shd w:val="clear" w:color="auto" w:fill="auto"/>
          </w:tcPr>
          <w:p w14:paraId="41BCEA73" w14:textId="08658752" w:rsidR="00E067A3" w:rsidRPr="00DB3E9F"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sz w:val="22"/>
                <w:szCs w:val="22"/>
              </w:rPr>
            </w:pPr>
            <w:r>
              <w:rPr>
                <w:sz w:val="22"/>
                <w:szCs w:val="22"/>
              </w:rPr>
              <w:t>Mid-term targets achieved for capacity building on adaptation aspects, development of the MRV system on-going</w:t>
            </w:r>
          </w:p>
        </w:tc>
      </w:tr>
      <w:tr w:rsidR="00E067A3" w:rsidRPr="00DB3E9F" w14:paraId="07F67DBE" w14:textId="77777777" w:rsidTr="00270069">
        <w:tc>
          <w:tcPr>
            <w:tcW w:w="1696" w:type="dxa"/>
            <w:vMerge/>
            <w:shd w:val="clear" w:color="auto" w:fill="auto"/>
          </w:tcPr>
          <w:p w14:paraId="15EFF4F9" w14:textId="77777777" w:rsidR="00E067A3" w:rsidRPr="00DB3E9F" w:rsidRDefault="00E067A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rPr>
            </w:pPr>
          </w:p>
        </w:tc>
        <w:tc>
          <w:tcPr>
            <w:tcW w:w="3261" w:type="dxa"/>
            <w:shd w:val="clear" w:color="auto" w:fill="auto"/>
          </w:tcPr>
          <w:p w14:paraId="3195B4AC" w14:textId="77777777" w:rsidR="00E067A3" w:rsidRPr="00DB3E9F" w:rsidRDefault="00E067A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sz w:val="22"/>
                <w:szCs w:val="22"/>
              </w:rPr>
            </w:pPr>
            <w:r w:rsidRPr="00DB3E9F">
              <w:rPr>
                <w:sz w:val="22"/>
                <w:szCs w:val="22"/>
              </w:rPr>
              <w:t>Outcome 3</w:t>
            </w:r>
          </w:p>
          <w:p w14:paraId="5740F782" w14:textId="4212857B" w:rsidR="00E067A3" w:rsidRPr="00DB3E9F" w:rsidRDefault="00E067A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sz w:val="22"/>
                <w:szCs w:val="22"/>
              </w:rPr>
            </w:pPr>
            <w:r w:rsidRPr="00DB3E9F">
              <w:rPr>
                <w:sz w:val="22"/>
                <w:szCs w:val="22"/>
              </w:rPr>
              <w:t xml:space="preserve">Rating: </w:t>
            </w:r>
            <w:r w:rsidR="00270069">
              <w:rPr>
                <w:sz w:val="22"/>
                <w:szCs w:val="22"/>
              </w:rPr>
              <w:t xml:space="preserve">  Moderately Satisfactory (MS)</w:t>
            </w:r>
          </w:p>
        </w:tc>
        <w:tc>
          <w:tcPr>
            <w:tcW w:w="4099" w:type="dxa"/>
            <w:shd w:val="clear" w:color="auto" w:fill="auto"/>
          </w:tcPr>
          <w:p w14:paraId="07823C65" w14:textId="38A751AB" w:rsidR="00E067A3"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sz w:val="22"/>
                <w:szCs w:val="22"/>
              </w:rPr>
            </w:pPr>
            <w:r>
              <w:rPr>
                <w:sz w:val="22"/>
                <w:szCs w:val="22"/>
              </w:rPr>
              <w:t>Project short of mid-term targets for training of local governments and businesses for climate reporting</w:t>
            </w:r>
          </w:p>
          <w:p w14:paraId="05F4EE9B" w14:textId="1C072BF6" w:rsidR="00270069"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line="240" w:lineRule="auto"/>
              <w:jc w:val="left"/>
              <w:rPr>
                <w:sz w:val="22"/>
                <w:szCs w:val="22"/>
              </w:rPr>
            </w:pPr>
            <w:r>
              <w:rPr>
                <w:sz w:val="22"/>
                <w:szCs w:val="22"/>
              </w:rPr>
              <w:t xml:space="preserve">2 emission factors for GHG inventory recalculated </w:t>
            </w:r>
          </w:p>
          <w:p w14:paraId="5A2E2A86" w14:textId="491EBA26" w:rsidR="00270069"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line="240" w:lineRule="auto"/>
              <w:jc w:val="left"/>
              <w:rPr>
                <w:sz w:val="22"/>
                <w:szCs w:val="22"/>
              </w:rPr>
            </w:pPr>
            <w:r>
              <w:rPr>
                <w:sz w:val="22"/>
                <w:szCs w:val="22"/>
              </w:rPr>
              <w:t>Estimates of carbon sinks improved based on soil organic carbon and litter</w:t>
            </w:r>
          </w:p>
          <w:p w14:paraId="3AD82B0E" w14:textId="26427A7F" w:rsidR="00270069"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line="240" w:lineRule="auto"/>
              <w:jc w:val="left"/>
              <w:rPr>
                <w:sz w:val="22"/>
                <w:szCs w:val="22"/>
              </w:rPr>
            </w:pPr>
            <w:r>
              <w:rPr>
                <w:sz w:val="22"/>
                <w:szCs w:val="22"/>
              </w:rPr>
              <w:t>Mid-term targets on project peer exchanges achieved</w:t>
            </w:r>
          </w:p>
          <w:p w14:paraId="72642BF0" w14:textId="0983272A" w:rsidR="00270069" w:rsidRPr="00DB3E9F"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sz w:val="22"/>
                <w:szCs w:val="22"/>
              </w:rPr>
            </w:pPr>
          </w:p>
        </w:tc>
      </w:tr>
      <w:tr w:rsidR="00E067A3" w:rsidRPr="00DB3E9F" w14:paraId="58EDF2B3" w14:textId="77777777" w:rsidTr="00270069">
        <w:tc>
          <w:tcPr>
            <w:tcW w:w="1696" w:type="dxa"/>
            <w:vMerge/>
            <w:shd w:val="clear" w:color="auto" w:fill="auto"/>
          </w:tcPr>
          <w:p w14:paraId="267B8CFD" w14:textId="77777777" w:rsidR="00E067A3" w:rsidRPr="00DB3E9F" w:rsidRDefault="00E067A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rPr>
            </w:pPr>
          </w:p>
        </w:tc>
        <w:tc>
          <w:tcPr>
            <w:tcW w:w="3261" w:type="dxa"/>
            <w:shd w:val="clear" w:color="auto" w:fill="auto"/>
          </w:tcPr>
          <w:p w14:paraId="39EBD1B7" w14:textId="18F00826" w:rsidR="00E067A3" w:rsidRPr="00DB3E9F" w:rsidRDefault="00E067A3" w:rsidP="00E06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sz w:val="22"/>
                <w:szCs w:val="22"/>
              </w:rPr>
            </w:pPr>
            <w:r w:rsidRPr="00DB3E9F">
              <w:rPr>
                <w:sz w:val="22"/>
                <w:szCs w:val="22"/>
              </w:rPr>
              <w:t xml:space="preserve">Outcome </w:t>
            </w:r>
            <w:r>
              <w:rPr>
                <w:sz w:val="22"/>
                <w:szCs w:val="22"/>
              </w:rPr>
              <w:t>4</w:t>
            </w:r>
          </w:p>
          <w:p w14:paraId="6CDC89DE" w14:textId="7D1AEC56" w:rsidR="00E067A3" w:rsidRPr="00DB3E9F" w:rsidRDefault="00E067A3" w:rsidP="00E06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sz w:val="22"/>
                <w:szCs w:val="22"/>
              </w:rPr>
            </w:pPr>
            <w:r w:rsidRPr="00DB3E9F">
              <w:rPr>
                <w:sz w:val="22"/>
                <w:szCs w:val="22"/>
              </w:rPr>
              <w:t>Rating:</w:t>
            </w:r>
            <w:r w:rsidR="00270069">
              <w:rPr>
                <w:sz w:val="22"/>
                <w:szCs w:val="22"/>
              </w:rPr>
              <w:t xml:space="preserve">  Satisfactory (S)</w:t>
            </w:r>
          </w:p>
        </w:tc>
        <w:tc>
          <w:tcPr>
            <w:tcW w:w="4099" w:type="dxa"/>
            <w:shd w:val="clear" w:color="auto" w:fill="auto"/>
          </w:tcPr>
          <w:p w14:paraId="722AA3C6" w14:textId="77777777" w:rsidR="00E067A3"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sz w:val="22"/>
                <w:szCs w:val="22"/>
              </w:rPr>
            </w:pPr>
            <w:r>
              <w:rPr>
                <w:sz w:val="22"/>
                <w:szCs w:val="22"/>
              </w:rPr>
              <w:t>Project experience actively disseminated in the region and beyond</w:t>
            </w:r>
          </w:p>
          <w:p w14:paraId="63A2002F" w14:textId="2EFB1A3F" w:rsidR="00270069" w:rsidRPr="00DB3E9F"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sz w:val="22"/>
                <w:szCs w:val="22"/>
              </w:rPr>
            </w:pPr>
          </w:p>
        </w:tc>
      </w:tr>
      <w:tr w:rsidR="00080993" w:rsidRPr="00DB3E9F" w14:paraId="378B2A58" w14:textId="77777777" w:rsidTr="00270069">
        <w:tc>
          <w:tcPr>
            <w:tcW w:w="1696" w:type="dxa"/>
            <w:shd w:val="clear" w:color="auto" w:fill="auto"/>
          </w:tcPr>
          <w:p w14:paraId="164296B3" w14:textId="77777777" w:rsidR="00080993" w:rsidRPr="00DB3E9F" w:rsidRDefault="0008099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rPr>
            </w:pPr>
            <w:r w:rsidRPr="00DB3E9F">
              <w:rPr>
                <w:sz w:val="22"/>
                <w:szCs w:val="22"/>
              </w:rPr>
              <w:t>Project Implementation &amp; Adaptive Management</w:t>
            </w:r>
          </w:p>
        </w:tc>
        <w:tc>
          <w:tcPr>
            <w:tcW w:w="3261" w:type="dxa"/>
            <w:shd w:val="clear" w:color="auto" w:fill="auto"/>
          </w:tcPr>
          <w:p w14:paraId="139C1F1B" w14:textId="6110EBF9" w:rsidR="00080993" w:rsidRPr="00DB3E9F" w:rsidRDefault="0008099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sz w:val="22"/>
                <w:szCs w:val="22"/>
              </w:rPr>
            </w:pPr>
            <w:r w:rsidRPr="00DB3E9F">
              <w:rPr>
                <w:sz w:val="22"/>
                <w:szCs w:val="22"/>
              </w:rPr>
              <w:t xml:space="preserve">Rating: </w:t>
            </w:r>
            <w:r w:rsidR="00270069">
              <w:rPr>
                <w:sz w:val="22"/>
                <w:szCs w:val="22"/>
              </w:rPr>
              <w:t xml:space="preserve"> Satisfactory (S)</w:t>
            </w:r>
          </w:p>
        </w:tc>
        <w:tc>
          <w:tcPr>
            <w:tcW w:w="4099" w:type="dxa"/>
            <w:shd w:val="clear" w:color="auto" w:fill="auto"/>
          </w:tcPr>
          <w:p w14:paraId="67620C9F" w14:textId="4E629E82" w:rsidR="00080993" w:rsidRPr="00DB3E9F"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sz w:val="22"/>
                <w:szCs w:val="22"/>
              </w:rPr>
            </w:pPr>
            <w:r>
              <w:rPr>
                <w:sz w:val="22"/>
                <w:szCs w:val="22"/>
              </w:rPr>
              <w:t>Functional, effective and efficient management arrangement, project governance, monitoring&amp; evaluation as well as reporting and communication</w:t>
            </w:r>
          </w:p>
        </w:tc>
      </w:tr>
      <w:tr w:rsidR="00080993" w:rsidRPr="00DB3E9F" w14:paraId="2A897F6C" w14:textId="77777777" w:rsidTr="00270069">
        <w:tc>
          <w:tcPr>
            <w:tcW w:w="1696" w:type="dxa"/>
            <w:shd w:val="clear" w:color="auto" w:fill="auto"/>
          </w:tcPr>
          <w:p w14:paraId="70E45219" w14:textId="77777777" w:rsidR="00080993" w:rsidRPr="00DB3E9F" w:rsidRDefault="0008099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2"/>
                <w:szCs w:val="22"/>
              </w:rPr>
            </w:pPr>
            <w:r w:rsidRPr="00DB3E9F">
              <w:rPr>
                <w:sz w:val="22"/>
                <w:szCs w:val="22"/>
              </w:rPr>
              <w:t>Sustainability</w:t>
            </w:r>
          </w:p>
        </w:tc>
        <w:tc>
          <w:tcPr>
            <w:tcW w:w="3261" w:type="dxa"/>
            <w:shd w:val="clear" w:color="auto" w:fill="auto"/>
          </w:tcPr>
          <w:p w14:paraId="022E8B03" w14:textId="32AE2364" w:rsidR="00080993" w:rsidRPr="00DB3E9F" w:rsidRDefault="00080993" w:rsidP="00DB3E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sz w:val="22"/>
                <w:szCs w:val="22"/>
              </w:rPr>
            </w:pPr>
            <w:r w:rsidRPr="00DB3E9F">
              <w:rPr>
                <w:sz w:val="22"/>
                <w:szCs w:val="22"/>
              </w:rPr>
              <w:t xml:space="preserve">Rating.  </w:t>
            </w:r>
            <w:r w:rsidR="00270069">
              <w:rPr>
                <w:sz w:val="22"/>
                <w:szCs w:val="22"/>
              </w:rPr>
              <w:t>Likely (L)</w:t>
            </w:r>
          </w:p>
        </w:tc>
        <w:tc>
          <w:tcPr>
            <w:tcW w:w="4099" w:type="dxa"/>
            <w:shd w:val="clear" w:color="auto" w:fill="FFFFFF"/>
          </w:tcPr>
          <w:p w14:paraId="4E97A45E" w14:textId="34826765" w:rsidR="00A06785" w:rsidRPr="00DB3E9F" w:rsidRDefault="00270069" w:rsidP="0027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jc w:val="left"/>
              <w:rPr>
                <w:sz w:val="22"/>
                <w:szCs w:val="22"/>
              </w:rPr>
            </w:pPr>
            <w:r>
              <w:rPr>
                <w:sz w:val="22"/>
                <w:szCs w:val="22"/>
              </w:rPr>
              <w:t>No major risks to sustainability identified</w:t>
            </w:r>
          </w:p>
        </w:tc>
      </w:tr>
    </w:tbl>
    <w:p w14:paraId="77EA1179" w14:textId="77777777" w:rsidR="000A58D5" w:rsidRPr="00080993" w:rsidRDefault="000A58D5" w:rsidP="00EB2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p>
    <w:p w14:paraId="69AD347C" w14:textId="77777777" w:rsidR="00CE07B3" w:rsidRDefault="00CE07B3" w:rsidP="009525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p>
    <w:p w14:paraId="34C357AF" w14:textId="77777777" w:rsidR="00BA5DC5" w:rsidRDefault="00C2626B" w:rsidP="00F64C83">
      <w:pPr>
        <w:spacing w:before="0"/>
      </w:pPr>
      <w:r>
        <w:br w:type="page"/>
      </w:r>
    </w:p>
    <w:p w14:paraId="4304AE66" w14:textId="18E12BF0" w:rsidR="001B73C8" w:rsidRDefault="001B73C8" w:rsidP="001B73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b/>
          <w:color w:val="2F5496"/>
        </w:rPr>
      </w:pPr>
      <w:r>
        <w:rPr>
          <w:b/>
          <w:color w:val="2F5496"/>
        </w:rPr>
        <w:lastRenderedPageBreak/>
        <w:t>Recommendations Summary Table</w:t>
      </w:r>
    </w:p>
    <w:tbl>
      <w:tblPr>
        <w:tblStyle w:val="TableGrid"/>
        <w:tblW w:w="0" w:type="auto"/>
        <w:tblLook w:val="04A0" w:firstRow="1" w:lastRow="0" w:firstColumn="1" w:lastColumn="0" w:noHBand="0" w:noVBand="1"/>
      </w:tblPr>
      <w:tblGrid>
        <w:gridCol w:w="570"/>
        <w:gridCol w:w="8635"/>
      </w:tblGrid>
      <w:tr w:rsidR="00311D02" w:rsidRPr="001B73C8" w14:paraId="45230D6D" w14:textId="77777777" w:rsidTr="00E910C6">
        <w:tc>
          <w:tcPr>
            <w:tcW w:w="421" w:type="dxa"/>
          </w:tcPr>
          <w:p w14:paraId="6B8ABB87"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b/>
              </w:rPr>
            </w:pPr>
            <w:r w:rsidRPr="001B73C8">
              <w:rPr>
                <w:b/>
              </w:rPr>
              <w:t>No.</w:t>
            </w:r>
          </w:p>
        </w:tc>
        <w:tc>
          <w:tcPr>
            <w:tcW w:w="8635" w:type="dxa"/>
          </w:tcPr>
          <w:p w14:paraId="44492526"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b/>
              </w:rPr>
            </w:pPr>
            <w:r w:rsidRPr="001B73C8">
              <w:rPr>
                <w:b/>
              </w:rPr>
              <w:t>Recommendation</w:t>
            </w:r>
          </w:p>
        </w:tc>
      </w:tr>
      <w:tr w:rsidR="00311D02" w:rsidRPr="001B73C8" w14:paraId="60024051" w14:textId="77777777" w:rsidTr="00E910C6">
        <w:tc>
          <w:tcPr>
            <w:tcW w:w="421" w:type="dxa"/>
          </w:tcPr>
          <w:p w14:paraId="6CC6FAA4"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rPr>
                <w:bCs/>
              </w:rPr>
            </w:pPr>
            <w:r w:rsidRPr="001B73C8">
              <w:rPr>
                <w:bCs/>
              </w:rPr>
              <w:t>1.</w:t>
            </w:r>
          </w:p>
        </w:tc>
        <w:tc>
          <w:tcPr>
            <w:tcW w:w="8635" w:type="dxa"/>
          </w:tcPr>
          <w:p w14:paraId="288A62EF" w14:textId="4F8F3B0E"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bCs/>
              </w:rPr>
            </w:pPr>
            <w:r w:rsidRPr="001B73C8">
              <w:rPr>
                <w:bCs/>
              </w:rPr>
              <w:t xml:space="preserve">The Project </w:t>
            </w:r>
            <w:r w:rsidR="003A7551">
              <w:rPr>
                <w:bCs/>
              </w:rPr>
              <w:t xml:space="preserve">Management </w:t>
            </w:r>
            <w:r w:rsidRPr="001B73C8">
              <w:rPr>
                <w:bCs/>
              </w:rPr>
              <w:t>Unit should undertake revision of the project results framework in order to have measurable indicators and realistic end-of-project target values. The revised logframe should be put for approval by the Project Board.</w:t>
            </w:r>
          </w:p>
        </w:tc>
      </w:tr>
      <w:tr w:rsidR="00311D02" w:rsidRPr="001B73C8" w14:paraId="4CB13729" w14:textId="77777777" w:rsidTr="00E910C6">
        <w:tc>
          <w:tcPr>
            <w:tcW w:w="421" w:type="dxa"/>
          </w:tcPr>
          <w:p w14:paraId="516A46EE"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rPr>
                <w:bCs/>
              </w:rPr>
            </w:pPr>
            <w:r w:rsidRPr="001B73C8">
              <w:rPr>
                <w:bCs/>
              </w:rPr>
              <w:t>2.</w:t>
            </w:r>
          </w:p>
        </w:tc>
        <w:tc>
          <w:tcPr>
            <w:tcW w:w="8635" w:type="dxa"/>
          </w:tcPr>
          <w:p w14:paraId="752FFAB0" w14:textId="35F5EC3F"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bCs/>
              </w:rPr>
            </w:pPr>
            <w:r w:rsidRPr="001B73C8">
              <w:rPr>
                <w:bCs/>
              </w:rPr>
              <w:t xml:space="preserve">The Project </w:t>
            </w:r>
            <w:r w:rsidR="003A7551">
              <w:rPr>
                <w:bCs/>
              </w:rPr>
              <w:t xml:space="preserve">Management </w:t>
            </w:r>
            <w:r w:rsidRPr="001B73C8">
              <w:rPr>
                <w:bCs/>
              </w:rPr>
              <w:t>Unit should ensure that the next PIR includes justification of rating of progress towards the Project Development Objective from the Government Implementing Partner and the GEF OFP</w:t>
            </w:r>
            <w:r>
              <w:rPr>
                <w:bCs/>
              </w:rPr>
              <w:t>.</w:t>
            </w:r>
          </w:p>
        </w:tc>
      </w:tr>
      <w:tr w:rsidR="00311D02" w:rsidRPr="001B73C8" w14:paraId="020127AD" w14:textId="77777777" w:rsidTr="00E910C6">
        <w:tc>
          <w:tcPr>
            <w:tcW w:w="421" w:type="dxa"/>
          </w:tcPr>
          <w:p w14:paraId="459DF83C"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rPr>
                <w:bCs/>
              </w:rPr>
            </w:pPr>
            <w:r w:rsidRPr="001B73C8">
              <w:rPr>
                <w:bCs/>
              </w:rPr>
              <w:t>3.</w:t>
            </w:r>
          </w:p>
        </w:tc>
        <w:tc>
          <w:tcPr>
            <w:tcW w:w="8635" w:type="dxa"/>
          </w:tcPr>
          <w:p w14:paraId="5848F58E" w14:textId="7822E45E"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bCs/>
              </w:rPr>
            </w:pPr>
            <w:r w:rsidRPr="001B73C8">
              <w:rPr>
                <w:bCs/>
              </w:rPr>
              <w:t xml:space="preserve">The Project </w:t>
            </w:r>
            <w:r w:rsidR="003A7551">
              <w:rPr>
                <w:bCs/>
              </w:rPr>
              <w:t xml:space="preserve">Management </w:t>
            </w:r>
            <w:r w:rsidRPr="001B73C8">
              <w:rPr>
                <w:bCs/>
              </w:rPr>
              <w:t xml:space="preserve">Unit should ensure that information is recorded on relation of the trainings to the project Outcomes and </w:t>
            </w:r>
            <w:r w:rsidR="00D341A9">
              <w:rPr>
                <w:bCs/>
              </w:rPr>
              <w:t xml:space="preserve">data from </w:t>
            </w:r>
            <w:r w:rsidRPr="001B73C8">
              <w:rPr>
                <w:bCs/>
              </w:rPr>
              <w:t>evaluation of training activities is collected and included in the project implementation reports</w:t>
            </w:r>
          </w:p>
        </w:tc>
      </w:tr>
      <w:tr w:rsidR="00311D02" w:rsidRPr="001B73C8" w14:paraId="25CD14EC" w14:textId="77777777" w:rsidTr="00E910C6">
        <w:tc>
          <w:tcPr>
            <w:tcW w:w="421" w:type="dxa"/>
          </w:tcPr>
          <w:p w14:paraId="015BB839"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rPr>
                <w:bCs/>
              </w:rPr>
            </w:pPr>
            <w:r w:rsidRPr="001B73C8">
              <w:rPr>
                <w:bCs/>
              </w:rPr>
              <w:t>4.</w:t>
            </w:r>
          </w:p>
        </w:tc>
        <w:tc>
          <w:tcPr>
            <w:tcW w:w="8635" w:type="dxa"/>
          </w:tcPr>
          <w:p w14:paraId="36B701CE"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bCs/>
              </w:rPr>
            </w:pPr>
            <w:r w:rsidRPr="001B73C8">
              <w:rPr>
                <w:bCs/>
              </w:rPr>
              <w:t>The Government should ensure adequate manpower dedicated exclusively to MRV activities and consider mechanisms for addressing staff shortages such as outsourcing certain tasks to organizations outside the Government. Such organizations could include a university, a research institute, or a consulting company, selected on the basis of technical competency and expertise for compilation and reporting of CC data and information</w:t>
            </w:r>
          </w:p>
        </w:tc>
      </w:tr>
      <w:tr w:rsidR="00311D02" w:rsidRPr="001B73C8" w14:paraId="3FC26BD0" w14:textId="77777777" w:rsidTr="00E910C6">
        <w:tc>
          <w:tcPr>
            <w:tcW w:w="421" w:type="dxa"/>
          </w:tcPr>
          <w:p w14:paraId="47A86758"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rPr>
                <w:bCs/>
              </w:rPr>
            </w:pPr>
            <w:r w:rsidRPr="001B73C8">
              <w:rPr>
                <w:bCs/>
              </w:rPr>
              <w:t>5.</w:t>
            </w:r>
          </w:p>
        </w:tc>
        <w:tc>
          <w:tcPr>
            <w:tcW w:w="8635" w:type="dxa"/>
          </w:tcPr>
          <w:p w14:paraId="22916AFF"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bCs/>
              </w:rPr>
            </w:pPr>
            <w:r w:rsidRPr="001B73C8">
              <w:rPr>
                <w:bCs/>
              </w:rPr>
              <w:t>The project Implementing Partners should consider options for building resilience against staff turnover and minimization of its negative effects on MRV activities. Mechanisms for retention of institutional memory include thorough succession planning and systematic involvement of junior staff in training and support activities (as opposed to one-off training activities)</w:t>
            </w:r>
          </w:p>
        </w:tc>
      </w:tr>
      <w:tr w:rsidR="00311D02" w:rsidRPr="001B73C8" w14:paraId="6425BF5B" w14:textId="77777777" w:rsidTr="00E910C6">
        <w:tc>
          <w:tcPr>
            <w:tcW w:w="421" w:type="dxa"/>
          </w:tcPr>
          <w:p w14:paraId="20AEE6BA"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rPr>
                <w:bCs/>
              </w:rPr>
            </w:pPr>
            <w:r w:rsidRPr="001B73C8">
              <w:rPr>
                <w:bCs/>
              </w:rPr>
              <w:t>6.</w:t>
            </w:r>
          </w:p>
        </w:tc>
        <w:tc>
          <w:tcPr>
            <w:tcW w:w="8635" w:type="dxa"/>
          </w:tcPr>
          <w:p w14:paraId="70D63114"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bCs/>
              </w:rPr>
            </w:pPr>
            <w:r w:rsidRPr="001B73C8">
              <w:rPr>
                <w:bCs/>
              </w:rPr>
              <w:t>UNDP CO in cooperation with the Government should consider approach for ensuring sustainable building of national institutional capacity and expertise for transparency work through gradual reduction of independence from external support</w:t>
            </w:r>
          </w:p>
        </w:tc>
      </w:tr>
      <w:tr w:rsidR="00311D02" w:rsidRPr="001B73C8" w14:paraId="38652676" w14:textId="77777777" w:rsidTr="00E910C6">
        <w:tc>
          <w:tcPr>
            <w:tcW w:w="421" w:type="dxa"/>
          </w:tcPr>
          <w:p w14:paraId="172ADFE7"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rPr>
                <w:bCs/>
              </w:rPr>
            </w:pPr>
            <w:r w:rsidRPr="001B73C8">
              <w:rPr>
                <w:bCs/>
              </w:rPr>
              <w:t>7.</w:t>
            </w:r>
          </w:p>
        </w:tc>
        <w:tc>
          <w:tcPr>
            <w:tcW w:w="8635" w:type="dxa"/>
          </w:tcPr>
          <w:p w14:paraId="62DC4C3A"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bCs/>
              </w:rPr>
            </w:pPr>
            <w:r w:rsidRPr="001B73C8">
              <w:rPr>
                <w:bCs/>
              </w:rPr>
              <w:t xml:space="preserve">UNDP </w:t>
            </w:r>
            <w:r>
              <w:rPr>
                <w:bCs/>
              </w:rPr>
              <w:t xml:space="preserve">CO </w:t>
            </w:r>
            <w:r w:rsidRPr="001B73C8">
              <w:rPr>
                <w:bCs/>
              </w:rPr>
              <w:t>in cooperation with the Government should consider approaches for longer-term institutionalization of MVR-related training with increased involvement of academia and domestic training institutes</w:t>
            </w:r>
          </w:p>
        </w:tc>
      </w:tr>
      <w:tr w:rsidR="00311D02" w:rsidRPr="001B73C8" w14:paraId="60CE24EF" w14:textId="77777777" w:rsidTr="00E910C6">
        <w:tc>
          <w:tcPr>
            <w:tcW w:w="421" w:type="dxa"/>
          </w:tcPr>
          <w:p w14:paraId="1B814B18"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rPr>
                <w:bCs/>
              </w:rPr>
            </w:pPr>
            <w:r w:rsidRPr="001B73C8">
              <w:rPr>
                <w:bCs/>
              </w:rPr>
              <w:t>8.</w:t>
            </w:r>
          </w:p>
        </w:tc>
        <w:tc>
          <w:tcPr>
            <w:tcW w:w="8635" w:type="dxa"/>
          </w:tcPr>
          <w:p w14:paraId="4A2AA379" w14:textId="7BE9EDD4"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bCs/>
              </w:rPr>
            </w:pPr>
            <w:r w:rsidRPr="00CD14BF">
              <w:rPr>
                <w:bCs/>
              </w:rPr>
              <w:t xml:space="preserve">The Project </w:t>
            </w:r>
            <w:r w:rsidR="003A7551">
              <w:rPr>
                <w:bCs/>
              </w:rPr>
              <w:t xml:space="preserve">Management </w:t>
            </w:r>
            <w:r w:rsidRPr="00CD14BF">
              <w:rPr>
                <w:bCs/>
              </w:rPr>
              <w:t>Unit should ensure that training on use of MRV includes training of policy-makers’ technical experts on ways of information exchange between technical experts and policy-makers</w:t>
            </w:r>
          </w:p>
        </w:tc>
      </w:tr>
      <w:tr w:rsidR="00311D02" w:rsidRPr="001B73C8" w14:paraId="5DE1A412" w14:textId="77777777" w:rsidTr="00E910C6">
        <w:tc>
          <w:tcPr>
            <w:tcW w:w="421" w:type="dxa"/>
          </w:tcPr>
          <w:p w14:paraId="5F6BC5B4"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rPr>
                <w:bCs/>
              </w:rPr>
            </w:pPr>
            <w:r w:rsidRPr="001B73C8">
              <w:rPr>
                <w:bCs/>
              </w:rPr>
              <w:t>9.</w:t>
            </w:r>
          </w:p>
        </w:tc>
        <w:tc>
          <w:tcPr>
            <w:tcW w:w="8635" w:type="dxa"/>
          </w:tcPr>
          <w:p w14:paraId="448C8546" w14:textId="1A4CA89F"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bCs/>
              </w:rPr>
            </w:pPr>
            <w:r w:rsidRPr="001B73C8">
              <w:rPr>
                <w:bCs/>
              </w:rPr>
              <w:t xml:space="preserve">The </w:t>
            </w:r>
            <w:r w:rsidRPr="00CD14BF">
              <w:rPr>
                <w:bCs/>
              </w:rPr>
              <w:t xml:space="preserve">Project </w:t>
            </w:r>
            <w:r w:rsidR="003A7551">
              <w:rPr>
                <w:bCs/>
              </w:rPr>
              <w:t xml:space="preserve">Management </w:t>
            </w:r>
            <w:r w:rsidRPr="00CD14BF">
              <w:rPr>
                <w:bCs/>
              </w:rPr>
              <w:t xml:space="preserve">Unit </w:t>
            </w:r>
            <w:r w:rsidRPr="001B73C8">
              <w:rPr>
                <w:bCs/>
              </w:rPr>
              <w:t>should consider increased delivery of trainings for local governments on adaptation and vulnerability assessment</w:t>
            </w:r>
          </w:p>
        </w:tc>
      </w:tr>
      <w:tr w:rsidR="00311D02" w:rsidRPr="001B73C8" w14:paraId="2B38E198" w14:textId="77777777" w:rsidTr="00E910C6">
        <w:tc>
          <w:tcPr>
            <w:tcW w:w="421" w:type="dxa"/>
          </w:tcPr>
          <w:p w14:paraId="346037FB"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40" w:lineRule="auto"/>
              <w:rPr>
                <w:bCs/>
              </w:rPr>
            </w:pPr>
            <w:r w:rsidRPr="001B73C8">
              <w:rPr>
                <w:bCs/>
              </w:rPr>
              <w:t>10.</w:t>
            </w:r>
          </w:p>
        </w:tc>
        <w:tc>
          <w:tcPr>
            <w:tcW w:w="8635" w:type="dxa"/>
          </w:tcPr>
          <w:p w14:paraId="6A50722C" w14:textId="77777777" w:rsidR="00311D02" w:rsidRPr="001B73C8" w:rsidRDefault="00311D02" w:rsidP="00E91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rPr>
                <w:bCs/>
              </w:rPr>
            </w:pPr>
            <w:r w:rsidRPr="001B73C8">
              <w:rPr>
                <w:bCs/>
              </w:rPr>
              <w:t>The project Implementing Partners should consider use of unspent project budget allocated under Outcome 4 for development and implementation of communication and public outreach activities aiming at businesses and general public</w:t>
            </w:r>
          </w:p>
        </w:tc>
      </w:tr>
    </w:tbl>
    <w:p w14:paraId="450797DC" w14:textId="614584CE" w:rsidR="00007B5B" w:rsidRDefault="00480E6C" w:rsidP="009655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
          <w:color w:val="2F5496"/>
        </w:rPr>
      </w:pPr>
      <w:r>
        <w:rPr>
          <w:b/>
          <w:color w:val="2F5496"/>
        </w:rPr>
        <w:t xml:space="preserve"> </w:t>
      </w:r>
    </w:p>
    <w:p w14:paraId="0A9D2769" w14:textId="024D246E" w:rsidR="00480E6C" w:rsidRDefault="00480E6C" w:rsidP="00992D65">
      <w:pPr>
        <w:rPr>
          <w:b/>
          <w:color w:val="2F5496"/>
        </w:rPr>
      </w:pPr>
    </w:p>
    <w:p w14:paraId="655EC022" w14:textId="78F445DF" w:rsidR="0010083B" w:rsidRDefault="001B73C8" w:rsidP="001B73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
          <w:color w:val="2F5496"/>
        </w:rPr>
        <w:sectPr w:rsidR="0010083B" w:rsidSect="0010083B">
          <w:footerReference w:type="default" r:id="rId14"/>
          <w:footerReference w:type="first" r:id="rId15"/>
          <w:pgSz w:w="11900" w:h="16840"/>
          <w:pgMar w:top="1417" w:right="1417" w:bottom="1417" w:left="1417" w:header="708" w:footer="708" w:gutter="0"/>
          <w:pgNumType w:fmt="lowerRoman" w:start="1"/>
          <w:cols w:space="708"/>
          <w:titlePg/>
          <w:docGrid w:linePitch="360"/>
        </w:sectPr>
      </w:pPr>
      <w:r>
        <w:rPr>
          <w:b/>
          <w:color w:val="2F5496"/>
        </w:rPr>
        <w:t xml:space="preserve"> </w:t>
      </w:r>
    </w:p>
    <w:p w14:paraId="7EFDBFF9" w14:textId="77777777" w:rsidR="009655DB" w:rsidRPr="00062937" w:rsidRDefault="009655DB" w:rsidP="00580CB8">
      <w:pPr>
        <w:pStyle w:val="Heading1"/>
        <w:rPr>
          <w:rFonts w:ascii="Arial" w:hAnsi="Arial" w:cs="Arial"/>
          <w:i/>
          <w:iCs/>
          <w:color w:val="000000"/>
          <w:sz w:val="20"/>
          <w:szCs w:val="20"/>
          <w:lang w:val="sk-SK"/>
        </w:rPr>
      </w:pPr>
      <w:bookmarkStart w:id="2" w:name="_Toc515816632"/>
      <w:bookmarkStart w:id="3" w:name="_Toc66777392"/>
      <w:r w:rsidRPr="002C1C52">
        <w:lastRenderedPageBreak/>
        <w:t>Introduction</w:t>
      </w:r>
      <w:bookmarkEnd w:id="2"/>
      <w:bookmarkEnd w:id="3"/>
    </w:p>
    <w:p w14:paraId="67BABBAD" w14:textId="1872E28D" w:rsidR="00554A33" w:rsidRPr="00C37719" w:rsidRDefault="00554A33" w:rsidP="005F6ABA">
      <w:r w:rsidRPr="00C37719">
        <w:t>This repor</w:t>
      </w:r>
      <w:r w:rsidR="00077DE2">
        <w:t xml:space="preserve">t presents the findings of the Mid-Term </w:t>
      </w:r>
      <w:r w:rsidR="001F33BE">
        <w:t xml:space="preserve">Review </w:t>
      </w:r>
      <w:r w:rsidRPr="00C37719">
        <w:t xml:space="preserve">of the UNDP/GEF </w:t>
      </w:r>
      <w:r w:rsidR="001F33BE" w:rsidRPr="001F33BE">
        <w:t>project “</w:t>
      </w:r>
      <w:r w:rsidR="001C35DD" w:rsidRPr="001C35DD">
        <w:t xml:space="preserve">Establishing Transparency Framework for the Republic of Serbia’. The project is financed by GEF under the Capacity-Building Initiative for Transparency (CBIT) established </w:t>
      </w:r>
      <w:r w:rsidR="001C35DD">
        <w:t xml:space="preserve">by GEF-6 </w:t>
      </w:r>
      <w:r w:rsidR="001C35DD" w:rsidRPr="001C35DD">
        <w:t>under the Paris Agreement on Climate Change (further referred to as “the CBIT project”).</w:t>
      </w:r>
    </w:p>
    <w:p w14:paraId="01BEBE62" w14:textId="77777777" w:rsidR="009655DB" w:rsidRPr="00AC263E" w:rsidRDefault="009655DB" w:rsidP="008A2614">
      <w:pPr>
        <w:pStyle w:val="Heading2"/>
      </w:pPr>
      <w:bookmarkStart w:id="4" w:name="_Toc515816633"/>
      <w:bookmarkStart w:id="5" w:name="_Toc66777393"/>
      <w:r w:rsidRPr="00AC263E">
        <w:t>Purpose of the MTR and Objectives</w:t>
      </w:r>
      <w:bookmarkEnd w:id="4"/>
      <w:bookmarkEnd w:id="5"/>
    </w:p>
    <w:p w14:paraId="0D9A639C" w14:textId="77777777" w:rsidR="00D83C59" w:rsidRPr="00D83C59" w:rsidRDefault="00D83C59" w:rsidP="005F6ABA">
      <w:r w:rsidRPr="00D83C59">
        <w:t>As outlined in the GEF Monitoring and Evaluation Policy, Mid-Term Evaluations (also known as Mid-Term Reviews, MTRs) are a mandatory requirement for all G</w:t>
      </w:r>
      <w:r w:rsidR="004A4954">
        <w:t>EF-financed full-sized projects and constitute an important part of the GEF projects’ monitoring and evaluation plan.</w:t>
      </w:r>
      <w:r w:rsidR="009B76DF">
        <w:t xml:space="preserve"> </w:t>
      </w:r>
      <w:r w:rsidR="00077DE2" w:rsidRPr="00077DE2">
        <w:t xml:space="preserve">MTRs are primarily a monitoring tool to identify challenges and outline corrective actions to ensure that a project is on track to achieve maximum results by its completion. </w:t>
      </w:r>
      <w:r w:rsidR="00077DE2">
        <w:t xml:space="preserve">In order to fulfil the above purpose, </w:t>
      </w:r>
      <w:r w:rsidRPr="00D83C59">
        <w:t xml:space="preserve">MTRs are conducted in order to assess the projects’ progress towards results, implementation and adaptive management for improvement of outcomes, facilitate early identification of risks to sustainability and provide supportive recommendations. </w:t>
      </w:r>
    </w:p>
    <w:p w14:paraId="76EC1F61" w14:textId="46A119F0" w:rsidR="00AC263E" w:rsidRDefault="00077DE2" w:rsidP="005F6ABA">
      <w:r>
        <w:t xml:space="preserve">The objective of MTR is to </w:t>
      </w:r>
      <w:r w:rsidR="00D83C59" w:rsidRPr="00D83C59">
        <w:t>provide the project partners i.e. GEF, UNDP</w:t>
      </w:r>
      <w:r w:rsidR="001B4950">
        <w:t xml:space="preserve">, </w:t>
      </w:r>
      <w:r w:rsidR="00600FD3">
        <w:t xml:space="preserve">key stakeholders/ </w:t>
      </w:r>
      <w:r w:rsidR="001B4950">
        <w:t xml:space="preserve">private </w:t>
      </w:r>
      <w:proofErr w:type="gramStart"/>
      <w:r w:rsidR="001B4950">
        <w:t>institutions</w:t>
      </w:r>
      <w:proofErr w:type="gramEnd"/>
      <w:r w:rsidR="00D83C59" w:rsidRPr="00D83C59">
        <w:t xml:space="preserve"> and the Government</w:t>
      </w:r>
      <w:r w:rsidR="00AC263E">
        <w:t xml:space="preserve"> of</w:t>
      </w:r>
      <w:r w:rsidR="00C660E1">
        <w:t xml:space="preserve"> </w:t>
      </w:r>
      <w:r w:rsidR="001C35DD">
        <w:t>Serbia</w:t>
      </w:r>
      <w:r w:rsidR="00AC263E">
        <w:t xml:space="preserve">, </w:t>
      </w:r>
      <w:r w:rsidR="00D83C59" w:rsidRPr="00D83C59">
        <w:t>with an independent assessment of progress towards achievement of the project objectives and outcomes as specified in the Project Document</w:t>
      </w:r>
      <w:r>
        <w:t xml:space="preserve">. MTR also provides independent </w:t>
      </w:r>
      <w:r w:rsidR="00D83C59" w:rsidRPr="00D83C59">
        <w:t>assess</w:t>
      </w:r>
      <w:r>
        <w:t>ment of</w:t>
      </w:r>
      <w:r w:rsidR="00D83C59" w:rsidRPr="00D83C59">
        <w:t xml:space="preserve"> early signs of project success or failure with the goal of identifying the necessary changes to be made in order to set the project on-track to achieve its intended results. </w:t>
      </w:r>
      <w:r>
        <w:t xml:space="preserve">Last but not least, </w:t>
      </w:r>
      <w:r w:rsidR="00D83C59" w:rsidRPr="00D83C59">
        <w:t>MTR also review</w:t>
      </w:r>
      <w:r>
        <w:t xml:space="preserve">s the project’s strategy and </w:t>
      </w:r>
      <w:r w:rsidR="00D83C59" w:rsidRPr="00D83C59">
        <w:t>its risks to sustainability.</w:t>
      </w:r>
    </w:p>
    <w:p w14:paraId="5B7CB68F" w14:textId="77777777" w:rsidR="00D25CEF" w:rsidRDefault="00077DE2" w:rsidP="005F6ABA">
      <w:r w:rsidRPr="00D83C59">
        <w:t xml:space="preserve">As a standard requirement for all projects financed by GEF, this MTR has been initiated by the </w:t>
      </w:r>
      <w:r>
        <w:t xml:space="preserve">project </w:t>
      </w:r>
      <w:r w:rsidRPr="00D83C59">
        <w:t>Implementing Agency, in this case UNDP. Th</w:t>
      </w:r>
      <w:r w:rsidR="000C504B">
        <w:t>is MTR</w:t>
      </w:r>
      <w:r w:rsidRPr="00D83C59">
        <w:t xml:space="preserve"> has been conducted according to the guidance, rules and procedures established by UNDP and GEF as reflected in the UNDP Evaluation Guidance for GEF</w:t>
      </w:r>
      <w:r>
        <w:t xml:space="preserve"> Financed Projects</w:t>
      </w:r>
      <w:r w:rsidR="00E8592E">
        <w:rPr>
          <w:rStyle w:val="FootnoteReference"/>
        </w:rPr>
        <w:footnoteReference w:id="3"/>
      </w:r>
      <w:r>
        <w:t>.</w:t>
      </w:r>
    </w:p>
    <w:p w14:paraId="5A74828F" w14:textId="77777777" w:rsidR="00077DE2" w:rsidRDefault="00F95720" w:rsidP="008A2614">
      <w:pPr>
        <w:pStyle w:val="Heading2"/>
      </w:pPr>
      <w:bookmarkStart w:id="6" w:name="_Toc515816634"/>
      <w:bookmarkStart w:id="7" w:name="_Toc66777394"/>
      <w:r>
        <w:t>Scope and</w:t>
      </w:r>
      <w:r w:rsidR="00077DE2">
        <w:t xml:space="preserve"> Methodology</w:t>
      </w:r>
      <w:bookmarkEnd w:id="6"/>
      <w:bookmarkEnd w:id="7"/>
    </w:p>
    <w:p w14:paraId="40128F3D" w14:textId="22DA8E4C" w:rsidR="001C35DD" w:rsidRDefault="001C35DD" w:rsidP="005F6ABA">
      <w:r w:rsidRPr="001C35DD">
        <w:t>Th</w:t>
      </w:r>
      <w:r>
        <w:t xml:space="preserve">is MTR </w:t>
      </w:r>
      <w:r w:rsidRPr="001C35DD">
        <w:t>cover</w:t>
      </w:r>
      <w:r>
        <w:t>s</w:t>
      </w:r>
      <w:r w:rsidRPr="001C35DD">
        <w:t xml:space="preserve"> all activities undertaken in the framework of the CBIT project. The time scope of the MTR is the implementation period of the project from March 2019 up to February 2021. The geographic scope of the evaluation is Serbia.</w:t>
      </w:r>
    </w:p>
    <w:p w14:paraId="17B3707E" w14:textId="77777777" w:rsidR="005508ED" w:rsidRDefault="00D57EE7" w:rsidP="005F6ABA">
      <w:r w:rsidRPr="00D57EE7">
        <w:t xml:space="preserve">The </w:t>
      </w:r>
      <w:r w:rsidR="000C504B">
        <w:t xml:space="preserve">MTR </w:t>
      </w:r>
      <w:r>
        <w:t xml:space="preserve">has been </w:t>
      </w:r>
      <w:r w:rsidRPr="00D57EE7">
        <w:t xml:space="preserve">carried out using a </w:t>
      </w:r>
      <w:r>
        <w:t xml:space="preserve">participatory approach that </w:t>
      </w:r>
      <w:r w:rsidRPr="00D57EE7">
        <w:t>seek</w:t>
      </w:r>
      <w:r>
        <w:t>s to inform and consult with</w:t>
      </w:r>
      <w:r w:rsidRPr="00D57EE7">
        <w:t xml:space="preserve"> key </w:t>
      </w:r>
      <w:r>
        <w:t xml:space="preserve">stakeholders </w:t>
      </w:r>
      <w:r w:rsidRPr="00D57EE7">
        <w:t xml:space="preserve">associated with the </w:t>
      </w:r>
      <w:r w:rsidR="005508ED">
        <w:t>project using</w:t>
      </w:r>
      <w:r w:rsidR="005508ED" w:rsidRPr="005508ED">
        <w:t xml:space="preserve"> the primary evaluation criteria for GEF </w:t>
      </w:r>
      <w:r w:rsidR="005508ED">
        <w:t>MTR</w:t>
      </w:r>
      <w:r w:rsidR="005508ED" w:rsidRPr="005508ED">
        <w:t>s listed in the Terms of Reference for the evaluation, i.e. Project Strategy, Progress towards Results, Project Implementation &amp;</w:t>
      </w:r>
      <w:r w:rsidR="009B76DF">
        <w:t xml:space="preserve"> </w:t>
      </w:r>
      <w:r w:rsidR="005508ED" w:rsidRPr="005508ED">
        <w:t>Adaptive Management, and Sustainability.</w:t>
      </w:r>
    </w:p>
    <w:p w14:paraId="3B4E75AC" w14:textId="3E8DC308" w:rsidR="00902AAE" w:rsidRDefault="00902AAE" w:rsidP="00902AAE">
      <w:pPr>
        <w:pStyle w:val="NoSpacing"/>
        <w:spacing w:before="120"/>
        <w:rPr>
          <w:lang w:val="en-GB"/>
        </w:rPr>
      </w:pPr>
      <w:r>
        <w:rPr>
          <w:lang w:val="en-GB"/>
        </w:rPr>
        <w:t xml:space="preserve">TOR for the </w:t>
      </w:r>
      <w:r w:rsidR="00A11FCF">
        <w:rPr>
          <w:lang w:val="en-GB"/>
        </w:rPr>
        <w:t xml:space="preserve">MTR </w:t>
      </w:r>
      <w:r>
        <w:rPr>
          <w:lang w:val="en-GB"/>
        </w:rPr>
        <w:t>is provided as Annex 1.</w:t>
      </w:r>
    </w:p>
    <w:p w14:paraId="4C0509A5" w14:textId="77777777" w:rsidR="00F95720" w:rsidRDefault="00F95720" w:rsidP="008A2614">
      <w:pPr>
        <w:pStyle w:val="Heading2"/>
      </w:pPr>
      <w:bookmarkStart w:id="8" w:name="_Toc515816635"/>
      <w:bookmarkStart w:id="9" w:name="_Toc66777395"/>
      <w:r>
        <w:lastRenderedPageBreak/>
        <w:t>MTR A</w:t>
      </w:r>
      <w:r w:rsidR="009655DB" w:rsidRPr="00D83C59">
        <w:t xml:space="preserve">pproach and </w:t>
      </w:r>
      <w:r>
        <w:t>Data Collection M</w:t>
      </w:r>
      <w:r w:rsidR="009655DB" w:rsidRPr="00D83C59">
        <w:t>ethods</w:t>
      </w:r>
      <w:bookmarkEnd w:id="8"/>
      <w:bookmarkEnd w:id="9"/>
    </w:p>
    <w:p w14:paraId="784FE7B0" w14:textId="77777777" w:rsidR="006B2961" w:rsidRDefault="00D23C58" w:rsidP="005F6ABA">
      <w:r>
        <w:t xml:space="preserve">The </w:t>
      </w:r>
      <w:r w:rsidR="000C504B">
        <w:t xml:space="preserve">MTR </w:t>
      </w:r>
      <w:r w:rsidR="006B2961">
        <w:t xml:space="preserve">used the following evaluation instruments: </w:t>
      </w:r>
    </w:p>
    <w:p w14:paraId="2C784898" w14:textId="77777777" w:rsidR="006B2961" w:rsidRDefault="006B2961" w:rsidP="005F6ABA">
      <w:r w:rsidRPr="006B2961">
        <w:rPr>
          <w:i/>
        </w:rPr>
        <w:t>Evaluation Matrix:</w:t>
      </w:r>
      <w:r w:rsidRPr="006B2961">
        <w:t xml:space="preserve"> An evaluation matrix was </w:t>
      </w:r>
      <w:r>
        <w:t xml:space="preserve">constructed </w:t>
      </w:r>
      <w:r w:rsidRPr="006B2961">
        <w:t>based on the evalua</w:t>
      </w:r>
      <w:r>
        <w:t xml:space="preserve">tion scope presented in the TOR. The </w:t>
      </w:r>
      <w:r w:rsidRPr="006B2961">
        <w:t>mat</w:t>
      </w:r>
      <w:r>
        <w:t>rix is structured along the four</w:t>
      </w:r>
      <w:r w:rsidRPr="006B2961">
        <w:t xml:space="preserve"> GEF evaluation criteria </w:t>
      </w:r>
      <w:r>
        <w:t xml:space="preserve">for MTRs </w:t>
      </w:r>
      <w:r w:rsidRPr="006B2961">
        <w:t xml:space="preserve">and includes </w:t>
      </w:r>
      <w:r>
        <w:t xml:space="preserve">principal </w:t>
      </w:r>
      <w:r w:rsidRPr="006B2961">
        <w:t>evaluation questions. The matrix provided overa</w:t>
      </w:r>
      <w:r>
        <w:t>ll direction for the evaluation</w:t>
      </w:r>
      <w:r w:rsidRPr="006B2961">
        <w:t xml:space="preserve"> and was used as a basis for interviewing stakeholders and reviewing project documents.</w:t>
      </w:r>
      <w:r w:rsidR="00EC1227">
        <w:t xml:space="preserve"> The evaluation matrix is provided as Annex 2.</w:t>
      </w:r>
    </w:p>
    <w:p w14:paraId="1D85BA39" w14:textId="14B19FAA" w:rsidR="00A11FCF" w:rsidRDefault="006B2961" w:rsidP="00A11FCF">
      <w:r w:rsidRPr="006B2961">
        <w:rPr>
          <w:i/>
        </w:rPr>
        <w:t>Documentation Review:</w:t>
      </w:r>
      <w:r w:rsidRPr="006B2961">
        <w:t xml:space="preserve"> The </w:t>
      </w:r>
      <w:r w:rsidR="00AC263E">
        <w:t>evaluator</w:t>
      </w:r>
      <w:r w:rsidR="00777AAA">
        <w:t>s</w:t>
      </w:r>
      <w:r w:rsidR="00AC263E">
        <w:t xml:space="preserve"> </w:t>
      </w:r>
      <w:r>
        <w:t xml:space="preserve">conducted a </w:t>
      </w:r>
      <w:r w:rsidRPr="006B2961">
        <w:t xml:space="preserve">review </w:t>
      </w:r>
      <w:r>
        <w:t xml:space="preserve">of documents that were made available by the </w:t>
      </w:r>
      <w:r w:rsidR="00A11FCF">
        <w:t xml:space="preserve">UNDP CO </w:t>
      </w:r>
      <w:r>
        <w:t>as well as other documents</w:t>
      </w:r>
      <w:r w:rsidR="00B42EBB">
        <w:t xml:space="preserve"> found from various other sources.</w:t>
      </w:r>
      <w:r>
        <w:t xml:space="preserve"> </w:t>
      </w:r>
    </w:p>
    <w:p w14:paraId="4C0A964D" w14:textId="15170A00" w:rsidR="006B2961" w:rsidRDefault="003A5C71" w:rsidP="005F6ABA">
      <w:r w:rsidRPr="003A5C71">
        <w:rPr>
          <w:i/>
        </w:rPr>
        <w:t>Interviews:</w:t>
      </w:r>
      <w:r w:rsidR="00AC263E">
        <w:rPr>
          <w:i/>
        </w:rPr>
        <w:t xml:space="preserve"> </w:t>
      </w:r>
      <w:r>
        <w:t xml:space="preserve">The </w:t>
      </w:r>
      <w:r w:rsidR="00AC263E">
        <w:t>evaluator</w:t>
      </w:r>
      <w:r w:rsidR="00777AAA">
        <w:t>s</w:t>
      </w:r>
      <w:r w:rsidR="00AC263E">
        <w:t xml:space="preserve"> </w:t>
      </w:r>
      <w:r>
        <w:t xml:space="preserve">conducted a number of </w:t>
      </w:r>
      <w:r w:rsidRPr="003A5C71">
        <w:t xml:space="preserve">face-to-face consultations with the </w:t>
      </w:r>
      <w:r>
        <w:t xml:space="preserve">key project </w:t>
      </w:r>
      <w:r w:rsidR="007D2D86">
        <w:t xml:space="preserve">stakeholders </w:t>
      </w:r>
      <w:r>
        <w:t xml:space="preserve">using semi-structured interview questions. Through the </w:t>
      </w:r>
      <w:r w:rsidRPr="003A5C71">
        <w:t>interviews</w:t>
      </w:r>
      <w:r>
        <w:t xml:space="preserve">, the </w:t>
      </w:r>
      <w:r w:rsidR="00AC263E">
        <w:t>consultant</w:t>
      </w:r>
      <w:r w:rsidR="00600FD3">
        <w:t>s</w:t>
      </w:r>
      <w:r w:rsidR="00AC263E">
        <w:t xml:space="preserve"> </w:t>
      </w:r>
      <w:r w:rsidRPr="003A5C71">
        <w:t>obtain</w:t>
      </w:r>
      <w:r>
        <w:t>ed</w:t>
      </w:r>
      <w:r w:rsidRPr="003A5C71">
        <w:t xml:space="preserve"> information about the key informants’ impressions and experiences </w:t>
      </w:r>
      <w:r w:rsidR="00AC263E">
        <w:t xml:space="preserve">from </w:t>
      </w:r>
      <w:r>
        <w:t>implementation of the project</w:t>
      </w:r>
      <w:r w:rsidRPr="003A5C71">
        <w:t xml:space="preserve">. Triangulation of results, i.e. comparing information from different sources, such as documentation and interviews, or interviews on the same subject with different stakeholders, </w:t>
      </w:r>
      <w:r>
        <w:t xml:space="preserve">was </w:t>
      </w:r>
      <w:r w:rsidRPr="003A5C71">
        <w:t>used to corroborate or ch</w:t>
      </w:r>
      <w:r>
        <w:t xml:space="preserve">eck the reliability of evidence. </w:t>
      </w:r>
      <w:r w:rsidR="00B57A79">
        <w:t xml:space="preserve">The list of people interviewed </w:t>
      </w:r>
      <w:r w:rsidR="00580CB8">
        <w:t xml:space="preserve">and </w:t>
      </w:r>
      <w:r w:rsidR="00C660E1">
        <w:t xml:space="preserve">the </w:t>
      </w:r>
      <w:r w:rsidR="00580CB8">
        <w:t xml:space="preserve">interview guide are </w:t>
      </w:r>
      <w:r w:rsidR="00B57A79">
        <w:t xml:space="preserve">provided as Annex </w:t>
      </w:r>
      <w:r w:rsidR="00880D23">
        <w:t>3</w:t>
      </w:r>
      <w:r w:rsidR="00580CB8">
        <w:t xml:space="preserve"> and Annex 4.</w:t>
      </w:r>
    </w:p>
    <w:p w14:paraId="306CF085" w14:textId="04E1D24F" w:rsidR="00B80F17" w:rsidRDefault="00880D23" w:rsidP="00880D23">
      <w:r>
        <w:rPr>
          <w:i/>
        </w:rPr>
        <w:t>Data analysis</w:t>
      </w:r>
      <w:r w:rsidR="003A393A" w:rsidRPr="003A393A">
        <w:rPr>
          <w:i/>
        </w:rPr>
        <w:t>:</w:t>
      </w:r>
      <w:r w:rsidR="00326688">
        <w:rPr>
          <w:i/>
        </w:rPr>
        <w:t xml:space="preserve"> </w:t>
      </w:r>
      <w:r>
        <w:t xml:space="preserve">The evaluators used a combination of the above methods for gathering information in order to triangulate information and data and thereby ensure their accuracy and robustness. </w:t>
      </w:r>
      <w:r w:rsidR="003A5C71" w:rsidRPr="003A5C71">
        <w:t>After the data collection phase with conducting interviews, observing selected outputs and reviewing data from existing data sources, data analysis follow</w:t>
      </w:r>
      <w:r w:rsidR="003A5C71">
        <w:t>ed</w:t>
      </w:r>
      <w:r w:rsidR="003A5C71" w:rsidRPr="003A5C71">
        <w:t xml:space="preserve"> as the final phase of</w:t>
      </w:r>
      <w:r w:rsidR="000C504B">
        <w:t xml:space="preserve"> MTR</w:t>
      </w:r>
      <w:r w:rsidR="003A5C71" w:rsidRPr="003A5C71">
        <w:t xml:space="preserve">. Data analysis </w:t>
      </w:r>
      <w:r w:rsidR="003A5C71">
        <w:t>involved</w:t>
      </w:r>
      <w:r w:rsidR="003A5C71" w:rsidRPr="003A5C71">
        <w:t xml:space="preserve"> organizing and classifying the information collected, tabulating it, summarizing it, and comparing the results with other appropriate information to extract useful information that responds to the evaluation questions and fulfils th</w:t>
      </w:r>
      <w:r w:rsidR="003A5C71">
        <w:t>e purposes of</w:t>
      </w:r>
      <w:r w:rsidR="000C504B">
        <w:t xml:space="preserve"> MTR</w:t>
      </w:r>
      <w:r w:rsidR="003A5C71">
        <w:t>. In this process the evaluator</w:t>
      </w:r>
      <w:r w:rsidR="00600FD3">
        <w:t>s</w:t>
      </w:r>
      <w:r w:rsidR="003A5C71">
        <w:t xml:space="preserve"> took care of </w:t>
      </w:r>
      <w:r w:rsidR="00326688">
        <w:t xml:space="preserve">checking </w:t>
      </w:r>
      <w:r w:rsidR="003A5C71" w:rsidRPr="003A5C71">
        <w:t>fact</w:t>
      </w:r>
      <w:r w:rsidR="00326688">
        <w:t>ual</w:t>
      </w:r>
      <w:r w:rsidR="003A5C71" w:rsidRPr="003A5C71">
        <w:t xml:space="preserve"> evidence ensuring its accuracy</w:t>
      </w:r>
      <w:r w:rsidR="00B57A79">
        <w:t xml:space="preserve"> </w:t>
      </w:r>
      <w:r w:rsidR="003A5C71" w:rsidRPr="003A5C71">
        <w:t xml:space="preserve">and translating the data into usable formats or units of analysis related to </w:t>
      </w:r>
      <w:r w:rsidR="003A5C71">
        <w:t xml:space="preserve">the </w:t>
      </w:r>
      <w:r w:rsidR="003A5C71" w:rsidRPr="003A5C71">
        <w:t>evaluation question</w:t>
      </w:r>
      <w:r w:rsidR="003A5C71">
        <w:t>s</w:t>
      </w:r>
      <w:r w:rsidR="003A5C71" w:rsidRPr="003A5C71">
        <w:t>.</w:t>
      </w:r>
      <w:r w:rsidR="00D80236">
        <w:t xml:space="preserve"> </w:t>
      </w:r>
      <w:r>
        <w:t xml:space="preserve">Annex </w:t>
      </w:r>
      <w:r w:rsidR="00580CB8">
        <w:t>5</w:t>
      </w:r>
      <w:r w:rsidR="0030052C">
        <w:t xml:space="preserve"> provides</w:t>
      </w:r>
      <w:r>
        <w:t xml:space="preserve"> </w:t>
      </w:r>
      <w:r w:rsidR="00D80236">
        <w:t xml:space="preserve">the list of </w:t>
      </w:r>
      <w:r>
        <w:t>the documents</w:t>
      </w:r>
      <w:r w:rsidR="00D80236">
        <w:t xml:space="preserve"> </w:t>
      </w:r>
      <w:r>
        <w:t>reviewed.</w:t>
      </w:r>
    </w:p>
    <w:p w14:paraId="7F6BE9E1" w14:textId="597410E6" w:rsidR="003A5C71" w:rsidRDefault="00A249E8" w:rsidP="00880D23">
      <w:r>
        <w:t>T</w:t>
      </w:r>
      <w:r w:rsidR="00923102">
        <w:t>he</w:t>
      </w:r>
      <w:r>
        <w:t xml:space="preserve"> evaluators used </w:t>
      </w:r>
      <w:r w:rsidR="00923102">
        <w:t xml:space="preserve">basic gender-responsive tools </w:t>
      </w:r>
      <w:r w:rsidR="003917EC">
        <w:t>that included</w:t>
      </w:r>
      <w:r w:rsidR="003917EC" w:rsidRPr="003917EC">
        <w:t xml:space="preserve"> data on gender disag</w:t>
      </w:r>
      <w:r w:rsidR="00C660E1">
        <w:t>g</w:t>
      </w:r>
      <w:r w:rsidR="003917EC" w:rsidRPr="003917EC">
        <w:t>re</w:t>
      </w:r>
      <w:r w:rsidR="00C660E1">
        <w:t>g</w:t>
      </w:r>
      <w:r w:rsidR="003917EC" w:rsidRPr="003917EC">
        <w:t xml:space="preserve">ated participation </w:t>
      </w:r>
      <w:r w:rsidR="003917EC">
        <w:t xml:space="preserve">in the project activities and assessment of </w:t>
      </w:r>
      <w:r w:rsidR="00923102" w:rsidRPr="00923102">
        <w:t xml:space="preserve">the </w:t>
      </w:r>
      <w:r>
        <w:t xml:space="preserve">level of </w:t>
      </w:r>
      <w:r w:rsidR="00923102" w:rsidRPr="00923102">
        <w:t xml:space="preserve">institutional capacity </w:t>
      </w:r>
      <w:r w:rsidR="003917EC">
        <w:t xml:space="preserve">and actions </w:t>
      </w:r>
      <w:r w:rsidR="00923102" w:rsidRPr="00923102">
        <w:t xml:space="preserve">of the </w:t>
      </w:r>
      <w:r w:rsidR="00923102">
        <w:t xml:space="preserve">project </w:t>
      </w:r>
      <w:r w:rsidR="00923102" w:rsidRPr="00923102">
        <w:t xml:space="preserve">implementing </w:t>
      </w:r>
      <w:r w:rsidR="00923102">
        <w:t xml:space="preserve">partners </w:t>
      </w:r>
      <w:r w:rsidR="00923102" w:rsidRPr="00923102">
        <w:t xml:space="preserve">for integrating gender into </w:t>
      </w:r>
      <w:r w:rsidR="00923102">
        <w:t xml:space="preserve">the climate change </w:t>
      </w:r>
      <w:r>
        <w:t xml:space="preserve">monitoring and </w:t>
      </w:r>
      <w:r w:rsidR="00923102">
        <w:t>reporting</w:t>
      </w:r>
      <w:r w:rsidR="00C660E1">
        <w:t>,</w:t>
      </w:r>
      <w:r w:rsidR="003917EC">
        <w:t xml:space="preserve"> as well as </w:t>
      </w:r>
      <w:r w:rsidR="00923102">
        <w:t xml:space="preserve">capability </w:t>
      </w:r>
      <w:r>
        <w:t xml:space="preserve">for </w:t>
      </w:r>
      <w:r w:rsidR="00923102" w:rsidRPr="00923102">
        <w:t>address</w:t>
      </w:r>
      <w:r>
        <w:t>ing</w:t>
      </w:r>
      <w:r w:rsidR="00923102" w:rsidRPr="00923102">
        <w:t xml:space="preserve"> knowledge gaps on gender issues</w:t>
      </w:r>
      <w:r>
        <w:t xml:space="preserve"> in climate change. Since this is a </w:t>
      </w:r>
      <w:r w:rsidRPr="009246E5">
        <w:t>general evaluation report</w:t>
      </w:r>
      <w:r>
        <w:t xml:space="preserve"> without</w:t>
      </w:r>
      <w:r w:rsidRPr="009246E5">
        <w:t xml:space="preserve"> a specific focus on gender, </w:t>
      </w:r>
      <w:r>
        <w:t xml:space="preserve">the </w:t>
      </w:r>
      <w:r w:rsidR="009246E5" w:rsidRPr="009246E5">
        <w:t xml:space="preserve">gender-related findings </w:t>
      </w:r>
      <w:r w:rsidR="009246E5">
        <w:t xml:space="preserve">are </w:t>
      </w:r>
      <w:r w:rsidR="009246E5" w:rsidRPr="009246E5">
        <w:t xml:space="preserve">reported </w:t>
      </w:r>
      <w:r w:rsidR="00923102">
        <w:t xml:space="preserve">under the </w:t>
      </w:r>
      <w:r w:rsidR="009246E5" w:rsidRPr="009246E5">
        <w:t>cross-cutting section</w:t>
      </w:r>
      <w:r>
        <w:t xml:space="preserve"> on mainstreaming</w:t>
      </w:r>
      <w:r w:rsidR="00923102">
        <w:t>.</w:t>
      </w:r>
      <w:r w:rsidR="00880D23">
        <w:t xml:space="preserve"> </w:t>
      </w:r>
    </w:p>
    <w:p w14:paraId="69F85C6A" w14:textId="77777777" w:rsidR="00BB21DE" w:rsidRDefault="00BB21DE" w:rsidP="008A2614">
      <w:pPr>
        <w:pStyle w:val="Heading2"/>
      </w:pPr>
      <w:bookmarkStart w:id="10" w:name="_Toc515816636"/>
      <w:bookmarkStart w:id="11" w:name="_Toc66777396"/>
      <w:r>
        <w:t xml:space="preserve">Structure of the </w:t>
      </w:r>
      <w:r w:rsidR="000C504B">
        <w:t xml:space="preserve">MTR </w:t>
      </w:r>
      <w:r>
        <w:t>Report</w:t>
      </w:r>
      <w:bookmarkEnd w:id="10"/>
      <w:bookmarkEnd w:id="11"/>
    </w:p>
    <w:p w14:paraId="77FE3C20" w14:textId="62E404C1" w:rsidR="00BB21DE" w:rsidRDefault="00BB21DE" w:rsidP="00C87960">
      <w:r>
        <w:t xml:space="preserve">This report closely follows the structure of the </w:t>
      </w:r>
      <w:r w:rsidR="000C504B">
        <w:t xml:space="preserve">MTR </w:t>
      </w:r>
      <w:r>
        <w:t xml:space="preserve">report outlined in the Terms of Reference that was prepared by </w:t>
      </w:r>
      <w:r w:rsidR="00C87960">
        <w:t xml:space="preserve">UNDP Country Office in </w:t>
      </w:r>
      <w:r w:rsidR="00A11FCF">
        <w:t xml:space="preserve">Serbia </w:t>
      </w:r>
      <w:r w:rsidR="00C87960">
        <w:t xml:space="preserve">as </w:t>
      </w:r>
      <w:r>
        <w:t>the commissioning unit</w:t>
      </w:r>
      <w:r w:rsidR="00C87960">
        <w:t xml:space="preserve"> for this</w:t>
      </w:r>
      <w:r w:rsidR="000C504B">
        <w:t xml:space="preserve"> MTR</w:t>
      </w:r>
      <w:r w:rsidR="00C87960">
        <w:t>.</w:t>
      </w:r>
    </w:p>
    <w:p w14:paraId="2540AFAF" w14:textId="05477A9D" w:rsidR="00880D23" w:rsidRDefault="00880D23" w:rsidP="00880D23">
      <w:r>
        <w:t>T</w:t>
      </w:r>
      <w:r w:rsidRPr="008734ED">
        <w:t xml:space="preserve">he </w:t>
      </w:r>
      <w:r>
        <w:t xml:space="preserve">following </w:t>
      </w:r>
      <w:r w:rsidRPr="008734ED">
        <w:t>el</w:t>
      </w:r>
      <w:r>
        <w:t>ements that have been covered in</w:t>
      </w:r>
      <w:r w:rsidRPr="008734ED">
        <w:t xml:space="preserve"> the </w:t>
      </w:r>
      <w:r>
        <w:t>MTR:</w:t>
      </w:r>
    </w:p>
    <w:p w14:paraId="3DA09900" w14:textId="77777777" w:rsidR="00880D23" w:rsidRDefault="00880D23" w:rsidP="00880D23">
      <w:pPr>
        <w:spacing w:before="0"/>
        <w:rPr>
          <w:i/>
        </w:rPr>
      </w:pPr>
      <w:r>
        <w:rPr>
          <w:i/>
        </w:rPr>
        <w:br w:type="page"/>
      </w:r>
    </w:p>
    <w:p w14:paraId="551A7954" w14:textId="77777777" w:rsidR="00880D23" w:rsidRPr="00426F16" w:rsidRDefault="00880D23" w:rsidP="00880D23">
      <w:pPr>
        <w:rPr>
          <w:i/>
        </w:rPr>
      </w:pPr>
      <w:r w:rsidRPr="00426F16">
        <w:rPr>
          <w:i/>
        </w:rPr>
        <w:lastRenderedPageBreak/>
        <w:t>Project Strategy</w:t>
      </w:r>
    </w:p>
    <w:p w14:paraId="73AD6DAB" w14:textId="77777777" w:rsidR="00880D23" w:rsidRPr="00426F16" w:rsidRDefault="00880D23" w:rsidP="00880D23">
      <w:pPr>
        <w:pStyle w:val="NoSpacing"/>
        <w:rPr>
          <w:lang w:val="en-GB"/>
        </w:rPr>
      </w:pPr>
      <w:r w:rsidRPr="00426F16">
        <w:rPr>
          <w:lang w:val="en-GB"/>
        </w:rPr>
        <w:t>• Project design</w:t>
      </w:r>
    </w:p>
    <w:p w14:paraId="5F553760" w14:textId="77777777" w:rsidR="00880D23" w:rsidRPr="00426F16" w:rsidRDefault="00880D23" w:rsidP="00880D23">
      <w:pPr>
        <w:pStyle w:val="NoSpacing"/>
        <w:rPr>
          <w:lang w:val="en-GB"/>
        </w:rPr>
      </w:pPr>
      <w:r w:rsidRPr="00426F16">
        <w:rPr>
          <w:lang w:val="en-GB"/>
        </w:rPr>
        <w:t>• Results framework/logframe</w:t>
      </w:r>
    </w:p>
    <w:p w14:paraId="633A3A42" w14:textId="77777777" w:rsidR="00880D23" w:rsidRPr="00426F16" w:rsidRDefault="00880D23" w:rsidP="00880D23">
      <w:pPr>
        <w:rPr>
          <w:i/>
        </w:rPr>
      </w:pPr>
      <w:r w:rsidRPr="00426F16">
        <w:rPr>
          <w:i/>
        </w:rPr>
        <w:t>Progress Towards Results</w:t>
      </w:r>
    </w:p>
    <w:p w14:paraId="4BD9F4C1" w14:textId="77777777" w:rsidR="00880D23" w:rsidRPr="00426F16" w:rsidRDefault="00880D23" w:rsidP="00880D23">
      <w:pPr>
        <w:pStyle w:val="NoSpacing"/>
        <w:rPr>
          <w:lang w:val="en-GB"/>
        </w:rPr>
      </w:pPr>
      <w:r w:rsidRPr="00426F16">
        <w:rPr>
          <w:lang w:val="en-GB"/>
        </w:rPr>
        <w:t>• Progress towards outcomes analysis</w:t>
      </w:r>
    </w:p>
    <w:p w14:paraId="038F76D8" w14:textId="77777777" w:rsidR="00880D23" w:rsidRPr="00426F16" w:rsidRDefault="00880D23" w:rsidP="00880D23">
      <w:pPr>
        <w:pStyle w:val="NoSpacing"/>
        <w:rPr>
          <w:lang w:val="en-GB"/>
        </w:rPr>
      </w:pPr>
      <w:r w:rsidRPr="00426F16">
        <w:rPr>
          <w:lang w:val="en-GB"/>
        </w:rPr>
        <w:t>• Remaining barriers to achieving the project objective</w:t>
      </w:r>
    </w:p>
    <w:p w14:paraId="31CEF112" w14:textId="77777777" w:rsidR="00880D23" w:rsidRPr="00426F16" w:rsidRDefault="00880D23" w:rsidP="00880D23">
      <w:pPr>
        <w:rPr>
          <w:i/>
        </w:rPr>
      </w:pPr>
      <w:r w:rsidRPr="00426F16">
        <w:rPr>
          <w:i/>
        </w:rPr>
        <w:t>Project Implementation and Adaptive Management</w:t>
      </w:r>
    </w:p>
    <w:p w14:paraId="6B0306A5" w14:textId="77777777" w:rsidR="00880D23" w:rsidRPr="00426F16" w:rsidRDefault="00880D23" w:rsidP="00880D23">
      <w:pPr>
        <w:pStyle w:val="NoSpacing"/>
        <w:rPr>
          <w:lang w:val="en-GB"/>
        </w:rPr>
      </w:pPr>
      <w:r w:rsidRPr="00426F16">
        <w:rPr>
          <w:lang w:val="en-GB"/>
        </w:rPr>
        <w:t>• Management arrangements</w:t>
      </w:r>
    </w:p>
    <w:p w14:paraId="6E22D03D" w14:textId="77777777" w:rsidR="00880D23" w:rsidRPr="00426F16" w:rsidRDefault="00880D23" w:rsidP="00880D23">
      <w:pPr>
        <w:pStyle w:val="NoSpacing"/>
        <w:rPr>
          <w:lang w:val="en-GB"/>
        </w:rPr>
      </w:pPr>
      <w:r w:rsidRPr="00426F16">
        <w:rPr>
          <w:lang w:val="en-GB"/>
        </w:rPr>
        <w:t>• Work planning</w:t>
      </w:r>
    </w:p>
    <w:p w14:paraId="489BAE5E" w14:textId="77777777" w:rsidR="00880D23" w:rsidRPr="00426F16" w:rsidRDefault="00880D23" w:rsidP="00880D23">
      <w:pPr>
        <w:pStyle w:val="NoSpacing"/>
        <w:rPr>
          <w:lang w:val="en-GB"/>
        </w:rPr>
      </w:pPr>
      <w:r w:rsidRPr="00426F16">
        <w:rPr>
          <w:lang w:val="en-GB"/>
        </w:rPr>
        <w:t>• Finance and co-finance</w:t>
      </w:r>
    </w:p>
    <w:p w14:paraId="177D2FE1" w14:textId="77777777" w:rsidR="00880D23" w:rsidRPr="00426F16" w:rsidRDefault="00880D23" w:rsidP="00880D23">
      <w:pPr>
        <w:pStyle w:val="NoSpacing"/>
        <w:rPr>
          <w:lang w:val="en-GB"/>
        </w:rPr>
      </w:pPr>
      <w:r w:rsidRPr="00426F16">
        <w:rPr>
          <w:lang w:val="en-GB"/>
        </w:rPr>
        <w:t>• Project-level monitoring and evaluation systems</w:t>
      </w:r>
    </w:p>
    <w:p w14:paraId="38A29B83" w14:textId="77777777" w:rsidR="00880D23" w:rsidRPr="00426F16" w:rsidRDefault="00880D23" w:rsidP="00880D23">
      <w:pPr>
        <w:pStyle w:val="NoSpacing"/>
        <w:rPr>
          <w:lang w:val="en-GB"/>
        </w:rPr>
      </w:pPr>
      <w:r w:rsidRPr="00426F16">
        <w:rPr>
          <w:lang w:val="en-GB"/>
        </w:rPr>
        <w:t>• Stakeholder engagement</w:t>
      </w:r>
    </w:p>
    <w:p w14:paraId="5134C316" w14:textId="77777777" w:rsidR="00880D23" w:rsidRPr="00426F16" w:rsidRDefault="00880D23" w:rsidP="00880D23">
      <w:pPr>
        <w:pStyle w:val="NoSpacing"/>
        <w:rPr>
          <w:lang w:val="en-GB"/>
        </w:rPr>
      </w:pPr>
      <w:r w:rsidRPr="00426F16">
        <w:rPr>
          <w:lang w:val="en-GB"/>
        </w:rPr>
        <w:t>• Reporting and communications</w:t>
      </w:r>
    </w:p>
    <w:p w14:paraId="702CFC4E" w14:textId="77777777" w:rsidR="00880D23" w:rsidRPr="00426F16" w:rsidRDefault="00880D23" w:rsidP="00880D23">
      <w:pPr>
        <w:rPr>
          <w:i/>
        </w:rPr>
      </w:pPr>
      <w:r w:rsidRPr="00426F16">
        <w:rPr>
          <w:i/>
        </w:rPr>
        <w:t>Sustainability</w:t>
      </w:r>
    </w:p>
    <w:p w14:paraId="08D829F6" w14:textId="77777777" w:rsidR="00880D23" w:rsidRPr="00426F16" w:rsidRDefault="00880D23" w:rsidP="00880D23">
      <w:pPr>
        <w:pStyle w:val="NoSpacing"/>
        <w:rPr>
          <w:lang w:val="en-GB"/>
        </w:rPr>
      </w:pPr>
      <w:r w:rsidRPr="00426F16">
        <w:rPr>
          <w:lang w:val="en-GB"/>
        </w:rPr>
        <w:t>• Financial risks to sustainability</w:t>
      </w:r>
    </w:p>
    <w:p w14:paraId="67CE6BF3" w14:textId="77777777" w:rsidR="00880D23" w:rsidRPr="00426F16" w:rsidRDefault="00880D23" w:rsidP="00880D23">
      <w:pPr>
        <w:pStyle w:val="NoSpacing"/>
        <w:rPr>
          <w:lang w:val="en-GB"/>
        </w:rPr>
      </w:pPr>
      <w:r w:rsidRPr="00426F16">
        <w:rPr>
          <w:lang w:val="en-GB"/>
        </w:rPr>
        <w:t xml:space="preserve">• Socio-economic </w:t>
      </w:r>
      <w:r>
        <w:rPr>
          <w:lang w:val="en-GB"/>
        </w:rPr>
        <w:t xml:space="preserve">risks </w:t>
      </w:r>
      <w:r w:rsidRPr="00426F16">
        <w:rPr>
          <w:lang w:val="en-GB"/>
        </w:rPr>
        <w:t>to sustainability</w:t>
      </w:r>
    </w:p>
    <w:p w14:paraId="75104235" w14:textId="77777777" w:rsidR="00880D23" w:rsidRDefault="00880D23" w:rsidP="00880D23">
      <w:pPr>
        <w:pStyle w:val="NoSpacing"/>
        <w:rPr>
          <w:lang w:val="en-GB"/>
        </w:rPr>
      </w:pPr>
      <w:r w:rsidRPr="00426F16">
        <w:rPr>
          <w:lang w:val="en-GB"/>
        </w:rPr>
        <w:t xml:space="preserve">• Institutional framework and governance risks to </w:t>
      </w:r>
      <w:r>
        <w:rPr>
          <w:lang w:val="en-GB"/>
        </w:rPr>
        <w:t>sustainability</w:t>
      </w:r>
    </w:p>
    <w:p w14:paraId="0BC8F1E7" w14:textId="77777777" w:rsidR="00880D23" w:rsidRDefault="00880D23" w:rsidP="00880D23">
      <w:pPr>
        <w:pStyle w:val="NoSpacing"/>
        <w:rPr>
          <w:lang w:val="en-GB"/>
        </w:rPr>
      </w:pPr>
      <w:r w:rsidRPr="00426F16">
        <w:rPr>
          <w:lang w:val="en-GB"/>
        </w:rPr>
        <w:t>•</w:t>
      </w:r>
      <w:r>
        <w:rPr>
          <w:lang w:val="en-GB"/>
        </w:rPr>
        <w:t xml:space="preserve"> Environmental risks to sustainability</w:t>
      </w:r>
    </w:p>
    <w:p w14:paraId="6F558DDC" w14:textId="010E5D83" w:rsidR="00C87960" w:rsidRPr="00BB21DE" w:rsidRDefault="00C87960" w:rsidP="00C87960">
      <w:r>
        <w:t>The first part of the report describes the project background and summarizes factual information that was assembled during the initial data collection phase. The second part contains information that was collected through consultations with the key stakeholders</w:t>
      </w:r>
      <w:r w:rsidR="00A11FCF">
        <w:t xml:space="preserve"> and desk review of relevant documentation</w:t>
      </w:r>
      <w:r>
        <w:t xml:space="preserve">.  The third part provides </w:t>
      </w:r>
      <w:r w:rsidRPr="00C87960">
        <w:t xml:space="preserve">evidence-based </w:t>
      </w:r>
      <w:r>
        <w:t xml:space="preserve">conclusions connected to the findings from the second part and recommendations in the form of </w:t>
      </w:r>
      <w:r w:rsidR="007B67A5">
        <w:t>c</w:t>
      </w:r>
      <w:r w:rsidR="007B67A5" w:rsidRPr="00C87960">
        <w:t>orrective actions for the design,</w:t>
      </w:r>
      <w:r w:rsidR="007B67A5">
        <w:t xml:space="preserve"> implementation, management arrangem</w:t>
      </w:r>
      <w:r w:rsidR="008C3F32">
        <w:t>ents as well as for monitoring and</w:t>
      </w:r>
      <w:r w:rsidR="00983446">
        <w:t xml:space="preserve"> </w:t>
      </w:r>
      <w:r w:rsidR="007B67A5" w:rsidRPr="00C87960">
        <w:t xml:space="preserve">evaluation </w:t>
      </w:r>
      <w:r w:rsidR="007B67A5">
        <w:t>of the project.</w:t>
      </w:r>
    </w:p>
    <w:p w14:paraId="4030230A" w14:textId="77777777" w:rsidR="009655DB" w:rsidRDefault="001A4B44" w:rsidP="008A2614">
      <w:pPr>
        <w:pStyle w:val="Heading2"/>
      </w:pPr>
      <w:bookmarkStart w:id="12" w:name="_Toc515816637"/>
      <w:bookmarkStart w:id="13" w:name="_Toc66777397"/>
      <w:r>
        <w:t>Constraints and Limitations</w:t>
      </w:r>
      <w:bookmarkEnd w:id="12"/>
      <w:bookmarkEnd w:id="13"/>
    </w:p>
    <w:p w14:paraId="11BD02B0" w14:textId="45BD6994" w:rsidR="00511441" w:rsidRDefault="00511441" w:rsidP="002C1C52">
      <w:r w:rsidRPr="001A4B44">
        <w:t xml:space="preserve">The findings and conclusions contained in this report </w:t>
      </w:r>
      <w:r>
        <w:t xml:space="preserve">are based </w:t>
      </w:r>
      <w:r w:rsidRPr="001A4B44">
        <w:t xml:space="preserve">primarily on a </w:t>
      </w:r>
      <w:r>
        <w:t xml:space="preserve">thorough </w:t>
      </w:r>
      <w:r w:rsidRPr="001A4B44">
        <w:t>desk review of documents</w:t>
      </w:r>
      <w:r>
        <w:t xml:space="preserve"> that were made available to the evaluator</w:t>
      </w:r>
      <w:r w:rsidR="00607A0E">
        <w:t>s</w:t>
      </w:r>
      <w:r w:rsidR="004E44D1">
        <w:t>. Since this was virtual evaluation conducted through on-line discussion platforms, there were no constraints and limitations due to the COVID-19 outbreak.</w:t>
      </w:r>
    </w:p>
    <w:p w14:paraId="1B1CDB6D" w14:textId="77777777" w:rsidR="003F6C60" w:rsidRDefault="00BC009F" w:rsidP="003F6C60">
      <w:r>
        <w:t>T</w:t>
      </w:r>
      <w:r w:rsidRPr="001A4B44">
        <w:t xml:space="preserve">he </w:t>
      </w:r>
      <w:r>
        <w:t>MTR consultant</w:t>
      </w:r>
      <w:r w:rsidR="00607A0E">
        <w:t>s</w:t>
      </w:r>
      <w:r>
        <w:t xml:space="preserve"> </w:t>
      </w:r>
      <w:r w:rsidRPr="001A4B44">
        <w:t>w</w:t>
      </w:r>
      <w:r w:rsidR="00607A0E">
        <w:t>ere</w:t>
      </w:r>
      <w:r w:rsidRPr="001A4B44">
        <w:t xml:space="preserve"> able to conduct a detailed assessment of </w:t>
      </w:r>
      <w:r>
        <w:t xml:space="preserve">progress towards the </w:t>
      </w:r>
      <w:r w:rsidR="003F6C60">
        <w:t xml:space="preserve">expected </w:t>
      </w:r>
      <w:r w:rsidRPr="001A4B44">
        <w:t>results.</w:t>
      </w:r>
    </w:p>
    <w:p w14:paraId="3D1AB4FF" w14:textId="77777777" w:rsidR="00CE4804" w:rsidRDefault="00CE4804" w:rsidP="003F6C60">
      <w:pPr>
        <w:sectPr w:rsidR="00CE4804" w:rsidSect="00AF7F5E">
          <w:pgSz w:w="11900" w:h="16840"/>
          <w:pgMar w:top="1417" w:right="1417" w:bottom="1417" w:left="1417" w:header="708" w:footer="708" w:gutter="0"/>
          <w:pgNumType w:start="1"/>
          <w:cols w:space="708"/>
          <w:titlePg/>
          <w:docGrid w:linePitch="360"/>
        </w:sectPr>
      </w:pPr>
    </w:p>
    <w:p w14:paraId="449E70A8" w14:textId="77777777" w:rsidR="00876342" w:rsidRPr="002C1C52" w:rsidRDefault="009655DB" w:rsidP="00580CB8">
      <w:pPr>
        <w:pStyle w:val="Heading1"/>
      </w:pPr>
      <w:bookmarkStart w:id="14" w:name="_Toc515816638"/>
      <w:bookmarkStart w:id="15" w:name="_Toc66777398"/>
      <w:r w:rsidRPr="00D83C59">
        <w:lastRenderedPageBreak/>
        <w:t>Project Description and Background Context</w:t>
      </w:r>
      <w:bookmarkEnd w:id="14"/>
      <w:bookmarkEnd w:id="15"/>
    </w:p>
    <w:p w14:paraId="0D54A497" w14:textId="7AAEFBCB" w:rsidR="00876342" w:rsidRDefault="000662A1" w:rsidP="008A2614">
      <w:pPr>
        <w:pStyle w:val="Heading2"/>
      </w:pPr>
      <w:bookmarkStart w:id="16" w:name="_Toc515816639"/>
      <w:bookmarkStart w:id="17" w:name="_Toc66777399"/>
      <w:r>
        <w:t xml:space="preserve">Project </w:t>
      </w:r>
      <w:r w:rsidR="00876342">
        <w:t>Context</w:t>
      </w:r>
      <w:bookmarkEnd w:id="16"/>
      <w:bookmarkEnd w:id="17"/>
    </w:p>
    <w:p w14:paraId="0A3DB2C1" w14:textId="77777777" w:rsidR="00DA0149" w:rsidRDefault="00DA0149" w:rsidP="00DA0149">
      <w:r>
        <w:t xml:space="preserve">Paris Agreement, in full Paris Agreement under the United Nations Framework Convention on Climate Change (UNFCC), also called Paris Climate Agreement (PCA), is a landmark environmental accord that was adopted at the UNFCCC Conference of the Parties (COP21) in Paris in December 2015 to improve upon and replace the Kyoto Protocol. The PCA entered into force on 4 November 2016 and has been signed by 197 countries out which 179 countries also formally adopted the </w:t>
      </w:r>
      <w:proofErr w:type="gramStart"/>
      <w:r>
        <w:t>PCA .</w:t>
      </w:r>
      <w:proofErr w:type="gramEnd"/>
    </w:p>
    <w:p w14:paraId="7BFF435E" w14:textId="77777777" w:rsidR="00DA0149" w:rsidRDefault="00DA0149" w:rsidP="00DA0149">
      <w:r>
        <w:t xml:space="preserve">Under the PCA, Parties to UNFCCC endorsed ambitious goals to substantially reduce global greenhouse gas (GHG) emissions in order to keep the average global temperature increase well below 2°C above the preindustrial levels, while pursuing options to limit the increase to 1.5 °C. The Agreement includes commitments from all Parties to cut their climate-altering pollution and strengthen those commitments over time. It also provides a pathway for developed countries to assist developing and transitional countries in their climate mitigation and adaptation efforts. </w:t>
      </w:r>
    </w:p>
    <w:p w14:paraId="0AC86244" w14:textId="77777777" w:rsidR="00DA0149" w:rsidRDefault="00DA0149" w:rsidP="00DA0149">
      <w:r>
        <w:t>A key result of the PCA negotiations was the establishment of an enhanced transparency framework for tracking and reporting the progress of existing and future commitments of the Parties, with included built-in flexibility for non-Annex I Parties. For this reason, the Capacity-building Initiative for Transparency (CBIT) was created at the request of the Parties to help strengthen the institutional and technical capacities of non-Annex I countries to meet the enhanced transparency requirements defined in Article 13 of the Agreement. Consequently, the Parties requested GEF to support establishment of the CBIT through voluntary contributions during the GEF-6 and future replenishment cycles. Following COP 21, GEF established the CBIT within one year due to high levels of donor support and successful engagement with countries and other PCA stakeholders.</w:t>
      </w:r>
    </w:p>
    <w:p w14:paraId="446E7A95" w14:textId="77777777" w:rsidR="00DA0149" w:rsidRDefault="00DA0149" w:rsidP="00DA0149">
      <w:r>
        <w:t>In anticipation of adoption of the PCA, countries publicly outlined their post-2020 climate actions they intended to take under the global PCA framework in the context of their national priorities, circumstances and capabilities - known as their Intended Nationally Determined Contributions (INDCs). Once countries formally adopted the PCA, the word “intended” was dropped and an INDC was converted into a Nationally Determined Contribution (NDC). Under the provisions of the PCA, a country is expected to submit an updated NDC every five years to represent a progression beyond the country’s first INDC/NDC.</w:t>
      </w:r>
    </w:p>
    <w:p w14:paraId="25FE9375" w14:textId="5D618297" w:rsidR="00DA0149" w:rsidRPr="00DA0149" w:rsidRDefault="00DA0149" w:rsidP="00DA0149">
      <w:r>
        <w:t xml:space="preserve">In its INDC submitted on 25 June 2015, Serbia committed to reduce its GHG emissions by 9.8% from 1990 levels by 2030. As a consequence of Serbia’s ratification of the PCA in July 2017, Serbia's INDC was converted into NDC. The country now needs to enact robust climate and energy policies that will enable the implementation of its NDC pledge and allow the country to strengthen its commitments in coming years. Although the country has already made significant progress in establishing an effective institutional and legal framework to combat climate change, there is a need to strengthen capacity and improve information sharing among responsible and competent institutions at the national and local levels. The </w:t>
      </w:r>
      <w:r>
        <w:lastRenderedPageBreak/>
        <w:t>resulting transparency framework should create an enabling environment for decision-making regarding future objectives, targets, and priority policies and measures for mitigation and adaptation.</w:t>
      </w:r>
    </w:p>
    <w:p w14:paraId="72ACFAC6" w14:textId="74F4BC6A" w:rsidR="009655DB" w:rsidRDefault="006D4BF3" w:rsidP="00983446">
      <w:pPr>
        <w:pStyle w:val="Heading2"/>
      </w:pPr>
      <w:bookmarkStart w:id="18" w:name="_Toc515816640"/>
      <w:bookmarkStart w:id="19" w:name="_Toc66777400"/>
      <w:r>
        <w:t xml:space="preserve">Problems that the project </w:t>
      </w:r>
      <w:r w:rsidR="009655DB" w:rsidRPr="00D83C59">
        <w:t>address</w:t>
      </w:r>
      <w:bookmarkEnd w:id="18"/>
      <w:r w:rsidR="00DA0149">
        <w:t>es</w:t>
      </w:r>
      <w:bookmarkEnd w:id="19"/>
    </w:p>
    <w:p w14:paraId="25D252CA" w14:textId="6D134D3D" w:rsidR="00482F5B" w:rsidRDefault="00DD7CA7" w:rsidP="00482F5B">
      <w:r>
        <w:t xml:space="preserve">Before the project, </w:t>
      </w:r>
      <w:r w:rsidR="00482F5B">
        <w:t xml:space="preserve">Serbia did not have a systematic planning, reporting and monitoring system for climate change mitigation and adaptation based on reliable data. Although main climate related challenges had been identified through the UNFCCC reporting processes, the support provided for compilation of NCs and BURs did not create a transparent and sustainable system </w:t>
      </w:r>
      <w:r w:rsidR="00017B70">
        <w:t>for improved national planning and decision making, for tracking and renewing the NDCs in line with the ETF requirements of the Paris Agreement.</w:t>
      </w:r>
    </w:p>
    <w:p w14:paraId="5C96CA55" w14:textId="227FC1FA" w:rsidR="00482F5B" w:rsidRDefault="00482F5B" w:rsidP="00DD7CA7">
      <w:r>
        <w:t xml:space="preserve">In particular, </w:t>
      </w:r>
      <w:r w:rsidR="00DD7CA7">
        <w:t xml:space="preserve">Serbia did not have a </w:t>
      </w:r>
      <w:r>
        <w:t xml:space="preserve">national </w:t>
      </w:r>
      <w:r w:rsidR="00DD7CA7">
        <w:t xml:space="preserve">system </w:t>
      </w:r>
      <w:r>
        <w:t>for data/information collection, based on involvement of all relevant stakeholders, for continuous monitoring, reporting of undertaken measures, as well as for their upscaling.</w:t>
      </w:r>
    </w:p>
    <w:p w14:paraId="2869A735" w14:textId="5F368B19" w:rsidR="00482F5B" w:rsidRDefault="00482F5B" w:rsidP="00482F5B">
      <w:r>
        <w:t xml:space="preserve">The root cause lays in the fact that climate related issues had not been sufficiently integrated into sectorial policies due to lack of coordination among different competent institutions in terms of planning, implementation, monitoring and reporting on sectorial measures. Also, there were no clear guiding documents, neither methodologies, to facilitate sector-based inputs to climate policy planning and development. </w:t>
      </w:r>
    </w:p>
    <w:p w14:paraId="285CE3EE" w14:textId="659DF90F" w:rsidR="00DD7CA7" w:rsidRDefault="00DD7CA7" w:rsidP="00DD7CA7">
      <w:r>
        <w:t xml:space="preserve">The process of formulating Serbia’s first NDC was based on assistance received through the NC and BUR preparation projects. This support, </w:t>
      </w:r>
      <w:r w:rsidR="00382135">
        <w:t xml:space="preserve">as well as such as the EU funded project for development of Climate Change Strategy and Action Plan, was </w:t>
      </w:r>
      <w:r>
        <w:t>mainly based on external expert</w:t>
      </w:r>
      <w:r w:rsidR="00382135">
        <w:t xml:space="preserve"> assistance and </w:t>
      </w:r>
      <w:r>
        <w:t xml:space="preserve">did not result in significant increase of capacities of relevant state institutions, such as the Ministry of Environmental Protection, but also other </w:t>
      </w:r>
      <w:r w:rsidR="00382135">
        <w:t xml:space="preserve">relevant Government </w:t>
      </w:r>
      <w:r>
        <w:t>institutions in charge of agriculture, energy, construction etc.)</w:t>
      </w:r>
      <w:r w:rsidR="00382135">
        <w:t xml:space="preserve">. In particular, the external assistance did not create sufficient national expertise </w:t>
      </w:r>
      <w:r>
        <w:t xml:space="preserve">for </w:t>
      </w:r>
      <w:r w:rsidR="00382135">
        <w:t xml:space="preserve">development of </w:t>
      </w:r>
      <w:r>
        <w:t>long</w:t>
      </w:r>
      <w:r w:rsidR="005861A0">
        <w:t>-</w:t>
      </w:r>
      <w:r>
        <w:t>term policies</w:t>
      </w:r>
      <w:r w:rsidR="00382135">
        <w:t xml:space="preserve"> and </w:t>
      </w:r>
      <w:r>
        <w:t xml:space="preserve">macroeconomic or sectoral models </w:t>
      </w:r>
      <w:r w:rsidR="00382135">
        <w:t xml:space="preserve">for </w:t>
      </w:r>
      <w:r>
        <w:t>test</w:t>
      </w:r>
      <w:r w:rsidR="00382135">
        <w:t>ing</w:t>
      </w:r>
      <w:r>
        <w:t xml:space="preserve"> different scenarios.</w:t>
      </w:r>
    </w:p>
    <w:p w14:paraId="512801C5" w14:textId="77777777" w:rsidR="00017B70" w:rsidRDefault="00382135" w:rsidP="00DD7CA7">
      <w:r>
        <w:t>The</w:t>
      </w:r>
      <w:r w:rsidR="009947EE">
        <w:t xml:space="preserve"> </w:t>
      </w:r>
      <w:r w:rsidR="00DD7CA7">
        <w:t xml:space="preserve">lack of </w:t>
      </w:r>
      <w:r w:rsidR="009947EE">
        <w:t xml:space="preserve">human and institutional </w:t>
      </w:r>
      <w:r w:rsidR="00DD7CA7">
        <w:t>capacities to plan and specially to track progress on GHG emission reduction and adaptation policies and measures, particular</w:t>
      </w:r>
      <w:r w:rsidR="009947EE">
        <w:t>ly</w:t>
      </w:r>
      <w:r w:rsidR="00DD7CA7">
        <w:t xml:space="preserve"> </w:t>
      </w:r>
      <w:r w:rsidR="009947EE">
        <w:t xml:space="preserve">in </w:t>
      </w:r>
      <w:r w:rsidR="00DD7CA7">
        <w:t>specific sectors</w:t>
      </w:r>
      <w:r w:rsidR="009947EE">
        <w:t xml:space="preserve">, </w:t>
      </w:r>
      <w:r w:rsidR="00482F5B">
        <w:t xml:space="preserve">also precluded </w:t>
      </w:r>
      <w:r w:rsidR="009947EE">
        <w:t>develop</w:t>
      </w:r>
      <w:r w:rsidR="00482F5B">
        <w:t>ment of</w:t>
      </w:r>
      <w:r w:rsidR="009947EE">
        <w:t xml:space="preserve"> </w:t>
      </w:r>
      <w:r w:rsidR="00DD7CA7">
        <w:t>socio-economic assessment models</w:t>
      </w:r>
      <w:r w:rsidR="00482F5B">
        <w:t xml:space="preserve"> for </w:t>
      </w:r>
      <w:r w:rsidR="00DD7CA7">
        <w:t>identif</w:t>
      </w:r>
      <w:r w:rsidR="00482F5B">
        <w:t>ication of</w:t>
      </w:r>
      <w:r w:rsidR="00DD7CA7">
        <w:t xml:space="preserve"> climate related financing.</w:t>
      </w:r>
      <w:r w:rsidR="00017B70">
        <w:t xml:space="preserve"> </w:t>
      </w:r>
    </w:p>
    <w:p w14:paraId="6BED2EDC" w14:textId="2735AC84" w:rsidR="00DD7CA7" w:rsidRPr="00DD7CA7" w:rsidRDefault="00DD7CA7" w:rsidP="00DD7CA7">
      <w:r>
        <w:t xml:space="preserve">Besides </w:t>
      </w:r>
      <w:r w:rsidR="009947EE">
        <w:t xml:space="preserve">insufficient </w:t>
      </w:r>
      <w:r>
        <w:t xml:space="preserve">human and institutional capacities, </w:t>
      </w:r>
      <w:r w:rsidR="009947EE">
        <w:t xml:space="preserve">Serbia did not have </w:t>
      </w:r>
      <w:r>
        <w:t>methodologies, guidelines and tools for assessing climate impacts in different sectors</w:t>
      </w:r>
      <w:r w:rsidR="009947EE">
        <w:t xml:space="preserve">, </w:t>
      </w:r>
      <w:r>
        <w:t xml:space="preserve">for cost analyses, </w:t>
      </w:r>
      <w:r w:rsidR="009947EE">
        <w:t xml:space="preserve">for </w:t>
      </w:r>
      <w:r>
        <w:t>loss and damage assessments</w:t>
      </w:r>
      <w:r w:rsidR="009947EE">
        <w:t>, as well as f</w:t>
      </w:r>
      <w:r>
        <w:t>or reporting, information</w:t>
      </w:r>
      <w:r w:rsidR="005861A0">
        <w:t xml:space="preserve"> </w:t>
      </w:r>
      <w:r>
        <w:t xml:space="preserve">and data exchange. Also, there </w:t>
      </w:r>
      <w:r w:rsidR="009947EE">
        <w:t>wa</w:t>
      </w:r>
      <w:r>
        <w:t xml:space="preserve">s a lack of coordination and common planning in the field of adaptation and </w:t>
      </w:r>
      <w:r w:rsidR="009947EE">
        <w:t xml:space="preserve">disaster risk reduction </w:t>
      </w:r>
      <w:r>
        <w:t xml:space="preserve">at all levels of governance. </w:t>
      </w:r>
      <w:r w:rsidR="009947EE">
        <w:t xml:space="preserve">Last but not least, </w:t>
      </w:r>
      <w:r w:rsidR="005861A0">
        <w:t xml:space="preserve">there was no </w:t>
      </w:r>
      <w:r>
        <w:t xml:space="preserve">nexus </w:t>
      </w:r>
      <w:r w:rsidR="005861A0">
        <w:t xml:space="preserve">between the </w:t>
      </w:r>
      <w:r>
        <w:t xml:space="preserve">mitigation and adaptation planning. The </w:t>
      </w:r>
      <w:r w:rsidR="009947EE">
        <w:t xml:space="preserve">gaps in </w:t>
      </w:r>
      <w:r w:rsidR="005861A0">
        <w:t xml:space="preserve">national </w:t>
      </w:r>
      <w:r>
        <w:t xml:space="preserve">capacities </w:t>
      </w:r>
      <w:r w:rsidR="005861A0">
        <w:t xml:space="preserve">and expertise </w:t>
      </w:r>
      <w:r>
        <w:t>ha</w:t>
      </w:r>
      <w:r w:rsidR="005861A0">
        <w:t>d</w:t>
      </w:r>
      <w:r>
        <w:t xml:space="preserve"> </w:t>
      </w:r>
      <w:r w:rsidR="005861A0">
        <w:t xml:space="preserve">caused </w:t>
      </w:r>
      <w:r>
        <w:t>strong dependency on international consultants w</w:t>
      </w:r>
      <w:r w:rsidR="005861A0">
        <w:t>ith negative</w:t>
      </w:r>
      <w:r>
        <w:t xml:space="preserve"> impacts </w:t>
      </w:r>
      <w:r w:rsidR="005861A0">
        <w:t xml:space="preserve">on </w:t>
      </w:r>
      <w:r>
        <w:t xml:space="preserve">the sustainability of the national </w:t>
      </w:r>
      <w:r w:rsidR="009947EE">
        <w:t xml:space="preserve">measurement and reporting </w:t>
      </w:r>
      <w:r>
        <w:t>system</w:t>
      </w:r>
      <w:r w:rsidR="005861A0">
        <w:t>.</w:t>
      </w:r>
    </w:p>
    <w:p w14:paraId="097A881E" w14:textId="77777777" w:rsidR="009655DB" w:rsidRDefault="009655DB" w:rsidP="00880050">
      <w:pPr>
        <w:pStyle w:val="Heading2"/>
      </w:pPr>
      <w:bookmarkStart w:id="20" w:name="_Toc515816641"/>
      <w:bookmarkStart w:id="21" w:name="_Toc66777401"/>
      <w:r w:rsidRPr="00D83C59">
        <w:lastRenderedPageBreak/>
        <w:t>Pr</w:t>
      </w:r>
      <w:r w:rsidR="00811D71">
        <w:t>oject description and s</w:t>
      </w:r>
      <w:r w:rsidR="006E50A3">
        <w:t>trategy</w:t>
      </w:r>
      <w:bookmarkEnd w:id="20"/>
      <w:bookmarkEnd w:id="21"/>
    </w:p>
    <w:p w14:paraId="21AE8277" w14:textId="77777777" w:rsidR="009F6AFE" w:rsidRDefault="009F6AFE" w:rsidP="009F6AFE">
      <w:r>
        <w:t xml:space="preserve">The development objective of the CBIT project is to accelerate Serbia’s movement towards a low-carbon and climate resilience development pathway by mainstreaming and integrating climate change considerations into development strategies and sector-based policy frameworks and linking the relevant policies and measures with a routine mechanism for climate change monitoring, reporting and verification. </w:t>
      </w:r>
    </w:p>
    <w:p w14:paraId="3ECFD836" w14:textId="78AFC49B" w:rsidR="009F6AFE" w:rsidRDefault="009F6AFE" w:rsidP="009F6AFE">
      <w:r>
        <w:t>The immediate objective of the project is to assist the Government of Serbia with establishing a National Transparency Framework to enhance implementation of Serbia’s commitments under the PCA and abide by its transparency provisions.</w:t>
      </w:r>
    </w:p>
    <w:p w14:paraId="0A165B55" w14:textId="0D5E0498" w:rsidR="009F6AFE" w:rsidRDefault="009F6AFE" w:rsidP="009F6AFE">
      <w:r>
        <w:t xml:space="preserve">In particular, the project aims at finalizing and launching a Monitoring, Reporting, and Verification (MRV) system in order to provide more accurate information and analysis of the instruments selected for mitigation and adaptation to climate change. The functional MRV system is also needed to formulate and effectively implement climate change-related policies and measures as expressed in the NDC. It is a prerequisite for a more intensive engagement of stakeholders, including local governments and the private sector in a gender-inclusive manner.  Finally, the project aims at using training and peer exchanges to strengthen capacity for transparency and allow for more ambitious commitments in the NDCs over time.  </w:t>
      </w:r>
    </w:p>
    <w:p w14:paraId="602CFF03" w14:textId="12C046C6" w:rsidR="00DA0149" w:rsidRDefault="009F6AFE" w:rsidP="00DA0149">
      <w:r>
        <w:t>Specifically, t</w:t>
      </w:r>
      <w:r w:rsidR="00DA0149">
        <w:t xml:space="preserve">he </w:t>
      </w:r>
      <w:r w:rsidR="00382135">
        <w:t xml:space="preserve">CBIT </w:t>
      </w:r>
      <w:r w:rsidR="00DA0149">
        <w:t xml:space="preserve">project was designed to: </w:t>
      </w:r>
    </w:p>
    <w:p w14:paraId="393FF0D4" w14:textId="77777777" w:rsidR="00DA0149" w:rsidRDefault="00DA0149" w:rsidP="00DA0149">
      <w:pPr>
        <w:spacing w:before="60"/>
      </w:pPr>
      <w:r>
        <w:t>•</w:t>
      </w:r>
      <w:r>
        <w:tab/>
        <w:t xml:space="preserve">support the Government of Serbia in mainstreaming and integrating climate change considerations into development strategies and sector-based policy frameworks by strengthening and sustaining efforts to monitor, report, and verify activities to address climate change, </w:t>
      </w:r>
    </w:p>
    <w:p w14:paraId="6506CD94" w14:textId="77777777" w:rsidR="00DA0149" w:rsidRDefault="00DA0149" w:rsidP="00DA0149">
      <w:pPr>
        <w:spacing w:before="60"/>
      </w:pPr>
      <w:r>
        <w:t>•</w:t>
      </w:r>
      <w:r>
        <w:tab/>
        <w:t>assist the Government of Serbia with strengthening the methodologies and tools necessary to enhance transparency as described in Article 13 of the Paris Agreement,</w:t>
      </w:r>
    </w:p>
    <w:p w14:paraId="51099B6E" w14:textId="77777777" w:rsidR="00DA0149" w:rsidRDefault="00DA0149" w:rsidP="00DA0149">
      <w:pPr>
        <w:spacing w:before="60"/>
      </w:pPr>
      <w:r>
        <w:t>•</w:t>
      </w:r>
      <w:r>
        <w:tab/>
        <w:t>accelerate Serbia’s EU accession process in the area of environment, energy and climate change, contributing to creation of enabling policy and institutional environment for effective implementation of relevant EU Acquis and related national legal acts.</w:t>
      </w:r>
    </w:p>
    <w:p w14:paraId="1464C44E" w14:textId="77777777" w:rsidR="00DA0149" w:rsidRDefault="00DA0149" w:rsidP="00DA0149">
      <w:r>
        <w:t>The results framework of the CBIT project is composed of the following 4 Components/Outcomes:</w:t>
      </w:r>
    </w:p>
    <w:p w14:paraId="78CBA166" w14:textId="77777777" w:rsidR="00DA0149" w:rsidRDefault="00DA0149" w:rsidP="00DA0149">
      <w:r>
        <w:t>Component/Outcome 1: National transparency capacity for tracking NDC progress from mitigation activities is strong,</w:t>
      </w:r>
    </w:p>
    <w:p w14:paraId="36FBC7AE" w14:textId="77777777" w:rsidR="00DA0149" w:rsidRDefault="00DA0149" w:rsidP="00DA0149">
      <w:r>
        <w:t>Component/Outcome 2: National transparency capacity for tracking NDC progress from adaptation activities is strong,</w:t>
      </w:r>
    </w:p>
    <w:p w14:paraId="74284157" w14:textId="77777777" w:rsidR="00DA0149" w:rsidRDefault="00DA0149" w:rsidP="00DA0149">
      <w:r>
        <w:t xml:space="preserve">Component/Outcome 3: MRV system for the NDC, including financing for institutions, local communities and businesses, is in place,   </w:t>
      </w:r>
    </w:p>
    <w:p w14:paraId="4BE31F2D" w14:textId="475F8C5C" w:rsidR="00DA0149" w:rsidRDefault="00DA0149" w:rsidP="00DA0149">
      <w:r>
        <w:t>Component/Outcome 4: Knowledge Management (KM) and monitoring &amp; evaluation (M&amp;E).</w:t>
      </w:r>
    </w:p>
    <w:p w14:paraId="45F984DC" w14:textId="026FF0EE" w:rsidR="002F3504" w:rsidRDefault="002F3504" w:rsidP="002F3504">
      <w:pPr>
        <w:pStyle w:val="Heading2"/>
      </w:pPr>
      <w:bookmarkStart w:id="22" w:name="_Toc66777402"/>
      <w:r>
        <w:lastRenderedPageBreak/>
        <w:t>Expected project results</w:t>
      </w:r>
      <w:bookmarkEnd w:id="22"/>
    </w:p>
    <w:p w14:paraId="6649BFE0" w14:textId="53BF8EC6" w:rsidR="00A07A30" w:rsidRDefault="00A07A30" w:rsidP="00017B70">
      <w:r w:rsidRPr="00A07A30">
        <w:rPr>
          <w:u w:val="single"/>
        </w:rPr>
        <w:t>Global Environmental Benefits:</w:t>
      </w:r>
      <w:r>
        <w:t xml:space="preserve"> </w:t>
      </w:r>
      <w:r w:rsidR="00017B70">
        <w:t xml:space="preserve">The CBIT </w:t>
      </w:r>
      <w:r w:rsidR="00017B70" w:rsidRPr="00017B70">
        <w:t xml:space="preserve">project </w:t>
      </w:r>
      <w:r w:rsidR="00017B70">
        <w:t xml:space="preserve">is expected to </w:t>
      </w:r>
      <w:r w:rsidR="00017B70" w:rsidRPr="00017B70">
        <w:t xml:space="preserve">strengthen the capacity of national institutions </w:t>
      </w:r>
      <w:r w:rsidR="00017B70">
        <w:t xml:space="preserve">for </w:t>
      </w:r>
      <w:r w:rsidR="00BF1570">
        <w:t xml:space="preserve">designing actions and policies </w:t>
      </w:r>
      <w:r w:rsidR="00017B70">
        <w:t xml:space="preserve">for </w:t>
      </w:r>
      <w:r w:rsidRPr="00017B70">
        <w:t xml:space="preserve">achieving the </w:t>
      </w:r>
      <w:r>
        <w:t>G</w:t>
      </w:r>
      <w:r w:rsidRPr="00017B70">
        <w:t xml:space="preserve">overnment’s national and international </w:t>
      </w:r>
      <w:r>
        <w:t xml:space="preserve">climate change </w:t>
      </w:r>
      <w:r w:rsidRPr="00017B70">
        <w:t>commitments (NDCs in particular)</w:t>
      </w:r>
      <w:r>
        <w:t xml:space="preserve"> and thus </w:t>
      </w:r>
      <w:r w:rsidR="00017B70">
        <w:t xml:space="preserve">limiting </w:t>
      </w:r>
      <w:r w:rsidR="00017B70" w:rsidRPr="00017B70">
        <w:t xml:space="preserve">Serbia’s </w:t>
      </w:r>
      <w:r w:rsidR="00017B70">
        <w:t xml:space="preserve">contribution to </w:t>
      </w:r>
      <w:r w:rsidR="00017B70" w:rsidRPr="00017B70">
        <w:t xml:space="preserve">the global environmental threat of climate change. </w:t>
      </w:r>
      <w:r>
        <w:t xml:space="preserve">In line with </w:t>
      </w:r>
      <w:r w:rsidRPr="00017B70">
        <w:t>the Paris Climate Agreement</w:t>
      </w:r>
      <w:r>
        <w:t xml:space="preserve">, it is expected that Serbia revisits </w:t>
      </w:r>
      <w:r w:rsidR="00017B70" w:rsidRPr="00017B70">
        <w:t xml:space="preserve">the NDCs </w:t>
      </w:r>
      <w:r>
        <w:t xml:space="preserve">and </w:t>
      </w:r>
      <w:r w:rsidRPr="00017B70">
        <w:t>prepare</w:t>
      </w:r>
      <w:r>
        <w:t>s</w:t>
      </w:r>
      <w:r w:rsidRPr="00017B70">
        <w:t xml:space="preserve"> enabling policy environment </w:t>
      </w:r>
      <w:r>
        <w:t xml:space="preserve">for </w:t>
      </w:r>
      <w:r w:rsidR="00017B70" w:rsidRPr="00017B70">
        <w:t xml:space="preserve">compliance in terms of defining, monitoring and reporting on climate change mitigation </w:t>
      </w:r>
      <w:r>
        <w:t xml:space="preserve">as well as </w:t>
      </w:r>
      <w:r w:rsidR="00017B70" w:rsidRPr="00017B70">
        <w:t xml:space="preserve">adaptation measures. </w:t>
      </w:r>
    </w:p>
    <w:p w14:paraId="76D52BA7" w14:textId="36787787" w:rsidR="00AC7C02" w:rsidRDefault="00AC7C02" w:rsidP="00017B70">
      <w:r>
        <w:t xml:space="preserve">Apart from climate change, the project is also expected to </w:t>
      </w:r>
      <w:r w:rsidRPr="00A07A30">
        <w:t>assist Serbia to respond effectively to the challenges of other global processes, such as implementing the SDGs and Sendai Framework for Action on Disaster Risk Reduction.</w:t>
      </w:r>
    </w:p>
    <w:p w14:paraId="3928CF26" w14:textId="5DAF565B" w:rsidR="008B2F50" w:rsidRDefault="002F3504" w:rsidP="002F3504">
      <w:r w:rsidRPr="002F3504">
        <w:rPr>
          <w:u w:val="single"/>
        </w:rPr>
        <w:t>Socio</w:t>
      </w:r>
      <w:r w:rsidR="008D0ED4">
        <w:rPr>
          <w:u w:val="single"/>
        </w:rPr>
        <w:t>-</w:t>
      </w:r>
      <w:r w:rsidRPr="002F3504">
        <w:rPr>
          <w:u w:val="single"/>
        </w:rPr>
        <w:t>Economic</w:t>
      </w:r>
      <w:r>
        <w:rPr>
          <w:u w:val="single"/>
        </w:rPr>
        <w:t xml:space="preserve"> </w:t>
      </w:r>
      <w:r w:rsidRPr="002F3504">
        <w:rPr>
          <w:u w:val="single"/>
        </w:rPr>
        <w:t>Benefits:</w:t>
      </w:r>
      <w:r>
        <w:t xml:space="preserve"> </w:t>
      </w:r>
      <w:r w:rsidR="008B2F50" w:rsidRPr="008B2F50">
        <w:t xml:space="preserve">The scope of the MRV system and transparency framework </w:t>
      </w:r>
      <w:r w:rsidR="008B2F50">
        <w:t xml:space="preserve">is relevant </w:t>
      </w:r>
      <w:r w:rsidR="008B2F50" w:rsidRPr="008B2F50">
        <w:t xml:space="preserve">to all sectors and actions related to climate change. </w:t>
      </w:r>
      <w:r w:rsidR="008B2F50">
        <w:t xml:space="preserve">It goes </w:t>
      </w:r>
      <w:r w:rsidR="008B2F50" w:rsidRPr="008B2F50">
        <w:t xml:space="preserve">beyond reducing greenhouse gases </w:t>
      </w:r>
      <w:r w:rsidR="008B2F50">
        <w:t xml:space="preserve">in order to </w:t>
      </w:r>
      <w:r w:rsidR="008B2F50" w:rsidRPr="008B2F50">
        <w:t>capture the country path to a sustainable, resilient and low</w:t>
      </w:r>
      <w:r w:rsidR="008B2F50">
        <w:t xml:space="preserve">-carbon </w:t>
      </w:r>
      <w:r w:rsidR="008B2F50" w:rsidRPr="008B2F50">
        <w:t>emission economy</w:t>
      </w:r>
      <w:r w:rsidR="008B2F50">
        <w:t xml:space="preserve"> and thus promote </w:t>
      </w:r>
      <w:r w:rsidR="008B2F50" w:rsidRPr="008B2F50">
        <w:t xml:space="preserve">long-term sustainable socio-economic development, economic growth and improving living standards for </w:t>
      </w:r>
      <w:r w:rsidR="00814E15">
        <w:t xml:space="preserve">the </w:t>
      </w:r>
      <w:r w:rsidR="008B2F50" w:rsidRPr="008B2F50">
        <w:t>citizens</w:t>
      </w:r>
      <w:r w:rsidR="00814E15">
        <w:t xml:space="preserve"> of Serbia</w:t>
      </w:r>
      <w:r w:rsidR="008B2F50" w:rsidRPr="008B2F50">
        <w:t>.</w:t>
      </w:r>
    </w:p>
    <w:p w14:paraId="2A90D4D3" w14:textId="46DF17E5" w:rsidR="00AC7C02" w:rsidRDefault="00AC7C02" w:rsidP="002F3504">
      <w:r>
        <w:t xml:space="preserve">In particular, the project is expected to </w:t>
      </w:r>
      <w:r w:rsidRPr="00017B70">
        <w:t xml:space="preserve">assist Serbia to </w:t>
      </w:r>
      <w:r>
        <w:t xml:space="preserve">comply with the </w:t>
      </w:r>
      <w:r w:rsidRPr="00A07A30">
        <w:t xml:space="preserve">EU accession obligations and commitments by </w:t>
      </w:r>
      <w:r w:rsidRPr="00AC7C02">
        <w:t>establishing complementary MRV system with MRV requirements of the EU</w:t>
      </w:r>
      <w:r>
        <w:t>.</w:t>
      </w:r>
    </w:p>
    <w:p w14:paraId="5268A286" w14:textId="36738ADD" w:rsidR="008B2F50" w:rsidRDefault="002F3504" w:rsidP="008B2F50">
      <w:r w:rsidRPr="008D0ED4">
        <w:rPr>
          <w:u w:val="single"/>
        </w:rPr>
        <w:t>Knowledge Management</w:t>
      </w:r>
      <w:r w:rsidR="008D0ED4">
        <w:rPr>
          <w:u w:val="single"/>
        </w:rPr>
        <w:t>:</w:t>
      </w:r>
      <w:r>
        <w:t xml:space="preserve"> The project </w:t>
      </w:r>
      <w:r w:rsidR="008D0ED4">
        <w:t xml:space="preserve">is expected to </w:t>
      </w:r>
      <w:r>
        <w:t xml:space="preserve">generate a significant </w:t>
      </w:r>
      <w:r w:rsidR="008D0ED4">
        <w:t>mass</w:t>
      </w:r>
      <w:r>
        <w:t xml:space="preserve"> of knowledge</w:t>
      </w:r>
      <w:r w:rsidR="008D0ED4">
        <w:t xml:space="preserve"> and technical capacity </w:t>
      </w:r>
      <w:r w:rsidR="008B2F50">
        <w:t xml:space="preserve">for </w:t>
      </w:r>
      <w:r w:rsidR="008B2F50" w:rsidRPr="008B2F50">
        <w:t>establishing a longer term strategic and policy framework for climate change.</w:t>
      </w:r>
      <w:r w:rsidR="008B2F50">
        <w:t xml:space="preserve"> </w:t>
      </w:r>
      <w:r w:rsidR="001E13B2">
        <w:t xml:space="preserve">It is envisaged to </w:t>
      </w:r>
      <w:r w:rsidR="00AC7C02" w:rsidRPr="00AC7C02">
        <w:t xml:space="preserve">share </w:t>
      </w:r>
      <w:r w:rsidR="001E13B2">
        <w:t xml:space="preserve">Serbia’s </w:t>
      </w:r>
      <w:r w:rsidR="00AC7C02" w:rsidRPr="00AC7C02">
        <w:t>progress and achievements in establishing the transparency framework with other countries under the CBIT global coordination platform and other relevant networks. Specific part of the comprehensive MRV system for transparency will be established for sharing externally information and results produced under the national CBIT, including mechanisms for exchange of information with the EU and other global transparency initiatives</w:t>
      </w:r>
      <w:r w:rsidR="001E13B2">
        <w:t>. E</w:t>
      </w:r>
      <w:r w:rsidR="008B2F50" w:rsidRPr="008B2F50">
        <w:t>xchange</w:t>
      </w:r>
      <w:r w:rsidR="008B2F50">
        <w:t xml:space="preserve"> of experience</w:t>
      </w:r>
      <w:r w:rsidR="008B2F50" w:rsidRPr="008B2F50">
        <w:t xml:space="preserve"> and capacity building among the countries of the region </w:t>
      </w:r>
      <w:r w:rsidR="008B2F50">
        <w:t xml:space="preserve">is expected to produce </w:t>
      </w:r>
      <w:r w:rsidR="008B2F50" w:rsidRPr="008B2F50">
        <w:t xml:space="preserve">additional benefits to the </w:t>
      </w:r>
      <w:r w:rsidR="00814E15">
        <w:t xml:space="preserve">national </w:t>
      </w:r>
      <w:r w:rsidR="008B2F50" w:rsidRPr="008B2F50">
        <w:t>climate change polic</w:t>
      </w:r>
      <w:r w:rsidR="00814E15">
        <w:t>ies</w:t>
      </w:r>
      <w:r w:rsidR="008B2F50" w:rsidRPr="008B2F50">
        <w:t xml:space="preserve"> and action planning under the NDCs, creating enabling environment for increase</w:t>
      </w:r>
      <w:r w:rsidR="00814E15">
        <w:t>d</w:t>
      </w:r>
      <w:r w:rsidR="008B2F50" w:rsidRPr="008B2F50">
        <w:t xml:space="preserve"> </w:t>
      </w:r>
      <w:r w:rsidR="00814E15">
        <w:t xml:space="preserve">climate change-related </w:t>
      </w:r>
      <w:r w:rsidR="008B2F50" w:rsidRPr="008B2F50">
        <w:t>ambitions</w:t>
      </w:r>
      <w:r w:rsidR="00814E15">
        <w:t xml:space="preserve"> in the region</w:t>
      </w:r>
      <w:r w:rsidR="008B2F50" w:rsidRPr="008B2F50">
        <w:t>.</w:t>
      </w:r>
    </w:p>
    <w:p w14:paraId="015A3573" w14:textId="77777777" w:rsidR="004C360C" w:rsidRPr="004C360C" w:rsidRDefault="006D4BF3" w:rsidP="008A2614">
      <w:pPr>
        <w:pStyle w:val="Heading2"/>
      </w:pPr>
      <w:bookmarkStart w:id="23" w:name="_Toc515816642"/>
      <w:bookmarkStart w:id="24" w:name="_Toc66777403"/>
      <w:r w:rsidRPr="002C1C52">
        <w:t>Project implementation a</w:t>
      </w:r>
      <w:r w:rsidR="004C360C" w:rsidRPr="002C1C52">
        <w:t>rrangements</w:t>
      </w:r>
      <w:bookmarkEnd w:id="23"/>
      <w:bookmarkEnd w:id="24"/>
    </w:p>
    <w:p w14:paraId="2B07E809" w14:textId="77777777" w:rsidR="00AC7C02" w:rsidRPr="00AC7C02" w:rsidRDefault="00AC7C02" w:rsidP="00AC7C02">
      <w:pPr>
        <w:rPr>
          <w:lang w:val="en-US"/>
        </w:rPr>
      </w:pPr>
      <w:r w:rsidRPr="00AC7C02">
        <w:rPr>
          <w:lang w:val="en-US"/>
        </w:rPr>
        <w:t>The CBIT project has been implemented following UNDP’s national implementation modality (NIM), according to the Standard Basic Assistance Agreement between UNDP and the Government of Serbia.</w:t>
      </w:r>
    </w:p>
    <w:p w14:paraId="46564CF9" w14:textId="695D7E07" w:rsidR="00AC7C02" w:rsidRDefault="00AC7C02" w:rsidP="00AC7C02">
      <w:pPr>
        <w:rPr>
          <w:lang w:val="en-US"/>
        </w:rPr>
      </w:pPr>
      <w:r w:rsidRPr="00AC7C02">
        <w:rPr>
          <w:lang w:val="en-US"/>
        </w:rPr>
        <w:t>The Implementing Partner for this project is the Ministry of Environmental Protection (</w:t>
      </w:r>
      <w:proofErr w:type="spellStart"/>
      <w:r w:rsidRPr="00AC7C02">
        <w:rPr>
          <w:lang w:val="en-US"/>
        </w:rPr>
        <w:t>MoEP</w:t>
      </w:r>
      <w:proofErr w:type="spellEnd"/>
      <w:r w:rsidRPr="00AC7C02">
        <w:rPr>
          <w:lang w:val="en-US"/>
        </w:rPr>
        <w:t>) that assumes responsibility as well as accountability for managing the project, including the monitoring and evaluation of project interventions, achieving the project Outcomes, and for the effective use of the project resources.</w:t>
      </w:r>
    </w:p>
    <w:p w14:paraId="62DED870" w14:textId="3CFA25CA" w:rsidR="00BA62B2" w:rsidRDefault="00BA62B2" w:rsidP="00C66FEA">
      <w:pPr>
        <w:rPr>
          <w:lang w:val="en-US"/>
        </w:rPr>
      </w:pPr>
      <w:r w:rsidRPr="00BA62B2">
        <w:rPr>
          <w:lang w:val="en-US"/>
        </w:rPr>
        <w:lastRenderedPageBreak/>
        <w:t xml:space="preserve">The technical support for the project is </w:t>
      </w:r>
      <w:r>
        <w:rPr>
          <w:lang w:val="en-US"/>
        </w:rPr>
        <w:t xml:space="preserve">provided by </w:t>
      </w:r>
      <w:r w:rsidR="003F6C60">
        <w:rPr>
          <w:lang w:val="en-US"/>
        </w:rPr>
        <w:t xml:space="preserve">the </w:t>
      </w:r>
      <w:r w:rsidR="00AC7C02">
        <w:rPr>
          <w:lang w:val="en-US"/>
        </w:rPr>
        <w:t xml:space="preserve">Regional </w:t>
      </w:r>
      <w:r w:rsidR="003F6C60">
        <w:rPr>
          <w:lang w:val="en-US"/>
        </w:rPr>
        <w:t xml:space="preserve">Technical Advisor </w:t>
      </w:r>
      <w:r>
        <w:rPr>
          <w:lang w:val="en-US"/>
        </w:rPr>
        <w:t xml:space="preserve">at UNDP based in the Istanbul Regional Hub (IRH) that also carries out </w:t>
      </w:r>
      <w:r w:rsidRPr="00BA62B2">
        <w:rPr>
          <w:lang w:val="en-US"/>
        </w:rPr>
        <w:t>independent project oversight and monitoring functions.</w:t>
      </w:r>
    </w:p>
    <w:p w14:paraId="1A222984" w14:textId="77777777" w:rsidR="00A736E2" w:rsidRPr="00D83C59" w:rsidRDefault="006D4BF3" w:rsidP="008A2614">
      <w:pPr>
        <w:pStyle w:val="Heading2"/>
        <w:rPr>
          <w:rFonts w:ascii="Arial" w:hAnsi="Arial" w:cs="Arial"/>
          <w:color w:val="000000"/>
          <w:sz w:val="20"/>
          <w:szCs w:val="20"/>
        </w:rPr>
      </w:pPr>
      <w:bookmarkStart w:id="25" w:name="_Toc515816643"/>
      <w:bookmarkStart w:id="26" w:name="_Toc66777404"/>
      <w:r w:rsidRPr="002C1C52">
        <w:t>Project timing and m</w:t>
      </w:r>
      <w:r w:rsidR="00A736E2" w:rsidRPr="002C1C52">
        <w:t>ilestones</w:t>
      </w:r>
      <w:bookmarkEnd w:id="25"/>
      <w:bookmarkEnd w:id="26"/>
    </w:p>
    <w:p w14:paraId="2B9F64DA" w14:textId="65A2CCBB" w:rsidR="003377FA" w:rsidRPr="00E55229" w:rsidRDefault="006B730D" w:rsidP="003377FA">
      <w:pPr>
        <w:spacing w:before="240"/>
      </w:pPr>
      <w:r>
        <w:t xml:space="preserve">The </w:t>
      </w:r>
      <w:r w:rsidR="008B2F50">
        <w:t xml:space="preserve">CBIT </w:t>
      </w:r>
      <w:r w:rsidR="00E55229">
        <w:t>p</w:t>
      </w:r>
      <w:r w:rsidR="001D1E8E">
        <w:t xml:space="preserve">roject </w:t>
      </w:r>
      <w:r w:rsidR="00DD04A0">
        <w:t xml:space="preserve">was approved </w:t>
      </w:r>
      <w:r w:rsidR="00DD04A0" w:rsidRPr="00DD04A0">
        <w:t xml:space="preserve">for implementation as a </w:t>
      </w:r>
      <w:r w:rsidR="008B2F50">
        <w:t xml:space="preserve">medium </w:t>
      </w:r>
      <w:r w:rsidR="00DD04A0" w:rsidRPr="00DD04A0">
        <w:t>-size GEF</w:t>
      </w:r>
      <w:r w:rsidR="00DD04A0">
        <w:t xml:space="preserve"> project </w:t>
      </w:r>
      <w:proofErr w:type="gramStart"/>
      <w:r w:rsidR="00DD04A0">
        <w:t xml:space="preserve">on </w:t>
      </w:r>
      <w:r w:rsidR="00E55229">
        <w:t xml:space="preserve"> October</w:t>
      </w:r>
      <w:proofErr w:type="gramEnd"/>
      <w:r w:rsidR="00E55229">
        <w:t xml:space="preserve"> 2016 </w:t>
      </w:r>
      <w:r w:rsidR="00535B36">
        <w:t xml:space="preserve">for </w:t>
      </w:r>
      <w:r w:rsidR="00C837DA">
        <w:t xml:space="preserve">the </w:t>
      </w:r>
      <w:r w:rsidR="00535B36">
        <w:t xml:space="preserve">duration of </w:t>
      </w:r>
      <w:r w:rsidR="0008683F">
        <w:t>36</w:t>
      </w:r>
      <w:r w:rsidR="00535B36">
        <w:t xml:space="preserve"> months</w:t>
      </w:r>
      <w:r w:rsidR="00DD04A0">
        <w:t xml:space="preserve">. </w:t>
      </w:r>
      <w:r w:rsidR="003377FA" w:rsidRPr="00DD04A0">
        <w:t xml:space="preserve">The </w:t>
      </w:r>
      <w:r w:rsidR="003377FA">
        <w:t xml:space="preserve">approved </w:t>
      </w:r>
      <w:r w:rsidR="003377FA" w:rsidRPr="00DD04A0">
        <w:t xml:space="preserve">GEF project grant amounts to US$ </w:t>
      </w:r>
      <w:r w:rsidR="0008683F">
        <w:t>1</w:t>
      </w:r>
      <w:r w:rsidR="003377FA" w:rsidRPr="00DD04A0">
        <w:t>,</w:t>
      </w:r>
      <w:r w:rsidR="0008683F">
        <w:t>1</w:t>
      </w:r>
      <w:r w:rsidR="003377FA">
        <w:t>00</w:t>
      </w:r>
      <w:r w:rsidR="003377FA" w:rsidRPr="00DD04A0">
        <w:t xml:space="preserve">,000 with </w:t>
      </w:r>
      <w:r w:rsidR="003377FA">
        <w:t xml:space="preserve">the total </w:t>
      </w:r>
      <w:r w:rsidR="0008683F">
        <w:t xml:space="preserve">100,000 </w:t>
      </w:r>
      <w:r w:rsidR="003377FA">
        <w:t xml:space="preserve">US$ pledged as parallel </w:t>
      </w:r>
      <w:r w:rsidR="003377FA" w:rsidRPr="00DD04A0">
        <w:t xml:space="preserve">co-financing </w:t>
      </w:r>
      <w:r w:rsidR="003377FA">
        <w:t xml:space="preserve">commitment by the </w:t>
      </w:r>
      <w:r w:rsidR="0008683F">
        <w:t>project Implementing Partners</w:t>
      </w:r>
      <w:r w:rsidR="003377FA">
        <w:t xml:space="preserve">.  </w:t>
      </w:r>
    </w:p>
    <w:p w14:paraId="1CECC601" w14:textId="742C4B79" w:rsidR="00E55229" w:rsidRPr="003377FA" w:rsidRDefault="00E83E7B" w:rsidP="003377FA">
      <w:pPr>
        <w:spacing w:after="120"/>
      </w:pPr>
      <w:r>
        <w:t>The specific timeline of the</w:t>
      </w:r>
      <w:r w:rsidR="00CC4E9B">
        <w:t xml:space="preserve"> project is summarized in </w:t>
      </w:r>
      <w:r w:rsidR="00815182">
        <w:t xml:space="preserve">Table </w:t>
      </w:r>
      <w:r w:rsidR="00261C4A">
        <w:t>1</w:t>
      </w:r>
      <w:r>
        <w:t xml:space="preserve"> below.</w:t>
      </w:r>
    </w:p>
    <w:p w14:paraId="4274E0CA" w14:textId="08B29C54" w:rsidR="00E83E7B" w:rsidRPr="00261C4A" w:rsidRDefault="00261C4A" w:rsidP="00261C4A">
      <w:pPr>
        <w:pStyle w:val="Caption"/>
        <w:spacing w:before="240" w:after="120"/>
        <w:rPr>
          <w:b/>
          <w:i w:val="0"/>
          <w:iCs w:val="0"/>
          <w:color w:val="auto"/>
          <w:sz w:val="24"/>
          <w:szCs w:val="24"/>
        </w:rPr>
      </w:pPr>
      <w:r w:rsidRPr="00261C4A">
        <w:rPr>
          <w:b/>
          <w:bCs/>
          <w:i w:val="0"/>
          <w:iCs w:val="0"/>
          <w:color w:val="auto"/>
          <w:sz w:val="24"/>
          <w:szCs w:val="24"/>
        </w:rPr>
        <w:t xml:space="preserve">Table </w:t>
      </w:r>
      <w:r w:rsidRPr="00261C4A">
        <w:rPr>
          <w:b/>
          <w:bCs/>
          <w:i w:val="0"/>
          <w:iCs w:val="0"/>
          <w:color w:val="auto"/>
          <w:sz w:val="24"/>
          <w:szCs w:val="24"/>
        </w:rPr>
        <w:fldChar w:fldCharType="begin"/>
      </w:r>
      <w:r w:rsidRPr="00261C4A">
        <w:rPr>
          <w:b/>
          <w:bCs/>
          <w:i w:val="0"/>
          <w:iCs w:val="0"/>
          <w:color w:val="auto"/>
          <w:sz w:val="24"/>
          <w:szCs w:val="24"/>
        </w:rPr>
        <w:instrText xml:space="preserve"> SEQ Table \* ARABIC </w:instrText>
      </w:r>
      <w:r w:rsidRPr="00261C4A">
        <w:rPr>
          <w:b/>
          <w:bCs/>
          <w:i w:val="0"/>
          <w:iCs w:val="0"/>
          <w:color w:val="auto"/>
          <w:sz w:val="24"/>
          <w:szCs w:val="24"/>
        </w:rPr>
        <w:fldChar w:fldCharType="separate"/>
      </w:r>
      <w:r w:rsidR="004F45AC">
        <w:rPr>
          <w:b/>
          <w:bCs/>
          <w:i w:val="0"/>
          <w:iCs w:val="0"/>
          <w:noProof/>
          <w:color w:val="auto"/>
          <w:sz w:val="24"/>
          <w:szCs w:val="24"/>
        </w:rPr>
        <w:t>1</w:t>
      </w:r>
      <w:r w:rsidRPr="00261C4A">
        <w:rPr>
          <w:b/>
          <w:bCs/>
          <w:i w:val="0"/>
          <w:iCs w:val="0"/>
          <w:color w:val="auto"/>
          <w:sz w:val="24"/>
          <w:szCs w:val="24"/>
        </w:rPr>
        <w:fldChar w:fldCharType="end"/>
      </w:r>
      <w:r w:rsidR="00CC4E9B" w:rsidRPr="00261C4A">
        <w:rPr>
          <w:b/>
          <w:bCs/>
          <w:i w:val="0"/>
          <w:iCs w:val="0"/>
          <w:color w:val="auto"/>
          <w:sz w:val="24"/>
          <w:szCs w:val="24"/>
        </w:rPr>
        <w:t>:</w:t>
      </w:r>
      <w:r w:rsidR="001D1E8E" w:rsidRPr="00261C4A">
        <w:rPr>
          <w:b/>
          <w:i w:val="0"/>
          <w:iCs w:val="0"/>
          <w:color w:val="auto"/>
          <w:sz w:val="24"/>
          <w:szCs w:val="24"/>
        </w:rPr>
        <w:t xml:space="preserve"> </w:t>
      </w:r>
      <w:r w:rsidR="00AE16ED" w:rsidRPr="00261C4A">
        <w:rPr>
          <w:bCs/>
          <w:i w:val="0"/>
          <w:iCs w:val="0"/>
          <w:color w:val="auto"/>
          <w:sz w:val="24"/>
          <w:szCs w:val="24"/>
        </w:rPr>
        <w:t xml:space="preserve">Key dates </w:t>
      </w:r>
      <w:r w:rsidR="00E83E7B" w:rsidRPr="00261C4A">
        <w:rPr>
          <w:i w:val="0"/>
          <w:iCs w:val="0"/>
          <w:color w:val="auto"/>
          <w:sz w:val="24"/>
          <w:szCs w:val="24"/>
        </w:rPr>
        <w:t xml:space="preserve">for </w:t>
      </w:r>
      <w:r w:rsidR="004D3539" w:rsidRPr="00261C4A">
        <w:rPr>
          <w:i w:val="0"/>
          <w:iCs w:val="0"/>
          <w:color w:val="auto"/>
          <w:sz w:val="24"/>
          <w:szCs w:val="24"/>
        </w:rPr>
        <w:t>approval and start-up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15"/>
      </w:tblGrid>
      <w:tr w:rsidR="00AE16ED" w14:paraId="730E6E51" w14:textId="77777777" w:rsidTr="001B4950">
        <w:tc>
          <w:tcPr>
            <w:tcW w:w="6941" w:type="dxa"/>
          </w:tcPr>
          <w:p w14:paraId="18E089B7" w14:textId="77777777" w:rsidR="00AE16ED" w:rsidRPr="001B4950" w:rsidRDefault="00AE16ED" w:rsidP="001B4950">
            <w:pPr>
              <w:pStyle w:val="NoSpacing"/>
              <w:jc w:val="center"/>
              <w:rPr>
                <w:b/>
                <w:sz w:val="20"/>
                <w:szCs w:val="20"/>
              </w:rPr>
            </w:pPr>
            <w:r w:rsidRPr="001B4950">
              <w:rPr>
                <w:b/>
                <w:sz w:val="20"/>
                <w:szCs w:val="20"/>
              </w:rPr>
              <w:t>Milestone</w:t>
            </w:r>
          </w:p>
        </w:tc>
        <w:tc>
          <w:tcPr>
            <w:tcW w:w="2115" w:type="dxa"/>
          </w:tcPr>
          <w:p w14:paraId="790FED45" w14:textId="77777777" w:rsidR="00AE16ED" w:rsidRPr="001B4950" w:rsidRDefault="00AE16ED" w:rsidP="001B4950">
            <w:pPr>
              <w:pStyle w:val="NoSpacing"/>
              <w:jc w:val="center"/>
              <w:rPr>
                <w:b/>
                <w:sz w:val="20"/>
                <w:szCs w:val="20"/>
              </w:rPr>
            </w:pPr>
            <w:r w:rsidRPr="001B4950">
              <w:rPr>
                <w:b/>
                <w:sz w:val="20"/>
                <w:szCs w:val="20"/>
              </w:rPr>
              <w:t>Date</w:t>
            </w:r>
          </w:p>
        </w:tc>
      </w:tr>
      <w:tr w:rsidR="00AE16ED" w14:paraId="3A937970" w14:textId="77777777" w:rsidTr="001B4950">
        <w:tc>
          <w:tcPr>
            <w:tcW w:w="6941" w:type="dxa"/>
          </w:tcPr>
          <w:p w14:paraId="0BAB1C2E" w14:textId="77777777" w:rsidR="00AE16ED" w:rsidRPr="001B4950" w:rsidRDefault="00AE16ED" w:rsidP="00E83E7B">
            <w:pPr>
              <w:pStyle w:val="NoSpacing"/>
              <w:rPr>
                <w:sz w:val="20"/>
                <w:szCs w:val="20"/>
              </w:rPr>
            </w:pPr>
            <w:r w:rsidRPr="001B4950">
              <w:rPr>
                <w:sz w:val="20"/>
                <w:szCs w:val="20"/>
              </w:rPr>
              <w:t>PIF Approval Date</w:t>
            </w:r>
          </w:p>
        </w:tc>
        <w:tc>
          <w:tcPr>
            <w:tcW w:w="2115" w:type="dxa"/>
          </w:tcPr>
          <w:p w14:paraId="3E64C2D7" w14:textId="3524F181" w:rsidR="00AE16ED" w:rsidRPr="001B4950" w:rsidRDefault="0008683F" w:rsidP="00E83E7B">
            <w:pPr>
              <w:pStyle w:val="NoSpacing"/>
              <w:rPr>
                <w:sz w:val="20"/>
                <w:szCs w:val="20"/>
              </w:rPr>
            </w:pPr>
            <w:r>
              <w:rPr>
                <w:sz w:val="20"/>
                <w:szCs w:val="20"/>
              </w:rPr>
              <w:t>18 May 2018</w:t>
            </w:r>
          </w:p>
        </w:tc>
      </w:tr>
      <w:tr w:rsidR="00AE16ED" w14:paraId="4238A53E" w14:textId="77777777" w:rsidTr="001B4950">
        <w:tc>
          <w:tcPr>
            <w:tcW w:w="6941" w:type="dxa"/>
          </w:tcPr>
          <w:p w14:paraId="46A69488" w14:textId="77777777" w:rsidR="00AE16ED" w:rsidRPr="001B4950" w:rsidRDefault="00AE16ED" w:rsidP="00E83E7B">
            <w:pPr>
              <w:pStyle w:val="NoSpacing"/>
              <w:rPr>
                <w:sz w:val="20"/>
                <w:szCs w:val="20"/>
              </w:rPr>
            </w:pPr>
            <w:r w:rsidRPr="001B4950">
              <w:rPr>
                <w:sz w:val="20"/>
                <w:szCs w:val="20"/>
              </w:rPr>
              <w:t>CEO Endorsement Date</w:t>
            </w:r>
          </w:p>
        </w:tc>
        <w:tc>
          <w:tcPr>
            <w:tcW w:w="2115" w:type="dxa"/>
          </w:tcPr>
          <w:p w14:paraId="7F9CECE2" w14:textId="54B3FA67" w:rsidR="00AE16ED" w:rsidRPr="001B4950" w:rsidRDefault="0008683F" w:rsidP="00E83E7B">
            <w:pPr>
              <w:pStyle w:val="NoSpacing"/>
              <w:rPr>
                <w:sz w:val="20"/>
                <w:szCs w:val="20"/>
              </w:rPr>
            </w:pPr>
            <w:r>
              <w:rPr>
                <w:sz w:val="20"/>
                <w:szCs w:val="20"/>
              </w:rPr>
              <w:t>11 January 2019</w:t>
            </w:r>
          </w:p>
        </w:tc>
      </w:tr>
      <w:tr w:rsidR="00AE16ED" w14:paraId="7FEB569D" w14:textId="77777777" w:rsidTr="001B4950">
        <w:tc>
          <w:tcPr>
            <w:tcW w:w="6941" w:type="dxa"/>
          </w:tcPr>
          <w:p w14:paraId="12282134" w14:textId="77777777" w:rsidR="00AE16ED" w:rsidRPr="001B4950" w:rsidRDefault="00AE16ED" w:rsidP="00E83E7B">
            <w:pPr>
              <w:pStyle w:val="NoSpacing"/>
              <w:rPr>
                <w:sz w:val="20"/>
                <w:szCs w:val="20"/>
              </w:rPr>
            </w:pPr>
            <w:r w:rsidRPr="001B4950">
              <w:rPr>
                <w:sz w:val="20"/>
                <w:szCs w:val="20"/>
              </w:rPr>
              <w:t>Project Document Signature Date (project start date)</w:t>
            </w:r>
          </w:p>
        </w:tc>
        <w:tc>
          <w:tcPr>
            <w:tcW w:w="2115" w:type="dxa"/>
          </w:tcPr>
          <w:p w14:paraId="288E8E06" w14:textId="67FA4E54" w:rsidR="00AE16ED" w:rsidRPr="001B4950" w:rsidRDefault="0008683F" w:rsidP="00E83E7B">
            <w:pPr>
              <w:pStyle w:val="NoSpacing"/>
              <w:rPr>
                <w:sz w:val="20"/>
                <w:szCs w:val="20"/>
              </w:rPr>
            </w:pPr>
            <w:r>
              <w:rPr>
                <w:sz w:val="20"/>
                <w:szCs w:val="20"/>
              </w:rPr>
              <w:t>8 March 2019</w:t>
            </w:r>
          </w:p>
        </w:tc>
      </w:tr>
      <w:tr w:rsidR="00AE16ED" w14:paraId="6D811310" w14:textId="77777777" w:rsidTr="001B4950">
        <w:tc>
          <w:tcPr>
            <w:tcW w:w="6941" w:type="dxa"/>
          </w:tcPr>
          <w:p w14:paraId="0266CE75" w14:textId="77777777" w:rsidR="00AE16ED" w:rsidRPr="001B4950" w:rsidRDefault="00AE16ED" w:rsidP="00E83E7B">
            <w:pPr>
              <w:pStyle w:val="NoSpacing"/>
              <w:rPr>
                <w:sz w:val="20"/>
                <w:szCs w:val="20"/>
              </w:rPr>
            </w:pPr>
            <w:r w:rsidRPr="001B4950">
              <w:rPr>
                <w:sz w:val="20"/>
                <w:szCs w:val="20"/>
              </w:rPr>
              <w:t>Project Inception Workshop</w:t>
            </w:r>
          </w:p>
        </w:tc>
        <w:tc>
          <w:tcPr>
            <w:tcW w:w="2115" w:type="dxa"/>
          </w:tcPr>
          <w:p w14:paraId="3D0B1713" w14:textId="642FCF28" w:rsidR="00AE16ED" w:rsidRPr="001B4950" w:rsidRDefault="0008683F" w:rsidP="00E83E7B">
            <w:pPr>
              <w:pStyle w:val="NoSpacing"/>
              <w:rPr>
                <w:sz w:val="20"/>
                <w:szCs w:val="20"/>
              </w:rPr>
            </w:pPr>
            <w:r>
              <w:rPr>
                <w:sz w:val="20"/>
                <w:szCs w:val="20"/>
              </w:rPr>
              <w:t>24 April 2019</w:t>
            </w:r>
          </w:p>
        </w:tc>
      </w:tr>
      <w:tr w:rsidR="00AE16ED" w14:paraId="30A42B24" w14:textId="77777777" w:rsidTr="001B4950">
        <w:tc>
          <w:tcPr>
            <w:tcW w:w="6941" w:type="dxa"/>
          </w:tcPr>
          <w:p w14:paraId="0BC53185" w14:textId="77777777" w:rsidR="00AE16ED" w:rsidRPr="001B4950" w:rsidRDefault="003377FA" w:rsidP="00E83E7B">
            <w:pPr>
              <w:pStyle w:val="NoSpacing"/>
              <w:rPr>
                <w:sz w:val="20"/>
                <w:szCs w:val="20"/>
              </w:rPr>
            </w:pPr>
            <w:r w:rsidRPr="001B4950">
              <w:rPr>
                <w:sz w:val="20"/>
                <w:szCs w:val="20"/>
              </w:rPr>
              <w:t>Date of the Mid-term Review</w:t>
            </w:r>
          </w:p>
        </w:tc>
        <w:tc>
          <w:tcPr>
            <w:tcW w:w="2115" w:type="dxa"/>
          </w:tcPr>
          <w:p w14:paraId="27097397" w14:textId="77D2C427" w:rsidR="00AE16ED" w:rsidRPr="001B4950" w:rsidRDefault="0008683F" w:rsidP="00E83E7B">
            <w:pPr>
              <w:pStyle w:val="NoSpacing"/>
              <w:rPr>
                <w:sz w:val="20"/>
                <w:szCs w:val="20"/>
              </w:rPr>
            </w:pPr>
            <w:r>
              <w:rPr>
                <w:sz w:val="20"/>
                <w:szCs w:val="20"/>
              </w:rPr>
              <w:t>January-February 2021</w:t>
            </w:r>
          </w:p>
        </w:tc>
      </w:tr>
      <w:tr w:rsidR="00AE16ED" w14:paraId="39B1470B" w14:textId="77777777" w:rsidTr="001B4950">
        <w:tc>
          <w:tcPr>
            <w:tcW w:w="6941" w:type="dxa"/>
          </w:tcPr>
          <w:p w14:paraId="2517E244" w14:textId="77777777" w:rsidR="00AE16ED" w:rsidRPr="001B4950" w:rsidRDefault="003377FA" w:rsidP="00E83E7B">
            <w:pPr>
              <w:pStyle w:val="NoSpacing"/>
              <w:rPr>
                <w:sz w:val="20"/>
                <w:szCs w:val="20"/>
              </w:rPr>
            </w:pPr>
            <w:r w:rsidRPr="001B4950">
              <w:rPr>
                <w:sz w:val="20"/>
                <w:szCs w:val="20"/>
              </w:rPr>
              <w:t>Expected Date of Terminal Evaluation</w:t>
            </w:r>
          </w:p>
        </w:tc>
        <w:tc>
          <w:tcPr>
            <w:tcW w:w="2115" w:type="dxa"/>
          </w:tcPr>
          <w:p w14:paraId="20500A8B" w14:textId="0DD53863" w:rsidR="00AE16ED" w:rsidRPr="001B4950" w:rsidRDefault="0008683F" w:rsidP="00E83E7B">
            <w:pPr>
              <w:pStyle w:val="NoSpacing"/>
              <w:rPr>
                <w:sz w:val="20"/>
                <w:szCs w:val="20"/>
              </w:rPr>
            </w:pPr>
            <w:r>
              <w:rPr>
                <w:sz w:val="20"/>
                <w:szCs w:val="20"/>
              </w:rPr>
              <w:t>December 2021</w:t>
            </w:r>
          </w:p>
        </w:tc>
      </w:tr>
      <w:tr w:rsidR="00AE16ED" w14:paraId="23522424" w14:textId="77777777" w:rsidTr="001B4950">
        <w:tc>
          <w:tcPr>
            <w:tcW w:w="6941" w:type="dxa"/>
          </w:tcPr>
          <w:p w14:paraId="60FF54F3" w14:textId="77777777" w:rsidR="00AE16ED" w:rsidRPr="001B4950" w:rsidRDefault="003377FA" w:rsidP="00E83E7B">
            <w:pPr>
              <w:pStyle w:val="NoSpacing"/>
              <w:rPr>
                <w:sz w:val="20"/>
                <w:szCs w:val="20"/>
              </w:rPr>
            </w:pPr>
            <w:r w:rsidRPr="001B4950">
              <w:rPr>
                <w:sz w:val="20"/>
                <w:szCs w:val="20"/>
              </w:rPr>
              <w:t>Planned Closing Date</w:t>
            </w:r>
          </w:p>
        </w:tc>
        <w:tc>
          <w:tcPr>
            <w:tcW w:w="2115" w:type="dxa"/>
          </w:tcPr>
          <w:p w14:paraId="3E6AD3F5" w14:textId="1CF8C48E" w:rsidR="00AE16ED" w:rsidRPr="001B4950" w:rsidRDefault="0008683F" w:rsidP="00E83E7B">
            <w:pPr>
              <w:pStyle w:val="NoSpacing"/>
              <w:rPr>
                <w:sz w:val="20"/>
                <w:szCs w:val="20"/>
              </w:rPr>
            </w:pPr>
            <w:r>
              <w:rPr>
                <w:sz w:val="20"/>
                <w:szCs w:val="20"/>
              </w:rPr>
              <w:t>8 March 2022</w:t>
            </w:r>
          </w:p>
        </w:tc>
      </w:tr>
    </w:tbl>
    <w:p w14:paraId="21412D28" w14:textId="77777777" w:rsidR="004D209D" w:rsidRDefault="004D209D" w:rsidP="008A2614">
      <w:pPr>
        <w:pStyle w:val="Heading2"/>
      </w:pPr>
      <w:bookmarkStart w:id="27" w:name="_Toc515816644"/>
      <w:bookmarkStart w:id="28" w:name="_Toc66777405"/>
      <w:r w:rsidRPr="00D83C59">
        <w:t xml:space="preserve">Main </w:t>
      </w:r>
      <w:r>
        <w:t>project s</w:t>
      </w:r>
      <w:r w:rsidRPr="00D83C59">
        <w:t>takeholders</w:t>
      </w:r>
      <w:bookmarkEnd w:id="27"/>
      <w:bookmarkEnd w:id="28"/>
    </w:p>
    <w:p w14:paraId="79D627B8" w14:textId="77777777" w:rsidR="0008683F" w:rsidRDefault="0008683F" w:rsidP="0008683F">
      <w:r w:rsidRPr="008D21D5">
        <w:t>The Project Document includes a</w:t>
      </w:r>
      <w:r>
        <w:t xml:space="preserve"> brief </w:t>
      </w:r>
      <w:r w:rsidRPr="008D21D5">
        <w:t>stakeholder analysis</w:t>
      </w:r>
      <w:r>
        <w:t xml:space="preserve"> and engagement plan that</w:t>
      </w:r>
      <w:r w:rsidRPr="008D21D5">
        <w:t xml:space="preserve"> provide an overview of main </w:t>
      </w:r>
      <w:r>
        <w:t xml:space="preserve">project </w:t>
      </w:r>
      <w:r w:rsidRPr="008D21D5">
        <w:t>stakeholder</w:t>
      </w:r>
      <w:r>
        <w:t>s</w:t>
      </w:r>
      <w:r w:rsidRPr="008D21D5">
        <w:t xml:space="preserve"> </w:t>
      </w:r>
      <w:r>
        <w:t>as well as their respective roles and responsibilities in the CBIT project.</w:t>
      </w:r>
      <w:r w:rsidRPr="008D21D5">
        <w:t xml:space="preserve"> </w:t>
      </w:r>
      <w:r>
        <w:t xml:space="preserve">The stakeholder engagement plan for the project is the result of an ongoing dialogue with stakeholders throughout the project design and preparation. </w:t>
      </w:r>
    </w:p>
    <w:p w14:paraId="27BEB13C" w14:textId="77777777" w:rsidR="0008683F" w:rsidRDefault="0008683F" w:rsidP="0008683F">
      <w:proofErr w:type="spellStart"/>
      <w:r>
        <w:t>MoEP</w:t>
      </w:r>
      <w:proofErr w:type="spellEnd"/>
      <w:r>
        <w:t xml:space="preserve"> is the responsible institution for implementation of the UNFCCC in Serbia and the Implementing Partner and coordinating body of the CBIT project. Through its Climate Change Division, </w:t>
      </w:r>
      <w:proofErr w:type="spellStart"/>
      <w:r>
        <w:t>MoEPs</w:t>
      </w:r>
      <w:proofErr w:type="spellEnd"/>
      <w:r>
        <w:t xml:space="preserve"> performs a leadership and coordination role for the development of actions needed to </w:t>
      </w:r>
      <w:proofErr w:type="spellStart"/>
      <w:r>
        <w:t>fulfill</w:t>
      </w:r>
      <w:proofErr w:type="spellEnd"/>
      <w:r>
        <w:t xml:space="preserve"> the country’s obligations to the Convention. It acts in coordination with other relevant stakeholders, integrating climate change in the ongoing national activities for reporting and communication through the National Communications and Biennial Update Reports.</w:t>
      </w:r>
    </w:p>
    <w:p w14:paraId="59A21A25" w14:textId="77777777" w:rsidR="0008683F" w:rsidRDefault="0008683F" w:rsidP="0008683F">
      <w:r>
        <w:t>The Serbian Environmental Protection Agency (SEPA) is responsible for collecting data in support of the national GHG inventory.</w:t>
      </w:r>
    </w:p>
    <w:p w14:paraId="3AD1E4FE" w14:textId="77777777" w:rsidR="0008683F" w:rsidRDefault="0008683F" w:rsidP="0008683F">
      <w:r>
        <w:t xml:space="preserve">The National Climate Change Committee (NCCC) is responsible for monitoring the development and implementation of national policies on climate change, sectoral policies and other planning documents in terms of their consistency with national climate change policies. </w:t>
      </w:r>
    </w:p>
    <w:p w14:paraId="214ABF2A" w14:textId="77777777" w:rsidR="0008683F" w:rsidRDefault="0008683F" w:rsidP="0008683F">
      <w:r>
        <w:t xml:space="preserve">The Serbian Parliament and its Boards (such as the Board for Environmental Protection and Climate Change, Board for Energy, Board for Agriculture, Board for Health and Family Affaires etc.) convene workshops and roundtable discussions with parliamentarians, Government agencies, academia, CSOs, journalists. </w:t>
      </w:r>
    </w:p>
    <w:p w14:paraId="1D78EA8B" w14:textId="77777777" w:rsidR="0008683F" w:rsidRDefault="0008683F" w:rsidP="0008683F">
      <w:r>
        <w:lastRenderedPageBreak/>
        <w:t xml:space="preserve">Relevant sectoral Ministries, such as the Ministry of Economy, Ministry of Mining and Energy, Ministry of Interior, Ministry of Construction, Transport and Infrastructure are expected to participate in project activities aimed at the preparation of GHG inventories and identification and preparation of mitigation actions. </w:t>
      </w:r>
    </w:p>
    <w:p w14:paraId="4B946E65" w14:textId="47C2F68A" w:rsidR="0008683F" w:rsidRDefault="0008683F" w:rsidP="0008683F">
      <w:r>
        <w:t xml:space="preserve">Under the guidance and coordination of the </w:t>
      </w:r>
      <w:proofErr w:type="spellStart"/>
      <w:r>
        <w:t>MoEP</w:t>
      </w:r>
      <w:proofErr w:type="spellEnd"/>
      <w:r>
        <w:t xml:space="preserve">, the role of the sectoral Ministries is to provide input into compilation of the National GHG Inventories, as they are responsible for estimation of the respective sectoral emissions according to the IPCC guidelines. Also, besides already quoted institutions, key sectors of relevance to the climate change adaptation will be closely involved into vulnerability assessment and CCA planning, with involvement of the Institute for Meteorology and the Nature Protection Institute of Serbia. </w:t>
      </w:r>
    </w:p>
    <w:p w14:paraId="375C42AA" w14:textId="77777777" w:rsidR="00062937" w:rsidRPr="005A20DF" w:rsidRDefault="00062937" w:rsidP="0008683F"/>
    <w:p w14:paraId="69764A86" w14:textId="77777777" w:rsidR="008705A4" w:rsidRDefault="008705A4">
      <w:pPr>
        <w:spacing w:before="0"/>
        <w:rPr>
          <w:rStyle w:val="Heading1Char"/>
        </w:rPr>
      </w:pPr>
      <w:r>
        <w:rPr>
          <w:rStyle w:val="Heading1Char"/>
        </w:rPr>
        <w:br w:type="page"/>
      </w:r>
    </w:p>
    <w:p w14:paraId="7A15DD8E" w14:textId="77777777" w:rsidR="009655DB" w:rsidRDefault="009655DB" w:rsidP="00580CB8">
      <w:pPr>
        <w:pStyle w:val="Heading1"/>
      </w:pPr>
      <w:bookmarkStart w:id="29" w:name="_Toc515816645"/>
      <w:bookmarkStart w:id="30" w:name="_Toc66777406"/>
      <w:r w:rsidRPr="002C1C52">
        <w:lastRenderedPageBreak/>
        <w:t>Findings</w:t>
      </w:r>
      <w:bookmarkEnd w:id="29"/>
      <w:bookmarkEnd w:id="30"/>
    </w:p>
    <w:p w14:paraId="79037A6D" w14:textId="6A49B4B3" w:rsidR="000B34B3" w:rsidRDefault="000B34B3" w:rsidP="00685BCB">
      <w:r w:rsidRPr="009D48DE">
        <w:t>This section brings a summary of empirical facts based on data collected during the</w:t>
      </w:r>
      <w:r>
        <w:t xml:space="preserve"> review</w:t>
      </w:r>
      <w:r w:rsidRPr="009D48DE">
        <w:t>. The MTR team paid particular attention to cross-verification of the evaluative evidence using multiple sources of information and, to the extent possible, avoid overreliance on opinions obtained during the interviews.</w:t>
      </w:r>
    </w:p>
    <w:p w14:paraId="27C9380F" w14:textId="21579B17" w:rsidR="000B34B3" w:rsidRDefault="00EB4A77" w:rsidP="00685BCB">
      <w:r>
        <w:t xml:space="preserve">Before the CBIT project, Serbia received assistance through two </w:t>
      </w:r>
      <w:r w:rsidR="000B34B3">
        <w:t xml:space="preserve">“twinning” </w:t>
      </w:r>
      <w:r>
        <w:t xml:space="preserve">projects funded by the EU. In 2013 – 2015, the </w:t>
      </w:r>
      <w:r w:rsidRPr="00EB4A77">
        <w:t>Department for Climate Change of the Ministry of Agriculture and Environmental Protection</w:t>
      </w:r>
      <w:r w:rsidR="000B34B3">
        <w:t xml:space="preserve"> (MAEP)</w:t>
      </w:r>
      <w:r>
        <w:rPr>
          <w:rStyle w:val="FootnoteReference"/>
        </w:rPr>
        <w:footnoteReference w:id="4"/>
      </w:r>
      <w:r w:rsidRPr="00EB4A77">
        <w:t xml:space="preserve"> implement</w:t>
      </w:r>
      <w:r>
        <w:t xml:space="preserve">ed the project </w:t>
      </w:r>
      <w:r w:rsidRPr="00EB4A77">
        <w:t>“Creation of a monitoring, reporting and verification system for the successful implementation of the EU Emissions Trading System</w:t>
      </w:r>
      <w:r>
        <w:t>.</w:t>
      </w:r>
      <w:r w:rsidRPr="00EB4A77">
        <w:t xml:space="preserve"> Th</w:t>
      </w:r>
      <w:r>
        <w:t xml:space="preserve">e purpose of this </w:t>
      </w:r>
      <w:r w:rsidRPr="00EB4A77">
        <w:t>IPA 2012</w:t>
      </w:r>
      <w:r>
        <w:t>-</w:t>
      </w:r>
      <w:r w:rsidRPr="00EB4A77">
        <w:t>funded project</w:t>
      </w:r>
      <w:r>
        <w:t xml:space="preserve"> (also known as the </w:t>
      </w:r>
      <w:r w:rsidR="000B34B3">
        <w:t xml:space="preserve">EU </w:t>
      </w:r>
      <w:r>
        <w:t xml:space="preserve">ETS project), was to </w:t>
      </w:r>
      <w:r w:rsidRPr="00EB4A77">
        <w:t xml:space="preserve">establish </w:t>
      </w:r>
      <w:r>
        <w:t xml:space="preserve">an </w:t>
      </w:r>
      <w:r w:rsidRPr="00EB4A77">
        <w:t>MRV</w:t>
      </w:r>
      <w:r>
        <w:t xml:space="preserve"> system</w:t>
      </w:r>
      <w:r w:rsidRPr="00EB4A77">
        <w:t xml:space="preserve"> for effective implementation of the EU Directive 2009/29/EC on the emission trading system </w:t>
      </w:r>
      <w:r>
        <w:t xml:space="preserve">as well as </w:t>
      </w:r>
      <w:r w:rsidRPr="00EB4A77">
        <w:t xml:space="preserve">development of legislative and institutional framework for implementation of the EU ETS Directive. </w:t>
      </w:r>
    </w:p>
    <w:p w14:paraId="67E94ED8" w14:textId="60B13BAA" w:rsidR="000B34B3" w:rsidRDefault="000B34B3" w:rsidP="000B34B3">
      <w:r>
        <w:t>In 2015-2017, MAEP implemented another twinning project ‘</w:t>
      </w:r>
      <w:r w:rsidRPr="000B34B3">
        <w:t xml:space="preserve">Establishment </w:t>
      </w:r>
      <w:r>
        <w:t>o</w:t>
      </w:r>
      <w:r w:rsidRPr="000B34B3">
        <w:t xml:space="preserve">f </w:t>
      </w:r>
      <w:r>
        <w:t>a</w:t>
      </w:r>
      <w:r w:rsidRPr="000B34B3">
        <w:t xml:space="preserve"> Mech</w:t>
      </w:r>
      <w:r>
        <w:t>a</w:t>
      </w:r>
      <w:r w:rsidRPr="000B34B3">
        <w:t xml:space="preserve">nism </w:t>
      </w:r>
      <w:r>
        <w:t>f</w:t>
      </w:r>
      <w:r w:rsidRPr="000B34B3">
        <w:t xml:space="preserve">or Implementation </w:t>
      </w:r>
      <w:r>
        <w:t>o</w:t>
      </w:r>
      <w:r w:rsidRPr="000B34B3">
        <w:t>f Monitoring Mechanism Regulation</w:t>
      </w:r>
      <w:r>
        <w:t xml:space="preserve">’ (the EU MMR project). This IPA 13-funded project aimed at establishment of a legal and procedural framework with defined roles and responsibilities of institutions involved in the process of monitoring and reporting on GHG emissions as well as other information relevant to climate change. </w:t>
      </w:r>
    </w:p>
    <w:p w14:paraId="47584ED8" w14:textId="04195C16" w:rsidR="0007555D" w:rsidRDefault="0007555D" w:rsidP="0007555D">
      <w:r w:rsidRPr="00EB4A77">
        <w:t xml:space="preserve">Twinning partners </w:t>
      </w:r>
      <w:r>
        <w:t xml:space="preserve">from the EU were </w:t>
      </w:r>
      <w:r w:rsidRPr="00EB4A77">
        <w:t>competent institutions from France, Germany and Austria.</w:t>
      </w:r>
    </w:p>
    <w:p w14:paraId="6BFE6F46" w14:textId="77777777" w:rsidR="006D4BF3" w:rsidRPr="006D4BF3" w:rsidRDefault="009655DB" w:rsidP="008A2614">
      <w:pPr>
        <w:pStyle w:val="Heading2"/>
        <w:rPr>
          <w:rStyle w:val="Heading3Char"/>
          <w:rFonts w:ascii="Arial" w:eastAsia="Calibri" w:hAnsi="Arial" w:cs="Arial"/>
          <w:color w:val="000000"/>
          <w:sz w:val="20"/>
          <w:szCs w:val="20"/>
        </w:rPr>
      </w:pPr>
      <w:bookmarkStart w:id="31" w:name="_Toc515816646"/>
      <w:bookmarkStart w:id="32" w:name="_Toc66777407"/>
      <w:r w:rsidRPr="002C1C52">
        <w:t>Project Strategy</w:t>
      </w:r>
      <w:bookmarkEnd w:id="31"/>
      <w:bookmarkEnd w:id="32"/>
    </w:p>
    <w:p w14:paraId="1AFFB97B" w14:textId="77777777" w:rsidR="00394DAB" w:rsidRDefault="006D4BF3" w:rsidP="00FE43CE">
      <w:pPr>
        <w:spacing w:before="240"/>
      </w:pPr>
      <w:r w:rsidRPr="006D4BF3">
        <w:t xml:space="preserve">The </w:t>
      </w:r>
      <w:r w:rsidR="000C504B">
        <w:t xml:space="preserve">MTR </w:t>
      </w:r>
      <w:r w:rsidR="00777AAA">
        <w:t>team</w:t>
      </w:r>
      <w:r w:rsidR="00653985">
        <w:t xml:space="preserve"> </w:t>
      </w:r>
      <w:r>
        <w:t>conducted</w:t>
      </w:r>
      <w:r w:rsidRPr="006D4BF3">
        <w:t xml:space="preserve"> an analysis of the design of the project as outlined in the Project Document </w:t>
      </w:r>
      <w:r w:rsidR="00653985">
        <w:t xml:space="preserve">and assessed </w:t>
      </w:r>
      <w:r w:rsidRPr="006D4BF3">
        <w:t xml:space="preserve">whether the project strategy is proving to be effective </w:t>
      </w:r>
      <w:r w:rsidR="00741C8B">
        <w:t>in reaching the desired results.</w:t>
      </w:r>
      <w:r w:rsidR="00B0764E">
        <w:t xml:space="preserve"> </w:t>
      </w:r>
      <w:r>
        <w:t>In doing so, the evaluator</w:t>
      </w:r>
      <w:r w:rsidR="00E20690">
        <w:t>s</w:t>
      </w:r>
      <w:r>
        <w:t xml:space="preserve"> </w:t>
      </w:r>
      <w:r w:rsidR="006644F6" w:rsidRPr="006644F6">
        <w:t>judged</w:t>
      </w:r>
      <w:r>
        <w:t xml:space="preserve"> </w:t>
      </w:r>
      <w:r w:rsidRPr="006D4BF3">
        <w:t>the extent to which the project addresses country pr</w:t>
      </w:r>
      <w:r>
        <w:t>iorities and is country</w:t>
      </w:r>
      <w:r w:rsidR="00F77719">
        <w:t xml:space="preserve"> </w:t>
      </w:r>
      <w:r>
        <w:t xml:space="preserve">driven. Furthermore, </w:t>
      </w:r>
      <w:r w:rsidR="006644F6">
        <w:t>the evaluator</w:t>
      </w:r>
      <w:r w:rsidR="00E20690">
        <w:t xml:space="preserve">s </w:t>
      </w:r>
      <w:r w:rsidR="006644F6">
        <w:t xml:space="preserve">assessed </w:t>
      </w:r>
      <w:r w:rsidR="00394DAB" w:rsidRPr="00394DAB">
        <w:t xml:space="preserve">the extent to which the project objectives are consistent with the </w:t>
      </w:r>
      <w:r w:rsidR="00394DAB">
        <w:t xml:space="preserve">priorities </w:t>
      </w:r>
      <w:r>
        <w:t xml:space="preserve">and </w:t>
      </w:r>
      <w:r w:rsidR="00394DAB">
        <w:t>o</w:t>
      </w:r>
      <w:r w:rsidR="00394DAB" w:rsidRPr="00394DAB">
        <w:t>bjectives of the GEF.</w:t>
      </w:r>
    </w:p>
    <w:p w14:paraId="5F7B70A2" w14:textId="77777777" w:rsidR="006D4BF3" w:rsidRPr="006D4BF3" w:rsidRDefault="006D4BF3" w:rsidP="009A66C5">
      <w:pPr>
        <w:pStyle w:val="Heading3"/>
      </w:pPr>
      <w:bookmarkStart w:id="33" w:name="_Toc515816647"/>
      <w:bookmarkStart w:id="34" w:name="_Toc66777408"/>
      <w:r w:rsidRPr="009A66C5">
        <w:t>Project</w:t>
      </w:r>
      <w:r w:rsidR="00B0764E">
        <w:t xml:space="preserve"> </w:t>
      </w:r>
      <w:r w:rsidRPr="00A472FD">
        <w:t>Design</w:t>
      </w:r>
      <w:bookmarkEnd w:id="33"/>
      <w:bookmarkEnd w:id="34"/>
    </w:p>
    <w:p w14:paraId="25C9984C" w14:textId="1D8065DF" w:rsidR="008359CE" w:rsidRDefault="00000B2E" w:rsidP="005939D4">
      <w:r>
        <w:t>T</w:t>
      </w:r>
      <w:r w:rsidR="005939D4">
        <w:t xml:space="preserve">he </w:t>
      </w:r>
      <w:r w:rsidR="008359CE">
        <w:t xml:space="preserve">CBIT </w:t>
      </w:r>
      <w:r w:rsidR="005939D4">
        <w:t xml:space="preserve">project </w:t>
      </w:r>
      <w:r w:rsidR="005939D4" w:rsidRPr="009445F8">
        <w:t xml:space="preserve">is aligned with the </w:t>
      </w:r>
      <w:r w:rsidR="008359CE">
        <w:t xml:space="preserve">revision of Serbia’s first </w:t>
      </w:r>
      <w:r w:rsidR="005939D4" w:rsidRPr="009445F8">
        <w:t>NDC</w:t>
      </w:r>
      <w:r w:rsidR="008359CE">
        <w:t xml:space="preserve"> as well as with </w:t>
      </w:r>
      <w:r w:rsidR="005939D4" w:rsidRPr="009445F8">
        <w:t xml:space="preserve">the process of development of </w:t>
      </w:r>
      <w:r w:rsidR="008359CE" w:rsidRPr="008359CE">
        <w:t xml:space="preserve">the </w:t>
      </w:r>
      <w:r w:rsidR="00D022C8">
        <w:t>d</w:t>
      </w:r>
      <w:r w:rsidR="008359CE" w:rsidRPr="008359CE">
        <w:t>raft Low Carbon Development Strategy of Serbia with the Action Plan,</w:t>
      </w:r>
      <w:r w:rsidR="00D022C8">
        <w:t xml:space="preserve"> </w:t>
      </w:r>
      <w:r w:rsidR="005939D4" w:rsidRPr="009445F8">
        <w:t xml:space="preserve">as well as </w:t>
      </w:r>
      <w:r w:rsidR="00D022C8">
        <w:t xml:space="preserve">with the development of </w:t>
      </w:r>
      <w:r w:rsidR="005939D4" w:rsidRPr="009445F8">
        <w:t>the draft Climate Change Law</w:t>
      </w:r>
      <w:r w:rsidR="00D022C8">
        <w:t xml:space="preserve"> </w:t>
      </w:r>
      <w:r w:rsidR="005939D4" w:rsidRPr="009445F8">
        <w:t>th</w:t>
      </w:r>
      <w:r w:rsidR="00D022C8">
        <w:t>at</w:t>
      </w:r>
      <w:r w:rsidR="005939D4" w:rsidRPr="009445F8">
        <w:t xml:space="preserve"> result</w:t>
      </w:r>
      <w:r w:rsidR="00D022C8">
        <w:t>ed</w:t>
      </w:r>
      <w:r w:rsidR="005939D4" w:rsidRPr="009445F8">
        <w:t xml:space="preserve"> </w:t>
      </w:r>
      <w:r w:rsidR="00D022C8">
        <w:t xml:space="preserve">from </w:t>
      </w:r>
      <w:r w:rsidR="005939D4" w:rsidRPr="009445F8">
        <w:t>two EU</w:t>
      </w:r>
      <w:r w:rsidR="00D022C8">
        <w:t>-</w:t>
      </w:r>
      <w:r w:rsidR="005939D4" w:rsidRPr="009445F8">
        <w:t xml:space="preserve"> funded projects </w:t>
      </w:r>
      <w:r w:rsidR="00D022C8">
        <w:t xml:space="preserve">for </w:t>
      </w:r>
      <w:r w:rsidR="005939D4" w:rsidRPr="009445F8">
        <w:t>transposi</w:t>
      </w:r>
      <w:r w:rsidR="00D022C8">
        <w:t>tion</w:t>
      </w:r>
      <w:r w:rsidR="005939D4" w:rsidRPr="009445F8">
        <w:t xml:space="preserve"> </w:t>
      </w:r>
      <w:r w:rsidR="00D022C8">
        <w:t xml:space="preserve">of the </w:t>
      </w:r>
      <w:r w:rsidR="005939D4" w:rsidRPr="009445F8">
        <w:t>two main climate related pieces of EU Acquis</w:t>
      </w:r>
      <w:r w:rsidR="00D022C8">
        <w:t>, namely</w:t>
      </w:r>
      <w:r w:rsidR="005939D4" w:rsidRPr="009445F8">
        <w:t xml:space="preserve"> the EU E</w:t>
      </w:r>
      <w:r w:rsidR="008359CE">
        <w:t xml:space="preserve">missions Trading System </w:t>
      </w:r>
      <w:r w:rsidR="005939D4" w:rsidRPr="009445F8">
        <w:t xml:space="preserve">and Monitoring Mechanism Regulation. </w:t>
      </w:r>
    </w:p>
    <w:p w14:paraId="5186CFDA" w14:textId="259394B4" w:rsidR="00C27070" w:rsidRDefault="009445F8" w:rsidP="00272CF5">
      <w:r w:rsidRPr="009445F8">
        <w:t xml:space="preserve">The project is </w:t>
      </w:r>
      <w:r w:rsidR="00D022C8">
        <w:t xml:space="preserve">also </w:t>
      </w:r>
      <w:r w:rsidRPr="009445F8">
        <w:t xml:space="preserve">consistent with the </w:t>
      </w:r>
      <w:r w:rsidR="00E70436">
        <w:t xml:space="preserve">objectives </w:t>
      </w:r>
      <w:r w:rsidR="00D022C8">
        <w:t xml:space="preserve">of </w:t>
      </w:r>
      <w:r w:rsidR="00D022C8" w:rsidRPr="009445F8">
        <w:t xml:space="preserve">improved quality of the </w:t>
      </w:r>
      <w:r w:rsidR="00D022C8">
        <w:t xml:space="preserve">GHG </w:t>
      </w:r>
      <w:r w:rsidR="00D022C8" w:rsidRPr="009445F8">
        <w:t xml:space="preserve">emissions data from specific sectors </w:t>
      </w:r>
      <w:r w:rsidRPr="009445F8">
        <w:t xml:space="preserve">stated in the </w:t>
      </w:r>
      <w:r w:rsidR="00D022C8">
        <w:t xml:space="preserve">GEF-funded project for preparation </w:t>
      </w:r>
      <w:r w:rsidR="00846A76">
        <w:t xml:space="preserve">of the revised </w:t>
      </w:r>
      <w:r>
        <w:t xml:space="preserve">NC and </w:t>
      </w:r>
      <w:r w:rsidR="00846A76">
        <w:t>2</w:t>
      </w:r>
      <w:r>
        <w:t xml:space="preserve">BUR </w:t>
      </w:r>
      <w:r w:rsidRPr="009445F8">
        <w:t>to the UNFCCC</w:t>
      </w:r>
      <w:r w:rsidR="00E70436">
        <w:rPr>
          <w:rStyle w:val="FootnoteReference"/>
        </w:rPr>
        <w:footnoteReference w:id="5"/>
      </w:r>
      <w:r w:rsidR="00D022C8">
        <w:t>. Th</w:t>
      </w:r>
      <w:r w:rsidR="00846A76">
        <w:t>is work</w:t>
      </w:r>
      <w:r w:rsidR="00D022C8">
        <w:t xml:space="preserve"> </w:t>
      </w:r>
      <w:r w:rsidRPr="009445F8">
        <w:t>encompass</w:t>
      </w:r>
      <w:r w:rsidR="00846A76">
        <w:t>es</w:t>
      </w:r>
      <w:r w:rsidRPr="009445F8">
        <w:t xml:space="preserve"> </w:t>
      </w:r>
      <w:r w:rsidR="00E70436">
        <w:t xml:space="preserve">development of </w:t>
      </w:r>
      <w:r w:rsidR="00C27070" w:rsidRPr="009445F8">
        <w:t>mitigation</w:t>
      </w:r>
      <w:r w:rsidR="00C27070">
        <w:t xml:space="preserve"> actions</w:t>
      </w:r>
      <w:r w:rsidR="00C27070" w:rsidRPr="009445F8">
        <w:t xml:space="preserve"> </w:t>
      </w:r>
      <w:r w:rsidR="00C27070">
        <w:t xml:space="preserve">in </w:t>
      </w:r>
      <w:r w:rsidR="00C27070">
        <w:lastRenderedPageBreak/>
        <w:t xml:space="preserve">terms of </w:t>
      </w:r>
      <w:r w:rsidR="00C27070" w:rsidRPr="009445F8">
        <w:t>GHG emission reductions in key economic sectors</w:t>
      </w:r>
      <w:r w:rsidR="00C27070">
        <w:t xml:space="preserve"> as well as measures for increased </w:t>
      </w:r>
      <w:r w:rsidRPr="009445F8">
        <w:t xml:space="preserve">community resilience and climate </w:t>
      </w:r>
      <w:r w:rsidR="00C27070">
        <w:t xml:space="preserve">change </w:t>
      </w:r>
      <w:r w:rsidRPr="009445F8">
        <w:t xml:space="preserve">adaptation. </w:t>
      </w:r>
    </w:p>
    <w:p w14:paraId="2EB601B3" w14:textId="3BFDCF34" w:rsidR="00261C4A" w:rsidRDefault="00E70436" w:rsidP="00272CF5">
      <w:r>
        <w:t xml:space="preserve">Furthermore, the CBIT project is also aligned with the </w:t>
      </w:r>
      <w:r w:rsidRPr="00E70436">
        <w:t xml:space="preserve">programming and implementation modalities </w:t>
      </w:r>
      <w:r>
        <w:t>stipulated in the GEF CBIT programming directions</w:t>
      </w:r>
      <w:r>
        <w:rPr>
          <w:rStyle w:val="FootnoteReference"/>
        </w:rPr>
        <w:footnoteReference w:id="6"/>
      </w:r>
      <w:r>
        <w:t xml:space="preserve"> </w:t>
      </w:r>
      <w:r w:rsidR="00261C4A">
        <w:t xml:space="preserve">that also stipulate national level </w:t>
      </w:r>
      <w:r>
        <w:t>priorit</w:t>
      </w:r>
      <w:r w:rsidR="00261C4A">
        <w:t>y activities for the child CBIT projects, namely:</w:t>
      </w:r>
    </w:p>
    <w:p w14:paraId="335253C9" w14:textId="7C530652" w:rsidR="00E70436" w:rsidRDefault="00261C4A" w:rsidP="00846A76">
      <w:pPr>
        <w:pStyle w:val="ListParagraph"/>
        <w:numPr>
          <w:ilvl w:val="0"/>
          <w:numId w:val="30"/>
        </w:numPr>
        <w:ind w:left="426" w:hanging="142"/>
        <w:rPr>
          <w:i/>
          <w:iCs/>
          <w:sz w:val="24"/>
          <w:szCs w:val="24"/>
        </w:rPr>
      </w:pPr>
      <w:r w:rsidRPr="00261C4A">
        <w:rPr>
          <w:i/>
          <w:iCs/>
          <w:sz w:val="24"/>
          <w:szCs w:val="24"/>
        </w:rPr>
        <w:t>Activities to strengthen national institutions for transparency-related activities in line with national priorities</w:t>
      </w:r>
      <w:r>
        <w:rPr>
          <w:i/>
          <w:iCs/>
          <w:sz w:val="24"/>
          <w:szCs w:val="24"/>
        </w:rPr>
        <w:t>,</w:t>
      </w:r>
    </w:p>
    <w:p w14:paraId="18267034" w14:textId="1C77C1AB" w:rsidR="00261C4A" w:rsidRDefault="00261C4A" w:rsidP="00846A76">
      <w:pPr>
        <w:pStyle w:val="ListParagraph"/>
        <w:numPr>
          <w:ilvl w:val="0"/>
          <w:numId w:val="30"/>
        </w:numPr>
        <w:ind w:left="426" w:hanging="142"/>
        <w:rPr>
          <w:i/>
          <w:iCs/>
          <w:sz w:val="24"/>
          <w:szCs w:val="24"/>
        </w:rPr>
      </w:pPr>
      <w:r w:rsidRPr="00261C4A">
        <w:rPr>
          <w:i/>
          <w:iCs/>
          <w:sz w:val="24"/>
          <w:szCs w:val="24"/>
        </w:rPr>
        <w:t>Activities to provide relevant tools, training, and assistance for meeting the provisions stipulated in Article 13</w:t>
      </w:r>
      <w:r>
        <w:rPr>
          <w:i/>
          <w:iCs/>
          <w:sz w:val="24"/>
          <w:szCs w:val="24"/>
        </w:rPr>
        <w:t>, and</w:t>
      </w:r>
    </w:p>
    <w:p w14:paraId="394D8C52" w14:textId="0FD87E16" w:rsidR="00261C4A" w:rsidRDefault="00261C4A" w:rsidP="00846A76">
      <w:pPr>
        <w:pStyle w:val="ListParagraph"/>
        <w:numPr>
          <w:ilvl w:val="0"/>
          <w:numId w:val="30"/>
        </w:numPr>
        <w:ind w:left="426" w:hanging="142"/>
        <w:rPr>
          <w:i/>
          <w:iCs/>
          <w:sz w:val="24"/>
          <w:szCs w:val="24"/>
        </w:rPr>
      </w:pPr>
      <w:r w:rsidRPr="00261C4A">
        <w:rPr>
          <w:i/>
          <w:iCs/>
          <w:sz w:val="24"/>
          <w:szCs w:val="24"/>
        </w:rPr>
        <w:t>Activities to assist with improvement of transparency over time</w:t>
      </w:r>
      <w:r>
        <w:rPr>
          <w:i/>
          <w:iCs/>
          <w:sz w:val="24"/>
          <w:szCs w:val="24"/>
        </w:rPr>
        <w:t>.</w:t>
      </w:r>
    </w:p>
    <w:p w14:paraId="77F836B0" w14:textId="523B5F9F" w:rsidR="00AC52D7" w:rsidRDefault="00261C4A" w:rsidP="005939D4">
      <w:r>
        <w:t>Last but not least, t</w:t>
      </w:r>
      <w:r w:rsidR="005939D4" w:rsidRPr="005939D4">
        <w:t xml:space="preserve">he project is also </w:t>
      </w:r>
      <w:r w:rsidR="003C3FF1">
        <w:t>relevant to the UN</w:t>
      </w:r>
      <w:r w:rsidR="00AC52D7">
        <w:t xml:space="preserve"> mandate and </w:t>
      </w:r>
      <w:r w:rsidR="003C3FF1">
        <w:t>strategy in Serbia</w:t>
      </w:r>
      <w:r w:rsidR="00AC52D7">
        <w:t>. Firstly, it is linked with Output 3.1 of the UNDP Country Programme for 2021-2025:</w:t>
      </w:r>
    </w:p>
    <w:p w14:paraId="4C53B106" w14:textId="6FC81F3D" w:rsidR="00AC52D7" w:rsidRPr="00AC52D7" w:rsidRDefault="00AC52D7" w:rsidP="005939D4">
      <w:pPr>
        <w:rPr>
          <w:i/>
          <w:iCs/>
        </w:rPr>
      </w:pPr>
      <w:r w:rsidRPr="00AC52D7">
        <w:rPr>
          <w:i/>
          <w:iCs/>
        </w:rPr>
        <w:t>Climate change mitigation and adaptation measures designed and implemented, and climate ambition raised</w:t>
      </w:r>
    </w:p>
    <w:p w14:paraId="6A6B3078" w14:textId="79ECB699" w:rsidR="005939D4" w:rsidRDefault="00AC52D7" w:rsidP="005939D4">
      <w:r>
        <w:t xml:space="preserve">Secondly, the project is aligned with </w:t>
      </w:r>
      <w:r w:rsidR="003C3FF1">
        <w:t xml:space="preserve">the </w:t>
      </w:r>
      <w:r w:rsidR="005939D4" w:rsidRPr="005939D4">
        <w:t xml:space="preserve">Development Partnership Framework </w:t>
      </w:r>
      <w:r>
        <w:t xml:space="preserve">for </w:t>
      </w:r>
      <w:r w:rsidR="005939D4" w:rsidRPr="005939D4">
        <w:t xml:space="preserve">2016-2020 between the Government of Serbia and </w:t>
      </w:r>
      <w:r w:rsidR="00261C4A">
        <w:t xml:space="preserve">the </w:t>
      </w:r>
      <w:r w:rsidR="005939D4" w:rsidRPr="005939D4">
        <w:t>U</w:t>
      </w:r>
      <w:r w:rsidR="00261C4A">
        <w:t>N</w:t>
      </w:r>
      <w:r w:rsidR="005939D4" w:rsidRPr="005939D4">
        <w:t xml:space="preserve"> Country Team</w:t>
      </w:r>
      <w:r w:rsidR="00846A76">
        <w:t>. Outcome 8 u</w:t>
      </w:r>
      <w:r w:rsidR="00261C4A">
        <w:t xml:space="preserve">nder </w:t>
      </w:r>
      <w:r w:rsidR="005939D4" w:rsidRPr="005939D4">
        <w:t xml:space="preserve">Pillar IV </w:t>
      </w:r>
      <w:r w:rsidR="005939D4">
        <w:t xml:space="preserve">on </w:t>
      </w:r>
      <w:r w:rsidR="005939D4" w:rsidRPr="005939D4">
        <w:t>Environment, Climate Change and Resilient Communities</w:t>
      </w:r>
      <w:r w:rsidR="005939D4">
        <w:t xml:space="preserve"> envisages that:</w:t>
      </w:r>
    </w:p>
    <w:p w14:paraId="52A04B07" w14:textId="327648D5" w:rsidR="005939D4" w:rsidRPr="005939D4" w:rsidRDefault="005939D4" w:rsidP="00846A76">
      <w:pPr>
        <w:rPr>
          <w:i/>
          <w:iCs/>
        </w:rPr>
      </w:pPr>
      <w:r w:rsidRPr="005939D4">
        <w:rPr>
          <w:i/>
          <w:iCs/>
        </w:rPr>
        <w:t>By 2020, there are improved capacities to combat climate change and manage natural resources and communities are more resilient to the effects of natural and man-made disasters</w:t>
      </w:r>
      <w:r>
        <w:rPr>
          <w:i/>
          <w:iCs/>
        </w:rPr>
        <w:t>.</w:t>
      </w:r>
    </w:p>
    <w:p w14:paraId="613502B1" w14:textId="64FF67DE" w:rsidR="00661D18" w:rsidRDefault="008703D0" w:rsidP="00661D18">
      <w:r w:rsidRPr="009A66C5">
        <w:t xml:space="preserve">The </w:t>
      </w:r>
      <w:r w:rsidR="009F12CB">
        <w:t xml:space="preserve">MTR team </w:t>
      </w:r>
      <w:r w:rsidR="006518FA">
        <w:t>conclude</w:t>
      </w:r>
      <w:r w:rsidR="009F12CB">
        <w:t>s</w:t>
      </w:r>
      <w:r w:rsidR="006518FA">
        <w:t xml:space="preserve"> that the </w:t>
      </w:r>
      <w:r w:rsidR="005939D4">
        <w:t xml:space="preserve">CBIT </w:t>
      </w:r>
      <w:r w:rsidR="00DB63EC">
        <w:t>p</w:t>
      </w:r>
      <w:r w:rsidRPr="009A66C5">
        <w:t xml:space="preserve">roject </w:t>
      </w:r>
      <w:r w:rsidR="006518FA">
        <w:t xml:space="preserve">is </w:t>
      </w:r>
      <w:r w:rsidR="008E7665">
        <w:t xml:space="preserve">relevant for </w:t>
      </w:r>
      <w:r w:rsidRPr="009A66C5">
        <w:t>the need</w:t>
      </w:r>
      <w:r w:rsidR="003B01BE">
        <w:t>s</w:t>
      </w:r>
      <w:r w:rsidR="00261C4A">
        <w:t xml:space="preserve">, </w:t>
      </w:r>
      <w:r w:rsidRPr="009A66C5">
        <w:t xml:space="preserve">priorities </w:t>
      </w:r>
      <w:r w:rsidR="00261C4A">
        <w:t xml:space="preserve">and international commitments </w:t>
      </w:r>
      <w:r w:rsidRPr="009A66C5">
        <w:t xml:space="preserve">of </w:t>
      </w:r>
      <w:r w:rsidR="00261C4A">
        <w:t xml:space="preserve">Serbia as </w:t>
      </w:r>
      <w:r w:rsidRPr="009A66C5">
        <w:t xml:space="preserve">the </w:t>
      </w:r>
      <w:r w:rsidR="00DB63EC">
        <w:t xml:space="preserve">recipient </w:t>
      </w:r>
      <w:r w:rsidR="003B01BE">
        <w:t>countr</w:t>
      </w:r>
      <w:r w:rsidR="00DB63EC">
        <w:t>y</w:t>
      </w:r>
      <w:r w:rsidR="003B01BE">
        <w:t xml:space="preserve"> </w:t>
      </w:r>
      <w:r w:rsidR="00DB63EC">
        <w:t xml:space="preserve">and </w:t>
      </w:r>
      <w:r w:rsidR="00261C4A">
        <w:t xml:space="preserve">is </w:t>
      </w:r>
      <w:r w:rsidR="008E7665">
        <w:t xml:space="preserve">consistent </w:t>
      </w:r>
      <w:r w:rsidR="006518FA">
        <w:t xml:space="preserve">with </w:t>
      </w:r>
      <w:r w:rsidR="003B01BE">
        <w:t xml:space="preserve">the </w:t>
      </w:r>
      <w:r w:rsidR="006518FA">
        <w:t>strategic and programmatic priorities of the donor and implementing agencies.</w:t>
      </w:r>
    </w:p>
    <w:p w14:paraId="48B106C4" w14:textId="61A728E7" w:rsidR="0007555D" w:rsidRDefault="0007555D" w:rsidP="00661D18">
      <w:r>
        <w:t>The CBIT project is a follow-up to the two EU twinning projects as it also aims at establishment of a legal framework with binding obligations for data collection and their reporting to responsible institutions, monitoring of climate change legislation, strategies and sectoral policies, as well as introducing climate change related issues into the policy-making process.</w:t>
      </w:r>
    </w:p>
    <w:p w14:paraId="64D91123" w14:textId="0BAC23A9" w:rsidR="00716E62" w:rsidRDefault="00716E62" w:rsidP="00661D18">
      <w:r>
        <w:t xml:space="preserve">The CBIT project proposal was originally designed for duration of 48 months. </w:t>
      </w:r>
      <w:r w:rsidR="00B4604E">
        <w:t xml:space="preserve">Following the comments from </w:t>
      </w:r>
      <w:r>
        <w:t xml:space="preserve">the GEF Secretariat </w:t>
      </w:r>
      <w:r w:rsidR="00B4604E">
        <w:t>during the PIF review phase, the actual length of the project implementation was set to 36 months only.</w:t>
      </w:r>
    </w:p>
    <w:p w14:paraId="49B519FD" w14:textId="77777777" w:rsidR="009655DB" w:rsidRPr="006D4BF3" w:rsidRDefault="009655DB" w:rsidP="00D1652D">
      <w:pPr>
        <w:pStyle w:val="Heading3"/>
      </w:pPr>
      <w:bookmarkStart w:id="35" w:name="_Toc515816648"/>
      <w:bookmarkStart w:id="36" w:name="_Toc66777409"/>
      <w:r w:rsidRPr="006D4BF3">
        <w:t>Results Framework/Logframe</w:t>
      </w:r>
      <w:bookmarkEnd w:id="35"/>
      <w:bookmarkEnd w:id="36"/>
    </w:p>
    <w:p w14:paraId="43B2E902" w14:textId="77777777" w:rsidR="007F456B" w:rsidRDefault="00DF434E" w:rsidP="007F456B">
      <w:r>
        <w:t>The evaluator</w:t>
      </w:r>
      <w:r w:rsidR="00E20690">
        <w:t xml:space="preserve">s </w:t>
      </w:r>
      <w:r>
        <w:t xml:space="preserve">performed critical analysis of the </w:t>
      </w:r>
      <w:r w:rsidR="00C04180">
        <w:t xml:space="preserve">project </w:t>
      </w:r>
      <w:r>
        <w:t xml:space="preserve">results framework in order to establish whether it has the necessary elements and whether it enables measurement of success and progress to success. </w:t>
      </w:r>
    </w:p>
    <w:p w14:paraId="1D8E4A68" w14:textId="794D5248" w:rsidR="00827F79" w:rsidRDefault="007F456B" w:rsidP="00144B15">
      <w:r w:rsidRPr="0058350A">
        <w:t xml:space="preserve">The </w:t>
      </w:r>
      <w:r>
        <w:t xml:space="preserve">formulation of the </w:t>
      </w:r>
      <w:r w:rsidR="00261C4A">
        <w:t xml:space="preserve">CBIT </w:t>
      </w:r>
      <w:r>
        <w:t>project started with preparation of the Project Identification Form (PIF)</w:t>
      </w:r>
      <w:r w:rsidR="00B4604E">
        <w:t xml:space="preserve"> </w:t>
      </w:r>
      <w:r w:rsidR="00B318C6">
        <w:t xml:space="preserve">that </w:t>
      </w:r>
      <w:r w:rsidR="00EE4330">
        <w:t xml:space="preserve">outlined the </w:t>
      </w:r>
      <w:r w:rsidR="00B4604E">
        <w:t>Project O</w:t>
      </w:r>
      <w:r w:rsidR="00EE4330">
        <w:t xml:space="preserve">bjective, </w:t>
      </w:r>
      <w:r w:rsidR="00B4604E">
        <w:t>O</w:t>
      </w:r>
      <w:r w:rsidR="00EE4330">
        <w:t xml:space="preserve">utcomes and </w:t>
      </w:r>
      <w:r w:rsidR="00B4604E">
        <w:t>O</w:t>
      </w:r>
      <w:r w:rsidR="00EE4330">
        <w:t xml:space="preserve">utputs. This document also </w:t>
      </w:r>
      <w:r w:rsidR="00EE4330">
        <w:lastRenderedPageBreak/>
        <w:t xml:space="preserve">served as a basis for formulation of the Project Document. The results framework </w:t>
      </w:r>
      <w:r w:rsidR="00B4604E">
        <w:t xml:space="preserve">contained in the PIF is </w:t>
      </w:r>
      <w:r w:rsidR="00EE4330">
        <w:t xml:space="preserve">composed of </w:t>
      </w:r>
      <w:r w:rsidR="00827F79">
        <w:t>3</w:t>
      </w:r>
      <w:r w:rsidR="00EE4330">
        <w:t xml:space="preserve"> substantive </w:t>
      </w:r>
      <w:r w:rsidR="00827F79">
        <w:t>C</w:t>
      </w:r>
      <w:r w:rsidR="00D56DD1">
        <w:t>omponents</w:t>
      </w:r>
      <w:r w:rsidR="00144B15">
        <w:t xml:space="preserve">, </w:t>
      </w:r>
      <w:r w:rsidR="00827F79">
        <w:t>5 O</w:t>
      </w:r>
      <w:r w:rsidR="00EE4330">
        <w:t xml:space="preserve">utcomes and </w:t>
      </w:r>
      <w:r w:rsidR="00827F79">
        <w:t>17</w:t>
      </w:r>
      <w:r w:rsidR="00144B15">
        <w:t xml:space="preserve"> </w:t>
      </w:r>
      <w:r w:rsidR="00827F79">
        <w:t>O</w:t>
      </w:r>
      <w:r w:rsidR="00EE4330">
        <w:t>utputs</w:t>
      </w:r>
      <w:r w:rsidR="00827F79">
        <w:t xml:space="preserve"> while the </w:t>
      </w:r>
      <w:r w:rsidR="00EE4330" w:rsidRPr="000B6B94">
        <w:t xml:space="preserve">logframe </w:t>
      </w:r>
      <w:r w:rsidR="000B6B94">
        <w:t xml:space="preserve">in </w:t>
      </w:r>
      <w:r w:rsidR="00EE4330" w:rsidRPr="000B6B94">
        <w:t>the Project Document</w:t>
      </w:r>
      <w:r w:rsidR="00144B15" w:rsidRPr="000B6B94">
        <w:t xml:space="preserve"> </w:t>
      </w:r>
      <w:r w:rsidR="000B6B94" w:rsidRPr="000B6B94">
        <w:t xml:space="preserve">is composed of </w:t>
      </w:r>
      <w:r w:rsidR="00827F79">
        <w:t>3</w:t>
      </w:r>
      <w:r w:rsidR="000B6B94" w:rsidRPr="000B6B94">
        <w:t xml:space="preserve"> </w:t>
      </w:r>
      <w:r w:rsidR="00827F79">
        <w:t>C</w:t>
      </w:r>
      <w:r w:rsidR="000B6B94" w:rsidRPr="000B6B94">
        <w:t>omponents/</w:t>
      </w:r>
      <w:r w:rsidR="00827F79">
        <w:t>O</w:t>
      </w:r>
      <w:r w:rsidR="000B6B94" w:rsidRPr="000B6B94">
        <w:t xml:space="preserve">utcomes and </w:t>
      </w:r>
      <w:r w:rsidR="00827F79">
        <w:t>5</w:t>
      </w:r>
      <w:r w:rsidR="000B6B94" w:rsidRPr="000B6B94">
        <w:t xml:space="preserve"> </w:t>
      </w:r>
      <w:r w:rsidR="00827F79">
        <w:t>O</w:t>
      </w:r>
      <w:r w:rsidR="00144B15" w:rsidRPr="000B6B94">
        <w:t xml:space="preserve">utputs. </w:t>
      </w:r>
    </w:p>
    <w:p w14:paraId="4DC43A15" w14:textId="77777777" w:rsidR="00431E16" w:rsidRDefault="00F16950" w:rsidP="00431E16">
      <w:r>
        <w:t xml:space="preserve">It follows from the </w:t>
      </w:r>
      <w:r w:rsidR="00827F79">
        <w:t>above comparison that for the original PIF logframe was simplified and the number of Outputs was reduced</w:t>
      </w:r>
      <w:r>
        <w:t xml:space="preserve"> under the first two Components/Outcomes</w:t>
      </w:r>
      <w:r w:rsidR="00827F79">
        <w:t xml:space="preserve">. </w:t>
      </w:r>
      <w:r>
        <w:t>The original 6 PIF Outputs under Outcome 1 were replaced by a single Output and the 4 PIF Outputs under Outcome 2 were also substituted by another single Output</w:t>
      </w:r>
      <w:r w:rsidR="003749FF">
        <w:t>, as shown in Table 2 below.</w:t>
      </w:r>
    </w:p>
    <w:p w14:paraId="3BCF0EB8" w14:textId="76F1F0B1" w:rsidR="00F16950" w:rsidRPr="00431E16" w:rsidRDefault="003749FF" w:rsidP="00431E16">
      <w:pPr>
        <w:spacing w:before="240" w:after="120"/>
      </w:pPr>
      <w:r w:rsidRPr="00431E16">
        <w:rPr>
          <w:b/>
          <w:bCs/>
        </w:rPr>
        <w:t xml:space="preserve">Table </w:t>
      </w:r>
      <w:r w:rsidRPr="00431E16">
        <w:rPr>
          <w:b/>
          <w:bCs/>
        </w:rPr>
        <w:fldChar w:fldCharType="begin"/>
      </w:r>
      <w:r w:rsidRPr="00431E16">
        <w:rPr>
          <w:b/>
          <w:bCs/>
        </w:rPr>
        <w:instrText xml:space="preserve"> SEQ Table \* ARABIC </w:instrText>
      </w:r>
      <w:r w:rsidRPr="00431E16">
        <w:rPr>
          <w:b/>
          <w:bCs/>
        </w:rPr>
        <w:fldChar w:fldCharType="separate"/>
      </w:r>
      <w:r w:rsidR="004F45AC">
        <w:rPr>
          <w:b/>
          <w:bCs/>
          <w:noProof/>
        </w:rPr>
        <w:t>2</w:t>
      </w:r>
      <w:r w:rsidRPr="00431E16">
        <w:rPr>
          <w:b/>
          <w:bCs/>
        </w:rPr>
        <w:fldChar w:fldCharType="end"/>
      </w:r>
      <w:r w:rsidRPr="00431E16">
        <w:rPr>
          <w:b/>
          <w:bCs/>
        </w:rPr>
        <w:t>:</w:t>
      </w:r>
      <w:r w:rsidRPr="00431E16">
        <w:t xml:space="preserve"> Comparison of the </w:t>
      </w:r>
      <w:proofErr w:type="spellStart"/>
      <w:r w:rsidRPr="00431E16">
        <w:t>logframes</w:t>
      </w:r>
      <w:proofErr w:type="spellEnd"/>
      <w:r w:rsidRPr="00431E16">
        <w:t xml:space="preserve"> in the PIF and the Project Document </w:t>
      </w:r>
    </w:p>
    <w:tbl>
      <w:tblPr>
        <w:tblStyle w:val="TableGrid"/>
        <w:tblW w:w="0" w:type="auto"/>
        <w:tblLook w:val="04A0" w:firstRow="1" w:lastRow="0" w:firstColumn="1" w:lastColumn="0" w:noHBand="0" w:noVBand="1"/>
      </w:tblPr>
      <w:tblGrid>
        <w:gridCol w:w="1410"/>
        <w:gridCol w:w="3521"/>
        <w:gridCol w:w="1827"/>
        <w:gridCol w:w="2252"/>
      </w:tblGrid>
      <w:tr w:rsidR="007A26A8" w14:paraId="422A4A24" w14:textId="77777777" w:rsidTr="007A26A8">
        <w:tc>
          <w:tcPr>
            <w:tcW w:w="1410" w:type="dxa"/>
          </w:tcPr>
          <w:p w14:paraId="79FEAD20" w14:textId="7939ECAC" w:rsidR="007A26A8" w:rsidRPr="007A26A8" w:rsidRDefault="007A26A8" w:rsidP="00465EB4">
            <w:pPr>
              <w:spacing w:before="0" w:line="240" w:lineRule="auto"/>
              <w:rPr>
                <w:b/>
                <w:bCs/>
                <w:sz w:val="16"/>
                <w:szCs w:val="16"/>
              </w:rPr>
            </w:pPr>
            <w:r w:rsidRPr="007A26A8">
              <w:rPr>
                <w:b/>
                <w:bCs/>
                <w:sz w:val="16"/>
                <w:szCs w:val="16"/>
              </w:rPr>
              <w:t>Outcome</w:t>
            </w:r>
          </w:p>
        </w:tc>
        <w:tc>
          <w:tcPr>
            <w:tcW w:w="3521" w:type="dxa"/>
          </w:tcPr>
          <w:p w14:paraId="3A449B50" w14:textId="2268E2E4" w:rsidR="007A26A8" w:rsidRPr="007A26A8" w:rsidRDefault="007A26A8" w:rsidP="00465EB4">
            <w:pPr>
              <w:spacing w:before="0" w:line="240" w:lineRule="auto"/>
              <w:rPr>
                <w:b/>
                <w:bCs/>
                <w:sz w:val="16"/>
                <w:szCs w:val="16"/>
              </w:rPr>
            </w:pPr>
            <w:r w:rsidRPr="007A26A8">
              <w:rPr>
                <w:b/>
                <w:bCs/>
                <w:sz w:val="16"/>
                <w:szCs w:val="16"/>
              </w:rPr>
              <w:t>Outputs</w:t>
            </w:r>
          </w:p>
        </w:tc>
        <w:tc>
          <w:tcPr>
            <w:tcW w:w="1827" w:type="dxa"/>
          </w:tcPr>
          <w:p w14:paraId="75071B1C" w14:textId="10E1F011" w:rsidR="007A26A8" w:rsidRPr="007A26A8" w:rsidRDefault="007A26A8" w:rsidP="00465EB4">
            <w:pPr>
              <w:spacing w:before="0" w:line="240" w:lineRule="auto"/>
              <w:rPr>
                <w:b/>
                <w:bCs/>
                <w:sz w:val="16"/>
                <w:szCs w:val="16"/>
              </w:rPr>
            </w:pPr>
            <w:r w:rsidRPr="007A26A8">
              <w:rPr>
                <w:b/>
                <w:bCs/>
                <w:sz w:val="16"/>
                <w:szCs w:val="16"/>
              </w:rPr>
              <w:t>Outcome</w:t>
            </w:r>
          </w:p>
        </w:tc>
        <w:tc>
          <w:tcPr>
            <w:tcW w:w="2252" w:type="dxa"/>
          </w:tcPr>
          <w:p w14:paraId="2CA7F337" w14:textId="4DB714BE" w:rsidR="007A26A8" w:rsidRPr="007A26A8" w:rsidRDefault="007A26A8" w:rsidP="00465EB4">
            <w:pPr>
              <w:spacing w:before="0" w:line="240" w:lineRule="auto"/>
              <w:rPr>
                <w:b/>
                <w:bCs/>
                <w:sz w:val="16"/>
                <w:szCs w:val="16"/>
              </w:rPr>
            </w:pPr>
            <w:r w:rsidRPr="007A26A8">
              <w:rPr>
                <w:b/>
                <w:bCs/>
                <w:sz w:val="16"/>
                <w:szCs w:val="16"/>
              </w:rPr>
              <w:t>Outputs</w:t>
            </w:r>
          </w:p>
        </w:tc>
      </w:tr>
      <w:tr w:rsidR="00465EB4" w14:paraId="069FAC57" w14:textId="77777777" w:rsidTr="007A26A8">
        <w:tc>
          <w:tcPr>
            <w:tcW w:w="1410" w:type="dxa"/>
          </w:tcPr>
          <w:p w14:paraId="23E95414" w14:textId="4A56101D" w:rsidR="00465EB4" w:rsidRPr="00E707A6" w:rsidRDefault="00465EB4" w:rsidP="00465EB4">
            <w:pPr>
              <w:spacing w:before="0" w:line="240" w:lineRule="auto"/>
              <w:rPr>
                <w:sz w:val="16"/>
                <w:szCs w:val="16"/>
              </w:rPr>
            </w:pPr>
            <w:r w:rsidRPr="00465EB4">
              <w:rPr>
                <w:sz w:val="16"/>
                <w:szCs w:val="16"/>
              </w:rPr>
              <w:t>1.1. Improvement of institutional and technical capacities for transparency of mitigation in relevant sectors</w:t>
            </w:r>
          </w:p>
        </w:tc>
        <w:tc>
          <w:tcPr>
            <w:tcW w:w="3521" w:type="dxa"/>
          </w:tcPr>
          <w:p w14:paraId="6639A1CB" w14:textId="770B24BE" w:rsidR="00465EB4" w:rsidRPr="00465EB4" w:rsidRDefault="00465EB4" w:rsidP="00465EB4">
            <w:pPr>
              <w:spacing w:before="0" w:line="240" w:lineRule="auto"/>
              <w:rPr>
                <w:sz w:val="16"/>
                <w:szCs w:val="16"/>
              </w:rPr>
            </w:pPr>
            <w:r w:rsidRPr="00465EB4">
              <w:rPr>
                <w:sz w:val="16"/>
                <w:szCs w:val="16"/>
              </w:rPr>
              <w:t>1.1.1. Institutional platform for transparency strengthened and reorganized with the initial assessment of capacity building needs and gaps for transparency;</w:t>
            </w:r>
          </w:p>
          <w:p w14:paraId="4C00CA01" w14:textId="77777777" w:rsidR="00465EB4" w:rsidRPr="00465EB4" w:rsidRDefault="00465EB4" w:rsidP="00465EB4">
            <w:pPr>
              <w:spacing w:before="0" w:line="240" w:lineRule="auto"/>
              <w:rPr>
                <w:sz w:val="16"/>
                <w:szCs w:val="16"/>
              </w:rPr>
            </w:pPr>
            <w:r w:rsidRPr="00465EB4">
              <w:rPr>
                <w:sz w:val="16"/>
                <w:szCs w:val="16"/>
              </w:rPr>
              <w:t>1.1.2. Assessment of the resources (financial and institutional) needed to implement NDC’s specific mitigation policies and measures conducted, with a gender-sensitive approach;</w:t>
            </w:r>
          </w:p>
          <w:p w14:paraId="5552595C" w14:textId="77777777" w:rsidR="00465EB4" w:rsidRPr="00465EB4" w:rsidRDefault="00465EB4" w:rsidP="00465EB4">
            <w:pPr>
              <w:spacing w:before="0" w:line="240" w:lineRule="auto"/>
              <w:rPr>
                <w:sz w:val="16"/>
                <w:szCs w:val="16"/>
              </w:rPr>
            </w:pPr>
            <w:r w:rsidRPr="00465EB4">
              <w:rPr>
                <w:sz w:val="16"/>
                <w:szCs w:val="16"/>
              </w:rPr>
              <w:t>1.1.3. System for the assessment and tracking of the implementation of NDCs mitigation activities and their continuous improvement developed, with a gender-sensitive approach;</w:t>
            </w:r>
          </w:p>
          <w:p w14:paraId="533B05D2" w14:textId="77777777" w:rsidR="00465EB4" w:rsidRPr="00465EB4" w:rsidRDefault="00465EB4" w:rsidP="00465EB4">
            <w:pPr>
              <w:spacing w:before="0" w:line="240" w:lineRule="auto"/>
              <w:rPr>
                <w:sz w:val="16"/>
                <w:szCs w:val="16"/>
              </w:rPr>
            </w:pPr>
            <w:r w:rsidRPr="00465EB4">
              <w:rPr>
                <w:sz w:val="16"/>
                <w:szCs w:val="16"/>
              </w:rPr>
              <w:t>1.1.4. NDCs tracking and reporting training programme for specific institutions prepared, with gender sensitive approach;</w:t>
            </w:r>
          </w:p>
          <w:p w14:paraId="1A5B3C9B" w14:textId="77777777" w:rsidR="00465EB4" w:rsidRPr="00465EB4" w:rsidRDefault="00465EB4" w:rsidP="00465EB4">
            <w:pPr>
              <w:spacing w:before="0" w:line="240" w:lineRule="auto"/>
              <w:rPr>
                <w:sz w:val="16"/>
                <w:szCs w:val="16"/>
              </w:rPr>
            </w:pPr>
            <w:r w:rsidRPr="00465EB4">
              <w:rPr>
                <w:sz w:val="16"/>
                <w:szCs w:val="16"/>
              </w:rPr>
              <w:t>1.1.5. Capacity building for competent institutions for development of projections that fulfil the criteria of transparency, accuracy, consistency, comparability and completeness conducted;</w:t>
            </w:r>
          </w:p>
          <w:p w14:paraId="494B4235" w14:textId="3930CEB1" w:rsidR="00465EB4" w:rsidRPr="00E707A6" w:rsidRDefault="00465EB4" w:rsidP="00465EB4">
            <w:pPr>
              <w:spacing w:before="0" w:line="240" w:lineRule="auto"/>
              <w:rPr>
                <w:sz w:val="16"/>
                <w:szCs w:val="16"/>
              </w:rPr>
            </w:pPr>
            <w:r w:rsidRPr="00465EB4">
              <w:rPr>
                <w:sz w:val="16"/>
                <w:szCs w:val="16"/>
              </w:rPr>
              <w:t>1.1.6. E- tool for reporting on implementation and for planning and continuous improvement of the NDCs sectoral mitigation activities developed.</w:t>
            </w:r>
          </w:p>
        </w:tc>
        <w:tc>
          <w:tcPr>
            <w:tcW w:w="1827" w:type="dxa"/>
          </w:tcPr>
          <w:p w14:paraId="6737B4E8" w14:textId="58268057" w:rsidR="00465EB4" w:rsidRPr="00E707A6" w:rsidRDefault="00465EB4" w:rsidP="00465EB4">
            <w:pPr>
              <w:spacing w:before="0" w:line="240" w:lineRule="auto"/>
              <w:rPr>
                <w:sz w:val="16"/>
                <w:szCs w:val="16"/>
              </w:rPr>
            </w:pPr>
            <w:r w:rsidRPr="00465EB4">
              <w:rPr>
                <w:sz w:val="16"/>
                <w:szCs w:val="16"/>
              </w:rPr>
              <w:t>1.National transparency capacity for tracking NDC progress from mitigation activities is strong</w:t>
            </w:r>
            <w:r w:rsidRPr="00465EB4">
              <w:rPr>
                <w:sz w:val="16"/>
                <w:szCs w:val="16"/>
              </w:rPr>
              <w:tab/>
            </w:r>
          </w:p>
        </w:tc>
        <w:tc>
          <w:tcPr>
            <w:tcW w:w="2252" w:type="dxa"/>
          </w:tcPr>
          <w:p w14:paraId="5F241753" w14:textId="581667B7" w:rsidR="00465EB4" w:rsidRPr="00E707A6" w:rsidRDefault="00465EB4" w:rsidP="00465EB4">
            <w:pPr>
              <w:spacing w:before="0" w:line="240" w:lineRule="auto"/>
              <w:rPr>
                <w:sz w:val="16"/>
                <w:szCs w:val="16"/>
              </w:rPr>
            </w:pPr>
            <w:r w:rsidRPr="00465EB4">
              <w:rPr>
                <w:sz w:val="16"/>
                <w:szCs w:val="16"/>
              </w:rPr>
              <w:t>1.1. Institutional and technical capacities for transparency of mitigation in relevant sectors improved</w:t>
            </w:r>
          </w:p>
        </w:tc>
      </w:tr>
      <w:tr w:rsidR="00465EB4" w14:paraId="161BD8FD" w14:textId="77777777" w:rsidTr="007A26A8">
        <w:tc>
          <w:tcPr>
            <w:tcW w:w="1410" w:type="dxa"/>
          </w:tcPr>
          <w:p w14:paraId="36A32946" w14:textId="0E3AF006" w:rsidR="00465EB4" w:rsidRPr="00E707A6" w:rsidRDefault="00465EB4" w:rsidP="00465EB4">
            <w:pPr>
              <w:spacing w:before="0" w:line="240" w:lineRule="auto"/>
              <w:rPr>
                <w:sz w:val="16"/>
                <w:szCs w:val="16"/>
              </w:rPr>
            </w:pPr>
            <w:r w:rsidRPr="00465EB4">
              <w:rPr>
                <w:sz w:val="16"/>
                <w:szCs w:val="16"/>
              </w:rPr>
              <w:t>2.1. Improvement of institutional and technical capacities for transparency of adaptation in relevant sectors</w:t>
            </w:r>
          </w:p>
        </w:tc>
        <w:tc>
          <w:tcPr>
            <w:tcW w:w="3521" w:type="dxa"/>
          </w:tcPr>
          <w:p w14:paraId="168530F6" w14:textId="4BEE27FC" w:rsidR="00465EB4" w:rsidRPr="00465EB4" w:rsidRDefault="0066481F" w:rsidP="00465EB4">
            <w:pPr>
              <w:spacing w:before="0" w:line="240" w:lineRule="auto"/>
              <w:rPr>
                <w:sz w:val="16"/>
                <w:szCs w:val="16"/>
              </w:rPr>
            </w:pPr>
            <w:r>
              <w:rPr>
                <w:sz w:val="16"/>
                <w:szCs w:val="16"/>
              </w:rPr>
              <w:t>1</w:t>
            </w:r>
            <w:r w:rsidR="00465EB4" w:rsidRPr="00465EB4">
              <w:rPr>
                <w:sz w:val="16"/>
                <w:szCs w:val="16"/>
              </w:rPr>
              <w:t xml:space="preserve">.1.1. Sectoral vulnerability assessment of climate change impacts conducted; </w:t>
            </w:r>
          </w:p>
          <w:p w14:paraId="0EB40771" w14:textId="77777777" w:rsidR="00465EB4" w:rsidRPr="00465EB4" w:rsidRDefault="00465EB4" w:rsidP="00465EB4">
            <w:pPr>
              <w:spacing w:before="0" w:line="240" w:lineRule="auto"/>
              <w:rPr>
                <w:sz w:val="16"/>
                <w:szCs w:val="16"/>
              </w:rPr>
            </w:pPr>
            <w:r w:rsidRPr="00465EB4">
              <w:rPr>
                <w:sz w:val="16"/>
                <w:szCs w:val="16"/>
              </w:rPr>
              <w:t xml:space="preserve">2.1.2. Analytical approach to costs and benefits of the implementation of NDCs adaptation measures, and financing possibilities prepared and conducted; </w:t>
            </w:r>
          </w:p>
          <w:p w14:paraId="2B8E24C3" w14:textId="77777777" w:rsidR="00465EB4" w:rsidRPr="00465EB4" w:rsidRDefault="00465EB4" w:rsidP="00465EB4">
            <w:pPr>
              <w:spacing w:before="0" w:line="240" w:lineRule="auto"/>
              <w:rPr>
                <w:sz w:val="16"/>
                <w:szCs w:val="16"/>
              </w:rPr>
            </w:pPr>
            <w:r w:rsidRPr="00465EB4">
              <w:rPr>
                <w:sz w:val="16"/>
                <w:szCs w:val="16"/>
              </w:rPr>
              <w:t xml:space="preserve">2.1.3. E- tool established for reporting on implementation and for planning and continuous improvement of NDC adaptation measures and on occurrences of floods, extreme temperatures, droughts, and other extreme weather, as well as on their consequences; </w:t>
            </w:r>
          </w:p>
          <w:p w14:paraId="2C732797" w14:textId="072514DA" w:rsidR="00465EB4" w:rsidRPr="00E707A6" w:rsidRDefault="00465EB4" w:rsidP="00465EB4">
            <w:pPr>
              <w:spacing w:before="0" w:line="240" w:lineRule="auto"/>
              <w:rPr>
                <w:sz w:val="16"/>
                <w:szCs w:val="16"/>
              </w:rPr>
            </w:pPr>
            <w:r w:rsidRPr="00465EB4">
              <w:rPr>
                <w:sz w:val="16"/>
                <w:szCs w:val="16"/>
              </w:rPr>
              <w:t>2.1.4. NDC tracking and reporting training programme on climate change adaptation for specific institutions prepared and conducted, with gender sensitive approach;</w:t>
            </w:r>
          </w:p>
        </w:tc>
        <w:tc>
          <w:tcPr>
            <w:tcW w:w="1827" w:type="dxa"/>
          </w:tcPr>
          <w:p w14:paraId="58C2986E" w14:textId="7E989EBA" w:rsidR="00465EB4" w:rsidRPr="00E707A6" w:rsidRDefault="00465EB4" w:rsidP="00465EB4">
            <w:pPr>
              <w:spacing w:before="0" w:line="240" w:lineRule="auto"/>
              <w:rPr>
                <w:sz w:val="16"/>
                <w:szCs w:val="16"/>
              </w:rPr>
            </w:pPr>
            <w:r w:rsidRPr="00465EB4">
              <w:rPr>
                <w:sz w:val="16"/>
                <w:szCs w:val="16"/>
              </w:rPr>
              <w:t>2. National transparency capacity for tracking NDC progress from adaptation activities is strong</w:t>
            </w:r>
            <w:r w:rsidRPr="00465EB4">
              <w:rPr>
                <w:sz w:val="16"/>
                <w:szCs w:val="16"/>
              </w:rPr>
              <w:tab/>
            </w:r>
          </w:p>
        </w:tc>
        <w:tc>
          <w:tcPr>
            <w:tcW w:w="2252" w:type="dxa"/>
          </w:tcPr>
          <w:p w14:paraId="3C5EA63A" w14:textId="400E3C55" w:rsidR="00465EB4" w:rsidRPr="00E707A6" w:rsidRDefault="00465EB4" w:rsidP="00465EB4">
            <w:pPr>
              <w:spacing w:before="0" w:line="240" w:lineRule="auto"/>
              <w:rPr>
                <w:sz w:val="16"/>
                <w:szCs w:val="16"/>
              </w:rPr>
            </w:pPr>
            <w:r w:rsidRPr="00465EB4">
              <w:rPr>
                <w:sz w:val="16"/>
                <w:szCs w:val="16"/>
              </w:rPr>
              <w:t>2.1. Institutional and technical capacities for transparency of adaptation in relevant sectors improved</w:t>
            </w:r>
          </w:p>
        </w:tc>
      </w:tr>
      <w:tr w:rsidR="00654D9A" w14:paraId="2833239F" w14:textId="77777777" w:rsidTr="007A26A8">
        <w:tc>
          <w:tcPr>
            <w:tcW w:w="1410" w:type="dxa"/>
          </w:tcPr>
          <w:p w14:paraId="45601430" w14:textId="1AF4CA40" w:rsidR="00654D9A" w:rsidRPr="00E707A6" w:rsidRDefault="00654D9A" w:rsidP="00465EB4">
            <w:pPr>
              <w:spacing w:before="0" w:line="240" w:lineRule="auto"/>
              <w:rPr>
                <w:sz w:val="16"/>
                <w:szCs w:val="16"/>
              </w:rPr>
            </w:pPr>
            <w:r w:rsidRPr="00465EB4">
              <w:rPr>
                <w:sz w:val="16"/>
                <w:szCs w:val="16"/>
              </w:rPr>
              <w:t>3.1 Domestic MRV system for updating NDCs completed, including MRV to support stakeholders’ engagement</w:t>
            </w:r>
          </w:p>
        </w:tc>
        <w:tc>
          <w:tcPr>
            <w:tcW w:w="3521" w:type="dxa"/>
          </w:tcPr>
          <w:p w14:paraId="44FEAAA9" w14:textId="3BFFA994" w:rsidR="00654D9A" w:rsidRPr="00465EB4" w:rsidRDefault="00654D9A" w:rsidP="00465EB4">
            <w:pPr>
              <w:spacing w:before="0" w:line="240" w:lineRule="auto"/>
              <w:rPr>
                <w:sz w:val="16"/>
                <w:szCs w:val="16"/>
              </w:rPr>
            </w:pPr>
            <w:r w:rsidRPr="00465EB4">
              <w:rPr>
                <w:sz w:val="16"/>
                <w:szCs w:val="16"/>
              </w:rPr>
              <w:t xml:space="preserve">3.1.1. Protocol for developing the technical inputs needed for updating future NDC on a continuous base elaborated; </w:t>
            </w:r>
          </w:p>
          <w:p w14:paraId="11F34AB6" w14:textId="6B8C7B21" w:rsidR="00654D9A" w:rsidRPr="00E707A6" w:rsidRDefault="00654D9A" w:rsidP="00465EB4">
            <w:pPr>
              <w:spacing w:before="0" w:line="240" w:lineRule="auto"/>
              <w:rPr>
                <w:sz w:val="16"/>
                <w:szCs w:val="16"/>
              </w:rPr>
            </w:pPr>
            <w:r w:rsidRPr="00465EB4">
              <w:rPr>
                <w:sz w:val="16"/>
                <w:szCs w:val="16"/>
              </w:rPr>
              <w:t>3.1.2. Needs and gaps of relevant institutions and local communities for reporting on received financial support vis-à-vis NDC identified;</w:t>
            </w:r>
            <w:r w:rsidRPr="00465EB4">
              <w:rPr>
                <w:sz w:val="16"/>
                <w:szCs w:val="16"/>
              </w:rPr>
              <w:tab/>
            </w:r>
          </w:p>
        </w:tc>
        <w:tc>
          <w:tcPr>
            <w:tcW w:w="1827" w:type="dxa"/>
            <w:vMerge w:val="restart"/>
          </w:tcPr>
          <w:p w14:paraId="075C7FED" w14:textId="42C57E13" w:rsidR="00654D9A" w:rsidRPr="00465EB4" w:rsidRDefault="00654D9A" w:rsidP="00465EB4">
            <w:pPr>
              <w:spacing w:before="0" w:line="240" w:lineRule="auto"/>
              <w:rPr>
                <w:sz w:val="16"/>
                <w:szCs w:val="16"/>
              </w:rPr>
            </w:pPr>
            <w:r w:rsidRPr="00465EB4">
              <w:rPr>
                <w:sz w:val="16"/>
                <w:szCs w:val="16"/>
              </w:rPr>
              <w:t xml:space="preserve">3. An MRV system for the NDC, including financing for institutions, local communities and businesses, is in place   </w:t>
            </w:r>
            <w:r w:rsidRPr="00465EB4">
              <w:rPr>
                <w:sz w:val="16"/>
                <w:szCs w:val="16"/>
              </w:rPr>
              <w:tab/>
            </w:r>
          </w:p>
          <w:p w14:paraId="3D85D05B" w14:textId="77777777" w:rsidR="00654D9A" w:rsidRPr="00E707A6" w:rsidRDefault="00654D9A" w:rsidP="00465EB4">
            <w:pPr>
              <w:spacing w:before="0" w:line="240" w:lineRule="auto"/>
              <w:rPr>
                <w:sz w:val="16"/>
                <w:szCs w:val="16"/>
              </w:rPr>
            </w:pPr>
          </w:p>
        </w:tc>
        <w:tc>
          <w:tcPr>
            <w:tcW w:w="2252" w:type="dxa"/>
          </w:tcPr>
          <w:p w14:paraId="5196FB4A" w14:textId="2D827093" w:rsidR="00654D9A" w:rsidRPr="00E707A6" w:rsidRDefault="00654D9A" w:rsidP="00465EB4">
            <w:pPr>
              <w:spacing w:before="0" w:line="240" w:lineRule="auto"/>
              <w:rPr>
                <w:sz w:val="16"/>
                <w:szCs w:val="16"/>
              </w:rPr>
            </w:pPr>
            <w:r w:rsidRPr="00465EB4">
              <w:rPr>
                <w:sz w:val="16"/>
                <w:szCs w:val="16"/>
              </w:rPr>
              <w:t>3.1. Domestic MRV system for updating NDCs completed, including MRV to support stakeholders’ engagement.</w:t>
            </w:r>
          </w:p>
        </w:tc>
      </w:tr>
      <w:tr w:rsidR="00654D9A" w14:paraId="5D7FC668" w14:textId="77777777" w:rsidTr="007A26A8">
        <w:tc>
          <w:tcPr>
            <w:tcW w:w="1410" w:type="dxa"/>
          </w:tcPr>
          <w:p w14:paraId="4CEA4727" w14:textId="50627A58" w:rsidR="00654D9A" w:rsidRPr="00E707A6" w:rsidRDefault="00654D9A" w:rsidP="00465EB4">
            <w:pPr>
              <w:spacing w:before="0" w:line="240" w:lineRule="auto"/>
              <w:rPr>
                <w:sz w:val="16"/>
                <w:szCs w:val="16"/>
              </w:rPr>
            </w:pPr>
            <w:r w:rsidRPr="00465EB4">
              <w:rPr>
                <w:sz w:val="16"/>
                <w:szCs w:val="16"/>
              </w:rPr>
              <w:t>3.2 Improvement of the National GHG Inventories</w:t>
            </w:r>
          </w:p>
        </w:tc>
        <w:tc>
          <w:tcPr>
            <w:tcW w:w="3521" w:type="dxa"/>
          </w:tcPr>
          <w:p w14:paraId="6A4929BF" w14:textId="6107BBBD" w:rsidR="00654D9A" w:rsidRPr="00465EB4" w:rsidRDefault="00654D9A" w:rsidP="00465EB4">
            <w:pPr>
              <w:spacing w:before="0" w:line="240" w:lineRule="auto"/>
              <w:rPr>
                <w:sz w:val="16"/>
                <w:szCs w:val="16"/>
              </w:rPr>
            </w:pPr>
            <w:r w:rsidRPr="00465EB4">
              <w:rPr>
                <w:sz w:val="16"/>
                <w:szCs w:val="16"/>
              </w:rPr>
              <w:t xml:space="preserve">3.2.1. Country-specific emission factor for CO2 from thermo-power plants and industry sector, as well as for Agriculture, LULUCF, developed. </w:t>
            </w:r>
          </w:p>
          <w:p w14:paraId="52B88C71" w14:textId="694D1360" w:rsidR="00654D9A" w:rsidRPr="00E707A6" w:rsidRDefault="00654D9A" w:rsidP="00465EB4">
            <w:pPr>
              <w:spacing w:before="0" w:line="240" w:lineRule="auto"/>
              <w:rPr>
                <w:sz w:val="16"/>
                <w:szCs w:val="16"/>
              </w:rPr>
            </w:pPr>
            <w:r w:rsidRPr="00465EB4">
              <w:rPr>
                <w:sz w:val="16"/>
                <w:szCs w:val="16"/>
              </w:rPr>
              <w:t>3.2.2. Assessment of available information to include in GHG emission estimations other carbon pools included in the IPCC Guidelines but not estimated in the National GHG Inventory (soil organic carbon and litter) conducted and Inventory improved.</w:t>
            </w:r>
            <w:r w:rsidRPr="00465EB4">
              <w:rPr>
                <w:sz w:val="16"/>
                <w:szCs w:val="16"/>
              </w:rPr>
              <w:tab/>
            </w:r>
            <w:r w:rsidRPr="00465EB4">
              <w:rPr>
                <w:sz w:val="16"/>
                <w:szCs w:val="16"/>
              </w:rPr>
              <w:tab/>
            </w:r>
          </w:p>
        </w:tc>
        <w:tc>
          <w:tcPr>
            <w:tcW w:w="1827" w:type="dxa"/>
            <w:vMerge/>
          </w:tcPr>
          <w:p w14:paraId="0CF0ACC3" w14:textId="77777777" w:rsidR="00654D9A" w:rsidRPr="00E707A6" w:rsidRDefault="00654D9A" w:rsidP="00465EB4">
            <w:pPr>
              <w:spacing w:before="0" w:line="240" w:lineRule="auto"/>
              <w:rPr>
                <w:sz w:val="16"/>
                <w:szCs w:val="16"/>
              </w:rPr>
            </w:pPr>
          </w:p>
        </w:tc>
        <w:tc>
          <w:tcPr>
            <w:tcW w:w="2252" w:type="dxa"/>
          </w:tcPr>
          <w:p w14:paraId="082062ED" w14:textId="4CED37A5" w:rsidR="00654D9A" w:rsidRPr="00E707A6" w:rsidRDefault="00654D9A" w:rsidP="00465EB4">
            <w:pPr>
              <w:spacing w:before="0" w:line="240" w:lineRule="auto"/>
              <w:rPr>
                <w:sz w:val="16"/>
                <w:szCs w:val="16"/>
              </w:rPr>
            </w:pPr>
            <w:r w:rsidRPr="00465EB4">
              <w:rPr>
                <w:sz w:val="16"/>
                <w:szCs w:val="16"/>
              </w:rPr>
              <w:t>3.2. National GHG inventories improved</w:t>
            </w:r>
          </w:p>
        </w:tc>
      </w:tr>
      <w:tr w:rsidR="00654D9A" w14:paraId="6BFDFD08" w14:textId="77777777" w:rsidTr="007A26A8">
        <w:tc>
          <w:tcPr>
            <w:tcW w:w="1410" w:type="dxa"/>
          </w:tcPr>
          <w:p w14:paraId="09EB7959" w14:textId="5A78D2FD" w:rsidR="00654D9A" w:rsidRPr="00E707A6" w:rsidRDefault="00654D9A" w:rsidP="00465EB4">
            <w:pPr>
              <w:spacing w:before="0" w:line="240" w:lineRule="auto"/>
              <w:rPr>
                <w:sz w:val="16"/>
                <w:szCs w:val="16"/>
              </w:rPr>
            </w:pPr>
            <w:r w:rsidRPr="00654D9A">
              <w:rPr>
                <w:sz w:val="16"/>
                <w:szCs w:val="16"/>
              </w:rPr>
              <w:t>3.3 NDC capacity building through regional peer exchanges</w:t>
            </w:r>
          </w:p>
        </w:tc>
        <w:tc>
          <w:tcPr>
            <w:tcW w:w="3521" w:type="dxa"/>
          </w:tcPr>
          <w:p w14:paraId="299AFE96" w14:textId="4E03EDFB" w:rsidR="00654D9A" w:rsidRPr="00E707A6" w:rsidRDefault="00654D9A" w:rsidP="00465EB4">
            <w:pPr>
              <w:spacing w:before="0" w:line="240" w:lineRule="auto"/>
              <w:rPr>
                <w:sz w:val="16"/>
                <w:szCs w:val="16"/>
              </w:rPr>
            </w:pPr>
            <w:r w:rsidRPr="00654D9A">
              <w:rPr>
                <w:sz w:val="16"/>
                <w:szCs w:val="16"/>
              </w:rPr>
              <w:t>3.3.1. Regional peer exchanges on NDC planning and implementation and on the enhanced transparency framework conducted;</w:t>
            </w:r>
            <w:r w:rsidRPr="00654D9A">
              <w:rPr>
                <w:sz w:val="16"/>
                <w:szCs w:val="16"/>
              </w:rPr>
              <w:tab/>
            </w:r>
          </w:p>
        </w:tc>
        <w:tc>
          <w:tcPr>
            <w:tcW w:w="1827" w:type="dxa"/>
            <w:vMerge/>
          </w:tcPr>
          <w:p w14:paraId="3A257D42" w14:textId="77777777" w:rsidR="00654D9A" w:rsidRPr="00E707A6" w:rsidRDefault="00654D9A" w:rsidP="00465EB4">
            <w:pPr>
              <w:spacing w:before="0" w:line="240" w:lineRule="auto"/>
              <w:rPr>
                <w:sz w:val="16"/>
                <w:szCs w:val="16"/>
              </w:rPr>
            </w:pPr>
          </w:p>
        </w:tc>
        <w:tc>
          <w:tcPr>
            <w:tcW w:w="2252" w:type="dxa"/>
          </w:tcPr>
          <w:p w14:paraId="4B4332BB" w14:textId="07CD96C5" w:rsidR="00654D9A" w:rsidRPr="00E707A6" w:rsidRDefault="00654D9A" w:rsidP="00465EB4">
            <w:pPr>
              <w:spacing w:before="0" w:line="240" w:lineRule="auto"/>
              <w:rPr>
                <w:sz w:val="16"/>
                <w:szCs w:val="16"/>
              </w:rPr>
            </w:pPr>
            <w:r w:rsidRPr="00654D9A">
              <w:rPr>
                <w:sz w:val="16"/>
                <w:szCs w:val="16"/>
              </w:rPr>
              <w:t>3.3. NDC Capacity Built through Peer Exchanges</w:t>
            </w:r>
          </w:p>
        </w:tc>
      </w:tr>
    </w:tbl>
    <w:p w14:paraId="3C9E1BE8" w14:textId="0A80DAD2" w:rsidR="00827F79" w:rsidRDefault="00F16950" w:rsidP="00E707A6">
      <w:pPr>
        <w:spacing w:before="240"/>
      </w:pPr>
      <w:r>
        <w:lastRenderedPageBreak/>
        <w:t>I</w:t>
      </w:r>
      <w:r w:rsidR="00827F79">
        <w:t>t appears that the logframe simplification was overdone</w:t>
      </w:r>
      <w:r>
        <w:t xml:space="preserve"> </w:t>
      </w:r>
      <w:r w:rsidR="00654D9A">
        <w:t xml:space="preserve">particularly with regard to </w:t>
      </w:r>
      <w:r w:rsidR="00EA0753">
        <w:t>the first two Components</w:t>
      </w:r>
      <w:r w:rsidR="00654D9A">
        <w:t xml:space="preserve">. </w:t>
      </w:r>
      <w:r w:rsidR="00C235D3">
        <w:t>T</w:t>
      </w:r>
      <w:r>
        <w:t>he new Outputs 1.1 and 2.1 are in fact repetitions of the respective Outcomes 1 and 2.</w:t>
      </w:r>
      <w:r w:rsidR="00654D9A">
        <w:t xml:space="preserve"> The revision made more explicit </w:t>
      </w:r>
      <w:r w:rsidR="00A84D3B">
        <w:t xml:space="preserve">separation </w:t>
      </w:r>
      <w:r w:rsidR="00654D9A">
        <w:t xml:space="preserve">of </w:t>
      </w:r>
      <w:r w:rsidR="00A84D3B">
        <w:t xml:space="preserve">CC </w:t>
      </w:r>
      <w:r w:rsidR="00654D9A">
        <w:t xml:space="preserve">mitigation- and </w:t>
      </w:r>
      <w:r w:rsidR="00A84D3B">
        <w:t xml:space="preserve">CC </w:t>
      </w:r>
      <w:r w:rsidR="00654D9A">
        <w:t xml:space="preserve">adaption-related </w:t>
      </w:r>
      <w:r w:rsidR="00A84D3B">
        <w:t xml:space="preserve">results. However, </w:t>
      </w:r>
      <w:r w:rsidR="00654D9A">
        <w:t xml:space="preserve">Outputs 1.1 - 1.6 </w:t>
      </w:r>
      <w:r w:rsidR="00EA0753">
        <w:t xml:space="preserve">in the PIF </w:t>
      </w:r>
      <w:r w:rsidR="00654D9A">
        <w:t xml:space="preserve">constituted a logical structure reflecting the </w:t>
      </w:r>
      <w:r w:rsidR="00A84D3B">
        <w:t xml:space="preserve">elements of the </w:t>
      </w:r>
      <w:r w:rsidR="00654D9A">
        <w:t>results chain</w:t>
      </w:r>
      <w:r w:rsidR="00A84D3B">
        <w:t xml:space="preserve"> and the Theory of Change</w:t>
      </w:r>
      <w:r w:rsidR="00654D9A">
        <w:t xml:space="preserve">. </w:t>
      </w:r>
      <w:r w:rsidR="00A84D3B">
        <w:t>The rearrangement did not contribute to clarity of the logframe as t</w:t>
      </w:r>
      <w:r w:rsidR="00654D9A">
        <w:t xml:space="preserve">he simplified Output 1.1 is more or less a repetition of Outcome 1 and, similarly, the </w:t>
      </w:r>
      <w:r w:rsidR="00EA0753">
        <w:t xml:space="preserve">new </w:t>
      </w:r>
      <w:r w:rsidR="00654D9A">
        <w:t>Out</w:t>
      </w:r>
      <w:r w:rsidR="00EA0753">
        <w:t>put</w:t>
      </w:r>
      <w:r w:rsidR="00654D9A">
        <w:t xml:space="preserve"> 2.1 is a mere </w:t>
      </w:r>
      <w:r w:rsidR="00A84D3B">
        <w:t>repetition of Outcome 2.</w:t>
      </w:r>
    </w:p>
    <w:p w14:paraId="0C576FD3" w14:textId="030E82DB" w:rsidR="0066481F" w:rsidRDefault="0066481F" w:rsidP="0066481F">
      <w:r>
        <w:t xml:space="preserve">There is also </w:t>
      </w:r>
      <w:r w:rsidR="0097718D">
        <w:t xml:space="preserve">a notable </w:t>
      </w:r>
      <w:r>
        <w:t xml:space="preserve">internal inconsistency in the Project Document related to the project results framework. While the logframe table on pages 32-42 of the </w:t>
      </w:r>
      <w:r w:rsidR="0097718D">
        <w:t xml:space="preserve">PD </w:t>
      </w:r>
      <w:r>
        <w:t xml:space="preserve">shows only the five Outputs listed in Table 2 above, the text on pages 17 - </w:t>
      </w:r>
      <w:r w:rsidR="0097718D">
        <w:t>23</w:t>
      </w:r>
      <w:r>
        <w:t xml:space="preserve"> </w:t>
      </w:r>
      <w:r w:rsidR="0097718D">
        <w:t xml:space="preserve">contains total 18 substantive </w:t>
      </w:r>
      <w:r>
        <w:t>Outputs</w:t>
      </w:r>
      <w:r w:rsidR="0097718D">
        <w:t xml:space="preserve"> and discusses them in detail</w:t>
      </w:r>
      <w:r w:rsidR="002E595F">
        <w:t>.</w:t>
      </w:r>
      <w:r w:rsidR="0097718D">
        <w:t xml:space="preserve"> </w:t>
      </w:r>
    </w:p>
    <w:p w14:paraId="1CC96DB9" w14:textId="78CBDDEC" w:rsidR="00635909" w:rsidRDefault="00635909" w:rsidP="0066481F">
      <w:r w:rsidRPr="00635909">
        <w:t xml:space="preserve">The </w:t>
      </w:r>
      <w:r>
        <w:t xml:space="preserve">above inconsistencies resulted from lack of experience with the design of </w:t>
      </w:r>
      <w:r w:rsidRPr="00635909">
        <w:t xml:space="preserve">CBIT projects </w:t>
      </w:r>
      <w:r>
        <w:t xml:space="preserve">as the Serbia CBIT project was amongst the first group of submissions under the GEF CBIT funding window. Reportedly, a new template for the CBIT </w:t>
      </w:r>
      <w:r w:rsidRPr="00635909">
        <w:t>Pro</w:t>
      </w:r>
      <w:r>
        <w:t xml:space="preserve">ject </w:t>
      </w:r>
      <w:r w:rsidRPr="00635909">
        <w:t>Doc</w:t>
      </w:r>
      <w:r>
        <w:t>ument</w:t>
      </w:r>
      <w:r w:rsidR="00E42625">
        <w:t xml:space="preserve">, </w:t>
      </w:r>
      <w:r w:rsidRPr="00635909">
        <w:t xml:space="preserve">designed </w:t>
      </w:r>
      <w:r w:rsidR="00E42625">
        <w:t xml:space="preserve">shortly after the PIF approval, </w:t>
      </w:r>
      <w:r w:rsidRPr="00635909">
        <w:t xml:space="preserve">required </w:t>
      </w:r>
      <w:r>
        <w:t xml:space="preserve">some </w:t>
      </w:r>
      <w:r w:rsidR="00E42625">
        <w:t xml:space="preserve">level of </w:t>
      </w:r>
      <w:r w:rsidRPr="00635909">
        <w:t xml:space="preserve">simplification </w:t>
      </w:r>
      <w:r>
        <w:t xml:space="preserve">of the </w:t>
      </w:r>
      <w:r w:rsidR="00E42625">
        <w:t xml:space="preserve">project </w:t>
      </w:r>
      <w:r>
        <w:t xml:space="preserve">logframe </w:t>
      </w:r>
      <w:r w:rsidR="00E42625">
        <w:t xml:space="preserve">in comparison with </w:t>
      </w:r>
      <w:r w:rsidRPr="00635909">
        <w:t>the PIF.</w:t>
      </w:r>
    </w:p>
    <w:p w14:paraId="568DA7DC" w14:textId="3C01E579" w:rsidR="0097718D" w:rsidRDefault="00E56F09" w:rsidP="0066481F">
      <w:r>
        <w:t xml:space="preserve">Reportedly, </w:t>
      </w:r>
      <w:r w:rsidRPr="00E56F09">
        <w:t xml:space="preserve">the </w:t>
      </w:r>
      <w:r>
        <w:t>simplification of the l</w:t>
      </w:r>
      <w:r w:rsidRPr="00E56F09">
        <w:t xml:space="preserve">ogframe </w:t>
      </w:r>
      <w:r>
        <w:t xml:space="preserve">was </w:t>
      </w:r>
      <w:r w:rsidRPr="00E56F09">
        <w:t xml:space="preserve">done </w:t>
      </w:r>
      <w:r w:rsidR="004A3AB6">
        <w:t>during</w:t>
      </w:r>
      <w:r w:rsidRPr="00E56F09">
        <w:t xml:space="preserve"> the project development stage</w:t>
      </w:r>
      <w:r>
        <w:t xml:space="preserve"> </w:t>
      </w:r>
      <w:r w:rsidRPr="00E56F09">
        <w:t xml:space="preserve">and approved by the </w:t>
      </w:r>
      <w:r>
        <w:t>d</w:t>
      </w:r>
      <w:r w:rsidRPr="00E56F09">
        <w:t>onor.</w:t>
      </w:r>
      <w:r>
        <w:t xml:space="preserve"> The resulting deficiencies discussed above do not have major impact on the project results but impede </w:t>
      </w:r>
      <w:r w:rsidR="004A3AB6">
        <w:t xml:space="preserve">proper </w:t>
      </w:r>
      <w:r>
        <w:t xml:space="preserve">monitoring of progress and </w:t>
      </w:r>
      <w:r w:rsidR="004A3AB6">
        <w:t xml:space="preserve">rigorous </w:t>
      </w:r>
      <w:r>
        <w:t xml:space="preserve">evaluation of </w:t>
      </w:r>
      <w:r w:rsidR="004A3AB6">
        <w:t xml:space="preserve">the </w:t>
      </w:r>
      <w:r>
        <w:t>achieve</w:t>
      </w:r>
      <w:r w:rsidR="004A3AB6">
        <w:t>d results</w:t>
      </w:r>
      <w:r>
        <w:t>. C</w:t>
      </w:r>
      <w:r w:rsidR="0097718D">
        <w:t xml:space="preserve">omplete revamping of the logframe would not be feasible or reasonable at this stage of the project implementation. Therefore, </w:t>
      </w:r>
      <w:r w:rsidR="002E595F">
        <w:t xml:space="preserve">in line with the GEF standard MTR methodology, </w:t>
      </w:r>
      <w:r w:rsidR="0097718D">
        <w:t xml:space="preserve">the further text in this section </w:t>
      </w:r>
      <w:r w:rsidR="002E595F">
        <w:t xml:space="preserve">provides </w:t>
      </w:r>
      <w:r w:rsidR="0097718D">
        <w:t>suggest</w:t>
      </w:r>
      <w:r w:rsidR="002E595F">
        <w:t>ions</w:t>
      </w:r>
      <w:r w:rsidR="0097718D">
        <w:t xml:space="preserve"> </w:t>
      </w:r>
      <w:r w:rsidR="002E595F">
        <w:t xml:space="preserve">for </w:t>
      </w:r>
      <w:r w:rsidR="0097718D">
        <w:t xml:space="preserve">specific amendments and/or revisions of </w:t>
      </w:r>
      <w:r w:rsidR="004A3AB6">
        <w:t xml:space="preserve">the simplified logframe with regard to </w:t>
      </w:r>
      <w:r w:rsidR="0097718D">
        <w:t xml:space="preserve">some </w:t>
      </w:r>
      <w:r w:rsidR="002E595F">
        <w:t xml:space="preserve">Objective and Outcome/Output </w:t>
      </w:r>
      <w:r w:rsidR="004A3AB6">
        <w:t>I</w:t>
      </w:r>
      <w:r w:rsidR="0097718D">
        <w:t>ndicators and their target values</w:t>
      </w:r>
      <w:r w:rsidR="00853988">
        <w:t>.</w:t>
      </w:r>
    </w:p>
    <w:p w14:paraId="70E31298" w14:textId="6F295DE0" w:rsidR="00546389" w:rsidRDefault="00EA0753" w:rsidP="00546389">
      <w:r>
        <w:t>T</w:t>
      </w:r>
      <w:r w:rsidR="00CE7852">
        <w:t xml:space="preserve">he </w:t>
      </w:r>
      <w:r w:rsidR="000C3A0C">
        <w:t xml:space="preserve">results framework </w:t>
      </w:r>
      <w:r w:rsidR="00A84D3B">
        <w:t xml:space="preserve">in the Project Document contains </w:t>
      </w:r>
      <w:r>
        <w:t>20</w:t>
      </w:r>
      <w:r w:rsidR="00A84D3B">
        <w:t xml:space="preserve"> </w:t>
      </w:r>
      <w:r>
        <w:t>i</w:t>
      </w:r>
      <w:r w:rsidR="00A84D3B">
        <w:t xml:space="preserve">ndicators </w:t>
      </w:r>
      <w:r>
        <w:t xml:space="preserve">established </w:t>
      </w:r>
      <w:r w:rsidR="000C3A0C">
        <w:t xml:space="preserve">as benchmarks </w:t>
      </w:r>
      <w:r w:rsidR="00CE7852">
        <w:t>for measurement of achievements of the project</w:t>
      </w:r>
      <w:r>
        <w:t xml:space="preserve"> at the level of the Project Objective and Outcome/Output. The MTR team found formulation of few indicators not fit for </w:t>
      </w:r>
      <w:r w:rsidR="00C15FB5">
        <w:t xml:space="preserve">measuring progress in the project. </w:t>
      </w:r>
      <w:r w:rsidR="00481307">
        <w:t xml:space="preserve">Table 3 </w:t>
      </w:r>
      <w:r w:rsidR="00C15FB5">
        <w:t xml:space="preserve">summarizes result of this assessment and </w:t>
      </w:r>
      <w:r w:rsidR="007B40D2">
        <w:t>propose</w:t>
      </w:r>
      <w:r w:rsidR="003C3FF1">
        <w:t>d</w:t>
      </w:r>
      <w:r w:rsidR="007B40D2">
        <w:t xml:space="preserve"> changes</w:t>
      </w:r>
      <w:r w:rsidR="003C3FF1">
        <w:t xml:space="preserve"> in the logframe indicators and target values</w:t>
      </w:r>
      <w:r w:rsidR="007B40D2">
        <w:t xml:space="preserve">. </w:t>
      </w:r>
    </w:p>
    <w:p w14:paraId="1872F81A" w14:textId="77777777" w:rsidR="00012EE6" w:rsidRDefault="00012EE6">
      <w:pPr>
        <w:spacing w:before="0" w:line="240" w:lineRule="auto"/>
        <w:jc w:val="left"/>
        <w:rPr>
          <w:b/>
          <w:bCs/>
        </w:rPr>
      </w:pPr>
      <w:r>
        <w:rPr>
          <w:b/>
          <w:bCs/>
          <w:i/>
          <w:iCs/>
        </w:rPr>
        <w:br w:type="page"/>
      </w:r>
    </w:p>
    <w:p w14:paraId="77037E66" w14:textId="0C9E1B67" w:rsidR="00481307" w:rsidRPr="00BE4318" w:rsidRDefault="00BE4318" w:rsidP="00BE4318">
      <w:pPr>
        <w:pStyle w:val="Caption"/>
        <w:spacing w:before="240" w:after="120"/>
        <w:rPr>
          <w:i w:val="0"/>
          <w:iCs w:val="0"/>
          <w:color w:val="auto"/>
          <w:sz w:val="24"/>
          <w:szCs w:val="24"/>
        </w:rPr>
      </w:pPr>
      <w:r w:rsidRPr="000425E5">
        <w:rPr>
          <w:b/>
          <w:bCs/>
          <w:i w:val="0"/>
          <w:iCs w:val="0"/>
          <w:color w:val="auto"/>
          <w:sz w:val="24"/>
          <w:szCs w:val="24"/>
        </w:rPr>
        <w:lastRenderedPageBreak/>
        <w:t xml:space="preserve">Table </w:t>
      </w:r>
      <w:r w:rsidRPr="000425E5">
        <w:rPr>
          <w:b/>
          <w:bCs/>
          <w:i w:val="0"/>
          <w:iCs w:val="0"/>
          <w:color w:val="auto"/>
          <w:sz w:val="24"/>
          <w:szCs w:val="24"/>
        </w:rPr>
        <w:fldChar w:fldCharType="begin"/>
      </w:r>
      <w:r w:rsidRPr="000425E5">
        <w:rPr>
          <w:b/>
          <w:bCs/>
          <w:i w:val="0"/>
          <w:iCs w:val="0"/>
          <w:color w:val="auto"/>
          <w:sz w:val="24"/>
          <w:szCs w:val="24"/>
        </w:rPr>
        <w:instrText xml:space="preserve"> SEQ Table \* ARABIC </w:instrText>
      </w:r>
      <w:r w:rsidRPr="000425E5">
        <w:rPr>
          <w:b/>
          <w:bCs/>
          <w:i w:val="0"/>
          <w:iCs w:val="0"/>
          <w:color w:val="auto"/>
          <w:sz w:val="24"/>
          <w:szCs w:val="24"/>
        </w:rPr>
        <w:fldChar w:fldCharType="separate"/>
      </w:r>
      <w:r w:rsidR="004F45AC">
        <w:rPr>
          <w:b/>
          <w:bCs/>
          <w:i w:val="0"/>
          <w:iCs w:val="0"/>
          <w:noProof/>
          <w:color w:val="auto"/>
          <w:sz w:val="24"/>
          <w:szCs w:val="24"/>
        </w:rPr>
        <w:t>3</w:t>
      </w:r>
      <w:r w:rsidRPr="000425E5">
        <w:rPr>
          <w:b/>
          <w:bCs/>
          <w:i w:val="0"/>
          <w:iCs w:val="0"/>
          <w:color w:val="auto"/>
          <w:sz w:val="24"/>
          <w:szCs w:val="24"/>
        </w:rPr>
        <w:fldChar w:fldCharType="end"/>
      </w:r>
      <w:r w:rsidRPr="000425E5">
        <w:rPr>
          <w:b/>
          <w:bCs/>
          <w:i w:val="0"/>
          <w:iCs w:val="0"/>
          <w:color w:val="auto"/>
          <w:sz w:val="24"/>
          <w:szCs w:val="24"/>
        </w:rPr>
        <w:t>:</w:t>
      </w:r>
      <w:r w:rsidRPr="00BE4318">
        <w:rPr>
          <w:i w:val="0"/>
          <w:iCs w:val="0"/>
          <w:color w:val="auto"/>
          <w:sz w:val="24"/>
          <w:szCs w:val="24"/>
        </w:rPr>
        <w:t xml:space="preserve"> </w:t>
      </w:r>
      <w:r w:rsidR="00481307" w:rsidRPr="00BE4318">
        <w:rPr>
          <w:i w:val="0"/>
          <w:iCs w:val="0"/>
          <w:color w:val="auto"/>
          <w:sz w:val="24"/>
          <w:szCs w:val="24"/>
        </w:rPr>
        <w:t xml:space="preserve">Assessment of the </w:t>
      </w:r>
      <w:r w:rsidR="000425E5">
        <w:rPr>
          <w:i w:val="0"/>
          <w:iCs w:val="0"/>
          <w:color w:val="auto"/>
          <w:sz w:val="24"/>
          <w:szCs w:val="24"/>
        </w:rPr>
        <w:t>Outcome and Objective I</w:t>
      </w:r>
      <w:r w:rsidR="00481307" w:rsidRPr="00BE4318">
        <w:rPr>
          <w:i w:val="0"/>
          <w:iCs w:val="0"/>
          <w:color w:val="auto"/>
          <w:sz w:val="24"/>
          <w:szCs w:val="24"/>
        </w:rPr>
        <w:t>ndicators in the Project Document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920"/>
        <w:gridCol w:w="2126"/>
        <w:gridCol w:w="3203"/>
      </w:tblGrid>
      <w:tr w:rsidR="00BC33D3" w:rsidRPr="00B33E61" w14:paraId="68E477DA" w14:textId="77777777" w:rsidTr="00FA3AB3">
        <w:tc>
          <w:tcPr>
            <w:tcW w:w="908" w:type="dxa"/>
          </w:tcPr>
          <w:p w14:paraId="74DD9411" w14:textId="54104508" w:rsidR="001A2988" w:rsidRDefault="000425E5" w:rsidP="00B671C6">
            <w:pPr>
              <w:spacing w:before="0"/>
              <w:rPr>
                <w:b/>
                <w:bCs/>
                <w:sz w:val="18"/>
                <w:szCs w:val="18"/>
              </w:rPr>
            </w:pPr>
            <w:r>
              <w:rPr>
                <w:b/>
                <w:bCs/>
                <w:sz w:val="18"/>
                <w:szCs w:val="18"/>
              </w:rPr>
              <w:t>Level</w:t>
            </w:r>
          </w:p>
        </w:tc>
        <w:tc>
          <w:tcPr>
            <w:tcW w:w="2920" w:type="dxa"/>
            <w:shd w:val="clear" w:color="auto" w:fill="auto"/>
          </w:tcPr>
          <w:p w14:paraId="5C1519AC" w14:textId="06649455" w:rsidR="001A2988" w:rsidRPr="00FB53BF" w:rsidRDefault="001A2988" w:rsidP="00B671C6">
            <w:pPr>
              <w:spacing w:before="0"/>
              <w:rPr>
                <w:b/>
                <w:bCs/>
                <w:sz w:val="18"/>
                <w:szCs w:val="18"/>
              </w:rPr>
            </w:pPr>
            <w:r>
              <w:rPr>
                <w:b/>
                <w:bCs/>
                <w:sz w:val="18"/>
                <w:szCs w:val="18"/>
              </w:rPr>
              <w:t>Indicators</w:t>
            </w:r>
            <w:r w:rsidR="000425E5">
              <w:rPr>
                <w:b/>
                <w:bCs/>
                <w:sz w:val="18"/>
                <w:szCs w:val="18"/>
              </w:rPr>
              <w:t xml:space="preserve"> in the Project Document</w:t>
            </w:r>
          </w:p>
        </w:tc>
        <w:tc>
          <w:tcPr>
            <w:tcW w:w="2126" w:type="dxa"/>
            <w:shd w:val="clear" w:color="auto" w:fill="auto"/>
          </w:tcPr>
          <w:p w14:paraId="3086B6D3" w14:textId="77777777" w:rsidR="001A2988" w:rsidRPr="006053E4" w:rsidRDefault="001A2988" w:rsidP="00B671C6">
            <w:pPr>
              <w:spacing w:before="0"/>
              <w:rPr>
                <w:b/>
                <w:bCs/>
                <w:sz w:val="18"/>
                <w:szCs w:val="18"/>
              </w:rPr>
            </w:pPr>
            <w:r w:rsidRPr="006053E4">
              <w:rPr>
                <w:b/>
                <w:bCs/>
                <w:sz w:val="18"/>
                <w:szCs w:val="18"/>
              </w:rPr>
              <w:t>Assessment</w:t>
            </w:r>
          </w:p>
        </w:tc>
        <w:tc>
          <w:tcPr>
            <w:tcW w:w="3203" w:type="dxa"/>
          </w:tcPr>
          <w:p w14:paraId="3B20803D" w14:textId="5E0028D2" w:rsidR="001A2988" w:rsidRPr="00A26422" w:rsidRDefault="001A2988" w:rsidP="00B671C6">
            <w:pPr>
              <w:spacing w:before="0"/>
              <w:rPr>
                <w:b/>
                <w:bCs/>
                <w:sz w:val="18"/>
                <w:szCs w:val="18"/>
              </w:rPr>
            </w:pPr>
            <w:r>
              <w:rPr>
                <w:b/>
                <w:bCs/>
                <w:sz w:val="18"/>
                <w:szCs w:val="18"/>
              </w:rPr>
              <w:t>Suggested Modifi</w:t>
            </w:r>
            <w:r w:rsidR="00AA2B0C">
              <w:rPr>
                <w:b/>
                <w:bCs/>
                <w:sz w:val="18"/>
                <w:szCs w:val="18"/>
              </w:rPr>
              <w:t>ed Indicators</w:t>
            </w:r>
          </w:p>
        </w:tc>
      </w:tr>
      <w:tr w:rsidR="00BC33D3" w14:paraId="520C3070" w14:textId="77777777" w:rsidTr="00FA3AB3">
        <w:tc>
          <w:tcPr>
            <w:tcW w:w="908" w:type="dxa"/>
          </w:tcPr>
          <w:p w14:paraId="392DD482" w14:textId="77777777" w:rsidR="000425E5" w:rsidRDefault="000425E5" w:rsidP="00BC33D3">
            <w:pPr>
              <w:spacing w:before="0" w:line="240" w:lineRule="auto"/>
              <w:jc w:val="left"/>
              <w:rPr>
                <w:sz w:val="18"/>
                <w:szCs w:val="18"/>
              </w:rPr>
            </w:pPr>
            <w:r>
              <w:rPr>
                <w:sz w:val="18"/>
                <w:szCs w:val="18"/>
              </w:rPr>
              <w:t>Outcome</w:t>
            </w:r>
          </w:p>
          <w:p w14:paraId="001769D3" w14:textId="23240DB0" w:rsidR="001A2988" w:rsidRPr="00BC33D3" w:rsidRDefault="00BC33D3" w:rsidP="00BC33D3">
            <w:pPr>
              <w:spacing w:before="0" w:line="240" w:lineRule="auto"/>
              <w:jc w:val="left"/>
              <w:rPr>
                <w:sz w:val="18"/>
                <w:szCs w:val="18"/>
              </w:rPr>
            </w:pPr>
            <w:r>
              <w:rPr>
                <w:sz w:val="18"/>
                <w:szCs w:val="18"/>
              </w:rPr>
              <w:t>1</w:t>
            </w:r>
            <w:r w:rsidR="00CA47EB">
              <w:rPr>
                <w:sz w:val="18"/>
                <w:szCs w:val="18"/>
              </w:rPr>
              <w:t xml:space="preserve"> and </w:t>
            </w:r>
            <w:r w:rsidR="001A2988" w:rsidRPr="00BC33D3">
              <w:rPr>
                <w:sz w:val="18"/>
                <w:szCs w:val="18"/>
              </w:rPr>
              <w:t>2</w:t>
            </w:r>
          </w:p>
        </w:tc>
        <w:tc>
          <w:tcPr>
            <w:tcW w:w="2920" w:type="dxa"/>
            <w:shd w:val="clear" w:color="auto" w:fill="auto"/>
          </w:tcPr>
          <w:p w14:paraId="1FD6E247" w14:textId="201AFCF2" w:rsidR="001A2988" w:rsidRPr="001A2988" w:rsidRDefault="00FA3AB3" w:rsidP="001A2988">
            <w:pPr>
              <w:spacing w:before="0" w:line="240" w:lineRule="auto"/>
              <w:jc w:val="left"/>
              <w:rPr>
                <w:sz w:val="18"/>
                <w:szCs w:val="18"/>
              </w:rPr>
            </w:pPr>
            <w:r>
              <w:rPr>
                <w:sz w:val="18"/>
                <w:szCs w:val="18"/>
              </w:rPr>
              <w:t xml:space="preserve">1a and 2a: </w:t>
            </w:r>
            <w:r w:rsidR="001A2988" w:rsidRPr="001A2988">
              <w:rPr>
                <w:sz w:val="18"/>
                <w:szCs w:val="18"/>
              </w:rPr>
              <w:t>Number of users trained on the national MRV system</w:t>
            </w:r>
          </w:p>
        </w:tc>
        <w:tc>
          <w:tcPr>
            <w:tcW w:w="2126" w:type="dxa"/>
            <w:shd w:val="clear" w:color="auto" w:fill="auto"/>
          </w:tcPr>
          <w:p w14:paraId="11B38FD8" w14:textId="0A6982A5" w:rsidR="001A2988" w:rsidRPr="00B33E61" w:rsidRDefault="0040199D" w:rsidP="00BE4318">
            <w:pPr>
              <w:spacing w:before="0" w:line="240" w:lineRule="auto"/>
              <w:rPr>
                <w:sz w:val="18"/>
                <w:szCs w:val="18"/>
              </w:rPr>
            </w:pPr>
            <w:r>
              <w:rPr>
                <w:sz w:val="18"/>
                <w:szCs w:val="18"/>
              </w:rPr>
              <w:t>Th</w:t>
            </w:r>
            <w:r w:rsidR="00817AE9">
              <w:rPr>
                <w:sz w:val="18"/>
                <w:szCs w:val="18"/>
              </w:rPr>
              <w:t>ese</w:t>
            </w:r>
            <w:r>
              <w:rPr>
                <w:sz w:val="18"/>
                <w:szCs w:val="18"/>
              </w:rPr>
              <w:t xml:space="preserve"> </w:t>
            </w:r>
            <w:r w:rsidR="00817AE9">
              <w:rPr>
                <w:sz w:val="18"/>
                <w:szCs w:val="18"/>
              </w:rPr>
              <w:t>are</w:t>
            </w:r>
            <w:r>
              <w:rPr>
                <w:sz w:val="18"/>
                <w:szCs w:val="18"/>
              </w:rPr>
              <w:t xml:space="preserve"> process </w:t>
            </w:r>
            <w:r w:rsidR="00817AE9">
              <w:rPr>
                <w:sz w:val="18"/>
                <w:szCs w:val="18"/>
              </w:rPr>
              <w:t>i</w:t>
            </w:r>
            <w:r w:rsidR="00C15FB5">
              <w:rPr>
                <w:sz w:val="18"/>
                <w:szCs w:val="18"/>
              </w:rPr>
              <w:t>ndicator</w:t>
            </w:r>
            <w:r w:rsidR="00817AE9">
              <w:rPr>
                <w:sz w:val="18"/>
                <w:szCs w:val="18"/>
              </w:rPr>
              <w:t>s that do not measure the Outcomes</w:t>
            </w:r>
          </w:p>
        </w:tc>
        <w:tc>
          <w:tcPr>
            <w:tcW w:w="3203" w:type="dxa"/>
          </w:tcPr>
          <w:p w14:paraId="30A200F9" w14:textId="74EA72CC" w:rsidR="001A2988" w:rsidRPr="00B671C6" w:rsidRDefault="00C15FB5" w:rsidP="00BE4318">
            <w:pPr>
              <w:spacing w:before="0" w:line="240" w:lineRule="auto"/>
              <w:rPr>
                <w:sz w:val="18"/>
                <w:szCs w:val="18"/>
              </w:rPr>
            </w:pPr>
            <w:r>
              <w:rPr>
                <w:sz w:val="18"/>
                <w:szCs w:val="18"/>
              </w:rPr>
              <w:t xml:space="preserve">Number of beneficiaries </w:t>
            </w:r>
            <w:r w:rsidRPr="00C15FB5">
              <w:rPr>
                <w:sz w:val="18"/>
                <w:szCs w:val="18"/>
              </w:rPr>
              <w:t xml:space="preserve">that increase their capacities </w:t>
            </w:r>
            <w:r>
              <w:rPr>
                <w:sz w:val="18"/>
                <w:szCs w:val="18"/>
              </w:rPr>
              <w:t>as result of training</w:t>
            </w:r>
            <w:r w:rsidR="00E42625">
              <w:rPr>
                <w:sz w:val="18"/>
                <w:szCs w:val="18"/>
              </w:rPr>
              <w:t>, measured by responses in training self-</w:t>
            </w:r>
            <w:r w:rsidR="007643F0">
              <w:rPr>
                <w:sz w:val="18"/>
                <w:szCs w:val="18"/>
              </w:rPr>
              <w:t>evaluation</w:t>
            </w:r>
          </w:p>
        </w:tc>
      </w:tr>
      <w:tr w:rsidR="00BC33D3" w14:paraId="304C6701" w14:textId="77777777" w:rsidTr="00FA3AB3">
        <w:trPr>
          <w:trHeight w:val="571"/>
        </w:trPr>
        <w:tc>
          <w:tcPr>
            <w:tcW w:w="908" w:type="dxa"/>
          </w:tcPr>
          <w:p w14:paraId="365CB541" w14:textId="77777777" w:rsidR="000425E5" w:rsidRDefault="000425E5" w:rsidP="000425E5">
            <w:pPr>
              <w:spacing w:before="0" w:line="240" w:lineRule="auto"/>
              <w:jc w:val="left"/>
              <w:rPr>
                <w:sz w:val="18"/>
                <w:szCs w:val="18"/>
              </w:rPr>
            </w:pPr>
            <w:r>
              <w:rPr>
                <w:sz w:val="18"/>
                <w:szCs w:val="18"/>
              </w:rPr>
              <w:t>Outcome</w:t>
            </w:r>
          </w:p>
          <w:p w14:paraId="3E4F94E8" w14:textId="6B300F93" w:rsidR="001A2988" w:rsidRDefault="001A2988" w:rsidP="00BC33D3">
            <w:pPr>
              <w:pStyle w:val="ListParagraph"/>
              <w:spacing w:before="0" w:line="240" w:lineRule="auto"/>
              <w:ind w:left="0"/>
              <w:jc w:val="left"/>
              <w:rPr>
                <w:sz w:val="18"/>
                <w:szCs w:val="18"/>
              </w:rPr>
            </w:pPr>
            <w:r>
              <w:rPr>
                <w:sz w:val="18"/>
                <w:szCs w:val="18"/>
              </w:rPr>
              <w:t>1</w:t>
            </w:r>
            <w:r w:rsidR="00CA47EB">
              <w:rPr>
                <w:sz w:val="18"/>
                <w:szCs w:val="18"/>
              </w:rPr>
              <w:t xml:space="preserve"> and </w:t>
            </w:r>
            <w:r>
              <w:rPr>
                <w:sz w:val="18"/>
                <w:szCs w:val="18"/>
              </w:rPr>
              <w:t>2</w:t>
            </w:r>
          </w:p>
        </w:tc>
        <w:tc>
          <w:tcPr>
            <w:tcW w:w="2920" w:type="dxa"/>
            <w:shd w:val="clear" w:color="auto" w:fill="auto"/>
          </w:tcPr>
          <w:p w14:paraId="38AB2CAD" w14:textId="290A4575" w:rsidR="001A2988" w:rsidRPr="001A2988" w:rsidRDefault="00FA3AB3" w:rsidP="001A2988">
            <w:pPr>
              <w:spacing w:before="0" w:line="240" w:lineRule="auto"/>
              <w:rPr>
                <w:sz w:val="18"/>
                <w:szCs w:val="18"/>
              </w:rPr>
            </w:pPr>
            <w:r>
              <w:rPr>
                <w:sz w:val="18"/>
                <w:szCs w:val="18"/>
              </w:rPr>
              <w:t xml:space="preserve">1b and 2b: </w:t>
            </w:r>
            <w:r w:rsidR="001A2988" w:rsidRPr="001A2988">
              <w:rPr>
                <w:sz w:val="18"/>
                <w:szCs w:val="18"/>
              </w:rPr>
              <w:t>Level of participation in the MRV system</w:t>
            </w:r>
          </w:p>
        </w:tc>
        <w:tc>
          <w:tcPr>
            <w:tcW w:w="2126" w:type="dxa"/>
            <w:shd w:val="clear" w:color="auto" w:fill="auto"/>
          </w:tcPr>
          <w:p w14:paraId="19DDC995" w14:textId="5B3D878C" w:rsidR="001A2988" w:rsidRPr="00B671C6" w:rsidRDefault="00BC33D3" w:rsidP="00BE4318">
            <w:pPr>
              <w:spacing w:before="0" w:line="240" w:lineRule="auto"/>
              <w:rPr>
                <w:sz w:val="18"/>
                <w:szCs w:val="18"/>
              </w:rPr>
            </w:pPr>
            <w:r>
              <w:rPr>
                <w:sz w:val="18"/>
                <w:szCs w:val="18"/>
              </w:rPr>
              <w:t>Formulation of this indicator does not allow for measurement of progress</w:t>
            </w:r>
          </w:p>
        </w:tc>
        <w:tc>
          <w:tcPr>
            <w:tcW w:w="3203" w:type="dxa"/>
          </w:tcPr>
          <w:p w14:paraId="62CDB3A8" w14:textId="7142F72D" w:rsidR="001A2988" w:rsidRDefault="001A2988" w:rsidP="00BE4318">
            <w:pPr>
              <w:spacing w:before="0" w:line="240" w:lineRule="auto"/>
              <w:rPr>
                <w:sz w:val="18"/>
                <w:szCs w:val="18"/>
              </w:rPr>
            </w:pPr>
            <w:r w:rsidRPr="001A2988">
              <w:rPr>
                <w:sz w:val="18"/>
                <w:szCs w:val="18"/>
              </w:rPr>
              <w:t xml:space="preserve">Number of government agencies accessing data and information </w:t>
            </w:r>
            <w:r>
              <w:rPr>
                <w:sz w:val="18"/>
                <w:szCs w:val="18"/>
              </w:rPr>
              <w:t>i</w:t>
            </w:r>
            <w:r w:rsidRPr="001A2988">
              <w:rPr>
                <w:sz w:val="18"/>
                <w:szCs w:val="18"/>
              </w:rPr>
              <w:t xml:space="preserve">n the national </w:t>
            </w:r>
            <w:r>
              <w:rPr>
                <w:sz w:val="18"/>
                <w:szCs w:val="18"/>
              </w:rPr>
              <w:t>MRV system on a regular basis</w:t>
            </w:r>
          </w:p>
          <w:p w14:paraId="6C8B1FB5" w14:textId="467D6B17" w:rsidR="001A2988" w:rsidRPr="007B40D2" w:rsidRDefault="001A2988" w:rsidP="00BC33D3">
            <w:pPr>
              <w:spacing w:before="40" w:line="240" w:lineRule="auto"/>
              <w:rPr>
                <w:sz w:val="18"/>
                <w:szCs w:val="18"/>
              </w:rPr>
            </w:pPr>
            <w:r w:rsidRPr="00BE4318">
              <w:rPr>
                <w:sz w:val="18"/>
                <w:szCs w:val="18"/>
              </w:rPr>
              <w:t xml:space="preserve">Number of government agencies </w:t>
            </w:r>
            <w:r w:rsidR="007E243E">
              <w:rPr>
                <w:sz w:val="18"/>
                <w:szCs w:val="18"/>
              </w:rPr>
              <w:t xml:space="preserve">mandated by the existing legislation </w:t>
            </w:r>
            <w:r w:rsidRPr="00BE4318">
              <w:rPr>
                <w:sz w:val="18"/>
                <w:szCs w:val="18"/>
              </w:rPr>
              <w:t xml:space="preserve">reporting data to the national </w:t>
            </w:r>
            <w:r>
              <w:rPr>
                <w:sz w:val="18"/>
                <w:szCs w:val="18"/>
              </w:rPr>
              <w:t xml:space="preserve">MRV system </w:t>
            </w:r>
            <w:r w:rsidRPr="00BE4318">
              <w:rPr>
                <w:sz w:val="18"/>
                <w:szCs w:val="18"/>
              </w:rPr>
              <w:t>on a regular basis</w:t>
            </w:r>
          </w:p>
        </w:tc>
      </w:tr>
      <w:tr w:rsidR="00BC33D3" w14:paraId="04DB69DA" w14:textId="77777777" w:rsidTr="00FA3AB3">
        <w:tc>
          <w:tcPr>
            <w:tcW w:w="908" w:type="dxa"/>
          </w:tcPr>
          <w:p w14:paraId="1DA257C8" w14:textId="77777777" w:rsidR="000425E5" w:rsidRDefault="000425E5" w:rsidP="000425E5">
            <w:pPr>
              <w:spacing w:before="0" w:line="240" w:lineRule="auto"/>
              <w:jc w:val="left"/>
              <w:rPr>
                <w:sz w:val="18"/>
                <w:szCs w:val="18"/>
              </w:rPr>
            </w:pPr>
            <w:r>
              <w:rPr>
                <w:sz w:val="18"/>
                <w:szCs w:val="18"/>
              </w:rPr>
              <w:t>Outcome</w:t>
            </w:r>
          </w:p>
          <w:p w14:paraId="24889CD5" w14:textId="05234323" w:rsidR="001A2988" w:rsidRPr="001A2988" w:rsidRDefault="001A2988" w:rsidP="00BC33D3">
            <w:pPr>
              <w:spacing w:before="0"/>
              <w:ind w:left="-57"/>
              <w:jc w:val="left"/>
              <w:rPr>
                <w:sz w:val="18"/>
                <w:szCs w:val="18"/>
              </w:rPr>
            </w:pPr>
            <w:r>
              <w:rPr>
                <w:sz w:val="18"/>
                <w:szCs w:val="18"/>
              </w:rPr>
              <w:t>1</w:t>
            </w:r>
            <w:r w:rsidR="00CA47EB">
              <w:rPr>
                <w:sz w:val="18"/>
                <w:szCs w:val="18"/>
              </w:rPr>
              <w:t xml:space="preserve"> and </w:t>
            </w:r>
            <w:r>
              <w:rPr>
                <w:sz w:val="18"/>
                <w:szCs w:val="18"/>
              </w:rPr>
              <w:t>2</w:t>
            </w:r>
          </w:p>
        </w:tc>
        <w:tc>
          <w:tcPr>
            <w:tcW w:w="2920" w:type="dxa"/>
            <w:shd w:val="clear" w:color="auto" w:fill="auto"/>
          </w:tcPr>
          <w:p w14:paraId="7E185BC3" w14:textId="23B3397A" w:rsidR="001A2988" w:rsidRPr="00B671C6" w:rsidRDefault="00FA3AB3" w:rsidP="00BC33D3">
            <w:pPr>
              <w:spacing w:before="0" w:line="240" w:lineRule="auto"/>
              <w:rPr>
                <w:sz w:val="18"/>
                <w:szCs w:val="18"/>
              </w:rPr>
            </w:pPr>
            <w:r>
              <w:rPr>
                <w:sz w:val="18"/>
                <w:szCs w:val="18"/>
              </w:rPr>
              <w:t xml:space="preserve">1c and 2c: </w:t>
            </w:r>
            <w:r w:rsidR="001A2988" w:rsidRPr="001A2988">
              <w:rPr>
                <w:sz w:val="18"/>
                <w:szCs w:val="18"/>
              </w:rPr>
              <w:t xml:space="preserve">Degree to which domestic MRV system informs policies and reporting </w:t>
            </w:r>
            <w:r w:rsidR="00BC33D3">
              <w:rPr>
                <w:sz w:val="18"/>
                <w:szCs w:val="18"/>
              </w:rPr>
              <w:t>related to mitigation/adaptation</w:t>
            </w:r>
          </w:p>
        </w:tc>
        <w:tc>
          <w:tcPr>
            <w:tcW w:w="2126" w:type="dxa"/>
            <w:shd w:val="clear" w:color="auto" w:fill="auto"/>
          </w:tcPr>
          <w:p w14:paraId="07855635" w14:textId="0E02FC66" w:rsidR="001A2988" w:rsidRPr="00B671C6" w:rsidRDefault="00BC33D3" w:rsidP="00BC33D3">
            <w:pPr>
              <w:spacing w:before="0" w:line="240" w:lineRule="auto"/>
              <w:rPr>
                <w:sz w:val="18"/>
                <w:szCs w:val="18"/>
              </w:rPr>
            </w:pPr>
            <w:r>
              <w:rPr>
                <w:sz w:val="18"/>
                <w:szCs w:val="18"/>
              </w:rPr>
              <w:t>Formulation of this indicator and its target values does not allow for measurement of progress/achievement</w:t>
            </w:r>
          </w:p>
        </w:tc>
        <w:tc>
          <w:tcPr>
            <w:tcW w:w="3203" w:type="dxa"/>
          </w:tcPr>
          <w:p w14:paraId="2148E73A" w14:textId="584B496B" w:rsidR="001A2988" w:rsidRPr="00B671C6" w:rsidRDefault="00BC33D3" w:rsidP="00C15FB5">
            <w:pPr>
              <w:spacing w:before="0" w:line="240" w:lineRule="auto"/>
              <w:rPr>
                <w:sz w:val="18"/>
                <w:szCs w:val="18"/>
              </w:rPr>
            </w:pPr>
            <w:r>
              <w:rPr>
                <w:sz w:val="18"/>
                <w:szCs w:val="18"/>
              </w:rPr>
              <w:t xml:space="preserve">Number of national CC legislation </w:t>
            </w:r>
            <w:r w:rsidR="00C15FB5">
              <w:rPr>
                <w:sz w:val="18"/>
                <w:szCs w:val="18"/>
              </w:rPr>
              <w:t xml:space="preserve">and international reports </w:t>
            </w:r>
            <w:r>
              <w:rPr>
                <w:sz w:val="18"/>
                <w:szCs w:val="18"/>
              </w:rPr>
              <w:t>informed by the MRV syste</w:t>
            </w:r>
            <w:r w:rsidR="00CA47EB">
              <w:rPr>
                <w:sz w:val="18"/>
                <w:szCs w:val="18"/>
              </w:rPr>
              <w:t>m</w:t>
            </w:r>
          </w:p>
        </w:tc>
      </w:tr>
      <w:tr w:rsidR="00A65309" w14:paraId="083FFCFB" w14:textId="77777777" w:rsidTr="00FA3AB3">
        <w:tc>
          <w:tcPr>
            <w:tcW w:w="908" w:type="dxa"/>
          </w:tcPr>
          <w:p w14:paraId="42D521E9" w14:textId="07F9642B" w:rsidR="00A65309" w:rsidRDefault="000425E5" w:rsidP="00285C5B">
            <w:pPr>
              <w:spacing w:before="0"/>
              <w:rPr>
                <w:sz w:val="18"/>
                <w:szCs w:val="18"/>
              </w:rPr>
            </w:pPr>
            <w:r>
              <w:rPr>
                <w:sz w:val="18"/>
                <w:szCs w:val="18"/>
              </w:rPr>
              <w:t>Outcome 3.1</w:t>
            </w:r>
          </w:p>
        </w:tc>
        <w:tc>
          <w:tcPr>
            <w:tcW w:w="2920" w:type="dxa"/>
            <w:shd w:val="clear" w:color="auto" w:fill="auto"/>
          </w:tcPr>
          <w:p w14:paraId="0582CB14" w14:textId="5FB594A8" w:rsidR="00A65309" w:rsidRPr="00CA47EB" w:rsidRDefault="00A65309" w:rsidP="00CA47EB">
            <w:pPr>
              <w:spacing w:before="0" w:line="240" w:lineRule="auto"/>
              <w:rPr>
                <w:sz w:val="18"/>
                <w:szCs w:val="18"/>
              </w:rPr>
            </w:pPr>
            <w:r>
              <w:rPr>
                <w:sz w:val="18"/>
                <w:szCs w:val="18"/>
              </w:rPr>
              <w:t>Missing indicator</w:t>
            </w:r>
          </w:p>
        </w:tc>
        <w:tc>
          <w:tcPr>
            <w:tcW w:w="2126" w:type="dxa"/>
            <w:shd w:val="clear" w:color="auto" w:fill="auto"/>
          </w:tcPr>
          <w:p w14:paraId="05B5732B" w14:textId="135FA7B9" w:rsidR="00A65309" w:rsidRDefault="00A65309" w:rsidP="00CA47EB">
            <w:pPr>
              <w:spacing w:before="0" w:line="240" w:lineRule="auto"/>
              <w:rPr>
                <w:sz w:val="18"/>
                <w:szCs w:val="18"/>
              </w:rPr>
            </w:pPr>
            <w:r>
              <w:rPr>
                <w:sz w:val="18"/>
                <w:szCs w:val="18"/>
              </w:rPr>
              <w:t>N.A.</w:t>
            </w:r>
          </w:p>
        </w:tc>
        <w:tc>
          <w:tcPr>
            <w:tcW w:w="3203" w:type="dxa"/>
          </w:tcPr>
          <w:p w14:paraId="1D0FF53E" w14:textId="1750D5B9" w:rsidR="00A65309" w:rsidRDefault="00A65309" w:rsidP="00CA47EB">
            <w:pPr>
              <w:spacing w:before="0" w:line="240" w:lineRule="auto"/>
              <w:rPr>
                <w:sz w:val="18"/>
                <w:szCs w:val="18"/>
              </w:rPr>
            </w:pPr>
            <w:r>
              <w:rPr>
                <w:sz w:val="18"/>
                <w:szCs w:val="18"/>
              </w:rPr>
              <w:t xml:space="preserve">Existence of a fully functional MRV </w:t>
            </w:r>
            <w:r w:rsidR="00C02253">
              <w:rPr>
                <w:sz w:val="18"/>
                <w:szCs w:val="18"/>
              </w:rPr>
              <w:t>portal</w:t>
            </w:r>
          </w:p>
        </w:tc>
      </w:tr>
      <w:tr w:rsidR="00BC33D3" w14:paraId="4268DE83" w14:textId="77777777" w:rsidTr="00FA3AB3">
        <w:tc>
          <w:tcPr>
            <w:tcW w:w="908" w:type="dxa"/>
          </w:tcPr>
          <w:p w14:paraId="57ABEAEF" w14:textId="77777777" w:rsidR="000425E5" w:rsidRDefault="000425E5" w:rsidP="000425E5">
            <w:pPr>
              <w:spacing w:before="0" w:line="240" w:lineRule="auto"/>
              <w:jc w:val="left"/>
              <w:rPr>
                <w:sz w:val="18"/>
                <w:szCs w:val="18"/>
              </w:rPr>
            </w:pPr>
            <w:r>
              <w:rPr>
                <w:sz w:val="18"/>
                <w:szCs w:val="18"/>
              </w:rPr>
              <w:t>Outcome</w:t>
            </w:r>
          </w:p>
          <w:p w14:paraId="0D478B8E" w14:textId="2FEAFA19" w:rsidR="001A2988" w:rsidRPr="00B671C6" w:rsidRDefault="00BC33D3" w:rsidP="00285C5B">
            <w:pPr>
              <w:spacing w:before="0"/>
              <w:rPr>
                <w:sz w:val="18"/>
                <w:szCs w:val="18"/>
              </w:rPr>
            </w:pPr>
            <w:r>
              <w:rPr>
                <w:sz w:val="18"/>
                <w:szCs w:val="18"/>
              </w:rPr>
              <w:t>3</w:t>
            </w:r>
            <w:r w:rsidR="00CA47EB">
              <w:rPr>
                <w:sz w:val="18"/>
                <w:szCs w:val="18"/>
              </w:rPr>
              <w:t>.1</w:t>
            </w:r>
          </w:p>
        </w:tc>
        <w:tc>
          <w:tcPr>
            <w:tcW w:w="2920" w:type="dxa"/>
            <w:shd w:val="clear" w:color="auto" w:fill="auto"/>
          </w:tcPr>
          <w:p w14:paraId="70787223" w14:textId="34BC5B76" w:rsidR="001A2988" w:rsidRPr="00B671C6" w:rsidRDefault="00FA3AB3" w:rsidP="00CA47EB">
            <w:pPr>
              <w:spacing w:before="0" w:line="240" w:lineRule="auto"/>
              <w:rPr>
                <w:sz w:val="18"/>
                <w:szCs w:val="18"/>
              </w:rPr>
            </w:pPr>
            <w:r>
              <w:rPr>
                <w:sz w:val="18"/>
                <w:szCs w:val="18"/>
              </w:rPr>
              <w:t xml:space="preserve">3.1.a: </w:t>
            </w:r>
            <w:r w:rsidR="00CA47EB" w:rsidRPr="00CA47EB">
              <w:rPr>
                <w:sz w:val="18"/>
                <w:szCs w:val="18"/>
              </w:rPr>
              <w:t>Number of stakeholders in local governments and businesses trained on the national MRV system (gender-disaggregated)</w:t>
            </w:r>
          </w:p>
        </w:tc>
        <w:tc>
          <w:tcPr>
            <w:tcW w:w="2126" w:type="dxa"/>
            <w:shd w:val="clear" w:color="auto" w:fill="auto"/>
          </w:tcPr>
          <w:p w14:paraId="57BF8D6B" w14:textId="7E81A511" w:rsidR="001A2988" w:rsidRPr="00B671C6" w:rsidRDefault="00C02253" w:rsidP="00CA47EB">
            <w:pPr>
              <w:spacing w:before="0" w:line="240" w:lineRule="auto"/>
              <w:rPr>
                <w:sz w:val="18"/>
                <w:szCs w:val="18"/>
              </w:rPr>
            </w:pPr>
            <w:r>
              <w:rPr>
                <w:sz w:val="18"/>
                <w:szCs w:val="18"/>
              </w:rPr>
              <w:t>Indicator measures activity but not results</w:t>
            </w:r>
          </w:p>
        </w:tc>
        <w:tc>
          <w:tcPr>
            <w:tcW w:w="3203" w:type="dxa"/>
          </w:tcPr>
          <w:p w14:paraId="6AA12081" w14:textId="26488AB8" w:rsidR="001A2988" w:rsidRPr="00B671C6" w:rsidRDefault="00C15FB5" w:rsidP="00CA47EB">
            <w:pPr>
              <w:spacing w:before="0" w:line="240" w:lineRule="auto"/>
              <w:rPr>
                <w:sz w:val="18"/>
                <w:szCs w:val="18"/>
              </w:rPr>
            </w:pPr>
            <w:r w:rsidRPr="00CA47EB">
              <w:rPr>
                <w:sz w:val="18"/>
                <w:szCs w:val="18"/>
              </w:rPr>
              <w:t>Number of stakeholders in local governments and businesses</w:t>
            </w:r>
            <w:r w:rsidRPr="00C15FB5">
              <w:rPr>
                <w:sz w:val="18"/>
                <w:szCs w:val="18"/>
              </w:rPr>
              <w:t xml:space="preserve"> that increase</w:t>
            </w:r>
            <w:r>
              <w:rPr>
                <w:sz w:val="18"/>
                <w:szCs w:val="18"/>
              </w:rPr>
              <w:t>d</w:t>
            </w:r>
            <w:r w:rsidRPr="00C15FB5">
              <w:rPr>
                <w:sz w:val="18"/>
                <w:szCs w:val="18"/>
              </w:rPr>
              <w:t xml:space="preserve"> their capacities </w:t>
            </w:r>
            <w:r>
              <w:rPr>
                <w:sz w:val="18"/>
                <w:szCs w:val="18"/>
              </w:rPr>
              <w:t>on the ETF as result of training</w:t>
            </w:r>
          </w:p>
        </w:tc>
      </w:tr>
      <w:tr w:rsidR="00BC33D3" w14:paraId="19F62CB0" w14:textId="77777777" w:rsidTr="00FA3AB3">
        <w:tc>
          <w:tcPr>
            <w:tcW w:w="908" w:type="dxa"/>
          </w:tcPr>
          <w:p w14:paraId="6A686D6C" w14:textId="77777777" w:rsidR="000425E5" w:rsidRDefault="000425E5" w:rsidP="000425E5">
            <w:pPr>
              <w:spacing w:before="0" w:line="240" w:lineRule="auto"/>
              <w:jc w:val="left"/>
              <w:rPr>
                <w:sz w:val="18"/>
                <w:szCs w:val="18"/>
              </w:rPr>
            </w:pPr>
            <w:r>
              <w:rPr>
                <w:sz w:val="18"/>
                <w:szCs w:val="18"/>
              </w:rPr>
              <w:t>Outcome</w:t>
            </w:r>
          </w:p>
          <w:p w14:paraId="455B053F" w14:textId="592C4719" w:rsidR="001A2988" w:rsidRPr="00B671C6" w:rsidRDefault="00CA47EB" w:rsidP="00E209F6">
            <w:pPr>
              <w:spacing w:before="0"/>
              <w:rPr>
                <w:sz w:val="18"/>
                <w:szCs w:val="18"/>
              </w:rPr>
            </w:pPr>
            <w:r>
              <w:rPr>
                <w:sz w:val="18"/>
                <w:szCs w:val="18"/>
              </w:rPr>
              <w:t>3.1</w:t>
            </w:r>
          </w:p>
        </w:tc>
        <w:tc>
          <w:tcPr>
            <w:tcW w:w="2920" w:type="dxa"/>
            <w:shd w:val="clear" w:color="auto" w:fill="auto"/>
          </w:tcPr>
          <w:p w14:paraId="63D199C5" w14:textId="5FE826DF" w:rsidR="001A2988" w:rsidRPr="00B671C6" w:rsidRDefault="00FA3AB3" w:rsidP="00CA47EB">
            <w:pPr>
              <w:spacing w:before="0" w:line="240" w:lineRule="auto"/>
              <w:rPr>
                <w:sz w:val="18"/>
                <w:szCs w:val="18"/>
              </w:rPr>
            </w:pPr>
            <w:r>
              <w:rPr>
                <w:sz w:val="18"/>
                <w:szCs w:val="18"/>
              </w:rPr>
              <w:t xml:space="preserve">3.1.b: </w:t>
            </w:r>
            <w:r w:rsidR="00CA47EB" w:rsidRPr="00CA47EB">
              <w:rPr>
                <w:sz w:val="18"/>
                <w:szCs w:val="18"/>
              </w:rPr>
              <w:t>Level of participation in the MRV system by local governments and businesses</w:t>
            </w:r>
          </w:p>
        </w:tc>
        <w:tc>
          <w:tcPr>
            <w:tcW w:w="2126" w:type="dxa"/>
            <w:shd w:val="clear" w:color="auto" w:fill="auto"/>
          </w:tcPr>
          <w:p w14:paraId="7B04FDFE" w14:textId="668215B4" w:rsidR="001A2988" w:rsidRPr="00B671C6" w:rsidRDefault="00CA47EB" w:rsidP="00CA47EB">
            <w:pPr>
              <w:spacing w:before="0" w:line="240" w:lineRule="auto"/>
              <w:rPr>
                <w:sz w:val="18"/>
                <w:szCs w:val="18"/>
              </w:rPr>
            </w:pPr>
            <w:r>
              <w:rPr>
                <w:sz w:val="18"/>
                <w:szCs w:val="18"/>
              </w:rPr>
              <w:t xml:space="preserve">Formulation of this indicator </w:t>
            </w:r>
            <w:r w:rsidR="00E42625">
              <w:rPr>
                <w:sz w:val="18"/>
                <w:szCs w:val="18"/>
              </w:rPr>
              <w:t xml:space="preserve">does </w:t>
            </w:r>
            <w:r w:rsidR="008D4565">
              <w:rPr>
                <w:sz w:val="18"/>
                <w:szCs w:val="18"/>
              </w:rPr>
              <w:t>not conform to its target values</w:t>
            </w:r>
          </w:p>
        </w:tc>
        <w:tc>
          <w:tcPr>
            <w:tcW w:w="3203" w:type="dxa"/>
          </w:tcPr>
          <w:p w14:paraId="0990FAE7" w14:textId="1C1CFB5D" w:rsidR="001A2988" w:rsidRDefault="00CA47EB" w:rsidP="00CA47EB">
            <w:pPr>
              <w:spacing w:before="0" w:line="240" w:lineRule="auto"/>
              <w:rPr>
                <w:sz w:val="18"/>
                <w:szCs w:val="18"/>
              </w:rPr>
            </w:pPr>
            <w:r>
              <w:rPr>
                <w:sz w:val="18"/>
                <w:szCs w:val="18"/>
              </w:rPr>
              <w:t>Number of local governments and businesses reporting data on CCA and CCM (with specified number of sectors)</w:t>
            </w:r>
            <w:r w:rsidR="00524B07">
              <w:rPr>
                <w:sz w:val="18"/>
                <w:szCs w:val="18"/>
              </w:rPr>
              <w:t xml:space="preserve"> through the MRV system</w:t>
            </w:r>
          </w:p>
        </w:tc>
      </w:tr>
      <w:tr w:rsidR="00BC33D3" w14:paraId="278D28EA" w14:textId="77777777" w:rsidTr="00FA3AB3">
        <w:tc>
          <w:tcPr>
            <w:tcW w:w="908" w:type="dxa"/>
          </w:tcPr>
          <w:p w14:paraId="433AA8D1" w14:textId="77777777" w:rsidR="000425E5" w:rsidRDefault="000425E5" w:rsidP="000425E5">
            <w:pPr>
              <w:spacing w:before="0" w:line="240" w:lineRule="auto"/>
              <w:jc w:val="left"/>
              <w:rPr>
                <w:sz w:val="18"/>
                <w:szCs w:val="18"/>
              </w:rPr>
            </w:pPr>
            <w:r>
              <w:rPr>
                <w:sz w:val="18"/>
                <w:szCs w:val="18"/>
              </w:rPr>
              <w:t>Outcome</w:t>
            </w:r>
          </w:p>
          <w:p w14:paraId="25458AA6" w14:textId="34D34944" w:rsidR="001A2988" w:rsidRPr="00B671C6" w:rsidRDefault="00CA47EB" w:rsidP="00E209F6">
            <w:pPr>
              <w:spacing w:before="0"/>
              <w:rPr>
                <w:sz w:val="18"/>
                <w:szCs w:val="18"/>
              </w:rPr>
            </w:pPr>
            <w:r>
              <w:rPr>
                <w:sz w:val="18"/>
                <w:szCs w:val="18"/>
              </w:rPr>
              <w:t>3.1</w:t>
            </w:r>
          </w:p>
        </w:tc>
        <w:tc>
          <w:tcPr>
            <w:tcW w:w="2920" w:type="dxa"/>
            <w:shd w:val="clear" w:color="auto" w:fill="auto"/>
          </w:tcPr>
          <w:p w14:paraId="141D1B54" w14:textId="393B053F" w:rsidR="001A2988" w:rsidRPr="00B671C6" w:rsidRDefault="00FA3AB3" w:rsidP="00CA47EB">
            <w:pPr>
              <w:spacing w:before="0" w:line="240" w:lineRule="auto"/>
              <w:rPr>
                <w:sz w:val="18"/>
                <w:szCs w:val="18"/>
              </w:rPr>
            </w:pPr>
            <w:r>
              <w:rPr>
                <w:sz w:val="18"/>
                <w:szCs w:val="18"/>
              </w:rPr>
              <w:t xml:space="preserve">3.1.c: </w:t>
            </w:r>
            <w:r w:rsidR="00CA47EB" w:rsidRPr="00CA47EB">
              <w:rPr>
                <w:sz w:val="18"/>
                <w:szCs w:val="18"/>
              </w:rPr>
              <w:t>Degree to which domestic MRV system informs policies and reporting related to capacity needs, technology transfer, and support received related to climate change and policy documents such as the NDCs</w:t>
            </w:r>
          </w:p>
        </w:tc>
        <w:tc>
          <w:tcPr>
            <w:tcW w:w="2126" w:type="dxa"/>
            <w:shd w:val="clear" w:color="auto" w:fill="auto"/>
          </w:tcPr>
          <w:p w14:paraId="321E7DAF" w14:textId="77777777" w:rsidR="001A2988" w:rsidRDefault="00CA47EB" w:rsidP="00CA47EB">
            <w:pPr>
              <w:spacing w:before="0" w:line="240" w:lineRule="auto"/>
              <w:rPr>
                <w:sz w:val="18"/>
                <w:szCs w:val="18"/>
              </w:rPr>
            </w:pPr>
            <w:r>
              <w:rPr>
                <w:sz w:val="18"/>
                <w:szCs w:val="18"/>
              </w:rPr>
              <w:t>Formulation of this indicator does not allow for measurement of progress</w:t>
            </w:r>
          </w:p>
          <w:p w14:paraId="3BAE329E" w14:textId="4723CC67" w:rsidR="00CA47EB" w:rsidRDefault="00CA47EB" w:rsidP="00CA47EB">
            <w:pPr>
              <w:spacing w:before="0" w:line="240" w:lineRule="auto"/>
            </w:pPr>
          </w:p>
        </w:tc>
        <w:tc>
          <w:tcPr>
            <w:tcW w:w="3203" w:type="dxa"/>
          </w:tcPr>
          <w:p w14:paraId="24D8ADB8" w14:textId="43E73798" w:rsidR="001A2988" w:rsidRDefault="00802EB7" w:rsidP="00CA47EB">
            <w:pPr>
              <w:spacing w:before="0" w:line="240" w:lineRule="auto"/>
              <w:rPr>
                <w:sz w:val="18"/>
                <w:szCs w:val="18"/>
              </w:rPr>
            </w:pPr>
            <w:r>
              <w:rPr>
                <w:sz w:val="18"/>
                <w:szCs w:val="18"/>
              </w:rPr>
              <w:t xml:space="preserve">Existence of a </w:t>
            </w:r>
            <w:r w:rsidR="00524B07">
              <w:rPr>
                <w:sz w:val="18"/>
                <w:szCs w:val="18"/>
              </w:rPr>
              <w:t xml:space="preserve">part of the MRV system for </w:t>
            </w:r>
            <w:r>
              <w:rPr>
                <w:sz w:val="18"/>
                <w:szCs w:val="18"/>
              </w:rPr>
              <w:t xml:space="preserve">reporting </w:t>
            </w:r>
            <w:r w:rsidRPr="00CA47EB">
              <w:rPr>
                <w:sz w:val="18"/>
                <w:szCs w:val="18"/>
              </w:rPr>
              <w:t>related to capacity needs, technology transfer</w:t>
            </w:r>
            <w:r w:rsidR="000425E5">
              <w:rPr>
                <w:sz w:val="18"/>
                <w:szCs w:val="18"/>
              </w:rPr>
              <w:t xml:space="preserve"> and financing</w:t>
            </w:r>
          </w:p>
        </w:tc>
      </w:tr>
      <w:tr w:rsidR="00BC33D3" w14:paraId="45D36DBF" w14:textId="77777777" w:rsidTr="00FA3AB3">
        <w:tc>
          <w:tcPr>
            <w:tcW w:w="908" w:type="dxa"/>
          </w:tcPr>
          <w:p w14:paraId="3C6B38EF" w14:textId="77777777" w:rsidR="000425E5" w:rsidRDefault="000425E5" w:rsidP="000425E5">
            <w:pPr>
              <w:spacing w:before="0" w:line="240" w:lineRule="auto"/>
              <w:jc w:val="left"/>
              <w:rPr>
                <w:sz w:val="18"/>
                <w:szCs w:val="18"/>
              </w:rPr>
            </w:pPr>
            <w:r>
              <w:rPr>
                <w:sz w:val="18"/>
                <w:szCs w:val="18"/>
              </w:rPr>
              <w:t>Outcome</w:t>
            </w:r>
          </w:p>
          <w:p w14:paraId="1C666819" w14:textId="5F9EE4CB" w:rsidR="001A2988" w:rsidRPr="00F77719" w:rsidRDefault="00802EB7" w:rsidP="00E209F6">
            <w:pPr>
              <w:spacing w:before="0"/>
              <w:rPr>
                <w:sz w:val="18"/>
                <w:szCs w:val="18"/>
              </w:rPr>
            </w:pPr>
            <w:r>
              <w:rPr>
                <w:sz w:val="18"/>
                <w:szCs w:val="18"/>
              </w:rPr>
              <w:t>3.2</w:t>
            </w:r>
          </w:p>
        </w:tc>
        <w:tc>
          <w:tcPr>
            <w:tcW w:w="2920" w:type="dxa"/>
            <w:shd w:val="clear" w:color="auto" w:fill="auto"/>
          </w:tcPr>
          <w:p w14:paraId="6D674DE8" w14:textId="06CB73E7" w:rsidR="001A2988" w:rsidRPr="00B671C6" w:rsidRDefault="00802EB7" w:rsidP="00CA47EB">
            <w:pPr>
              <w:spacing w:before="0" w:line="240" w:lineRule="auto"/>
              <w:rPr>
                <w:sz w:val="18"/>
                <w:szCs w:val="18"/>
              </w:rPr>
            </w:pPr>
            <w:r>
              <w:rPr>
                <w:sz w:val="18"/>
                <w:szCs w:val="18"/>
              </w:rPr>
              <w:t>All indicators</w:t>
            </w:r>
          </w:p>
        </w:tc>
        <w:tc>
          <w:tcPr>
            <w:tcW w:w="2126" w:type="dxa"/>
            <w:shd w:val="clear" w:color="auto" w:fill="auto"/>
          </w:tcPr>
          <w:p w14:paraId="2F24A043" w14:textId="54531124" w:rsidR="001A2988" w:rsidRDefault="00802EB7" w:rsidP="00802EB7">
            <w:pPr>
              <w:spacing w:before="0" w:line="240" w:lineRule="auto"/>
            </w:pPr>
            <w:r>
              <w:rPr>
                <w:sz w:val="18"/>
                <w:szCs w:val="18"/>
              </w:rPr>
              <w:t>Correctly formulated indicators</w:t>
            </w:r>
          </w:p>
        </w:tc>
        <w:tc>
          <w:tcPr>
            <w:tcW w:w="3203" w:type="dxa"/>
          </w:tcPr>
          <w:p w14:paraId="2B25023B" w14:textId="2494E2BA" w:rsidR="001A2988" w:rsidRDefault="00802EB7" w:rsidP="00CA47EB">
            <w:pPr>
              <w:spacing w:before="0" w:line="240" w:lineRule="auto"/>
              <w:rPr>
                <w:sz w:val="18"/>
                <w:szCs w:val="18"/>
              </w:rPr>
            </w:pPr>
            <w:r>
              <w:rPr>
                <w:sz w:val="18"/>
                <w:szCs w:val="18"/>
              </w:rPr>
              <w:t>No change</w:t>
            </w:r>
          </w:p>
        </w:tc>
      </w:tr>
      <w:tr w:rsidR="00802EB7" w14:paraId="49A04CB9" w14:textId="77777777" w:rsidTr="00FA3AB3">
        <w:tc>
          <w:tcPr>
            <w:tcW w:w="908" w:type="dxa"/>
          </w:tcPr>
          <w:p w14:paraId="78740EF3" w14:textId="77777777" w:rsidR="000425E5" w:rsidRDefault="000425E5" w:rsidP="000425E5">
            <w:pPr>
              <w:spacing w:before="0" w:line="240" w:lineRule="auto"/>
              <w:jc w:val="left"/>
              <w:rPr>
                <w:sz w:val="18"/>
                <w:szCs w:val="18"/>
              </w:rPr>
            </w:pPr>
            <w:r>
              <w:rPr>
                <w:sz w:val="18"/>
                <w:szCs w:val="18"/>
              </w:rPr>
              <w:t>Outcome</w:t>
            </w:r>
          </w:p>
          <w:p w14:paraId="61F7BD72" w14:textId="5A63FC58" w:rsidR="00802EB7" w:rsidRPr="007B40D2" w:rsidRDefault="00802EB7" w:rsidP="00802EB7">
            <w:pPr>
              <w:spacing w:before="0"/>
              <w:rPr>
                <w:sz w:val="18"/>
                <w:szCs w:val="18"/>
              </w:rPr>
            </w:pPr>
            <w:r>
              <w:rPr>
                <w:sz w:val="18"/>
                <w:szCs w:val="18"/>
              </w:rPr>
              <w:t>3.3</w:t>
            </w:r>
          </w:p>
        </w:tc>
        <w:tc>
          <w:tcPr>
            <w:tcW w:w="2920" w:type="dxa"/>
            <w:shd w:val="clear" w:color="auto" w:fill="auto"/>
          </w:tcPr>
          <w:p w14:paraId="5D541B3A" w14:textId="3219F386" w:rsidR="00802EB7" w:rsidRPr="00B671C6" w:rsidRDefault="00802EB7" w:rsidP="00802EB7">
            <w:pPr>
              <w:spacing w:before="0" w:line="240" w:lineRule="auto"/>
              <w:rPr>
                <w:sz w:val="18"/>
                <w:szCs w:val="18"/>
              </w:rPr>
            </w:pPr>
            <w:r>
              <w:rPr>
                <w:sz w:val="18"/>
                <w:szCs w:val="18"/>
              </w:rPr>
              <w:t>All indicators</w:t>
            </w:r>
          </w:p>
        </w:tc>
        <w:tc>
          <w:tcPr>
            <w:tcW w:w="2126" w:type="dxa"/>
            <w:shd w:val="clear" w:color="auto" w:fill="auto"/>
          </w:tcPr>
          <w:p w14:paraId="7EA55AA8" w14:textId="36E6D882" w:rsidR="00802EB7" w:rsidRDefault="00802EB7" w:rsidP="00802EB7">
            <w:pPr>
              <w:spacing w:before="0" w:line="240" w:lineRule="auto"/>
              <w:rPr>
                <w:sz w:val="18"/>
                <w:szCs w:val="18"/>
              </w:rPr>
            </w:pPr>
            <w:r>
              <w:rPr>
                <w:sz w:val="18"/>
                <w:szCs w:val="18"/>
              </w:rPr>
              <w:t>Correctly formulated indicators</w:t>
            </w:r>
          </w:p>
        </w:tc>
        <w:tc>
          <w:tcPr>
            <w:tcW w:w="3203" w:type="dxa"/>
          </w:tcPr>
          <w:p w14:paraId="2893D006" w14:textId="77777777" w:rsidR="00802EB7" w:rsidRDefault="00802EB7" w:rsidP="00802EB7">
            <w:pPr>
              <w:spacing w:before="0" w:line="240" w:lineRule="auto"/>
              <w:rPr>
                <w:sz w:val="18"/>
                <w:szCs w:val="18"/>
              </w:rPr>
            </w:pPr>
            <w:r>
              <w:rPr>
                <w:sz w:val="18"/>
                <w:szCs w:val="18"/>
              </w:rPr>
              <w:t>No change</w:t>
            </w:r>
          </w:p>
        </w:tc>
      </w:tr>
      <w:tr w:rsidR="000425E5" w14:paraId="3586E382" w14:textId="77777777" w:rsidTr="00FA3AB3">
        <w:tc>
          <w:tcPr>
            <w:tcW w:w="908" w:type="dxa"/>
          </w:tcPr>
          <w:p w14:paraId="745ED873" w14:textId="2A98C787" w:rsidR="000425E5" w:rsidRDefault="000425E5" w:rsidP="000425E5">
            <w:pPr>
              <w:spacing w:before="0" w:line="240" w:lineRule="auto"/>
              <w:jc w:val="left"/>
              <w:rPr>
                <w:sz w:val="18"/>
                <w:szCs w:val="18"/>
              </w:rPr>
            </w:pPr>
            <w:r>
              <w:rPr>
                <w:sz w:val="18"/>
                <w:szCs w:val="18"/>
              </w:rPr>
              <w:t>Objective</w:t>
            </w:r>
          </w:p>
        </w:tc>
        <w:tc>
          <w:tcPr>
            <w:tcW w:w="2920" w:type="dxa"/>
            <w:shd w:val="clear" w:color="auto" w:fill="auto"/>
          </w:tcPr>
          <w:p w14:paraId="75A2AB36" w14:textId="33013B84" w:rsidR="000425E5" w:rsidRDefault="00FA3AB3" w:rsidP="000425E5">
            <w:pPr>
              <w:spacing w:before="0" w:line="240" w:lineRule="auto"/>
              <w:rPr>
                <w:sz w:val="18"/>
                <w:szCs w:val="18"/>
              </w:rPr>
            </w:pPr>
            <w:r>
              <w:rPr>
                <w:sz w:val="18"/>
                <w:szCs w:val="18"/>
              </w:rPr>
              <w:t xml:space="preserve">OI 1: </w:t>
            </w:r>
            <w:r w:rsidR="000425E5" w:rsidRPr="000425E5">
              <w:rPr>
                <w:sz w:val="18"/>
                <w:szCs w:val="18"/>
              </w:rPr>
              <w:t>Quality of MRV Systems</w:t>
            </w:r>
          </w:p>
        </w:tc>
        <w:tc>
          <w:tcPr>
            <w:tcW w:w="2126" w:type="dxa"/>
            <w:shd w:val="clear" w:color="auto" w:fill="auto"/>
          </w:tcPr>
          <w:p w14:paraId="7C8F2522" w14:textId="6A3943DA" w:rsidR="000425E5" w:rsidRDefault="000425E5" w:rsidP="000425E5">
            <w:pPr>
              <w:spacing w:before="0" w:line="240" w:lineRule="auto"/>
              <w:rPr>
                <w:sz w:val="18"/>
                <w:szCs w:val="18"/>
              </w:rPr>
            </w:pPr>
            <w:r>
              <w:rPr>
                <w:sz w:val="18"/>
                <w:szCs w:val="18"/>
              </w:rPr>
              <w:t>Correctly formulated indicator</w:t>
            </w:r>
          </w:p>
        </w:tc>
        <w:tc>
          <w:tcPr>
            <w:tcW w:w="3203" w:type="dxa"/>
          </w:tcPr>
          <w:p w14:paraId="1A90868F" w14:textId="313570E8" w:rsidR="000425E5" w:rsidRDefault="000425E5" w:rsidP="000425E5">
            <w:pPr>
              <w:spacing w:before="0" w:line="240" w:lineRule="auto"/>
              <w:rPr>
                <w:sz w:val="18"/>
                <w:szCs w:val="18"/>
              </w:rPr>
            </w:pPr>
            <w:r>
              <w:rPr>
                <w:sz w:val="18"/>
                <w:szCs w:val="18"/>
              </w:rPr>
              <w:t>No change</w:t>
            </w:r>
          </w:p>
        </w:tc>
      </w:tr>
      <w:tr w:rsidR="000425E5" w14:paraId="26A3644F" w14:textId="77777777" w:rsidTr="00FA3AB3">
        <w:tc>
          <w:tcPr>
            <w:tcW w:w="908" w:type="dxa"/>
          </w:tcPr>
          <w:p w14:paraId="5FA213D7" w14:textId="06A227B8" w:rsidR="000425E5" w:rsidRDefault="000425E5" w:rsidP="000425E5">
            <w:pPr>
              <w:spacing w:before="0" w:line="240" w:lineRule="auto"/>
              <w:jc w:val="left"/>
              <w:rPr>
                <w:sz w:val="18"/>
                <w:szCs w:val="18"/>
              </w:rPr>
            </w:pPr>
            <w:r w:rsidRPr="00D80323">
              <w:rPr>
                <w:sz w:val="18"/>
                <w:szCs w:val="18"/>
              </w:rPr>
              <w:t>Objective</w:t>
            </w:r>
          </w:p>
        </w:tc>
        <w:tc>
          <w:tcPr>
            <w:tcW w:w="2920" w:type="dxa"/>
            <w:shd w:val="clear" w:color="auto" w:fill="auto"/>
          </w:tcPr>
          <w:p w14:paraId="67E00348" w14:textId="03B329B2" w:rsidR="000425E5" w:rsidRDefault="00FA3AB3" w:rsidP="000425E5">
            <w:pPr>
              <w:spacing w:before="0" w:line="240" w:lineRule="auto"/>
              <w:rPr>
                <w:sz w:val="18"/>
                <w:szCs w:val="18"/>
              </w:rPr>
            </w:pPr>
            <w:r>
              <w:rPr>
                <w:sz w:val="18"/>
                <w:szCs w:val="18"/>
              </w:rPr>
              <w:t xml:space="preserve">OI 2: </w:t>
            </w:r>
            <w:r w:rsidR="000425E5" w:rsidRPr="000425E5">
              <w:rPr>
                <w:sz w:val="18"/>
                <w:szCs w:val="18"/>
              </w:rPr>
              <w:t>Qualitative Assessment of Institutional Capacity for Transparency-Related Activities</w:t>
            </w:r>
          </w:p>
        </w:tc>
        <w:tc>
          <w:tcPr>
            <w:tcW w:w="2126" w:type="dxa"/>
            <w:shd w:val="clear" w:color="auto" w:fill="auto"/>
          </w:tcPr>
          <w:p w14:paraId="17EADBBE" w14:textId="0C541576" w:rsidR="000425E5" w:rsidRDefault="000425E5" w:rsidP="000425E5">
            <w:pPr>
              <w:spacing w:before="0" w:line="240" w:lineRule="auto"/>
              <w:rPr>
                <w:sz w:val="18"/>
                <w:szCs w:val="18"/>
              </w:rPr>
            </w:pPr>
            <w:r>
              <w:rPr>
                <w:sz w:val="18"/>
                <w:szCs w:val="18"/>
              </w:rPr>
              <w:t>Correctly formulated indicator</w:t>
            </w:r>
          </w:p>
        </w:tc>
        <w:tc>
          <w:tcPr>
            <w:tcW w:w="3203" w:type="dxa"/>
          </w:tcPr>
          <w:p w14:paraId="27FCC1CC" w14:textId="10C818ED" w:rsidR="000425E5" w:rsidRDefault="000425E5" w:rsidP="000425E5">
            <w:pPr>
              <w:spacing w:before="0" w:line="240" w:lineRule="auto"/>
              <w:rPr>
                <w:sz w:val="18"/>
                <w:szCs w:val="18"/>
              </w:rPr>
            </w:pPr>
            <w:r>
              <w:rPr>
                <w:sz w:val="18"/>
                <w:szCs w:val="18"/>
              </w:rPr>
              <w:t>No change</w:t>
            </w:r>
          </w:p>
        </w:tc>
      </w:tr>
      <w:tr w:rsidR="000425E5" w14:paraId="5A1FF25A" w14:textId="77777777" w:rsidTr="00FA3AB3">
        <w:tc>
          <w:tcPr>
            <w:tcW w:w="908" w:type="dxa"/>
          </w:tcPr>
          <w:p w14:paraId="382864B9" w14:textId="15DA8208" w:rsidR="000425E5" w:rsidRDefault="000425E5" w:rsidP="000425E5">
            <w:pPr>
              <w:spacing w:before="0" w:line="240" w:lineRule="auto"/>
              <w:jc w:val="left"/>
              <w:rPr>
                <w:sz w:val="18"/>
                <w:szCs w:val="18"/>
              </w:rPr>
            </w:pPr>
            <w:r w:rsidRPr="00D80323">
              <w:rPr>
                <w:sz w:val="18"/>
                <w:szCs w:val="18"/>
              </w:rPr>
              <w:t>Objective</w:t>
            </w:r>
          </w:p>
        </w:tc>
        <w:tc>
          <w:tcPr>
            <w:tcW w:w="2920" w:type="dxa"/>
            <w:shd w:val="clear" w:color="auto" w:fill="auto"/>
          </w:tcPr>
          <w:p w14:paraId="00ACCC73" w14:textId="444A72F5" w:rsidR="000425E5" w:rsidRDefault="00FA3AB3" w:rsidP="000425E5">
            <w:pPr>
              <w:spacing w:before="0" w:line="240" w:lineRule="auto"/>
              <w:rPr>
                <w:sz w:val="18"/>
                <w:szCs w:val="18"/>
              </w:rPr>
            </w:pPr>
            <w:r>
              <w:rPr>
                <w:sz w:val="18"/>
                <w:szCs w:val="18"/>
              </w:rPr>
              <w:t xml:space="preserve">OI 3: </w:t>
            </w:r>
            <w:r w:rsidR="000425E5" w:rsidRPr="000425E5">
              <w:rPr>
                <w:sz w:val="18"/>
                <w:szCs w:val="18"/>
              </w:rPr>
              <w:t>Number of direct project beneficiaries</w:t>
            </w:r>
          </w:p>
        </w:tc>
        <w:tc>
          <w:tcPr>
            <w:tcW w:w="2126" w:type="dxa"/>
            <w:shd w:val="clear" w:color="auto" w:fill="auto"/>
          </w:tcPr>
          <w:p w14:paraId="002C16F2" w14:textId="00AED1AF" w:rsidR="000425E5" w:rsidRDefault="000425E5" w:rsidP="000425E5">
            <w:pPr>
              <w:spacing w:before="0" w:line="240" w:lineRule="auto"/>
              <w:rPr>
                <w:sz w:val="18"/>
                <w:szCs w:val="18"/>
              </w:rPr>
            </w:pPr>
            <w:r>
              <w:rPr>
                <w:sz w:val="18"/>
                <w:szCs w:val="18"/>
              </w:rPr>
              <w:t>Unclear relevance to the Project Objective</w:t>
            </w:r>
          </w:p>
        </w:tc>
        <w:tc>
          <w:tcPr>
            <w:tcW w:w="3203" w:type="dxa"/>
          </w:tcPr>
          <w:p w14:paraId="1C20E824" w14:textId="77777777" w:rsidR="000425E5" w:rsidRDefault="00C02253" w:rsidP="000425E5">
            <w:pPr>
              <w:spacing w:before="0" w:line="240" w:lineRule="auto"/>
              <w:rPr>
                <w:rFonts w:eastAsia="SimSun"/>
                <w:sz w:val="18"/>
                <w:szCs w:val="18"/>
              </w:rPr>
            </w:pPr>
            <w:r w:rsidRPr="00C02253">
              <w:rPr>
                <w:rFonts w:eastAsia="SimSun"/>
                <w:sz w:val="18"/>
                <w:szCs w:val="18"/>
              </w:rPr>
              <w:t>Number of direct project beneficiaries</w:t>
            </w:r>
            <w:r w:rsidRPr="00C02253">
              <w:rPr>
                <w:rFonts w:eastAsia="SimSun"/>
                <w:b/>
                <w:sz w:val="18"/>
                <w:szCs w:val="18"/>
              </w:rPr>
              <w:t xml:space="preserve"> </w:t>
            </w:r>
            <w:r w:rsidRPr="00C02253">
              <w:rPr>
                <w:rFonts w:eastAsia="SimSun"/>
                <w:sz w:val="18"/>
                <w:szCs w:val="18"/>
              </w:rPr>
              <w:t>that increase</w:t>
            </w:r>
            <w:r>
              <w:rPr>
                <w:rFonts w:eastAsia="SimSun"/>
                <w:sz w:val="18"/>
                <w:szCs w:val="18"/>
              </w:rPr>
              <w:t>d</w:t>
            </w:r>
            <w:r w:rsidRPr="00C02253">
              <w:rPr>
                <w:rFonts w:eastAsia="SimSun"/>
                <w:sz w:val="18"/>
                <w:szCs w:val="18"/>
              </w:rPr>
              <w:t xml:space="preserve"> their capacities to meet enhanced transparency requirements</w:t>
            </w:r>
          </w:p>
          <w:p w14:paraId="3678FA1D" w14:textId="31B591F3" w:rsidR="00C02253" w:rsidRPr="00C02253" w:rsidRDefault="00C02253" w:rsidP="000425E5">
            <w:pPr>
              <w:spacing w:before="0" w:line="240" w:lineRule="auto"/>
              <w:rPr>
                <w:sz w:val="18"/>
                <w:szCs w:val="18"/>
              </w:rPr>
            </w:pPr>
            <w:r>
              <w:rPr>
                <w:sz w:val="18"/>
                <w:szCs w:val="18"/>
              </w:rPr>
              <w:t>Target value should be aggregate of the targets under the individual Outcomes</w:t>
            </w:r>
          </w:p>
        </w:tc>
      </w:tr>
      <w:tr w:rsidR="000425E5" w14:paraId="0D0CDA80" w14:textId="77777777" w:rsidTr="00FA3AB3">
        <w:tc>
          <w:tcPr>
            <w:tcW w:w="908" w:type="dxa"/>
          </w:tcPr>
          <w:p w14:paraId="31B2C44E" w14:textId="7ABB2B9E" w:rsidR="000425E5" w:rsidRDefault="000425E5" w:rsidP="000425E5">
            <w:pPr>
              <w:spacing w:before="0" w:line="240" w:lineRule="auto"/>
              <w:jc w:val="left"/>
              <w:rPr>
                <w:sz w:val="18"/>
                <w:szCs w:val="18"/>
              </w:rPr>
            </w:pPr>
            <w:r w:rsidRPr="00D80323">
              <w:rPr>
                <w:sz w:val="18"/>
                <w:szCs w:val="18"/>
              </w:rPr>
              <w:t>Objective</w:t>
            </w:r>
          </w:p>
        </w:tc>
        <w:tc>
          <w:tcPr>
            <w:tcW w:w="2920" w:type="dxa"/>
            <w:shd w:val="clear" w:color="auto" w:fill="auto"/>
          </w:tcPr>
          <w:p w14:paraId="3221C418" w14:textId="6917ECB6" w:rsidR="000425E5" w:rsidRDefault="00FA3AB3" w:rsidP="000425E5">
            <w:pPr>
              <w:spacing w:before="0" w:line="240" w:lineRule="auto"/>
              <w:rPr>
                <w:sz w:val="18"/>
                <w:szCs w:val="18"/>
              </w:rPr>
            </w:pPr>
            <w:r>
              <w:rPr>
                <w:sz w:val="18"/>
                <w:szCs w:val="18"/>
              </w:rPr>
              <w:t xml:space="preserve">OI 4: </w:t>
            </w:r>
            <w:r w:rsidR="000425E5" w:rsidRPr="000425E5">
              <w:rPr>
                <w:sz w:val="18"/>
                <w:szCs w:val="18"/>
              </w:rPr>
              <w:t>Status of Convention obligations on reporting, including mitigation contribution</w:t>
            </w:r>
          </w:p>
        </w:tc>
        <w:tc>
          <w:tcPr>
            <w:tcW w:w="2126" w:type="dxa"/>
            <w:shd w:val="clear" w:color="auto" w:fill="auto"/>
          </w:tcPr>
          <w:p w14:paraId="546CABCD" w14:textId="0195A211" w:rsidR="000425E5" w:rsidRDefault="000425E5" w:rsidP="000425E5">
            <w:pPr>
              <w:spacing w:before="0" w:line="240" w:lineRule="auto"/>
              <w:rPr>
                <w:sz w:val="18"/>
                <w:szCs w:val="18"/>
              </w:rPr>
            </w:pPr>
            <w:r>
              <w:rPr>
                <w:sz w:val="18"/>
                <w:szCs w:val="18"/>
              </w:rPr>
              <w:t>Indicator and its target value not relevant for the CBIT project</w:t>
            </w:r>
          </w:p>
        </w:tc>
        <w:tc>
          <w:tcPr>
            <w:tcW w:w="3203" w:type="dxa"/>
          </w:tcPr>
          <w:p w14:paraId="3E354C39" w14:textId="77777777" w:rsidR="00C02253" w:rsidRDefault="00C02253" w:rsidP="000425E5">
            <w:pPr>
              <w:spacing w:before="0" w:line="240" w:lineRule="auto"/>
              <w:rPr>
                <w:sz w:val="18"/>
                <w:szCs w:val="18"/>
              </w:rPr>
            </w:pPr>
            <w:r>
              <w:rPr>
                <w:sz w:val="18"/>
                <w:szCs w:val="18"/>
              </w:rPr>
              <w:t xml:space="preserve">The MRV portal </w:t>
            </w:r>
            <w:r w:rsidRPr="00C02253">
              <w:rPr>
                <w:sz w:val="18"/>
                <w:szCs w:val="18"/>
              </w:rPr>
              <w:t xml:space="preserve">fully functional to </w:t>
            </w:r>
            <w:r>
              <w:rPr>
                <w:sz w:val="18"/>
                <w:szCs w:val="18"/>
              </w:rPr>
              <w:t>inform obligatory reporting under UNFCCC and PCA</w:t>
            </w:r>
          </w:p>
          <w:p w14:paraId="6807C491" w14:textId="6142F471" w:rsidR="000425E5" w:rsidRDefault="00C02253" w:rsidP="000425E5">
            <w:pPr>
              <w:spacing w:before="0" w:line="240" w:lineRule="auto"/>
              <w:rPr>
                <w:sz w:val="18"/>
                <w:szCs w:val="18"/>
              </w:rPr>
            </w:pPr>
            <w:r>
              <w:rPr>
                <w:sz w:val="18"/>
                <w:szCs w:val="18"/>
              </w:rPr>
              <w:t>Target value –</w:t>
            </w:r>
            <w:r w:rsidR="00C3394A">
              <w:rPr>
                <w:sz w:val="18"/>
                <w:szCs w:val="18"/>
              </w:rPr>
              <w:t xml:space="preserve">At least one </w:t>
            </w:r>
            <w:r>
              <w:rPr>
                <w:sz w:val="18"/>
                <w:szCs w:val="18"/>
              </w:rPr>
              <w:t xml:space="preserve">report </w:t>
            </w:r>
            <w:r w:rsidR="009E2FC4">
              <w:rPr>
                <w:sz w:val="18"/>
                <w:szCs w:val="18"/>
              </w:rPr>
              <w:t>with inputs from the MRV system</w:t>
            </w:r>
            <w:r>
              <w:rPr>
                <w:sz w:val="18"/>
                <w:szCs w:val="18"/>
              </w:rPr>
              <w:t xml:space="preserve"> </w:t>
            </w:r>
            <w:r w:rsidR="00C3394A">
              <w:rPr>
                <w:sz w:val="18"/>
                <w:szCs w:val="18"/>
              </w:rPr>
              <w:t>submitted to the UNFCCC</w:t>
            </w:r>
          </w:p>
        </w:tc>
      </w:tr>
    </w:tbl>
    <w:p w14:paraId="4B3CD9B7" w14:textId="44FFE3B2" w:rsidR="002C3309" w:rsidRDefault="002C3309" w:rsidP="00A65309">
      <w:pPr>
        <w:spacing w:before="240"/>
      </w:pPr>
      <w:bookmarkStart w:id="37" w:name="_Toc515816649"/>
      <w:r>
        <w:t xml:space="preserve">Although development of a functional MRV system is </w:t>
      </w:r>
      <w:r w:rsidR="00A65309">
        <w:t xml:space="preserve">one of the main deliverables under </w:t>
      </w:r>
      <w:r>
        <w:t xml:space="preserve">the project, </w:t>
      </w:r>
      <w:r w:rsidR="00524B07">
        <w:t>it has not been explicitly included in the results framework</w:t>
      </w:r>
      <w:r w:rsidR="00A65309">
        <w:t xml:space="preserve">. Therefore, it is suggested to insert additional indicator on the development of the MRV </w:t>
      </w:r>
      <w:r w:rsidR="00012EE6">
        <w:t xml:space="preserve">including an IT tool </w:t>
      </w:r>
      <w:r w:rsidR="00A65309">
        <w:t xml:space="preserve">into the </w:t>
      </w:r>
      <w:r w:rsidR="00012EE6">
        <w:t xml:space="preserve">project </w:t>
      </w:r>
      <w:r w:rsidR="00A65309">
        <w:t>logframe.</w:t>
      </w:r>
      <w:r w:rsidR="00DD3D65">
        <w:t xml:space="preserve"> The suggested target value for this indicator is the existence of the </w:t>
      </w:r>
      <w:r w:rsidR="00012EE6">
        <w:t xml:space="preserve">operational </w:t>
      </w:r>
      <w:r w:rsidR="00DD3D65">
        <w:t>MRV system</w:t>
      </w:r>
      <w:r w:rsidR="00012EE6">
        <w:t xml:space="preserve"> with a fully functional IT tool. </w:t>
      </w:r>
      <w:r w:rsidR="00EB41DA">
        <w:t xml:space="preserve">While </w:t>
      </w:r>
      <w:r w:rsidR="004C02EB">
        <w:t xml:space="preserve">the focus of the CBIT project </w:t>
      </w:r>
      <w:r w:rsidR="004C02EB">
        <w:lastRenderedPageBreak/>
        <w:t xml:space="preserve">is on establishment of the MRV system as a process, the IT tool is the key element for functionality of the </w:t>
      </w:r>
      <w:r w:rsidR="007C31F2">
        <w:t xml:space="preserve">new </w:t>
      </w:r>
      <w:r w:rsidR="004C02EB">
        <w:t>MRV system.</w:t>
      </w:r>
    </w:p>
    <w:p w14:paraId="092612DE" w14:textId="4A1109D7" w:rsidR="00801832" w:rsidRDefault="00801832" w:rsidP="00801832">
      <w:r>
        <w:t xml:space="preserve">The </w:t>
      </w:r>
      <w:r w:rsidR="00012EE6">
        <w:t xml:space="preserve">formulation of </w:t>
      </w:r>
      <w:r>
        <w:t xml:space="preserve">indicators for capacity building </w:t>
      </w:r>
      <w:r w:rsidR="00012EE6">
        <w:t xml:space="preserve">(1a, 2a, and 3.1.a) allows for measurement of the training </w:t>
      </w:r>
      <w:r>
        <w:t xml:space="preserve">activities but not </w:t>
      </w:r>
      <w:r w:rsidR="00084394">
        <w:t xml:space="preserve">the increased capacity as a </w:t>
      </w:r>
      <w:r>
        <w:t>result of the training</w:t>
      </w:r>
      <w:r w:rsidR="00012EE6">
        <w:t>s</w:t>
      </w:r>
      <w:r>
        <w:t xml:space="preserve">. </w:t>
      </w:r>
    </w:p>
    <w:p w14:paraId="0AB3474A" w14:textId="7D1C6507" w:rsidR="007E243E" w:rsidRDefault="00F41E04" w:rsidP="00801832">
      <w:r>
        <w:t>Indicators for s</w:t>
      </w:r>
      <w:r w:rsidR="007E243E">
        <w:t xml:space="preserve">upply of data and information to the MRV </w:t>
      </w:r>
      <w:r w:rsidR="007E243E" w:rsidRPr="007E243E">
        <w:t>system</w:t>
      </w:r>
      <w:r w:rsidR="007E243E">
        <w:t xml:space="preserve"> (1b and 2b) depend on the data reporting </w:t>
      </w:r>
      <w:r w:rsidR="004C02EB">
        <w:t xml:space="preserve">mandates </w:t>
      </w:r>
      <w:r w:rsidR="007E243E">
        <w:t xml:space="preserve">given by </w:t>
      </w:r>
      <w:r w:rsidR="007C31F2">
        <w:t xml:space="preserve">the </w:t>
      </w:r>
      <w:r w:rsidR="007E243E">
        <w:t xml:space="preserve">existing legislation. </w:t>
      </w:r>
      <w:r>
        <w:t>A more thorough de</w:t>
      </w:r>
      <w:r w:rsidR="004C02EB">
        <w:t>signation</w:t>
      </w:r>
      <w:r>
        <w:t xml:space="preserve"> of the </w:t>
      </w:r>
      <w:r w:rsidR="004C02EB">
        <w:t xml:space="preserve">obligation for </w:t>
      </w:r>
      <w:r>
        <w:t xml:space="preserve">data reporting </w:t>
      </w:r>
      <w:r w:rsidR="004C02EB">
        <w:t>for</w:t>
      </w:r>
      <w:r>
        <w:t xml:space="preserve"> the MRV system is expected with approval of the revised Law on Climate Change (LCC). </w:t>
      </w:r>
      <w:r w:rsidR="007C31F2">
        <w:t>In the remaining time of implementation, t</w:t>
      </w:r>
      <w:r>
        <w:t xml:space="preserve">he CBIT project will pilot the use of the MRV system with relevant institutions </w:t>
      </w:r>
      <w:r w:rsidR="004C02EB">
        <w:t xml:space="preserve">mandated for </w:t>
      </w:r>
      <w:r>
        <w:t xml:space="preserve">data </w:t>
      </w:r>
      <w:r w:rsidR="004C02EB">
        <w:t xml:space="preserve">reporting </w:t>
      </w:r>
      <w:r w:rsidR="007C31F2">
        <w:t xml:space="preserve">in line with </w:t>
      </w:r>
      <w:r>
        <w:t>the MRV part of the LCC.</w:t>
      </w:r>
    </w:p>
    <w:p w14:paraId="40F5287A" w14:textId="7D4B5DD5" w:rsidR="00AA2B0C" w:rsidRDefault="00AA2B0C" w:rsidP="00801832">
      <w:r>
        <w:t xml:space="preserve">Measurement of the degree to which the MRV system informs national policies and reporting (indicators 1c and 2c) is important to promote correct understanding </w:t>
      </w:r>
      <w:r w:rsidR="007A0A8F">
        <w:t xml:space="preserve">of </w:t>
      </w:r>
      <w:r>
        <w:t xml:space="preserve">the purpose of the MRV system and </w:t>
      </w:r>
      <w:r w:rsidRPr="00AA2B0C">
        <w:t>recogniz</w:t>
      </w:r>
      <w:r>
        <w:t xml:space="preserve">ing its value </w:t>
      </w:r>
      <w:r w:rsidRPr="00AA2B0C">
        <w:t xml:space="preserve">as a sustained evidence base </w:t>
      </w:r>
      <w:r>
        <w:t xml:space="preserve">for production of national reports instead of looking at the MRV </w:t>
      </w:r>
      <w:r w:rsidRPr="00AA2B0C">
        <w:t xml:space="preserve">purely for international reporting. </w:t>
      </w:r>
      <w:r w:rsidR="00903190">
        <w:t xml:space="preserve">However, the formulation of the indicators does not facilitate </w:t>
      </w:r>
      <w:r w:rsidR="00012EE6">
        <w:t xml:space="preserve">operational monitoring </w:t>
      </w:r>
      <w:r w:rsidR="00903190">
        <w:t>of progress in this regard.</w:t>
      </w:r>
    </w:p>
    <w:p w14:paraId="24CBCCA7" w14:textId="20EC74A0" w:rsidR="000C0504" w:rsidRDefault="00801832" w:rsidP="00801832">
      <w:pPr>
        <w:shd w:val="clear" w:color="auto" w:fill="FFFFFF"/>
      </w:pPr>
      <w:r>
        <w:t>T</w:t>
      </w:r>
      <w:r w:rsidR="000C0504">
        <w:t xml:space="preserve">he first two </w:t>
      </w:r>
      <w:r>
        <w:t xml:space="preserve">Objective Indicators (OI) </w:t>
      </w:r>
      <w:r w:rsidR="00A65309">
        <w:t xml:space="preserve">are </w:t>
      </w:r>
      <w:r w:rsidR="000C0504">
        <w:t xml:space="preserve">transposed from the </w:t>
      </w:r>
      <w:r w:rsidR="00A65309">
        <w:t>CBIT Tracking Tool indicators</w:t>
      </w:r>
      <w:r w:rsidR="000C0504">
        <w:t xml:space="preserve"> and therefore relevant and appropriate for the project</w:t>
      </w:r>
      <w:r w:rsidR="00C5285B">
        <w:t>.</w:t>
      </w:r>
      <w:r>
        <w:t xml:space="preserve"> </w:t>
      </w:r>
      <w:r w:rsidR="000C0504">
        <w:t xml:space="preserve">The OI 3 </w:t>
      </w:r>
      <w:r w:rsidR="00F102FC">
        <w:t xml:space="preserve">in the </w:t>
      </w:r>
      <w:proofErr w:type="spellStart"/>
      <w:r w:rsidR="00F102FC">
        <w:t>ProDoc</w:t>
      </w:r>
      <w:proofErr w:type="spellEnd"/>
      <w:r w:rsidR="00F102FC">
        <w:t xml:space="preserve"> measures only number of trained beneficiaries but does not measure impact of the training that is important for achievement of the Project Objective.  </w:t>
      </w:r>
      <w:r w:rsidR="00084394">
        <w:t xml:space="preserve">Also, the target values for the OI 3 are not consistent with the </w:t>
      </w:r>
      <w:r w:rsidR="007644E5">
        <w:t xml:space="preserve">summary of </w:t>
      </w:r>
      <w:r w:rsidR="00084394">
        <w:t xml:space="preserve">target values </w:t>
      </w:r>
      <w:r w:rsidR="007644E5">
        <w:t xml:space="preserve">for </w:t>
      </w:r>
      <w:r w:rsidR="00084394">
        <w:t xml:space="preserve">the </w:t>
      </w:r>
      <w:r w:rsidR="007644E5">
        <w:t xml:space="preserve">particular </w:t>
      </w:r>
      <w:r w:rsidR="00084394">
        <w:t>indicators on capacity buildin</w:t>
      </w:r>
      <w:r w:rsidR="007644E5">
        <w:t>g.</w:t>
      </w:r>
    </w:p>
    <w:p w14:paraId="5BBE2DED" w14:textId="6BFCD209" w:rsidR="00A65309" w:rsidRDefault="00084394" w:rsidP="000C0504">
      <w:r>
        <w:t>T</w:t>
      </w:r>
      <w:r w:rsidR="00C5285B">
        <w:t xml:space="preserve">he </w:t>
      </w:r>
      <w:r w:rsidR="000C0504">
        <w:t>mid-term target for the OI 4</w:t>
      </w:r>
      <w:r>
        <w:t xml:space="preserve">, namely submission of the 2BUR, </w:t>
      </w:r>
      <w:r w:rsidR="00801832">
        <w:t xml:space="preserve">is not relevant for </w:t>
      </w:r>
      <w:r w:rsidR="000C0504">
        <w:t xml:space="preserve">the CBIT project as the 2BUR </w:t>
      </w:r>
      <w:r w:rsidR="00C5285B">
        <w:t xml:space="preserve">and 3NC </w:t>
      </w:r>
      <w:r>
        <w:t xml:space="preserve">are being prepared under </w:t>
      </w:r>
      <w:r w:rsidR="000C0504">
        <w:t xml:space="preserve">the parallel </w:t>
      </w:r>
      <w:r w:rsidR="00801832">
        <w:t xml:space="preserve">GEF-funded 2BUR/3NC </w:t>
      </w:r>
      <w:r w:rsidR="000C0504">
        <w:t xml:space="preserve">project. </w:t>
      </w:r>
      <w:r w:rsidR="007644E5">
        <w:t>It is understood that the rationale for this indicator was to emphasize links between the CBIT and 2BUR/3NC projects. However,</w:t>
      </w:r>
      <w:r>
        <w:t xml:space="preserve"> </w:t>
      </w:r>
      <w:r w:rsidR="00C5285B">
        <w:t xml:space="preserve">submission </w:t>
      </w:r>
      <w:r w:rsidR="00801832">
        <w:t xml:space="preserve">of </w:t>
      </w:r>
      <w:r w:rsidR="007644E5">
        <w:t xml:space="preserve">2BUR </w:t>
      </w:r>
      <w:r w:rsidR="000C0504">
        <w:t xml:space="preserve">is a political decision of the Government that is out of control of the CBIT project implementing team. </w:t>
      </w:r>
      <w:r w:rsidR="00C5285B">
        <w:t xml:space="preserve">It is </w:t>
      </w:r>
      <w:r>
        <w:t xml:space="preserve">therefore </w:t>
      </w:r>
      <w:r w:rsidR="00C5285B">
        <w:t xml:space="preserve">suggested to </w:t>
      </w:r>
      <w:r w:rsidR="007644E5">
        <w:t xml:space="preserve">define </w:t>
      </w:r>
      <w:proofErr w:type="spellStart"/>
      <w:proofErr w:type="gramStart"/>
      <w:r w:rsidR="007644E5">
        <w:t>a</w:t>
      </w:r>
      <w:proofErr w:type="spellEnd"/>
      <w:proofErr w:type="gramEnd"/>
      <w:r w:rsidR="007644E5">
        <w:t xml:space="preserve"> end-of-project target value more relevant and realistic for the CBIT project.</w:t>
      </w:r>
    </w:p>
    <w:p w14:paraId="13E2A18C" w14:textId="553AC8F9" w:rsidR="009655DB" w:rsidRPr="00D83C59" w:rsidRDefault="009655DB" w:rsidP="000347EB">
      <w:pPr>
        <w:pStyle w:val="Heading2"/>
        <w:spacing w:after="120"/>
      </w:pPr>
      <w:bookmarkStart w:id="38" w:name="_Toc66777410"/>
      <w:r w:rsidRPr="00D83C59">
        <w:t>Progress Towards Results</w:t>
      </w:r>
      <w:bookmarkEnd w:id="37"/>
      <w:bookmarkEnd w:id="38"/>
    </w:p>
    <w:p w14:paraId="785C35BF" w14:textId="5372FCBA" w:rsidR="009655DB" w:rsidRPr="00CD0B15" w:rsidRDefault="009655DB" w:rsidP="00D1652D">
      <w:pPr>
        <w:pStyle w:val="Heading3"/>
        <w:spacing w:after="120"/>
        <w:rPr>
          <w:szCs w:val="24"/>
          <w:lang w:val="en-GB"/>
        </w:rPr>
      </w:pPr>
      <w:bookmarkStart w:id="39" w:name="_Toc515816650"/>
      <w:bookmarkStart w:id="40" w:name="_Toc66777411"/>
      <w:r w:rsidRPr="00CD0B15">
        <w:rPr>
          <w:szCs w:val="24"/>
          <w:lang w:val="en-GB"/>
        </w:rPr>
        <w:t xml:space="preserve">Progress towards </w:t>
      </w:r>
      <w:r w:rsidR="00E3612B" w:rsidRPr="00CD0B15">
        <w:rPr>
          <w:szCs w:val="24"/>
          <w:lang w:val="en-GB"/>
        </w:rPr>
        <w:t>O</w:t>
      </w:r>
      <w:r w:rsidRPr="00CD0B15">
        <w:rPr>
          <w:szCs w:val="24"/>
          <w:lang w:val="en-GB"/>
        </w:rPr>
        <w:t>utcomes analysis</w:t>
      </w:r>
      <w:bookmarkEnd w:id="39"/>
      <w:bookmarkEnd w:id="40"/>
    </w:p>
    <w:p w14:paraId="0486E1F1" w14:textId="0E2320DC" w:rsidR="006F2A98" w:rsidRDefault="006F2A98" w:rsidP="00D1652D">
      <w:pPr>
        <w:spacing w:before="240"/>
      </w:pPr>
      <w:r w:rsidRPr="006F2A98">
        <w:t xml:space="preserve">The information presented in this section has been sourced from the </w:t>
      </w:r>
      <w:r w:rsidR="00261C4A">
        <w:t xml:space="preserve">first </w:t>
      </w:r>
      <w:r w:rsidR="00132F4C">
        <w:t>annual Project Implementation Re</w:t>
      </w:r>
      <w:r w:rsidR="00261C4A">
        <w:t>view</w:t>
      </w:r>
      <w:r w:rsidR="00132F4C">
        <w:t xml:space="preserve"> (PIR) </w:t>
      </w:r>
      <w:r w:rsidR="005A0820">
        <w:t xml:space="preserve">for 2020 </w:t>
      </w:r>
      <w:r w:rsidRPr="006F2A98">
        <w:t>sup</w:t>
      </w:r>
      <w:r>
        <w:t xml:space="preserve">plemented with information </w:t>
      </w:r>
      <w:r w:rsidRPr="006F2A98">
        <w:t xml:space="preserve">collected </w:t>
      </w:r>
      <w:r w:rsidR="00261C4A">
        <w:t>from interviews of the key project stakeholders</w:t>
      </w:r>
      <w:r>
        <w:t>.</w:t>
      </w:r>
    </w:p>
    <w:p w14:paraId="45969046" w14:textId="39DBCA5D" w:rsidR="00A721A8" w:rsidRDefault="006F2A98" w:rsidP="00D1652D">
      <w:r>
        <w:t xml:space="preserve">The progress towards the </w:t>
      </w:r>
      <w:r w:rsidR="00132F4C">
        <w:t xml:space="preserve">four </w:t>
      </w:r>
      <w:r>
        <w:t>project outcomes is presented for e</w:t>
      </w:r>
      <w:r w:rsidR="00164C9F">
        <w:t xml:space="preserve">ach outcome in separate </w:t>
      </w:r>
      <w:r w:rsidR="00A6485E">
        <w:t>T</w:t>
      </w:r>
      <w:r w:rsidR="00164C9F">
        <w:t>abl</w:t>
      </w:r>
      <w:r w:rsidR="005129E5">
        <w:t>e</w:t>
      </w:r>
      <w:r w:rsidR="00A6485E">
        <w:t>s</w:t>
      </w:r>
      <w:r w:rsidR="0013174D">
        <w:t xml:space="preserve"> </w:t>
      </w:r>
      <w:r w:rsidR="000347EB">
        <w:t>4</w:t>
      </w:r>
      <w:r w:rsidR="0013174D">
        <w:t>-</w:t>
      </w:r>
      <w:r w:rsidR="000347EB">
        <w:t>7</w:t>
      </w:r>
      <w:r w:rsidR="00227ED6">
        <w:t xml:space="preserve"> and the overall progress towards the project objective is </w:t>
      </w:r>
      <w:r w:rsidR="00B318C6">
        <w:t xml:space="preserve">summarized </w:t>
      </w:r>
      <w:r w:rsidR="00227ED6">
        <w:t xml:space="preserve">in Table </w:t>
      </w:r>
      <w:r w:rsidR="005A0820">
        <w:t>6</w:t>
      </w:r>
      <w:r w:rsidR="0013174D">
        <w:t>.</w:t>
      </w:r>
    </w:p>
    <w:p w14:paraId="73E8E4DD" w14:textId="56EDEFC9" w:rsidR="000347EB" w:rsidRPr="000347EB" w:rsidRDefault="006D3352" w:rsidP="000347EB">
      <w:pPr>
        <w:shd w:val="clear" w:color="auto" w:fill="FFFFFF"/>
      </w:pPr>
      <w:r w:rsidRPr="001B6733">
        <w:t xml:space="preserve">The </w:t>
      </w:r>
      <w:r>
        <w:t xml:space="preserve">Outcome </w:t>
      </w:r>
      <w:r w:rsidRPr="001B6733">
        <w:t>rating</w:t>
      </w:r>
      <w:r>
        <w:t>s</w:t>
      </w:r>
      <w:r w:rsidRPr="001B6733">
        <w:t xml:space="preserve"> </w:t>
      </w:r>
      <w:r>
        <w:t>in Tables 2-6 are</w:t>
      </w:r>
      <w:r w:rsidRPr="001B6733">
        <w:t xml:space="preserve"> based on the premise that the project </w:t>
      </w:r>
      <w:proofErr w:type="gramStart"/>
      <w:r w:rsidRPr="001B6733">
        <w:t>has to</w:t>
      </w:r>
      <w:proofErr w:type="gramEnd"/>
      <w:r w:rsidRPr="001B6733">
        <w:t xml:space="preserve"> be completed within the officially approved implementation period, i.e. by the </w:t>
      </w:r>
      <w:r>
        <w:t xml:space="preserve">March </w:t>
      </w:r>
      <w:r w:rsidRPr="001B6733">
        <w:t>20</w:t>
      </w:r>
      <w:r>
        <w:t>22</w:t>
      </w:r>
      <w:r w:rsidRPr="001B6733">
        <w:t xml:space="preserve">. </w:t>
      </w:r>
      <w:r w:rsidRPr="001B6733">
        <w:lastRenderedPageBreak/>
        <w:t xml:space="preserve">Hence the rating scores are given on the expectation whether the </w:t>
      </w:r>
      <w:r>
        <w:t>O</w:t>
      </w:r>
      <w:r w:rsidRPr="001B6733">
        <w:t xml:space="preserve">utcomes will or will not achieve their respective end-of-project targets by the end of </w:t>
      </w:r>
      <w:r>
        <w:t>the approved project period</w:t>
      </w:r>
      <w:r w:rsidRPr="001B6733">
        <w:t>.</w:t>
      </w:r>
      <w:r>
        <w:t xml:space="preserve"> T</w:t>
      </w:r>
      <w:r w:rsidRPr="001B6733">
        <w:t xml:space="preserve">he GEF guidelines for mid-term reviews require the evaluators to provide only one overall rating for each </w:t>
      </w:r>
      <w:r>
        <w:t>O</w:t>
      </w:r>
      <w:r w:rsidRPr="001B6733">
        <w:t>utcome and the overall objective</w:t>
      </w:r>
      <w:r>
        <w:t xml:space="preserve">. Rating at the level of outputs is indicated by the colour shading of the last column in Tables 4 – </w:t>
      </w:r>
      <w:r w:rsidR="000347EB">
        <w:t>7</w:t>
      </w:r>
      <w:r>
        <w:t xml:space="preserve"> hence no text </w:t>
      </w:r>
      <w:r w:rsidRPr="001B6733">
        <w:t xml:space="preserve">ratings are given </w:t>
      </w:r>
      <w:r>
        <w:t xml:space="preserve">at </w:t>
      </w:r>
      <w:r w:rsidRPr="001B6733">
        <w:t>t</w:t>
      </w:r>
      <w:r>
        <w:t xml:space="preserve">he level </w:t>
      </w:r>
      <w:r w:rsidRPr="001B6733">
        <w:t>o</w:t>
      </w:r>
      <w:r>
        <w:t>f</w:t>
      </w:r>
      <w:r w:rsidRPr="001B6733">
        <w:t xml:space="preserve"> output</w:t>
      </w:r>
      <w:r w:rsidR="000347EB">
        <w:t>s.</w:t>
      </w:r>
    </w:p>
    <w:p w14:paraId="17C9DFD3" w14:textId="7535E971" w:rsidR="00F533E9" w:rsidRPr="00E3612B" w:rsidRDefault="00E3612B" w:rsidP="00C3394A">
      <w:pPr>
        <w:spacing w:before="240" w:after="120" w:line="240" w:lineRule="auto"/>
        <w:jc w:val="left"/>
      </w:pPr>
      <w:r w:rsidRPr="00C3394A">
        <w:rPr>
          <w:b/>
          <w:bCs/>
        </w:rPr>
        <w:t xml:space="preserve">Table </w:t>
      </w:r>
      <w:r w:rsidRPr="00C3394A">
        <w:rPr>
          <w:b/>
          <w:bCs/>
        </w:rPr>
        <w:fldChar w:fldCharType="begin"/>
      </w:r>
      <w:r w:rsidRPr="00C3394A">
        <w:rPr>
          <w:b/>
          <w:bCs/>
        </w:rPr>
        <w:instrText xml:space="preserve"> SEQ Table \* ARABIC </w:instrText>
      </w:r>
      <w:r w:rsidRPr="00C3394A">
        <w:rPr>
          <w:b/>
          <w:bCs/>
        </w:rPr>
        <w:fldChar w:fldCharType="separate"/>
      </w:r>
      <w:r w:rsidR="004F45AC" w:rsidRPr="00C3394A">
        <w:rPr>
          <w:b/>
          <w:bCs/>
          <w:noProof/>
        </w:rPr>
        <w:t>4</w:t>
      </w:r>
      <w:r w:rsidRPr="00C3394A">
        <w:rPr>
          <w:b/>
          <w:bCs/>
        </w:rPr>
        <w:fldChar w:fldCharType="end"/>
      </w:r>
      <w:r w:rsidRPr="00C3394A">
        <w:rPr>
          <w:b/>
          <w:bCs/>
        </w:rPr>
        <w:t>:</w:t>
      </w:r>
      <w:r w:rsidRPr="00E3612B">
        <w:t xml:space="preserve"> </w:t>
      </w:r>
      <w:r w:rsidR="005C6857" w:rsidRPr="00E3612B">
        <w:t>A</w:t>
      </w:r>
      <w:r w:rsidR="00F533E9" w:rsidRPr="00E3612B">
        <w:t xml:space="preserve">chievements </w:t>
      </w:r>
      <w:r w:rsidR="005C6857" w:rsidRPr="00E3612B">
        <w:t xml:space="preserve">at MTR </w:t>
      </w:r>
      <w:r w:rsidR="00F533E9" w:rsidRPr="00E3612B">
        <w:t>for Outcome 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2D0B25" w:rsidRPr="00B57537" w14:paraId="25C86CAE" w14:textId="77777777" w:rsidTr="00520BDD">
        <w:tc>
          <w:tcPr>
            <w:tcW w:w="9209" w:type="dxa"/>
            <w:shd w:val="clear" w:color="auto" w:fill="D9D9D9"/>
          </w:tcPr>
          <w:p w14:paraId="369C507C" w14:textId="4B41B959" w:rsidR="002D0B25" w:rsidRPr="001B4950" w:rsidRDefault="00216EAA" w:rsidP="001B4950">
            <w:pPr>
              <w:spacing w:before="60"/>
              <w:rPr>
                <w:b/>
                <w:bCs/>
                <w:color w:val="000000"/>
                <w:sz w:val="18"/>
                <w:szCs w:val="18"/>
              </w:rPr>
            </w:pPr>
            <w:r w:rsidRPr="001B4950">
              <w:rPr>
                <w:b/>
                <w:bCs/>
                <w:color w:val="000000"/>
                <w:sz w:val="18"/>
                <w:szCs w:val="18"/>
              </w:rPr>
              <w:t xml:space="preserve">Component/Outcome 1: </w:t>
            </w:r>
            <w:r w:rsidR="00742C44" w:rsidRPr="00742C44">
              <w:rPr>
                <w:b/>
                <w:bCs/>
                <w:color w:val="000000"/>
                <w:sz w:val="18"/>
                <w:szCs w:val="18"/>
              </w:rPr>
              <w:t>National transparency capacity for tracking NDC progress from mitigation activities is strong</w:t>
            </w:r>
          </w:p>
        </w:tc>
      </w:tr>
    </w:tbl>
    <w:p w14:paraId="14FE1B91" w14:textId="77777777" w:rsidR="002D0B25" w:rsidRPr="00B57537" w:rsidRDefault="002D0B25" w:rsidP="002D0B25">
      <w:pPr>
        <w:spacing w:before="0"/>
        <w:rPr>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119"/>
        <w:gridCol w:w="2977"/>
        <w:gridCol w:w="850"/>
      </w:tblGrid>
      <w:tr w:rsidR="00BA7E0D" w:rsidRPr="00B57537" w14:paraId="4DE1ECC3" w14:textId="77777777" w:rsidTr="00520BDD">
        <w:trPr>
          <w:trHeight w:val="20"/>
          <w:tblHeader/>
        </w:trPr>
        <w:tc>
          <w:tcPr>
            <w:tcW w:w="9209" w:type="dxa"/>
            <w:gridSpan w:val="4"/>
            <w:shd w:val="clear" w:color="auto" w:fill="auto"/>
          </w:tcPr>
          <w:p w14:paraId="737440AC" w14:textId="6DE6D676" w:rsidR="00BA7E0D" w:rsidRPr="00742C44" w:rsidRDefault="00BA7E0D" w:rsidP="00BA7E0D">
            <w:pPr>
              <w:pStyle w:val="NoSpacing"/>
              <w:rPr>
                <w:sz w:val="18"/>
                <w:szCs w:val="18"/>
                <w:lang w:val="en-GB"/>
              </w:rPr>
            </w:pPr>
            <w:r w:rsidRPr="001B4950">
              <w:rPr>
                <w:b/>
                <w:bCs/>
                <w:sz w:val="18"/>
                <w:szCs w:val="18"/>
                <w:lang w:val="en-GB"/>
              </w:rPr>
              <w:t xml:space="preserve">Output 1.1: </w:t>
            </w:r>
            <w:r w:rsidR="00742C44" w:rsidRPr="00742C44">
              <w:rPr>
                <w:b/>
                <w:bCs/>
                <w:sz w:val="18"/>
                <w:szCs w:val="18"/>
                <w:lang w:val="en-GB"/>
              </w:rPr>
              <w:t>Institutional and technical capacities for transparency of mitigation in relevant sectors improved</w:t>
            </w:r>
          </w:p>
        </w:tc>
      </w:tr>
      <w:tr w:rsidR="00ED082C" w:rsidRPr="00B57537" w14:paraId="5C8FCFAE" w14:textId="77777777" w:rsidTr="00A36207">
        <w:trPr>
          <w:trHeight w:val="20"/>
          <w:tblHeader/>
        </w:trPr>
        <w:tc>
          <w:tcPr>
            <w:tcW w:w="2263" w:type="dxa"/>
            <w:shd w:val="clear" w:color="auto" w:fill="auto"/>
          </w:tcPr>
          <w:p w14:paraId="6F44CC6E" w14:textId="77777777" w:rsidR="00ED082C" w:rsidRPr="001B4950" w:rsidRDefault="005D45D5" w:rsidP="0063327A">
            <w:pPr>
              <w:pStyle w:val="NoSpacing"/>
              <w:jc w:val="center"/>
              <w:rPr>
                <w:b/>
                <w:sz w:val="18"/>
                <w:szCs w:val="18"/>
                <w:lang w:val="en-GB"/>
              </w:rPr>
            </w:pPr>
            <w:r w:rsidRPr="001B4950">
              <w:rPr>
                <w:b/>
                <w:bCs/>
                <w:color w:val="000000"/>
                <w:sz w:val="18"/>
                <w:szCs w:val="18"/>
              </w:rPr>
              <w:t>Indicators</w:t>
            </w:r>
          </w:p>
        </w:tc>
        <w:tc>
          <w:tcPr>
            <w:tcW w:w="3119" w:type="dxa"/>
            <w:shd w:val="clear" w:color="auto" w:fill="FFFFFF"/>
          </w:tcPr>
          <w:p w14:paraId="3D637EC3" w14:textId="77777777" w:rsidR="00ED082C" w:rsidRPr="001B4950" w:rsidRDefault="006F3E30" w:rsidP="0063327A">
            <w:pPr>
              <w:pStyle w:val="NoSpacing"/>
              <w:jc w:val="center"/>
              <w:rPr>
                <w:b/>
                <w:sz w:val="18"/>
                <w:szCs w:val="18"/>
                <w:lang w:val="en-GB"/>
              </w:rPr>
            </w:pPr>
            <w:r w:rsidRPr="001B4950">
              <w:rPr>
                <w:b/>
                <w:bCs/>
                <w:color w:val="000000"/>
                <w:sz w:val="18"/>
                <w:szCs w:val="18"/>
              </w:rPr>
              <w:t xml:space="preserve">Mid-Term </w:t>
            </w:r>
            <w:r w:rsidR="005D45D5" w:rsidRPr="001B4950">
              <w:rPr>
                <w:b/>
                <w:bCs/>
                <w:color w:val="000000"/>
                <w:sz w:val="18"/>
                <w:szCs w:val="18"/>
              </w:rPr>
              <w:t>Targets</w:t>
            </w:r>
          </w:p>
        </w:tc>
        <w:tc>
          <w:tcPr>
            <w:tcW w:w="2977" w:type="dxa"/>
            <w:shd w:val="clear" w:color="auto" w:fill="auto"/>
          </w:tcPr>
          <w:p w14:paraId="2D02E0C6" w14:textId="66799907" w:rsidR="00ED082C" w:rsidRPr="001B4950" w:rsidRDefault="00ED082C" w:rsidP="0063327A">
            <w:pPr>
              <w:pStyle w:val="NoSpacing"/>
              <w:jc w:val="center"/>
              <w:rPr>
                <w:b/>
                <w:sz w:val="18"/>
                <w:szCs w:val="18"/>
                <w:lang w:val="en-GB"/>
              </w:rPr>
            </w:pPr>
            <w:r w:rsidRPr="001B4950">
              <w:rPr>
                <w:b/>
                <w:sz w:val="18"/>
                <w:szCs w:val="18"/>
                <w:lang w:val="en-GB"/>
              </w:rPr>
              <w:t>Status at MTR</w:t>
            </w:r>
            <w:r w:rsidR="00A36207" w:rsidRPr="001B4950">
              <w:rPr>
                <w:rStyle w:val="FootnoteReference"/>
                <w:b/>
                <w:sz w:val="18"/>
                <w:szCs w:val="18"/>
                <w:lang w:val="en-GB"/>
              </w:rPr>
              <w:footnoteReference w:id="7"/>
            </w:r>
          </w:p>
        </w:tc>
        <w:tc>
          <w:tcPr>
            <w:tcW w:w="850" w:type="dxa"/>
          </w:tcPr>
          <w:p w14:paraId="6275CEEA" w14:textId="1B1DEF7F" w:rsidR="00ED082C" w:rsidRPr="001B4950" w:rsidRDefault="00ED082C" w:rsidP="0063327A">
            <w:pPr>
              <w:pStyle w:val="NoSpacing"/>
              <w:jc w:val="center"/>
              <w:rPr>
                <w:b/>
                <w:sz w:val="18"/>
                <w:szCs w:val="18"/>
                <w:lang w:val="en-GB"/>
              </w:rPr>
            </w:pPr>
            <w:r w:rsidRPr="001B4950">
              <w:rPr>
                <w:b/>
                <w:sz w:val="18"/>
                <w:szCs w:val="18"/>
                <w:lang w:val="en-GB"/>
              </w:rPr>
              <w:t>Rating</w:t>
            </w:r>
          </w:p>
        </w:tc>
      </w:tr>
      <w:tr w:rsidR="00ED082C" w:rsidRPr="00B57537" w14:paraId="0A398805" w14:textId="77777777" w:rsidTr="001C69FE">
        <w:trPr>
          <w:trHeight w:val="20"/>
        </w:trPr>
        <w:tc>
          <w:tcPr>
            <w:tcW w:w="2263" w:type="dxa"/>
            <w:shd w:val="clear" w:color="auto" w:fill="auto"/>
          </w:tcPr>
          <w:p w14:paraId="5156CC05" w14:textId="207AAD93" w:rsidR="005F2213" w:rsidRPr="001B4950" w:rsidRDefault="00605315" w:rsidP="00742C44">
            <w:pPr>
              <w:pStyle w:val="NoSpacing"/>
              <w:spacing w:before="40"/>
              <w:rPr>
                <w:sz w:val="18"/>
                <w:szCs w:val="18"/>
                <w:lang w:val="en-GB"/>
              </w:rPr>
            </w:pPr>
            <w:r>
              <w:rPr>
                <w:sz w:val="18"/>
                <w:szCs w:val="18"/>
                <w:lang w:val="en-GB"/>
              </w:rPr>
              <w:t xml:space="preserve">1a: </w:t>
            </w:r>
            <w:r w:rsidR="00742C44" w:rsidRPr="00742C44">
              <w:rPr>
                <w:sz w:val="18"/>
                <w:szCs w:val="18"/>
                <w:lang w:val="en-GB"/>
              </w:rPr>
              <w:t>Number of users trained on mitigation-related aspects of the national MRV syste</w:t>
            </w:r>
            <w:r w:rsidR="00742C44">
              <w:rPr>
                <w:sz w:val="18"/>
                <w:szCs w:val="18"/>
                <w:lang w:val="en-GB"/>
              </w:rPr>
              <w:t>m</w:t>
            </w:r>
          </w:p>
        </w:tc>
        <w:tc>
          <w:tcPr>
            <w:tcW w:w="3119" w:type="dxa"/>
            <w:shd w:val="clear" w:color="auto" w:fill="FFFFFF"/>
          </w:tcPr>
          <w:p w14:paraId="659C2760" w14:textId="58B3EAB8" w:rsidR="00457891" w:rsidRPr="001B4950" w:rsidRDefault="00742C44" w:rsidP="00742C44">
            <w:pPr>
              <w:pStyle w:val="NoSpacing"/>
              <w:spacing w:before="40"/>
              <w:rPr>
                <w:sz w:val="18"/>
                <w:szCs w:val="18"/>
                <w:lang w:val="en-GB"/>
              </w:rPr>
            </w:pPr>
            <w:r w:rsidRPr="00742C44">
              <w:rPr>
                <w:sz w:val="18"/>
                <w:szCs w:val="18"/>
                <w:lang w:val="en-GB"/>
              </w:rPr>
              <w:t>By the end of Q6, least 35 people have been trained on mitigation aspects of the new MRV system (and of those, at least 60 % are women)</w:t>
            </w:r>
          </w:p>
        </w:tc>
        <w:tc>
          <w:tcPr>
            <w:tcW w:w="2977" w:type="dxa"/>
            <w:shd w:val="clear" w:color="auto" w:fill="92D050"/>
          </w:tcPr>
          <w:p w14:paraId="08BF80D4" w14:textId="4FA95E23" w:rsidR="00D813FF" w:rsidRDefault="00D813FF" w:rsidP="00D813FF">
            <w:pPr>
              <w:pStyle w:val="NoSpacing"/>
              <w:spacing w:before="40"/>
              <w:rPr>
                <w:iCs/>
                <w:sz w:val="18"/>
                <w:szCs w:val="18"/>
                <w:lang w:val="en-GB"/>
              </w:rPr>
            </w:pPr>
            <w:r>
              <w:rPr>
                <w:iCs/>
                <w:sz w:val="18"/>
                <w:szCs w:val="18"/>
                <w:lang w:val="en-GB"/>
              </w:rPr>
              <w:t>C</w:t>
            </w:r>
            <w:r w:rsidRPr="00D813FF">
              <w:rPr>
                <w:iCs/>
                <w:sz w:val="18"/>
                <w:szCs w:val="18"/>
                <w:lang w:val="en-GB"/>
              </w:rPr>
              <w:t>onsultative meeting</w:t>
            </w:r>
            <w:r>
              <w:rPr>
                <w:iCs/>
                <w:sz w:val="18"/>
                <w:szCs w:val="18"/>
                <w:lang w:val="en-GB"/>
              </w:rPr>
              <w:t xml:space="preserve"> on 23-24 </w:t>
            </w:r>
            <w:r w:rsidRPr="00D813FF">
              <w:rPr>
                <w:iCs/>
                <w:sz w:val="18"/>
                <w:szCs w:val="18"/>
                <w:lang w:val="en-GB"/>
              </w:rPr>
              <w:t xml:space="preserve">April </w:t>
            </w:r>
            <w:r>
              <w:rPr>
                <w:iCs/>
                <w:sz w:val="18"/>
                <w:szCs w:val="18"/>
                <w:lang w:val="en-GB"/>
              </w:rPr>
              <w:t>2</w:t>
            </w:r>
            <w:r w:rsidRPr="00D813FF">
              <w:rPr>
                <w:iCs/>
                <w:sz w:val="18"/>
                <w:szCs w:val="18"/>
                <w:lang w:val="en-GB"/>
              </w:rPr>
              <w:t>019</w:t>
            </w:r>
            <w:r>
              <w:rPr>
                <w:iCs/>
                <w:sz w:val="18"/>
                <w:szCs w:val="18"/>
                <w:lang w:val="en-GB"/>
              </w:rPr>
              <w:t xml:space="preserve"> (35 participants/24 women)</w:t>
            </w:r>
          </w:p>
          <w:p w14:paraId="5CF5C699" w14:textId="77777777" w:rsidR="00D813FF" w:rsidRDefault="00D813FF" w:rsidP="00D813FF">
            <w:pPr>
              <w:pStyle w:val="NoSpacing"/>
              <w:spacing w:before="40"/>
              <w:rPr>
                <w:iCs/>
                <w:sz w:val="18"/>
                <w:szCs w:val="18"/>
                <w:lang w:val="en-GB"/>
              </w:rPr>
            </w:pPr>
            <w:r w:rsidRPr="00D813FF">
              <w:rPr>
                <w:iCs/>
                <w:sz w:val="18"/>
                <w:szCs w:val="18"/>
                <w:lang w:val="en-GB"/>
              </w:rPr>
              <w:t>Impact and risks of climate change</w:t>
            </w:r>
            <w:r>
              <w:rPr>
                <w:iCs/>
                <w:sz w:val="18"/>
                <w:szCs w:val="18"/>
                <w:lang w:val="en-GB"/>
              </w:rPr>
              <w:t xml:space="preserve"> – 3 July 2019 (38 participants/18 women)</w:t>
            </w:r>
          </w:p>
          <w:p w14:paraId="30AE1645" w14:textId="72C3CB45" w:rsidR="00FF7230" w:rsidRPr="001B4950" w:rsidRDefault="00FF7230" w:rsidP="00D813FF">
            <w:pPr>
              <w:pStyle w:val="NoSpacing"/>
              <w:spacing w:before="40"/>
              <w:rPr>
                <w:iCs/>
                <w:sz w:val="18"/>
                <w:szCs w:val="18"/>
                <w:lang w:val="en-GB"/>
              </w:rPr>
            </w:pPr>
            <w:r w:rsidRPr="00D813FF">
              <w:rPr>
                <w:iCs/>
                <w:sz w:val="18"/>
                <w:szCs w:val="18"/>
                <w:lang w:val="en-GB"/>
              </w:rPr>
              <w:t xml:space="preserve">Dialogue on climate change </w:t>
            </w:r>
            <w:r>
              <w:rPr>
                <w:iCs/>
                <w:sz w:val="18"/>
                <w:szCs w:val="18"/>
                <w:lang w:val="en-GB"/>
              </w:rPr>
              <w:t xml:space="preserve">on </w:t>
            </w:r>
            <w:r w:rsidRPr="00D813FF">
              <w:rPr>
                <w:iCs/>
                <w:sz w:val="18"/>
                <w:szCs w:val="18"/>
                <w:lang w:val="en-GB"/>
              </w:rPr>
              <w:t>19</w:t>
            </w:r>
            <w:r>
              <w:rPr>
                <w:iCs/>
                <w:sz w:val="18"/>
                <w:szCs w:val="18"/>
                <w:lang w:val="en-GB"/>
              </w:rPr>
              <w:t xml:space="preserve"> -</w:t>
            </w:r>
            <w:r w:rsidRPr="00D813FF">
              <w:rPr>
                <w:iCs/>
                <w:sz w:val="18"/>
                <w:szCs w:val="18"/>
                <w:lang w:val="en-GB"/>
              </w:rPr>
              <w:t xml:space="preserve">21 </w:t>
            </w:r>
            <w:r>
              <w:rPr>
                <w:iCs/>
                <w:sz w:val="18"/>
                <w:szCs w:val="18"/>
                <w:lang w:val="en-GB"/>
              </w:rPr>
              <w:t>N</w:t>
            </w:r>
            <w:r w:rsidRPr="00D813FF">
              <w:rPr>
                <w:iCs/>
                <w:sz w:val="18"/>
                <w:szCs w:val="18"/>
                <w:lang w:val="en-GB"/>
              </w:rPr>
              <w:t>ovember 2019</w:t>
            </w:r>
            <w:r>
              <w:rPr>
                <w:iCs/>
                <w:sz w:val="18"/>
                <w:szCs w:val="18"/>
                <w:lang w:val="en-GB"/>
              </w:rPr>
              <w:t xml:space="preserve"> (32 participants/26 women)</w:t>
            </w:r>
          </w:p>
        </w:tc>
        <w:tc>
          <w:tcPr>
            <w:tcW w:w="850" w:type="dxa"/>
            <w:shd w:val="clear" w:color="auto" w:fill="auto"/>
            <w:vAlign w:val="center"/>
          </w:tcPr>
          <w:p w14:paraId="21991EA6" w14:textId="4192314C" w:rsidR="00ED082C" w:rsidRPr="001B4950" w:rsidRDefault="00796BFE" w:rsidP="00E67F75">
            <w:pPr>
              <w:pStyle w:val="NoSpacing"/>
              <w:jc w:val="center"/>
              <w:rPr>
                <w:sz w:val="18"/>
                <w:szCs w:val="18"/>
                <w:lang w:val="en-GB"/>
              </w:rPr>
            </w:pPr>
            <w:r>
              <w:rPr>
                <w:sz w:val="18"/>
                <w:szCs w:val="18"/>
                <w:lang w:val="en-GB"/>
              </w:rPr>
              <w:t>S</w:t>
            </w:r>
          </w:p>
        </w:tc>
      </w:tr>
      <w:tr w:rsidR="00605315" w:rsidRPr="00B57537" w14:paraId="3F662169" w14:textId="77777777" w:rsidTr="00A36207">
        <w:trPr>
          <w:trHeight w:val="20"/>
        </w:trPr>
        <w:tc>
          <w:tcPr>
            <w:tcW w:w="2263" w:type="dxa"/>
            <w:shd w:val="clear" w:color="auto" w:fill="auto"/>
          </w:tcPr>
          <w:p w14:paraId="7BAB2508" w14:textId="2663721A" w:rsidR="00605315" w:rsidRPr="001B4950" w:rsidRDefault="00605315" w:rsidP="00742C44">
            <w:pPr>
              <w:pStyle w:val="NoSpacing"/>
              <w:spacing w:before="40"/>
              <w:rPr>
                <w:sz w:val="18"/>
                <w:szCs w:val="18"/>
                <w:lang w:val="en-GB"/>
              </w:rPr>
            </w:pPr>
            <w:r>
              <w:rPr>
                <w:sz w:val="18"/>
                <w:szCs w:val="18"/>
                <w:lang w:val="en-GB"/>
              </w:rPr>
              <w:t xml:space="preserve">1b: </w:t>
            </w:r>
            <w:r w:rsidRPr="00742C44">
              <w:rPr>
                <w:sz w:val="18"/>
                <w:szCs w:val="18"/>
                <w:lang w:val="en-GB"/>
              </w:rPr>
              <w:t>Level of participation in the MRV system</w:t>
            </w:r>
          </w:p>
        </w:tc>
        <w:tc>
          <w:tcPr>
            <w:tcW w:w="3119" w:type="dxa"/>
            <w:shd w:val="clear" w:color="auto" w:fill="FFFFFF"/>
          </w:tcPr>
          <w:p w14:paraId="3B9D79F9" w14:textId="791E623A" w:rsidR="00605315" w:rsidRPr="001B4950" w:rsidRDefault="00605315" w:rsidP="00742C44">
            <w:pPr>
              <w:pStyle w:val="NoSpacing"/>
              <w:spacing w:before="40"/>
              <w:rPr>
                <w:sz w:val="18"/>
                <w:szCs w:val="18"/>
                <w:lang w:val="en-GB"/>
              </w:rPr>
            </w:pPr>
            <w:r w:rsidRPr="00742C44">
              <w:rPr>
                <w:sz w:val="18"/>
                <w:szCs w:val="18"/>
                <w:lang w:val="en-GB"/>
              </w:rPr>
              <w:t>By the end of Q6, database access and use of mitigation information is observed in at least 2 government agencies</w:t>
            </w:r>
          </w:p>
        </w:tc>
        <w:tc>
          <w:tcPr>
            <w:tcW w:w="2977" w:type="dxa"/>
            <w:shd w:val="clear" w:color="auto" w:fill="FFFF00"/>
            <w:vAlign w:val="center"/>
          </w:tcPr>
          <w:p w14:paraId="1FF6A94F" w14:textId="77777777" w:rsidR="00605315" w:rsidRDefault="00605315" w:rsidP="00605315">
            <w:pPr>
              <w:pStyle w:val="NoSpacing"/>
              <w:spacing w:before="40"/>
              <w:rPr>
                <w:iCs/>
                <w:sz w:val="18"/>
                <w:szCs w:val="18"/>
                <w:highlight w:val="yellow"/>
                <w:lang w:val="en-GB"/>
              </w:rPr>
            </w:pPr>
            <w:r w:rsidRPr="00A40AF6">
              <w:rPr>
                <w:iCs/>
                <w:sz w:val="18"/>
                <w:szCs w:val="18"/>
                <w:highlight w:val="yellow"/>
                <w:lang w:val="en-GB"/>
              </w:rPr>
              <w:t xml:space="preserve">Only </w:t>
            </w:r>
            <w:r w:rsidR="00796BFE" w:rsidRPr="00A40AF6">
              <w:rPr>
                <w:iCs/>
                <w:sz w:val="18"/>
                <w:szCs w:val="18"/>
                <w:highlight w:val="yellow"/>
                <w:lang w:val="en-GB"/>
              </w:rPr>
              <w:t xml:space="preserve">MRV </w:t>
            </w:r>
            <w:r w:rsidRPr="00A40AF6">
              <w:rPr>
                <w:iCs/>
                <w:sz w:val="18"/>
                <w:szCs w:val="18"/>
                <w:highlight w:val="yellow"/>
                <w:lang w:val="en-GB"/>
              </w:rPr>
              <w:t xml:space="preserve">conceptual framework </w:t>
            </w:r>
            <w:r w:rsidR="00796BFE" w:rsidRPr="00A40AF6">
              <w:rPr>
                <w:iCs/>
                <w:sz w:val="18"/>
                <w:szCs w:val="18"/>
                <w:highlight w:val="yellow"/>
                <w:lang w:val="en-GB"/>
              </w:rPr>
              <w:t>developed</w:t>
            </w:r>
            <w:r w:rsidRPr="00A40AF6">
              <w:rPr>
                <w:iCs/>
                <w:sz w:val="18"/>
                <w:szCs w:val="18"/>
                <w:highlight w:val="yellow"/>
                <w:lang w:val="en-GB"/>
              </w:rPr>
              <w:t xml:space="preserve"> but </w:t>
            </w:r>
            <w:r w:rsidR="00796BFE" w:rsidRPr="00A40AF6">
              <w:rPr>
                <w:iCs/>
                <w:sz w:val="18"/>
                <w:szCs w:val="18"/>
                <w:highlight w:val="yellow"/>
                <w:lang w:val="en-GB"/>
              </w:rPr>
              <w:t>the system not yet functional</w:t>
            </w:r>
          </w:p>
          <w:p w14:paraId="3E454D30" w14:textId="77777777" w:rsidR="00CC0A10" w:rsidRDefault="00CC0A10" w:rsidP="00605315">
            <w:pPr>
              <w:pStyle w:val="NoSpacing"/>
              <w:spacing w:before="40"/>
              <w:rPr>
                <w:iCs/>
                <w:sz w:val="18"/>
                <w:szCs w:val="18"/>
                <w:lang w:val="en-GB"/>
              </w:rPr>
            </w:pPr>
            <w:r>
              <w:rPr>
                <w:iCs/>
                <w:sz w:val="18"/>
                <w:szCs w:val="18"/>
                <w:lang w:val="en-GB"/>
              </w:rPr>
              <w:t>D</w:t>
            </w:r>
            <w:r w:rsidRPr="00CC0A10">
              <w:rPr>
                <w:iCs/>
                <w:sz w:val="18"/>
                <w:szCs w:val="18"/>
                <w:lang w:val="en-GB"/>
              </w:rPr>
              <w:t>etailed review of GHG</w:t>
            </w:r>
            <w:r>
              <w:rPr>
                <w:iCs/>
                <w:sz w:val="18"/>
                <w:szCs w:val="18"/>
                <w:lang w:val="en-GB"/>
              </w:rPr>
              <w:t xml:space="preserve"> i</w:t>
            </w:r>
            <w:r w:rsidRPr="00CC0A10">
              <w:rPr>
                <w:iCs/>
                <w:sz w:val="18"/>
                <w:szCs w:val="18"/>
                <w:lang w:val="en-GB"/>
              </w:rPr>
              <w:t>nventory</w:t>
            </w:r>
            <w:r>
              <w:rPr>
                <w:iCs/>
                <w:sz w:val="18"/>
                <w:szCs w:val="18"/>
                <w:lang w:val="en-GB"/>
              </w:rPr>
              <w:t xml:space="preserve"> process</w:t>
            </w:r>
          </w:p>
          <w:p w14:paraId="4A5F8400" w14:textId="3022216B" w:rsidR="00A36207" w:rsidRPr="00A40AF6" w:rsidRDefault="00A36207" w:rsidP="00605315">
            <w:pPr>
              <w:pStyle w:val="NoSpacing"/>
              <w:spacing w:before="40"/>
              <w:rPr>
                <w:iCs/>
                <w:sz w:val="18"/>
                <w:szCs w:val="18"/>
                <w:highlight w:val="yellow"/>
                <w:lang w:val="en-GB"/>
              </w:rPr>
            </w:pPr>
            <w:r>
              <w:rPr>
                <w:iCs/>
                <w:sz w:val="18"/>
                <w:szCs w:val="18"/>
                <w:lang w:val="en-GB"/>
              </w:rPr>
              <w:t>C</w:t>
            </w:r>
            <w:r w:rsidRPr="00A36207">
              <w:rPr>
                <w:iCs/>
                <w:sz w:val="18"/>
                <w:szCs w:val="18"/>
                <w:lang w:val="en-GB"/>
              </w:rPr>
              <w:t xml:space="preserve">onsultations with </w:t>
            </w:r>
            <w:r>
              <w:rPr>
                <w:iCs/>
                <w:sz w:val="18"/>
                <w:szCs w:val="18"/>
                <w:lang w:val="en-GB"/>
              </w:rPr>
              <w:t xml:space="preserve">the </w:t>
            </w:r>
            <w:r w:rsidRPr="00A36207">
              <w:rPr>
                <w:iCs/>
                <w:sz w:val="18"/>
                <w:szCs w:val="18"/>
                <w:lang w:val="en-GB"/>
              </w:rPr>
              <w:t xml:space="preserve">Forestry Directorate of </w:t>
            </w:r>
            <w:proofErr w:type="spellStart"/>
            <w:r w:rsidRPr="00A36207">
              <w:rPr>
                <w:iCs/>
                <w:sz w:val="18"/>
                <w:szCs w:val="18"/>
                <w:lang w:val="en-GB"/>
              </w:rPr>
              <w:t>MoAFWM</w:t>
            </w:r>
            <w:proofErr w:type="spellEnd"/>
          </w:p>
        </w:tc>
        <w:tc>
          <w:tcPr>
            <w:tcW w:w="850" w:type="dxa"/>
            <w:shd w:val="clear" w:color="auto" w:fill="auto"/>
            <w:vAlign w:val="center"/>
          </w:tcPr>
          <w:p w14:paraId="4D57E12C" w14:textId="7401A551" w:rsidR="00605315" w:rsidRPr="001B4950" w:rsidRDefault="00FF013A" w:rsidP="00BA7E0D">
            <w:pPr>
              <w:pStyle w:val="NoSpacing"/>
              <w:jc w:val="center"/>
              <w:rPr>
                <w:sz w:val="18"/>
                <w:szCs w:val="18"/>
                <w:lang w:val="en-GB"/>
              </w:rPr>
            </w:pPr>
            <w:r>
              <w:rPr>
                <w:sz w:val="18"/>
                <w:szCs w:val="18"/>
                <w:lang w:val="en-GB"/>
              </w:rPr>
              <w:t>S</w:t>
            </w:r>
          </w:p>
        </w:tc>
      </w:tr>
      <w:tr w:rsidR="00605315" w:rsidRPr="00B57537" w14:paraId="7C807595" w14:textId="77777777" w:rsidTr="00A36207">
        <w:trPr>
          <w:trHeight w:val="20"/>
        </w:trPr>
        <w:tc>
          <w:tcPr>
            <w:tcW w:w="2263" w:type="dxa"/>
            <w:shd w:val="clear" w:color="auto" w:fill="auto"/>
          </w:tcPr>
          <w:p w14:paraId="3BBD30D6" w14:textId="043279A0" w:rsidR="00605315" w:rsidRPr="00742C44" w:rsidRDefault="00605315" w:rsidP="00742C44">
            <w:pPr>
              <w:pStyle w:val="NoSpacing"/>
              <w:spacing w:before="40"/>
              <w:rPr>
                <w:sz w:val="18"/>
                <w:szCs w:val="18"/>
                <w:lang w:val="en-GB"/>
              </w:rPr>
            </w:pPr>
            <w:r>
              <w:rPr>
                <w:sz w:val="18"/>
                <w:szCs w:val="18"/>
                <w:lang w:val="en-GB"/>
              </w:rPr>
              <w:t xml:space="preserve">1c: </w:t>
            </w:r>
            <w:r w:rsidRPr="00742C44">
              <w:rPr>
                <w:sz w:val="18"/>
                <w:szCs w:val="18"/>
                <w:lang w:val="en-GB"/>
              </w:rPr>
              <w:t>Degree to which domestic MRV system informs policies and reporting related to mitigation</w:t>
            </w:r>
          </w:p>
        </w:tc>
        <w:tc>
          <w:tcPr>
            <w:tcW w:w="3119" w:type="dxa"/>
            <w:shd w:val="clear" w:color="auto" w:fill="FFFFFF"/>
          </w:tcPr>
          <w:p w14:paraId="640752BD" w14:textId="521CFD64" w:rsidR="00605315" w:rsidRPr="00742C44" w:rsidRDefault="00605315" w:rsidP="00742C44">
            <w:pPr>
              <w:pStyle w:val="NoSpacing"/>
              <w:spacing w:before="40"/>
              <w:rPr>
                <w:sz w:val="18"/>
                <w:szCs w:val="18"/>
                <w:lang w:val="en-GB"/>
              </w:rPr>
            </w:pPr>
            <w:r w:rsidRPr="00742C44">
              <w:rPr>
                <w:sz w:val="18"/>
                <w:szCs w:val="18"/>
                <w:lang w:val="en-GB"/>
              </w:rPr>
              <w:t xml:space="preserve">By the end of Q6, mitigation information from the database </w:t>
            </w:r>
            <w:r>
              <w:rPr>
                <w:sz w:val="18"/>
                <w:szCs w:val="18"/>
                <w:lang w:val="en-GB"/>
              </w:rPr>
              <w:t>has</w:t>
            </w:r>
            <w:r w:rsidRPr="00742C44">
              <w:rPr>
                <w:sz w:val="18"/>
                <w:szCs w:val="18"/>
                <w:lang w:val="en-GB"/>
              </w:rPr>
              <w:t xml:space="preserve"> been used to inform national reporting, i.e. to be used for improvement of national CC related legislation</w:t>
            </w:r>
          </w:p>
        </w:tc>
        <w:tc>
          <w:tcPr>
            <w:tcW w:w="2977" w:type="dxa"/>
            <w:shd w:val="clear" w:color="auto" w:fill="FFFF00"/>
          </w:tcPr>
          <w:p w14:paraId="07FE0411" w14:textId="5963E5E9" w:rsidR="00605315" w:rsidRPr="00A40AF6" w:rsidRDefault="00FF013A" w:rsidP="00742C44">
            <w:pPr>
              <w:pStyle w:val="NoSpacing"/>
              <w:spacing w:before="40"/>
              <w:rPr>
                <w:iCs/>
                <w:sz w:val="18"/>
                <w:szCs w:val="18"/>
                <w:highlight w:val="yellow"/>
                <w:lang w:val="en-GB"/>
              </w:rPr>
            </w:pPr>
            <w:r w:rsidRPr="00A40AF6">
              <w:rPr>
                <w:iCs/>
                <w:sz w:val="18"/>
                <w:szCs w:val="18"/>
                <w:highlight w:val="yellow"/>
                <w:lang w:val="en-GB"/>
              </w:rPr>
              <w:t xml:space="preserve">Mitigation information used </w:t>
            </w:r>
            <w:r w:rsidR="00E958B7" w:rsidRPr="00A40AF6">
              <w:rPr>
                <w:iCs/>
                <w:sz w:val="18"/>
                <w:szCs w:val="18"/>
                <w:highlight w:val="yellow"/>
                <w:lang w:val="en-GB"/>
              </w:rPr>
              <w:t xml:space="preserve">in </w:t>
            </w:r>
            <w:r w:rsidRPr="00A40AF6">
              <w:rPr>
                <w:iCs/>
                <w:sz w:val="18"/>
                <w:szCs w:val="18"/>
                <w:highlight w:val="yellow"/>
                <w:lang w:val="en-GB"/>
              </w:rPr>
              <w:t xml:space="preserve">off-line </w:t>
            </w:r>
            <w:r w:rsidR="00E958B7" w:rsidRPr="00A40AF6">
              <w:rPr>
                <w:iCs/>
                <w:sz w:val="18"/>
                <w:szCs w:val="18"/>
                <w:highlight w:val="yellow"/>
                <w:lang w:val="en-GB"/>
              </w:rPr>
              <w:t xml:space="preserve">mode </w:t>
            </w:r>
            <w:r w:rsidRPr="00A40AF6">
              <w:rPr>
                <w:iCs/>
                <w:sz w:val="18"/>
                <w:szCs w:val="18"/>
                <w:highlight w:val="yellow"/>
                <w:lang w:val="en-GB"/>
              </w:rPr>
              <w:t xml:space="preserve">for </w:t>
            </w:r>
            <w:r w:rsidR="00E46AE9" w:rsidRPr="00A40AF6">
              <w:rPr>
                <w:iCs/>
                <w:sz w:val="18"/>
                <w:szCs w:val="18"/>
                <w:highlight w:val="yellow"/>
                <w:lang w:val="en-GB"/>
              </w:rPr>
              <w:t xml:space="preserve">preparation of reports (NIR, </w:t>
            </w:r>
            <w:r w:rsidR="00E958B7" w:rsidRPr="00A40AF6">
              <w:rPr>
                <w:iCs/>
                <w:sz w:val="18"/>
                <w:szCs w:val="18"/>
                <w:highlight w:val="yellow"/>
                <w:lang w:val="en-GB"/>
              </w:rPr>
              <w:t>2</w:t>
            </w:r>
            <w:r w:rsidR="00E46AE9" w:rsidRPr="00A40AF6">
              <w:rPr>
                <w:iCs/>
                <w:sz w:val="18"/>
                <w:szCs w:val="18"/>
                <w:highlight w:val="yellow"/>
                <w:lang w:val="en-GB"/>
              </w:rPr>
              <w:t>BUR</w:t>
            </w:r>
            <w:r w:rsidR="00E958B7" w:rsidRPr="00A40AF6">
              <w:rPr>
                <w:iCs/>
                <w:sz w:val="18"/>
                <w:szCs w:val="18"/>
                <w:highlight w:val="yellow"/>
                <w:lang w:val="en-GB"/>
              </w:rPr>
              <w:t>, 3NC,</w:t>
            </w:r>
            <w:r w:rsidR="00E46AE9" w:rsidRPr="00A40AF6">
              <w:rPr>
                <w:iCs/>
                <w:sz w:val="18"/>
                <w:szCs w:val="18"/>
                <w:highlight w:val="yellow"/>
                <w:lang w:val="en-GB"/>
              </w:rPr>
              <w:t>) but</w:t>
            </w:r>
            <w:r w:rsidR="00A36207">
              <w:rPr>
                <w:iCs/>
                <w:sz w:val="18"/>
                <w:szCs w:val="18"/>
                <w:highlight w:val="yellow"/>
                <w:lang w:val="en-GB"/>
              </w:rPr>
              <w:t xml:space="preserve"> </w:t>
            </w:r>
            <w:r w:rsidR="00E958B7" w:rsidRPr="00A40AF6">
              <w:rPr>
                <w:iCs/>
                <w:sz w:val="18"/>
                <w:szCs w:val="18"/>
                <w:highlight w:val="yellow"/>
                <w:lang w:val="en-GB"/>
              </w:rPr>
              <w:t>improvements needed on data flows and accuracy of estimates and projections</w:t>
            </w:r>
          </w:p>
        </w:tc>
        <w:tc>
          <w:tcPr>
            <w:tcW w:w="850" w:type="dxa"/>
            <w:shd w:val="clear" w:color="auto" w:fill="auto"/>
            <w:vAlign w:val="center"/>
          </w:tcPr>
          <w:p w14:paraId="36EEA6C4" w14:textId="0D1475FF" w:rsidR="00605315" w:rsidRPr="001B4950" w:rsidRDefault="00FF013A" w:rsidP="00BA7E0D">
            <w:pPr>
              <w:pStyle w:val="NoSpacing"/>
              <w:jc w:val="center"/>
              <w:rPr>
                <w:sz w:val="18"/>
                <w:szCs w:val="18"/>
                <w:lang w:val="en-GB"/>
              </w:rPr>
            </w:pPr>
            <w:r>
              <w:rPr>
                <w:sz w:val="18"/>
                <w:szCs w:val="18"/>
                <w:lang w:val="en-GB"/>
              </w:rPr>
              <w:t>S</w:t>
            </w:r>
          </w:p>
        </w:tc>
      </w:tr>
    </w:tbl>
    <w:p w14:paraId="4E581166" w14:textId="5CA1EEFC" w:rsidR="009E4A0B" w:rsidRDefault="009E4A0B" w:rsidP="007A1800">
      <w:pPr>
        <w:spacing w:before="240"/>
        <w:rPr>
          <w:bCs/>
        </w:rPr>
      </w:pPr>
      <w:r w:rsidRPr="009E4A0B">
        <w:rPr>
          <w:bCs/>
        </w:rPr>
        <w:t>A two-day</w:t>
      </w:r>
      <w:r>
        <w:rPr>
          <w:b/>
        </w:rPr>
        <w:t xml:space="preserve"> </w:t>
      </w:r>
      <w:r w:rsidR="00F000F0">
        <w:rPr>
          <w:bCs/>
        </w:rPr>
        <w:t xml:space="preserve">initial </w:t>
      </w:r>
      <w:r w:rsidR="00FF7230">
        <w:rPr>
          <w:bCs/>
        </w:rPr>
        <w:t xml:space="preserve">consultative meeting </w:t>
      </w:r>
      <w:r w:rsidR="00F000F0">
        <w:rPr>
          <w:bCs/>
        </w:rPr>
        <w:t xml:space="preserve">was organized </w:t>
      </w:r>
      <w:r>
        <w:rPr>
          <w:bCs/>
        </w:rPr>
        <w:t xml:space="preserve">in April 2019 </w:t>
      </w:r>
      <w:r w:rsidR="00F000F0">
        <w:rPr>
          <w:bCs/>
        </w:rPr>
        <w:t>with participation of 3</w:t>
      </w:r>
      <w:r w:rsidR="00FF7230">
        <w:rPr>
          <w:bCs/>
        </w:rPr>
        <w:t>5</w:t>
      </w:r>
      <w:r w:rsidR="00F000F0">
        <w:rPr>
          <w:bCs/>
        </w:rPr>
        <w:t xml:space="preserve"> </w:t>
      </w:r>
      <w:r>
        <w:rPr>
          <w:bCs/>
        </w:rPr>
        <w:t xml:space="preserve">trainees from a variety of stakeholder organizations. </w:t>
      </w:r>
      <w:r w:rsidR="00FF7230">
        <w:rPr>
          <w:bCs/>
        </w:rPr>
        <w:t xml:space="preserve">Two follow-up </w:t>
      </w:r>
      <w:r>
        <w:rPr>
          <w:bCs/>
        </w:rPr>
        <w:t>trainings were organized</w:t>
      </w:r>
      <w:r w:rsidR="00CD0B15">
        <w:rPr>
          <w:bCs/>
        </w:rPr>
        <w:t xml:space="preserve"> </w:t>
      </w:r>
      <w:r w:rsidR="00FF7230">
        <w:rPr>
          <w:bCs/>
        </w:rPr>
        <w:t>in July and November 2019, with the respective number of participants 38 and 32</w:t>
      </w:r>
      <w:r>
        <w:rPr>
          <w:bCs/>
        </w:rPr>
        <w:t xml:space="preserve">. </w:t>
      </w:r>
      <w:r w:rsidR="00FF7230">
        <w:rPr>
          <w:bCs/>
        </w:rPr>
        <w:t xml:space="preserve">The sessions covered both mitigation and adaptation aspects of the MRV system. </w:t>
      </w:r>
      <w:r>
        <w:rPr>
          <w:bCs/>
        </w:rPr>
        <w:t xml:space="preserve">However, the process indicator measures only the number of trainees but does not allow the increase in capacity of the training participants. </w:t>
      </w:r>
      <w:r w:rsidR="00FF7230">
        <w:rPr>
          <w:bCs/>
        </w:rPr>
        <w:t>No reports are available about evaluation of the trainings.</w:t>
      </w:r>
    </w:p>
    <w:p w14:paraId="20684BC2" w14:textId="14DD066F" w:rsidR="00D813FF" w:rsidRDefault="00D813FF" w:rsidP="00D813FF">
      <w:pPr>
        <w:rPr>
          <w:bCs/>
        </w:rPr>
      </w:pPr>
      <w:r>
        <w:rPr>
          <w:bCs/>
        </w:rPr>
        <w:t xml:space="preserve">In 2020, a series of webinars were conducted </w:t>
      </w:r>
      <w:r w:rsidR="00FF7230">
        <w:rPr>
          <w:bCs/>
        </w:rPr>
        <w:t>under the Global Support Project (GSP) implemented by UNDP with participation of smaller numbers participants.</w:t>
      </w:r>
    </w:p>
    <w:p w14:paraId="58BFDB7A" w14:textId="38B68D50" w:rsidR="00404C45" w:rsidRDefault="00A17224" w:rsidP="009E4A0B">
      <w:pPr>
        <w:rPr>
          <w:bCs/>
        </w:rPr>
      </w:pPr>
      <w:r>
        <w:rPr>
          <w:bCs/>
        </w:rPr>
        <w:t xml:space="preserve">At the mid-term of the CBIT project, there </w:t>
      </w:r>
      <w:r w:rsidR="00BE0F73">
        <w:rPr>
          <w:bCs/>
        </w:rPr>
        <w:t>is</w:t>
      </w:r>
      <w:r>
        <w:rPr>
          <w:bCs/>
        </w:rPr>
        <w:t xml:space="preserve"> no </w:t>
      </w:r>
      <w:r w:rsidR="000C729E" w:rsidRPr="000C729E">
        <w:rPr>
          <w:bCs/>
        </w:rPr>
        <w:t>operational MRV system in Serbia</w:t>
      </w:r>
      <w:r>
        <w:rPr>
          <w:bCs/>
        </w:rPr>
        <w:t xml:space="preserve"> and no </w:t>
      </w:r>
      <w:r w:rsidRPr="00A17224">
        <w:rPr>
          <w:bCs/>
        </w:rPr>
        <w:t xml:space="preserve">central repository of all information related </w:t>
      </w:r>
      <w:r>
        <w:rPr>
          <w:bCs/>
        </w:rPr>
        <w:t xml:space="preserve">to </w:t>
      </w:r>
      <w:r w:rsidRPr="00A17224">
        <w:rPr>
          <w:bCs/>
        </w:rPr>
        <w:t xml:space="preserve">climate change. </w:t>
      </w:r>
      <w:r>
        <w:rPr>
          <w:bCs/>
        </w:rPr>
        <w:t>I</w:t>
      </w:r>
      <w:r w:rsidRPr="00A17224">
        <w:rPr>
          <w:bCs/>
        </w:rPr>
        <w:t xml:space="preserve">nformation is separately stored in the </w:t>
      </w:r>
      <w:r w:rsidR="00BE0F73">
        <w:rPr>
          <w:bCs/>
        </w:rPr>
        <w:t xml:space="preserve">individual </w:t>
      </w:r>
      <w:r w:rsidRPr="00A17224">
        <w:rPr>
          <w:bCs/>
        </w:rPr>
        <w:t>systems of the involved institutions</w:t>
      </w:r>
      <w:r>
        <w:rPr>
          <w:bCs/>
        </w:rPr>
        <w:t xml:space="preserve"> and </w:t>
      </w:r>
      <w:r w:rsidRPr="00A17224">
        <w:rPr>
          <w:bCs/>
        </w:rPr>
        <w:t>stakeholders.</w:t>
      </w:r>
      <w:r>
        <w:rPr>
          <w:bCs/>
        </w:rPr>
        <w:t xml:space="preserve"> The </w:t>
      </w:r>
      <w:r w:rsidR="00404C45">
        <w:rPr>
          <w:bCs/>
        </w:rPr>
        <w:t xml:space="preserve">work on the development of the </w:t>
      </w:r>
      <w:r w:rsidR="00203DCC">
        <w:rPr>
          <w:bCs/>
        </w:rPr>
        <w:t xml:space="preserve">advanced </w:t>
      </w:r>
      <w:r w:rsidR="00404C45">
        <w:rPr>
          <w:bCs/>
        </w:rPr>
        <w:t xml:space="preserve">MRV system </w:t>
      </w:r>
      <w:r w:rsidR="00B55150">
        <w:rPr>
          <w:bCs/>
        </w:rPr>
        <w:t xml:space="preserve">was </w:t>
      </w:r>
      <w:r w:rsidR="00404C45">
        <w:rPr>
          <w:bCs/>
        </w:rPr>
        <w:t xml:space="preserve">still on-going (see </w:t>
      </w:r>
      <w:r w:rsidR="007A1800">
        <w:rPr>
          <w:bCs/>
        </w:rPr>
        <w:t xml:space="preserve">more detailed </w:t>
      </w:r>
      <w:r w:rsidR="00404C45">
        <w:rPr>
          <w:bCs/>
        </w:rPr>
        <w:lastRenderedPageBreak/>
        <w:t xml:space="preserve">assessment under Output 3.1), therefore the national reporting </w:t>
      </w:r>
      <w:r w:rsidR="00A40AF6">
        <w:rPr>
          <w:bCs/>
        </w:rPr>
        <w:t xml:space="preserve">continued </w:t>
      </w:r>
      <w:r w:rsidR="00203DCC">
        <w:rPr>
          <w:bCs/>
        </w:rPr>
        <w:t xml:space="preserve">according to the </w:t>
      </w:r>
      <w:r w:rsidR="000C729E">
        <w:rPr>
          <w:bCs/>
        </w:rPr>
        <w:t xml:space="preserve">procedures </w:t>
      </w:r>
      <w:r w:rsidR="00FF013A">
        <w:rPr>
          <w:bCs/>
        </w:rPr>
        <w:t xml:space="preserve">established </w:t>
      </w:r>
      <w:r w:rsidR="007A1800">
        <w:rPr>
          <w:bCs/>
        </w:rPr>
        <w:t xml:space="preserve">under </w:t>
      </w:r>
      <w:r w:rsidR="00FF013A">
        <w:rPr>
          <w:bCs/>
        </w:rPr>
        <w:t>the EU twinning projects</w:t>
      </w:r>
      <w:r w:rsidR="00A40AF6">
        <w:rPr>
          <w:bCs/>
        </w:rPr>
        <w:t xml:space="preserve"> before the start of the CBIT project.</w:t>
      </w:r>
    </w:p>
    <w:p w14:paraId="734878B4" w14:textId="1F874A70" w:rsidR="001324B8" w:rsidRDefault="001324B8" w:rsidP="001324B8">
      <w:pPr>
        <w:rPr>
          <w:bCs/>
        </w:rPr>
      </w:pPr>
      <w:r>
        <w:rPr>
          <w:bCs/>
        </w:rPr>
        <w:t>Under the existing legislation</w:t>
      </w:r>
      <w:r w:rsidR="00940E8B">
        <w:rPr>
          <w:bCs/>
        </w:rPr>
        <w:t xml:space="preserve"> (2009 </w:t>
      </w:r>
      <w:r w:rsidR="00940E8B" w:rsidRPr="00F9724E">
        <w:rPr>
          <w:bCs/>
        </w:rPr>
        <w:t>Law on Air Protection</w:t>
      </w:r>
      <w:r w:rsidR="00940E8B">
        <w:rPr>
          <w:bCs/>
        </w:rPr>
        <w:t>)</w:t>
      </w:r>
      <w:r>
        <w:rPr>
          <w:bCs/>
        </w:rPr>
        <w:t>, t</w:t>
      </w:r>
      <w:r w:rsidRPr="001324B8">
        <w:rPr>
          <w:bCs/>
        </w:rPr>
        <w:t xml:space="preserve">he Serbian Environmental Protection Agency (SEPA) is in charge of developing the GHG </w:t>
      </w:r>
      <w:r w:rsidR="00940E8B">
        <w:rPr>
          <w:bCs/>
        </w:rPr>
        <w:t xml:space="preserve">inventory that is combined with the inventory of air pollutants under the LRTAP convention. </w:t>
      </w:r>
      <w:r w:rsidR="001C69FE">
        <w:rPr>
          <w:bCs/>
        </w:rPr>
        <w:t>T</w:t>
      </w:r>
      <w:r w:rsidR="001C69FE" w:rsidRPr="00BE0F73">
        <w:rPr>
          <w:bCs/>
        </w:rPr>
        <w:t xml:space="preserve">he usual procedure to obtain data is through direct contacts, without formal institutional arrangements </w:t>
      </w:r>
      <w:r w:rsidR="001C69FE">
        <w:rPr>
          <w:bCs/>
        </w:rPr>
        <w:t xml:space="preserve">such as a </w:t>
      </w:r>
      <w:r w:rsidR="001C69FE" w:rsidRPr="00BE0F73">
        <w:rPr>
          <w:bCs/>
        </w:rPr>
        <w:t xml:space="preserve">working group that </w:t>
      </w:r>
      <w:r w:rsidR="001C69FE">
        <w:rPr>
          <w:bCs/>
        </w:rPr>
        <w:t xml:space="preserve">would </w:t>
      </w:r>
      <w:r w:rsidR="001C69FE" w:rsidRPr="00BE0F73">
        <w:rPr>
          <w:bCs/>
        </w:rPr>
        <w:t xml:space="preserve">facilitate the </w:t>
      </w:r>
      <w:r w:rsidR="001C69FE">
        <w:rPr>
          <w:bCs/>
        </w:rPr>
        <w:t>flow of information</w:t>
      </w:r>
      <w:r w:rsidR="001C69FE" w:rsidRPr="00BE0F73">
        <w:rPr>
          <w:bCs/>
        </w:rPr>
        <w:t xml:space="preserve">. </w:t>
      </w:r>
      <w:r w:rsidR="001C69FE">
        <w:rPr>
          <w:bCs/>
        </w:rPr>
        <w:t xml:space="preserve">Due to the currently limited obligations for reporting on GHG emissions, the SEPA team has to actively look for some data. </w:t>
      </w:r>
      <w:r w:rsidR="00BE0F73" w:rsidRPr="00BE0F73">
        <w:rPr>
          <w:bCs/>
        </w:rPr>
        <w:t>SEPA</w:t>
      </w:r>
      <w:r>
        <w:rPr>
          <w:bCs/>
        </w:rPr>
        <w:t xml:space="preserve"> then </w:t>
      </w:r>
      <w:r w:rsidR="00BE0F73" w:rsidRPr="00BE0F73">
        <w:rPr>
          <w:bCs/>
        </w:rPr>
        <w:t>provid</w:t>
      </w:r>
      <w:r>
        <w:rPr>
          <w:bCs/>
        </w:rPr>
        <w:t>es</w:t>
      </w:r>
      <w:r w:rsidR="00BE0F73" w:rsidRPr="00BE0F73">
        <w:rPr>
          <w:bCs/>
        </w:rPr>
        <w:t xml:space="preserve"> the </w:t>
      </w:r>
      <w:r w:rsidR="001C69FE">
        <w:rPr>
          <w:bCs/>
        </w:rPr>
        <w:t xml:space="preserve">collected data </w:t>
      </w:r>
      <w:r w:rsidR="00BE0F73" w:rsidRPr="00BE0F73">
        <w:rPr>
          <w:bCs/>
        </w:rPr>
        <w:t xml:space="preserve">to the </w:t>
      </w:r>
      <w:r>
        <w:rPr>
          <w:bCs/>
        </w:rPr>
        <w:t xml:space="preserve">MEP </w:t>
      </w:r>
      <w:r w:rsidR="00BE0F73" w:rsidRPr="00BE0F73">
        <w:rPr>
          <w:bCs/>
        </w:rPr>
        <w:t>team in charge of the development of the international reporting</w:t>
      </w:r>
      <w:r>
        <w:rPr>
          <w:bCs/>
        </w:rPr>
        <w:t>.</w:t>
      </w:r>
    </w:p>
    <w:p w14:paraId="0F7EBAF1" w14:textId="77777777" w:rsidR="001324B8" w:rsidRDefault="001324B8" w:rsidP="001324B8">
      <w:pPr>
        <w:rPr>
          <w:bCs/>
        </w:rPr>
      </w:pPr>
      <w:r>
        <w:rPr>
          <w:bCs/>
        </w:rPr>
        <w:t xml:space="preserve">Mitigation reporting requirements related to the UNFCCC </w:t>
      </w:r>
      <w:r w:rsidRPr="00FF013A">
        <w:rPr>
          <w:bCs/>
        </w:rPr>
        <w:t>have been transposed in</w:t>
      </w:r>
      <w:r>
        <w:rPr>
          <w:bCs/>
        </w:rPr>
        <w:t>to</w:t>
      </w:r>
      <w:r w:rsidRPr="00FF013A">
        <w:rPr>
          <w:bCs/>
        </w:rPr>
        <w:t xml:space="preserve"> the draft Law on Climate Change (LCC), except the reporting obligations towards the European Commission that are not </w:t>
      </w:r>
      <w:r>
        <w:rPr>
          <w:bCs/>
        </w:rPr>
        <w:t xml:space="preserve">yet </w:t>
      </w:r>
      <w:r w:rsidRPr="00FF013A">
        <w:rPr>
          <w:bCs/>
        </w:rPr>
        <w:t>obligatory for Serbia</w:t>
      </w:r>
      <w:r>
        <w:rPr>
          <w:bCs/>
        </w:rPr>
        <w:t xml:space="preserve">. </w:t>
      </w:r>
      <w:r w:rsidRPr="00FF013A">
        <w:rPr>
          <w:bCs/>
        </w:rPr>
        <w:t xml:space="preserve">The </w:t>
      </w:r>
      <w:r>
        <w:rPr>
          <w:bCs/>
        </w:rPr>
        <w:t>d</w:t>
      </w:r>
      <w:r w:rsidRPr="00FF013A">
        <w:rPr>
          <w:bCs/>
        </w:rPr>
        <w:t xml:space="preserve">raft </w:t>
      </w:r>
      <w:r>
        <w:rPr>
          <w:bCs/>
        </w:rPr>
        <w:t>L</w:t>
      </w:r>
      <w:r w:rsidRPr="00FF013A">
        <w:rPr>
          <w:bCs/>
        </w:rPr>
        <w:t xml:space="preserve">CC mandates the Ministry of Environmental Protection (MEP) for </w:t>
      </w:r>
      <w:r>
        <w:rPr>
          <w:bCs/>
        </w:rPr>
        <w:t xml:space="preserve">overall coordination and </w:t>
      </w:r>
      <w:r w:rsidRPr="00FF013A">
        <w:rPr>
          <w:bCs/>
        </w:rPr>
        <w:t>preparation of reports</w:t>
      </w:r>
      <w:r>
        <w:rPr>
          <w:bCs/>
        </w:rPr>
        <w:t xml:space="preserve">. </w:t>
      </w:r>
    </w:p>
    <w:p w14:paraId="2957E5DA" w14:textId="20A1C0B1" w:rsidR="001324B8" w:rsidRDefault="00BE0F73" w:rsidP="001324B8">
      <w:pPr>
        <w:rPr>
          <w:bCs/>
        </w:rPr>
      </w:pPr>
      <w:r w:rsidRPr="00BE0F73">
        <w:rPr>
          <w:bCs/>
        </w:rPr>
        <w:t xml:space="preserve">The new </w:t>
      </w:r>
      <w:r w:rsidR="00940E8B">
        <w:rPr>
          <w:bCs/>
        </w:rPr>
        <w:t xml:space="preserve">LCC </w:t>
      </w:r>
      <w:r w:rsidRPr="00BE0F73">
        <w:rPr>
          <w:bCs/>
        </w:rPr>
        <w:t xml:space="preserve">includes the obligation to SEPA to enter into an agreement with the data providers, which shall define obligations, in particular, about data, time limits, form and method for their submission to the SEPA. </w:t>
      </w:r>
      <w:r w:rsidR="001324B8">
        <w:rPr>
          <w:bCs/>
        </w:rPr>
        <w:t xml:space="preserve">The LCC will also oblige </w:t>
      </w:r>
      <w:r w:rsidR="001324B8" w:rsidRPr="00BE0F73">
        <w:rPr>
          <w:bCs/>
        </w:rPr>
        <w:t>the data providers to ensure data quality and conduct control of data quality.</w:t>
      </w:r>
    </w:p>
    <w:p w14:paraId="2B876DF9" w14:textId="4A73EC26" w:rsidR="00A36207" w:rsidRDefault="00A36207" w:rsidP="00A36207">
      <w:pPr>
        <w:rPr>
          <w:bCs/>
        </w:rPr>
      </w:pPr>
      <w:r>
        <w:rPr>
          <w:bCs/>
        </w:rPr>
        <w:t>Since the beginning of the CBIT project, SEPA conducted d</w:t>
      </w:r>
      <w:r w:rsidRPr="00A36207">
        <w:rPr>
          <w:bCs/>
        </w:rPr>
        <w:t xml:space="preserve">etailed consultations with </w:t>
      </w:r>
      <w:r>
        <w:rPr>
          <w:bCs/>
        </w:rPr>
        <w:t xml:space="preserve">the </w:t>
      </w:r>
      <w:r w:rsidRPr="00A36207">
        <w:rPr>
          <w:bCs/>
        </w:rPr>
        <w:t>Forestry Directorate of MAFWM</w:t>
      </w:r>
      <w:r>
        <w:rPr>
          <w:bCs/>
        </w:rPr>
        <w:t xml:space="preserve"> on data </w:t>
      </w:r>
      <w:r w:rsidRPr="00A36207">
        <w:rPr>
          <w:bCs/>
        </w:rPr>
        <w:t xml:space="preserve">related to </w:t>
      </w:r>
      <w:r>
        <w:rPr>
          <w:bCs/>
        </w:rPr>
        <w:t>the f</w:t>
      </w:r>
      <w:r w:rsidRPr="00A36207">
        <w:rPr>
          <w:bCs/>
        </w:rPr>
        <w:t xml:space="preserve">orestry </w:t>
      </w:r>
      <w:r>
        <w:rPr>
          <w:bCs/>
        </w:rPr>
        <w:t>s</w:t>
      </w:r>
      <w:r w:rsidRPr="00A36207">
        <w:rPr>
          <w:bCs/>
        </w:rPr>
        <w:t>ector. MAFWM is currently work</w:t>
      </w:r>
      <w:r>
        <w:rPr>
          <w:bCs/>
        </w:rPr>
        <w:t>ing</w:t>
      </w:r>
      <w:r w:rsidRPr="00A36207">
        <w:rPr>
          <w:bCs/>
        </w:rPr>
        <w:t xml:space="preserve"> on </w:t>
      </w:r>
      <w:r>
        <w:rPr>
          <w:bCs/>
        </w:rPr>
        <w:t xml:space="preserve">a </w:t>
      </w:r>
      <w:r w:rsidRPr="00A36207">
        <w:rPr>
          <w:bCs/>
        </w:rPr>
        <w:t>new national forestry inventory.</w:t>
      </w:r>
    </w:p>
    <w:p w14:paraId="3C966077" w14:textId="6B18A539" w:rsidR="004F66CC" w:rsidRDefault="00A36207" w:rsidP="004F66CC">
      <w:pPr>
        <w:rPr>
          <w:bCs/>
        </w:rPr>
      </w:pPr>
      <w:r w:rsidRPr="00A36207">
        <w:rPr>
          <w:bCs/>
        </w:rPr>
        <w:t xml:space="preserve">Currently, detailed information on CCM actions proposed in </w:t>
      </w:r>
      <w:r>
        <w:rPr>
          <w:bCs/>
        </w:rPr>
        <w:t xml:space="preserve">the </w:t>
      </w:r>
      <w:r w:rsidRPr="00A36207">
        <w:rPr>
          <w:bCs/>
        </w:rPr>
        <w:t xml:space="preserve">draft 2BUR follows the most updated version of the reporting templates, and this detailed CCM information </w:t>
      </w:r>
      <w:r>
        <w:rPr>
          <w:bCs/>
        </w:rPr>
        <w:t xml:space="preserve">is available </w:t>
      </w:r>
      <w:r w:rsidRPr="00A36207">
        <w:rPr>
          <w:bCs/>
        </w:rPr>
        <w:t>for improvement of national CC related legislation.</w:t>
      </w:r>
    </w:p>
    <w:p w14:paraId="05342C25" w14:textId="65208CC3" w:rsidR="007A1800" w:rsidRDefault="007A1800" w:rsidP="00FF013A">
      <w:pPr>
        <w:rPr>
          <w:bCs/>
        </w:rPr>
      </w:pPr>
      <w:r>
        <w:rPr>
          <w:bCs/>
        </w:rPr>
        <w:t xml:space="preserve">Reportedly, SEPA </w:t>
      </w:r>
      <w:r w:rsidRPr="007A1800">
        <w:rPr>
          <w:bCs/>
        </w:rPr>
        <w:t xml:space="preserve">has </w:t>
      </w:r>
      <w:r w:rsidR="001A2241">
        <w:rPr>
          <w:bCs/>
        </w:rPr>
        <w:t xml:space="preserve">also </w:t>
      </w:r>
      <w:r>
        <w:rPr>
          <w:bCs/>
        </w:rPr>
        <w:t xml:space="preserve">been working on the </w:t>
      </w:r>
      <w:r w:rsidRPr="007A1800">
        <w:rPr>
          <w:bCs/>
        </w:rPr>
        <w:t>National Inventory Report (NIR)</w:t>
      </w:r>
      <w:r>
        <w:rPr>
          <w:bCs/>
        </w:rPr>
        <w:t xml:space="preserve"> </w:t>
      </w:r>
      <w:r w:rsidRPr="007A1800">
        <w:rPr>
          <w:bCs/>
        </w:rPr>
        <w:t>a key document for its compliance with EU and Paris Agreement transparency commitments</w:t>
      </w:r>
      <w:r>
        <w:rPr>
          <w:bCs/>
        </w:rPr>
        <w:t xml:space="preserve"> but the NIR has not been ready for submission.</w:t>
      </w:r>
      <w:r w:rsidR="000C729E">
        <w:rPr>
          <w:bCs/>
        </w:rPr>
        <w:t xml:space="preserve"> Recent assessments </w:t>
      </w:r>
      <w:r w:rsidR="00E46AE9">
        <w:rPr>
          <w:bCs/>
        </w:rPr>
        <w:t xml:space="preserve">recommended </w:t>
      </w:r>
      <w:r w:rsidR="000C729E">
        <w:rPr>
          <w:bCs/>
        </w:rPr>
        <w:t>t</w:t>
      </w:r>
      <w:r w:rsidR="00BE0F73">
        <w:rPr>
          <w:bCs/>
        </w:rPr>
        <w:t>his work to be accelerated and advocated to i</w:t>
      </w:r>
      <w:r w:rsidR="000C729E">
        <w:rPr>
          <w:bCs/>
        </w:rPr>
        <w:t xml:space="preserve">ncrease </w:t>
      </w:r>
      <w:r w:rsidR="000C729E" w:rsidRPr="000C729E">
        <w:rPr>
          <w:bCs/>
        </w:rPr>
        <w:t xml:space="preserve">the capacity </w:t>
      </w:r>
      <w:r w:rsidR="000C729E">
        <w:rPr>
          <w:bCs/>
        </w:rPr>
        <w:t xml:space="preserve">for </w:t>
      </w:r>
      <w:r w:rsidR="000C729E" w:rsidRPr="000C729E">
        <w:rPr>
          <w:bCs/>
        </w:rPr>
        <w:t xml:space="preserve">peer review </w:t>
      </w:r>
      <w:r w:rsidR="000C729E">
        <w:rPr>
          <w:bCs/>
        </w:rPr>
        <w:t xml:space="preserve">of the </w:t>
      </w:r>
      <w:r w:rsidR="000C729E" w:rsidRPr="000C729E">
        <w:rPr>
          <w:bCs/>
        </w:rPr>
        <w:t xml:space="preserve">NIR and </w:t>
      </w:r>
      <w:r w:rsidR="000C729E">
        <w:rPr>
          <w:bCs/>
        </w:rPr>
        <w:t xml:space="preserve">for </w:t>
      </w:r>
      <w:r w:rsidR="000C729E" w:rsidRPr="000C729E">
        <w:rPr>
          <w:bCs/>
        </w:rPr>
        <w:t xml:space="preserve">regular analysis of indicators for GHG emissions </w:t>
      </w:r>
      <w:r w:rsidR="00BE0F73">
        <w:rPr>
          <w:bCs/>
        </w:rPr>
        <w:t xml:space="preserve">(including </w:t>
      </w:r>
      <w:r w:rsidR="000C729E" w:rsidRPr="000C729E">
        <w:rPr>
          <w:bCs/>
        </w:rPr>
        <w:t>removal trends</w:t>
      </w:r>
      <w:r w:rsidR="00BE0F73">
        <w:rPr>
          <w:bCs/>
        </w:rPr>
        <w:t>)</w:t>
      </w:r>
      <w:r w:rsidR="000C729E" w:rsidRPr="000C729E">
        <w:rPr>
          <w:bCs/>
        </w:rPr>
        <w:t xml:space="preserve"> </w:t>
      </w:r>
      <w:r w:rsidR="00BE0F73">
        <w:rPr>
          <w:bCs/>
        </w:rPr>
        <w:t xml:space="preserve">required for </w:t>
      </w:r>
      <w:r w:rsidR="000C729E" w:rsidRPr="000C729E">
        <w:rPr>
          <w:bCs/>
        </w:rPr>
        <w:t xml:space="preserve">key </w:t>
      </w:r>
      <w:r w:rsidR="000C729E">
        <w:rPr>
          <w:bCs/>
        </w:rPr>
        <w:t xml:space="preserve">reports mandated under the PCA </w:t>
      </w:r>
      <w:r w:rsidR="000C729E" w:rsidRPr="000C729E">
        <w:rPr>
          <w:bCs/>
        </w:rPr>
        <w:t>(</w:t>
      </w:r>
      <w:r w:rsidR="000C729E">
        <w:rPr>
          <w:bCs/>
        </w:rPr>
        <w:t xml:space="preserve">in particular </w:t>
      </w:r>
      <w:r w:rsidR="000C729E" w:rsidRPr="000C729E">
        <w:rPr>
          <w:bCs/>
        </w:rPr>
        <w:t>N</w:t>
      </w:r>
      <w:r w:rsidR="000C729E">
        <w:rPr>
          <w:bCs/>
        </w:rPr>
        <w:t xml:space="preserve">C, </w:t>
      </w:r>
      <w:r w:rsidR="000C729E" w:rsidRPr="000C729E">
        <w:rPr>
          <w:bCs/>
        </w:rPr>
        <w:t>BUR</w:t>
      </w:r>
      <w:r w:rsidR="000C729E">
        <w:rPr>
          <w:bCs/>
        </w:rPr>
        <w:t xml:space="preserve"> and </w:t>
      </w:r>
      <w:r w:rsidR="00BE0F73">
        <w:rPr>
          <w:bCs/>
        </w:rPr>
        <w:t xml:space="preserve">future </w:t>
      </w:r>
      <w:r w:rsidR="000C729E">
        <w:rPr>
          <w:bCs/>
        </w:rPr>
        <w:t>BTR</w:t>
      </w:r>
      <w:r w:rsidR="000C729E" w:rsidRPr="000C729E">
        <w:rPr>
          <w:bCs/>
        </w:rPr>
        <w:t>)</w:t>
      </w:r>
      <w:r w:rsidR="000C729E">
        <w:rPr>
          <w:bCs/>
        </w:rPr>
        <w:t xml:space="preserve">. </w:t>
      </w:r>
    </w:p>
    <w:p w14:paraId="66ECDBE9" w14:textId="64EA0A1B" w:rsidR="001A2241" w:rsidRDefault="001A2241" w:rsidP="00FF013A">
      <w:pPr>
        <w:rPr>
          <w:bCs/>
        </w:rPr>
      </w:pPr>
      <w:r>
        <w:rPr>
          <w:bCs/>
        </w:rPr>
        <w:t xml:space="preserve">The assessments conducted </w:t>
      </w:r>
      <w:r w:rsidR="00616ACD">
        <w:rPr>
          <w:bCs/>
        </w:rPr>
        <w:t xml:space="preserve">by international consultants </w:t>
      </w:r>
      <w:r>
        <w:rPr>
          <w:bCs/>
        </w:rPr>
        <w:t xml:space="preserve">under this project </w:t>
      </w:r>
      <w:r w:rsidR="000C729E">
        <w:rPr>
          <w:bCs/>
        </w:rPr>
        <w:t xml:space="preserve">also </w:t>
      </w:r>
      <w:r>
        <w:rPr>
          <w:bCs/>
        </w:rPr>
        <w:t xml:space="preserve">suggest that there is a need to </w:t>
      </w:r>
      <w:r w:rsidRPr="001A2241">
        <w:rPr>
          <w:bCs/>
        </w:rPr>
        <w:t xml:space="preserve">incorporate more detailed data flows on industrial emissions </w:t>
      </w:r>
      <w:r>
        <w:rPr>
          <w:bCs/>
        </w:rPr>
        <w:t xml:space="preserve">and </w:t>
      </w:r>
      <w:r w:rsidRPr="001A2241">
        <w:rPr>
          <w:bCs/>
        </w:rPr>
        <w:t xml:space="preserve">improve the accuracy of estimates for other sectors (including transport, residential and commercial fuel use, land use, land use change and forestry, agriculture and waste), </w:t>
      </w:r>
      <w:r>
        <w:rPr>
          <w:bCs/>
        </w:rPr>
        <w:t xml:space="preserve">as well as </w:t>
      </w:r>
      <w:r w:rsidRPr="001A2241">
        <w:rPr>
          <w:bCs/>
        </w:rPr>
        <w:t xml:space="preserve">implement </w:t>
      </w:r>
      <w:r>
        <w:rPr>
          <w:bCs/>
        </w:rPr>
        <w:t xml:space="preserve">a </w:t>
      </w:r>
      <w:r w:rsidRPr="001A2241">
        <w:rPr>
          <w:bCs/>
        </w:rPr>
        <w:t>QA/QC for compiling, storing, quality checking and reporting its GHG inventory timeseries</w:t>
      </w:r>
      <w:r>
        <w:rPr>
          <w:bCs/>
        </w:rPr>
        <w:t>.</w:t>
      </w:r>
    </w:p>
    <w:p w14:paraId="7DE3FC6E" w14:textId="1EC90C78" w:rsidR="00F827EC" w:rsidRDefault="00F827EC" w:rsidP="00FF013A">
      <w:pPr>
        <w:rPr>
          <w:bCs/>
        </w:rPr>
      </w:pPr>
      <w:r>
        <w:t xml:space="preserve">For </w:t>
      </w:r>
      <w:r w:rsidR="00A40AF6">
        <w:t xml:space="preserve">the </w:t>
      </w:r>
      <w:r>
        <w:t xml:space="preserve">draft </w:t>
      </w:r>
      <w:r w:rsidRPr="00DB59F6">
        <w:t xml:space="preserve">Climate </w:t>
      </w:r>
      <w:r>
        <w:t>S</w:t>
      </w:r>
      <w:r w:rsidRPr="00DB59F6">
        <w:t>trategy</w:t>
      </w:r>
      <w:r>
        <w:t xml:space="preserve">, </w:t>
      </w:r>
      <w:r w:rsidRPr="00DB59F6">
        <w:t xml:space="preserve">Serbia has compiled a list of mitigation </w:t>
      </w:r>
      <w:r>
        <w:t xml:space="preserve">measures </w:t>
      </w:r>
      <w:r w:rsidRPr="00DB59F6">
        <w:t xml:space="preserve">and their </w:t>
      </w:r>
      <w:r>
        <w:t xml:space="preserve">expected direct GHG reduction/removal </w:t>
      </w:r>
      <w:r w:rsidRPr="00DB59F6">
        <w:t>impacts</w:t>
      </w:r>
      <w:r>
        <w:t xml:space="preserve"> and their wider impacts on social, economic, environmental and administrative areas. </w:t>
      </w:r>
    </w:p>
    <w:p w14:paraId="0806E042" w14:textId="122170C5" w:rsidR="004F66CC" w:rsidRDefault="00A40AF6" w:rsidP="00FF013A">
      <w:pPr>
        <w:rPr>
          <w:bCs/>
        </w:rPr>
      </w:pPr>
      <w:r>
        <w:rPr>
          <w:bCs/>
        </w:rPr>
        <w:lastRenderedPageBreak/>
        <w:t>A</w:t>
      </w:r>
      <w:r w:rsidR="00616ACD">
        <w:rPr>
          <w:bCs/>
        </w:rPr>
        <w:t xml:space="preserve"> necessary condition for functionality of the MRV system is the </w:t>
      </w:r>
      <w:r w:rsidR="004F66CC">
        <w:rPr>
          <w:bCs/>
        </w:rPr>
        <w:t xml:space="preserve">approval and </w:t>
      </w:r>
      <w:r w:rsidR="00616ACD">
        <w:rPr>
          <w:bCs/>
        </w:rPr>
        <w:t xml:space="preserve">enactment of the LCC. Provisions of this </w:t>
      </w:r>
      <w:r w:rsidR="00616ACD" w:rsidRPr="00616ACD">
        <w:rPr>
          <w:bCs/>
        </w:rPr>
        <w:t>overarching law create a legally binding mandate</w:t>
      </w:r>
      <w:r w:rsidR="00616ACD">
        <w:rPr>
          <w:bCs/>
        </w:rPr>
        <w:t>s</w:t>
      </w:r>
      <w:r w:rsidR="00616ACD" w:rsidRPr="00616ACD">
        <w:rPr>
          <w:bCs/>
        </w:rPr>
        <w:t xml:space="preserve"> </w:t>
      </w:r>
      <w:r w:rsidR="00616ACD">
        <w:rPr>
          <w:bCs/>
        </w:rPr>
        <w:t xml:space="preserve">and give </w:t>
      </w:r>
      <w:r w:rsidR="00616ACD" w:rsidRPr="00616ACD">
        <w:rPr>
          <w:bCs/>
        </w:rPr>
        <w:t xml:space="preserve">legislative power to the institutional arrangements for transparency. </w:t>
      </w:r>
      <w:r w:rsidR="00616ACD">
        <w:rPr>
          <w:bCs/>
        </w:rPr>
        <w:t xml:space="preserve">The </w:t>
      </w:r>
      <w:r w:rsidR="00616ACD" w:rsidRPr="00616ACD">
        <w:rPr>
          <w:bCs/>
        </w:rPr>
        <w:t xml:space="preserve">legal mandate for the organizational frameworks </w:t>
      </w:r>
      <w:r w:rsidR="00616ACD">
        <w:rPr>
          <w:bCs/>
        </w:rPr>
        <w:t xml:space="preserve">will remove </w:t>
      </w:r>
      <w:r w:rsidR="004F66CC">
        <w:rPr>
          <w:bCs/>
        </w:rPr>
        <w:t xml:space="preserve">current </w:t>
      </w:r>
      <w:r w:rsidR="00616ACD" w:rsidRPr="00616ACD">
        <w:rPr>
          <w:bCs/>
        </w:rPr>
        <w:t xml:space="preserve">institutional barriers </w:t>
      </w:r>
      <w:r>
        <w:rPr>
          <w:bCs/>
        </w:rPr>
        <w:t xml:space="preserve">related to data </w:t>
      </w:r>
      <w:r w:rsidR="00616ACD" w:rsidRPr="00616ACD">
        <w:rPr>
          <w:bCs/>
        </w:rPr>
        <w:t xml:space="preserve">ownership and incentivize data flows. </w:t>
      </w:r>
      <w:r>
        <w:rPr>
          <w:bCs/>
        </w:rPr>
        <w:t>A</w:t>
      </w:r>
      <w:r w:rsidR="00616ACD" w:rsidRPr="00616ACD">
        <w:rPr>
          <w:bCs/>
        </w:rPr>
        <w:t xml:space="preserve">doption of </w:t>
      </w:r>
      <w:r w:rsidR="004F66CC">
        <w:rPr>
          <w:bCs/>
        </w:rPr>
        <w:t xml:space="preserve">the LCC will thus </w:t>
      </w:r>
      <w:r w:rsidR="00616ACD" w:rsidRPr="00616ACD">
        <w:rPr>
          <w:bCs/>
        </w:rPr>
        <w:t xml:space="preserve">help to formalize the </w:t>
      </w:r>
      <w:r>
        <w:rPr>
          <w:bCs/>
        </w:rPr>
        <w:t xml:space="preserve">existing </w:t>
      </w:r>
      <w:r w:rsidR="00616ACD" w:rsidRPr="00616ACD">
        <w:rPr>
          <w:bCs/>
        </w:rPr>
        <w:t xml:space="preserve">collaboration and supply of data and expertise across </w:t>
      </w:r>
      <w:r w:rsidR="004F66CC">
        <w:rPr>
          <w:bCs/>
        </w:rPr>
        <w:t>various G</w:t>
      </w:r>
      <w:r w:rsidR="00616ACD" w:rsidRPr="00616ACD">
        <w:rPr>
          <w:bCs/>
        </w:rPr>
        <w:t xml:space="preserve">overnment entities, and between the </w:t>
      </w:r>
      <w:r w:rsidR="004F66CC">
        <w:rPr>
          <w:bCs/>
        </w:rPr>
        <w:t>G</w:t>
      </w:r>
      <w:r w:rsidR="00616ACD" w:rsidRPr="00616ACD">
        <w:rPr>
          <w:bCs/>
        </w:rPr>
        <w:t>overnment and the private sector.</w:t>
      </w:r>
      <w:r w:rsidR="004F66CC">
        <w:rPr>
          <w:bCs/>
        </w:rPr>
        <w:t xml:space="preserve"> </w:t>
      </w:r>
      <w:r>
        <w:rPr>
          <w:bCs/>
        </w:rPr>
        <w:t xml:space="preserve">According to information from several </w:t>
      </w:r>
      <w:r w:rsidR="004F66CC">
        <w:rPr>
          <w:bCs/>
        </w:rPr>
        <w:t>project stakeholders</w:t>
      </w:r>
      <w:r>
        <w:rPr>
          <w:bCs/>
        </w:rPr>
        <w:t xml:space="preserve">, </w:t>
      </w:r>
      <w:r w:rsidR="004F66CC">
        <w:rPr>
          <w:bCs/>
        </w:rPr>
        <w:t xml:space="preserve">the </w:t>
      </w:r>
      <w:r>
        <w:rPr>
          <w:bCs/>
        </w:rPr>
        <w:t xml:space="preserve">draft </w:t>
      </w:r>
      <w:r w:rsidR="004F66CC">
        <w:rPr>
          <w:bCs/>
        </w:rPr>
        <w:t xml:space="preserve">LCC is currently near the end of the legislative approval process and </w:t>
      </w:r>
      <w:r w:rsidR="003A7E78">
        <w:rPr>
          <w:bCs/>
        </w:rPr>
        <w:t xml:space="preserve">official adoption </w:t>
      </w:r>
      <w:r w:rsidR="004F66CC">
        <w:rPr>
          <w:bCs/>
        </w:rPr>
        <w:t xml:space="preserve">by the National Assembly </w:t>
      </w:r>
      <w:r w:rsidR="003A7E78">
        <w:rPr>
          <w:bCs/>
        </w:rPr>
        <w:t xml:space="preserve">is expected </w:t>
      </w:r>
      <w:r w:rsidR="004F66CC">
        <w:rPr>
          <w:bCs/>
        </w:rPr>
        <w:t>around the end of 1st</w:t>
      </w:r>
      <w:r w:rsidR="003A7E78">
        <w:rPr>
          <w:bCs/>
        </w:rPr>
        <w:t xml:space="preserve"> </w:t>
      </w:r>
      <w:r w:rsidR="004F66CC">
        <w:rPr>
          <w:bCs/>
        </w:rPr>
        <w:t xml:space="preserve">quarter </w:t>
      </w:r>
      <w:r w:rsidR="003A7E78">
        <w:rPr>
          <w:bCs/>
        </w:rPr>
        <w:t xml:space="preserve">2021. </w:t>
      </w:r>
    </w:p>
    <w:p w14:paraId="3641328D" w14:textId="7DE944E6" w:rsidR="007F7119" w:rsidRDefault="002D0B25" w:rsidP="00CF6C0F">
      <w:pPr>
        <w:spacing w:before="240"/>
        <w:rPr>
          <w:bCs/>
        </w:rPr>
      </w:pPr>
      <w:r>
        <w:rPr>
          <w:b/>
          <w:iCs/>
        </w:rPr>
        <w:t>Summary Assessment of Outcome 1:</w:t>
      </w:r>
      <w:r w:rsidR="004A2D0C">
        <w:rPr>
          <w:b/>
          <w:iCs/>
        </w:rPr>
        <w:t xml:space="preserve"> </w:t>
      </w:r>
      <w:r w:rsidR="009B565B">
        <w:rPr>
          <w:bCs/>
        </w:rPr>
        <w:t xml:space="preserve">Capacity building for mitigation-related aspects of the new MRV </w:t>
      </w:r>
      <w:r w:rsidR="002F75E6">
        <w:rPr>
          <w:bCs/>
        </w:rPr>
        <w:t xml:space="preserve">(Indicator 1a) </w:t>
      </w:r>
      <w:r w:rsidR="009B565B">
        <w:rPr>
          <w:bCs/>
        </w:rPr>
        <w:t xml:space="preserve">has </w:t>
      </w:r>
      <w:r w:rsidR="002F75E6">
        <w:rPr>
          <w:bCs/>
        </w:rPr>
        <w:t xml:space="preserve">been conducted </w:t>
      </w:r>
      <w:r w:rsidR="009B565B">
        <w:rPr>
          <w:bCs/>
        </w:rPr>
        <w:t>according to the plan</w:t>
      </w:r>
      <w:r w:rsidR="001C69FE">
        <w:rPr>
          <w:bCs/>
        </w:rPr>
        <w:t xml:space="preserve">. </w:t>
      </w:r>
      <w:r w:rsidR="005C3474">
        <w:rPr>
          <w:bCs/>
        </w:rPr>
        <w:t xml:space="preserve">However, </w:t>
      </w:r>
      <w:r w:rsidR="007E6186">
        <w:rPr>
          <w:bCs/>
        </w:rPr>
        <w:t>no information is available about the extent</w:t>
      </w:r>
      <w:r w:rsidR="007E6186" w:rsidRPr="007E6186">
        <w:rPr>
          <w:bCs/>
        </w:rPr>
        <w:t xml:space="preserve"> to which the capacity of participants </w:t>
      </w:r>
      <w:r w:rsidR="007E6186">
        <w:rPr>
          <w:bCs/>
        </w:rPr>
        <w:t xml:space="preserve">of </w:t>
      </w:r>
      <w:r w:rsidR="007E6186" w:rsidRPr="007E6186">
        <w:rPr>
          <w:bCs/>
        </w:rPr>
        <w:t xml:space="preserve">the various training </w:t>
      </w:r>
      <w:r w:rsidR="007E6186">
        <w:rPr>
          <w:bCs/>
        </w:rPr>
        <w:t xml:space="preserve">activities has </w:t>
      </w:r>
      <w:r w:rsidR="007E6186" w:rsidRPr="007E6186">
        <w:rPr>
          <w:bCs/>
        </w:rPr>
        <w:t>improved</w:t>
      </w:r>
      <w:r w:rsidR="007E6186">
        <w:rPr>
          <w:bCs/>
        </w:rPr>
        <w:t xml:space="preserve">. Furthermore, </w:t>
      </w:r>
      <w:r w:rsidR="005C3474">
        <w:rPr>
          <w:bCs/>
        </w:rPr>
        <w:t xml:space="preserve">there is </w:t>
      </w:r>
      <w:r w:rsidR="007E6186">
        <w:rPr>
          <w:bCs/>
        </w:rPr>
        <w:t xml:space="preserve">no </w:t>
      </w:r>
      <w:r w:rsidR="005C3474">
        <w:rPr>
          <w:bCs/>
        </w:rPr>
        <w:t xml:space="preserve">explicit linking of the trainings to the individual </w:t>
      </w:r>
      <w:r w:rsidR="007E6186">
        <w:rPr>
          <w:bCs/>
        </w:rPr>
        <w:t xml:space="preserve">project </w:t>
      </w:r>
      <w:r w:rsidR="005C3474">
        <w:rPr>
          <w:bCs/>
        </w:rPr>
        <w:t>Outcomes</w:t>
      </w:r>
      <w:r w:rsidR="007F7119">
        <w:rPr>
          <w:bCs/>
        </w:rPr>
        <w:t xml:space="preserve">. Building of sufficient capacities for participation in the MRV system is an </w:t>
      </w:r>
      <w:r w:rsidR="007F7119" w:rsidRPr="007F7119">
        <w:rPr>
          <w:bCs/>
        </w:rPr>
        <w:t xml:space="preserve">important </w:t>
      </w:r>
      <w:r w:rsidR="007F7119">
        <w:rPr>
          <w:bCs/>
        </w:rPr>
        <w:t xml:space="preserve">activity but more detailed assessment of the capacities built under this Outcome was not possible </w:t>
      </w:r>
      <w:r w:rsidR="007F7119" w:rsidRPr="007F7119">
        <w:rPr>
          <w:bCs/>
        </w:rPr>
        <w:t>because of the lack of data.</w:t>
      </w:r>
    </w:p>
    <w:p w14:paraId="184D16E6" w14:textId="6D369735" w:rsidR="00A36207" w:rsidRDefault="00463249" w:rsidP="007F7119">
      <w:pPr>
        <w:rPr>
          <w:bCs/>
        </w:rPr>
      </w:pPr>
      <w:r>
        <w:rPr>
          <w:bCs/>
        </w:rPr>
        <w:t xml:space="preserve">Implementation of activities </w:t>
      </w:r>
      <w:r w:rsidR="00E46AE9">
        <w:rPr>
          <w:bCs/>
        </w:rPr>
        <w:t>for participation in the MRV (I</w:t>
      </w:r>
      <w:r w:rsidR="003A7E78">
        <w:rPr>
          <w:bCs/>
        </w:rPr>
        <w:t xml:space="preserve">ndicator </w:t>
      </w:r>
      <w:r w:rsidR="00E46AE9">
        <w:rPr>
          <w:bCs/>
        </w:rPr>
        <w:t xml:space="preserve">1b) </w:t>
      </w:r>
      <w:r w:rsidR="003A7E78">
        <w:rPr>
          <w:bCs/>
        </w:rPr>
        <w:t xml:space="preserve">has been </w:t>
      </w:r>
      <w:r>
        <w:rPr>
          <w:bCs/>
        </w:rPr>
        <w:t xml:space="preserve">somewhat </w:t>
      </w:r>
      <w:r w:rsidR="003A7E78">
        <w:rPr>
          <w:bCs/>
        </w:rPr>
        <w:t xml:space="preserve">slower than expected </w:t>
      </w:r>
      <w:r>
        <w:rPr>
          <w:bCs/>
        </w:rPr>
        <w:t xml:space="preserve">as a result of delays caused by the </w:t>
      </w:r>
      <w:r w:rsidR="00CF6C0F">
        <w:rPr>
          <w:bCs/>
        </w:rPr>
        <w:t>COVID-19 outbreak</w:t>
      </w:r>
      <w:r>
        <w:rPr>
          <w:bCs/>
        </w:rPr>
        <w:t xml:space="preserve">. For the reporting </w:t>
      </w:r>
      <w:r w:rsidR="00F961E3">
        <w:rPr>
          <w:bCs/>
        </w:rPr>
        <w:t xml:space="preserve">part </w:t>
      </w:r>
      <w:r w:rsidR="00E46AE9">
        <w:rPr>
          <w:bCs/>
        </w:rPr>
        <w:t>(I</w:t>
      </w:r>
      <w:r w:rsidR="002F75E6">
        <w:rPr>
          <w:bCs/>
        </w:rPr>
        <w:t>ndicator</w:t>
      </w:r>
      <w:r w:rsidR="00E46AE9">
        <w:rPr>
          <w:bCs/>
        </w:rPr>
        <w:t xml:space="preserve"> 1c)</w:t>
      </w:r>
      <w:r w:rsidR="002F75E6">
        <w:rPr>
          <w:bCs/>
        </w:rPr>
        <w:t>, th</w:t>
      </w:r>
      <w:r w:rsidR="00E46AE9">
        <w:rPr>
          <w:bCs/>
        </w:rPr>
        <w:t xml:space="preserve">e latter effect </w:t>
      </w:r>
      <w:r w:rsidR="002F75E6">
        <w:rPr>
          <w:bCs/>
        </w:rPr>
        <w:t xml:space="preserve">has been further corroborated by the </w:t>
      </w:r>
      <w:r w:rsidR="00CF6C0F">
        <w:rPr>
          <w:bCs/>
        </w:rPr>
        <w:t xml:space="preserve">complicated legislative process for adoption of </w:t>
      </w:r>
      <w:r>
        <w:rPr>
          <w:bCs/>
        </w:rPr>
        <w:t xml:space="preserve">the </w:t>
      </w:r>
      <w:r w:rsidR="00E46AE9">
        <w:rPr>
          <w:bCs/>
        </w:rPr>
        <w:t xml:space="preserve">revised </w:t>
      </w:r>
      <w:r w:rsidR="00CF6C0F">
        <w:rPr>
          <w:bCs/>
        </w:rPr>
        <w:t>L</w:t>
      </w:r>
      <w:r w:rsidR="00E46AE9">
        <w:rPr>
          <w:bCs/>
        </w:rPr>
        <w:t>C</w:t>
      </w:r>
      <w:r w:rsidR="00CF6C0F">
        <w:rPr>
          <w:bCs/>
        </w:rPr>
        <w:t>C</w:t>
      </w:r>
      <w:r>
        <w:rPr>
          <w:bCs/>
        </w:rPr>
        <w:t xml:space="preserve">. </w:t>
      </w:r>
    </w:p>
    <w:p w14:paraId="0EA13E22" w14:textId="5C838DA8" w:rsidR="009B565B" w:rsidRPr="00CF6C0F" w:rsidRDefault="00E46AE9" w:rsidP="00F961E3">
      <w:pPr>
        <w:rPr>
          <w:b/>
          <w:iCs/>
        </w:rPr>
      </w:pPr>
      <w:r>
        <w:rPr>
          <w:bCs/>
        </w:rPr>
        <w:t>However, i</w:t>
      </w:r>
      <w:r w:rsidR="003A7E78">
        <w:rPr>
          <w:bCs/>
        </w:rPr>
        <w:t xml:space="preserve">t is expected that </w:t>
      </w:r>
      <w:r w:rsidR="00463249">
        <w:rPr>
          <w:bCs/>
        </w:rPr>
        <w:t xml:space="preserve">the </w:t>
      </w:r>
      <w:r w:rsidR="003A7E78">
        <w:rPr>
          <w:bCs/>
        </w:rPr>
        <w:t>end-of-project target</w:t>
      </w:r>
      <w:r w:rsidR="00796BFE">
        <w:rPr>
          <w:bCs/>
        </w:rPr>
        <w:t>s</w:t>
      </w:r>
      <w:r w:rsidR="003A7E78">
        <w:rPr>
          <w:bCs/>
        </w:rPr>
        <w:t xml:space="preserve"> </w:t>
      </w:r>
      <w:r w:rsidR="00463249">
        <w:rPr>
          <w:bCs/>
        </w:rPr>
        <w:t xml:space="preserve">will be achieved </w:t>
      </w:r>
      <w:r w:rsidR="003A7E78">
        <w:rPr>
          <w:bCs/>
        </w:rPr>
        <w:t>with eventual minor shortcomings.</w:t>
      </w:r>
    </w:p>
    <w:p w14:paraId="56968465" w14:textId="37F90F79" w:rsidR="00DC5086" w:rsidRPr="00DC5086" w:rsidRDefault="00DC5086" w:rsidP="009716DB">
      <w:pPr>
        <w:rPr>
          <w:b/>
        </w:rPr>
      </w:pPr>
      <w:r>
        <w:rPr>
          <w:bCs/>
        </w:rPr>
        <w:t xml:space="preserve">The </w:t>
      </w:r>
      <w:r w:rsidR="003A7E78">
        <w:rPr>
          <w:bCs/>
        </w:rPr>
        <w:t xml:space="preserve">overall </w:t>
      </w:r>
      <w:r w:rsidR="006B12EC">
        <w:rPr>
          <w:bCs/>
        </w:rPr>
        <w:t xml:space="preserve">progress towards achievement of the </w:t>
      </w:r>
      <w:r w:rsidR="00CF5961">
        <w:rPr>
          <w:bCs/>
        </w:rPr>
        <w:t xml:space="preserve">end-of-project </w:t>
      </w:r>
      <w:r w:rsidR="006B12EC">
        <w:rPr>
          <w:bCs/>
        </w:rPr>
        <w:t>targets</w:t>
      </w:r>
      <w:r>
        <w:rPr>
          <w:bCs/>
        </w:rPr>
        <w:t xml:space="preserve"> under Outcome 1 </w:t>
      </w:r>
      <w:r w:rsidR="006B12EC">
        <w:rPr>
          <w:bCs/>
        </w:rPr>
        <w:t>is</w:t>
      </w:r>
      <w:r>
        <w:rPr>
          <w:bCs/>
        </w:rPr>
        <w:t xml:space="preserve"> </w:t>
      </w:r>
      <w:r w:rsidR="003A7E78">
        <w:rPr>
          <w:bCs/>
        </w:rPr>
        <w:t xml:space="preserve">therefore rated </w:t>
      </w:r>
      <w:r w:rsidR="003A7E78">
        <w:rPr>
          <w:b/>
        </w:rPr>
        <w:t>Satisfactory (S)</w:t>
      </w:r>
      <w:r w:rsidR="00742C44">
        <w:rPr>
          <w:b/>
        </w:rPr>
        <w:t>.</w:t>
      </w:r>
    </w:p>
    <w:p w14:paraId="46DE1989" w14:textId="77777777" w:rsidR="00EB41DA" w:rsidRDefault="00EB41DA">
      <w:pPr>
        <w:spacing w:before="0" w:line="240" w:lineRule="auto"/>
        <w:jc w:val="left"/>
        <w:rPr>
          <w:b/>
          <w:bCs/>
        </w:rPr>
      </w:pPr>
      <w:r>
        <w:rPr>
          <w:b/>
          <w:bCs/>
        </w:rPr>
        <w:br w:type="page"/>
      </w:r>
    </w:p>
    <w:p w14:paraId="5B03C08F" w14:textId="3808DB9E" w:rsidR="00247B85" w:rsidRPr="001C69FE" w:rsidRDefault="00742C44" w:rsidP="001C69FE">
      <w:pPr>
        <w:spacing w:before="240" w:after="120" w:line="240" w:lineRule="auto"/>
        <w:jc w:val="left"/>
        <w:rPr>
          <w:b/>
          <w:bCs/>
        </w:rPr>
      </w:pPr>
      <w:r w:rsidRPr="001C69FE">
        <w:rPr>
          <w:b/>
          <w:bCs/>
        </w:rPr>
        <w:lastRenderedPageBreak/>
        <w:t xml:space="preserve">Table </w:t>
      </w:r>
      <w:r w:rsidRPr="001C69FE">
        <w:rPr>
          <w:b/>
          <w:bCs/>
        </w:rPr>
        <w:fldChar w:fldCharType="begin"/>
      </w:r>
      <w:r w:rsidRPr="001C69FE">
        <w:rPr>
          <w:b/>
          <w:bCs/>
        </w:rPr>
        <w:instrText xml:space="preserve"> SEQ Table \* ARABIC </w:instrText>
      </w:r>
      <w:r w:rsidRPr="001C69FE">
        <w:rPr>
          <w:b/>
          <w:bCs/>
        </w:rPr>
        <w:fldChar w:fldCharType="separate"/>
      </w:r>
      <w:r w:rsidR="004F45AC">
        <w:rPr>
          <w:b/>
          <w:bCs/>
          <w:noProof/>
        </w:rPr>
        <w:t>5</w:t>
      </w:r>
      <w:r w:rsidRPr="001C69FE">
        <w:rPr>
          <w:b/>
          <w:bCs/>
        </w:rPr>
        <w:fldChar w:fldCharType="end"/>
      </w:r>
      <w:r w:rsidRPr="001C69FE">
        <w:rPr>
          <w:b/>
          <w:bCs/>
        </w:rPr>
        <w:t>:</w:t>
      </w:r>
      <w:r w:rsidRPr="001C69FE">
        <w:t xml:space="preserve"> </w:t>
      </w:r>
      <w:r w:rsidR="005C6857" w:rsidRPr="001C69FE">
        <w:t>A</w:t>
      </w:r>
      <w:r w:rsidR="00247B85" w:rsidRPr="001C69FE">
        <w:t xml:space="preserve">chievements </w:t>
      </w:r>
      <w:r w:rsidR="005C6857" w:rsidRPr="001C69FE">
        <w:t xml:space="preserve">at MTR </w:t>
      </w:r>
      <w:r w:rsidR="00247B85" w:rsidRPr="001C69FE">
        <w:t xml:space="preserve">for Outcome </w:t>
      </w:r>
      <w:r w:rsidR="002D0B25" w:rsidRPr="001C69FE">
        <w:t>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D0B25" w:rsidRPr="00B57537" w14:paraId="0AF3FE5D" w14:textId="77777777" w:rsidTr="00520BDD">
        <w:tc>
          <w:tcPr>
            <w:tcW w:w="9351" w:type="dxa"/>
          </w:tcPr>
          <w:p w14:paraId="39FF1C78" w14:textId="2617012F" w:rsidR="002D0B25" w:rsidRPr="001B4950" w:rsidRDefault="007F27F1" w:rsidP="001B4950">
            <w:pPr>
              <w:spacing w:before="60"/>
              <w:rPr>
                <w:b/>
                <w:sz w:val="18"/>
                <w:szCs w:val="18"/>
              </w:rPr>
            </w:pPr>
            <w:r w:rsidRPr="001B4950">
              <w:rPr>
                <w:b/>
                <w:sz w:val="18"/>
                <w:szCs w:val="18"/>
              </w:rPr>
              <w:t xml:space="preserve">Component/ Outcome 2: </w:t>
            </w:r>
            <w:r w:rsidR="00022F53" w:rsidRPr="00022F53">
              <w:rPr>
                <w:b/>
                <w:sz w:val="18"/>
                <w:szCs w:val="18"/>
              </w:rPr>
              <w:t>National transparency capacity for tracking NDC progress from adaptation activities is strong</w:t>
            </w:r>
          </w:p>
        </w:tc>
      </w:tr>
    </w:tbl>
    <w:p w14:paraId="4D71F64C" w14:textId="77777777" w:rsidR="002D0B25" w:rsidRPr="00B57537" w:rsidRDefault="002D0B25" w:rsidP="002D0B25">
      <w:pPr>
        <w:spacing w:before="0"/>
        <w:rPr>
          <w:b/>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693"/>
        <w:gridCol w:w="2947"/>
        <w:gridCol w:w="739"/>
      </w:tblGrid>
      <w:tr w:rsidR="00CC684C" w:rsidRPr="00B57537" w14:paraId="09542275" w14:textId="77777777" w:rsidTr="00520BDD">
        <w:trPr>
          <w:tblHeader/>
        </w:trPr>
        <w:tc>
          <w:tcPr>
            <w:tcW w:w="9351" w:type="dxa"/>
            <w:gridSpan w:val="4"/>
            <w:shd w:val="clear" w:color="auto" w:fill="auto"/>
          </w:tcPr>
          <w:p w14:paraId="2802AA83" w14:textId="656B028F" w:rsidR="00CC684C" w:rsidRPr="00B57537" w:rsidRDefault="00CC684C" w:rsidP="00CC684C">
            <w:pPr>
              <w:spacing w:before="0"/>
              <w:rPr>
                <w:b/>
                <w:sz w:val="18"/>
                <w:szCs w:val="18"/>
              </w:rPr>
            </w:pPr>
            <w:r w:rsidRPr="00CC684C">
              <w:rPr>
                <w:b/>
                <w:sz w:val="18"/>
                <w:szCs w:val="18"/>
              </w:rPr>
              <w:t xml:space="preserve">Output 2.1. </w:t>
            </w:r>
            <w:r w:rsidR="00520BDD">
              <w:rPr>
                <w:b/>
                <w:sz w:val="18"/>
                <w:szCs w:val="18"/>
              </w:rPr>
              <w:t>I</w:t>
            </w:r>
            <w:r w:rsidR="00520BDD" w:rsidRPr="00520BDD">
              <w:rPr>
                <w:b/>
                <w:sz w:val="18"/>
                <w:szCs w:val="18"/>
              </w:rPr>
              <w:t>nstitutional and technical capacities for transparency of adaptation in relevant sectors improved</w:t>
            </w:r>
          </w:p>
        </w:tc>
      </w:tr>
      <w:tr w:rsidR="00ED082C" w:rsidRPr="00B57537" w14:paraId="2AB1EF6A" w14:textId="77777777" w:rsidTr="00520BDD">
        <w:trPr>
          <w:trHeight w:val="246"/>
          <w:tblHeader/>
        </w:trPr>
        <w:tc>
          <w:tcPr>
            <w:tcW w:w="2972" w:type="dxa"/>
            <w:shd w:val="clear" w:color="auto" w:fill="auto"/>
          </w:tcPr>
          <w:p w14:paraId="7BBAA530" w14:textId="77777777" w:rsidR="00ED082C" w:rsidRPr="00B57537" w:rsidRDefault="007D6036" w:rsidP="0063327A">
            <w:pPr>
              <w:spacing w:before="0"/>
              <w:jc w:val="center"/>
              <w:rPr>
                <w:b/>
                <w:sz w:val="18"/>
                <w:szCs w:val="18"/>
              </w:rPr>
            </w:pPr>
            <w:r w:rsidRPr="00B57537">
              <w:rPr>
                <w:rFonts w:eastAsia="Calibri"/>
                <w:b/>
                <w:bCs/>
                <w:color w:val="000000"/>
                <w:sz w:val="18"/>
                <w:szCs w:val="18"/>
                <w:lang w:eastAsia="en-US"/>
              </w:rPr>
              <w:t>Indicators</w:t>
            </w:r>
          </w:p>
        </w:tc>
        <w:tc>
          <w:tcPr>
            <w:tcW w:w="2693" w:type="dxa"/>
            <w:shd w:val="clear" w:color="auto" w:fill="auto"/>
          </w:tcPr>
          <w:p w14:paraId="4260159A" w14:textId="77777777" w:rsidR="00ED082C" w:rsidRPr="00B57537" w:rsidRDefault="007F27F1" w:rsidP="0063327A">
            <w:pPr>
              <w:spacing w:before="0"/>
              <w:jc w:val="center"/>
              <w:rPr>
                <w:b/>
                <w:sz w:val="18"/>
                <w:szCs w:val="18"/>
              </w:rPr>
            </w:pPr>
            <w:r w:rsidRPr="00B57537">
              <w:rPr>
                <w:b/>
                <w:bCs/>
                <w:color w:val="000000"/>
                <w:sz w:val="18"/>
                <w:szCs w:val="18"/>
              </w:rPr>
              <w:t>Mid-Term Targets</w:t>
            </w:r>
          </w:p>
        </w:tc>
        <w:tc>
          <w:tcPr>
            <w:tcW w:w="2947" w:type="dxa"/>
            <w:shd w:val="clear" w:color="auto" w:fill="auto"/>
          </w:tcPr>
          <w:p w14:paraId="7B2995D3" w14:textId="77777777" w:rsidR="00ED082C" w:rsidRPr="00B57537" w:rsidRDefault="00ED082C" w:rsidP="0063327A">
            <w:pPr>
              <w:spacing w:before="0"/>
              <w:jc w:val="center"/>
              <w:rPr>
                <w:b/>
                <w:sz w:val="18"/>
                <w:szCs w:val="18"/>
              </w:rPr>
            </w:pPr>
            <w:r w:rsidRPr="00B57537">
              <w:rPr>
                <w:b/>
                <w:sz w:val="18"/>
                <w:szCs w:val="18"/>
              </w:rPr>
              <w:t>Status at MT</w:t>
            </w:r>
            <w:r w:rsidR="007D6036" w:rsidRPr="00B57537">
              <w:rPr>
                <w:b/>
                <w:sz w:val="18"/>
                <w:szCs w:val="18"/>
              </w:rPr>
              <w:t>R</w:t>
            </w:r>
          </w:p>
        </w:tc>
        <w:tc>
          <w:tcPr>
            <w:tcW w:w="739" w:type="dxa"/>
          </w:tcPr>
          <w:p w14:paraId="0565BA8A" w14:textId="77777777" w:rsidR="00ED082C" w:rsidRPr="00B57537" w:rsidRDefault="00ED082C" w:rsidP="0063327A">
            <w:pPr>
              <w:spacing w:before="0"/>
              <w:jc w:val="center"/>
              <w:rPr>
                <w:b/>
                <w:sz w:val="18"/>
                <w:szCs w:val="18"/>
              </w:rPr>
            </w:pPr>
            <w:r w:rsidRPr="00B57537">
              <w:rPr>
                <w:b/>
                <w:sz w:val="18"/>
                <w:szCs w:val="18"/>
              </w:rPr>
              <w:t>Rating</w:t>
            </w:r>
          </w:p>
        </w:tc>
      </w:tr>
      <w:tr w:rsidR="00ED082C" w:rsidRPr="00B57537" w14:paraId="53C5FFBA" w14:textId="77777777" w:rsidTr="001C69FE">
        <w:tc>
          <w:tcPr>
            <w:tcW w:w="2972" w:type="dxa"/>
            <w:shd w:val="clear" w:color="auto" w:fill="auto"/>
          </w:tcPr>
          <w:p w14:paraId="073A8097" w14:textId="3812A265" w:rsidR="00ED082C" w:rsidRPr="00B57537" w:rsidRDefault="00605315" w:rsidP="00520BDD">
            <w:pPr>
              <w:spacing w:before="40" w:line="240" w:lineRule="auto"/>
              <w:rPr>
                <w:sz w:val="18"/>
                <w:szCs w:val="18"/>
              </w:rPr>
            </w:pPr>
            <w:r>
              <w:rPr>
                <w:sz w:val="18"/>
                <w:szCs w:val="18"/>
              </w:rPr>
              <w:t xml:space="preserve">2a: </w:t>
            </w:r>
            <w:r w:rsidR="00520BDD" w:rsidRPr="00520BDD">
              <w:rPr>
                <w:sz w:val="18"/>
                <w:szCs w:val="18"/>
              </w:rPr>
              <w:t>Number of users trained on adaptation-related aspects of the national MRV system (gender-disaggregated</w:t>
            </w:r>
          </w:p>
        </w:tc>
        <w:tc>
          <w:tcPr>
            <w:tcW w:w="2693" w:type="dxa"/>
            <w:shd w:val="clear" w:color="auto" w:fill="auto"/>
          </w:tcPr>
          <w:p w14:paraId="02F0D866" w14:textId="57F18A87" w:rsidR="00ED082C" w:rsidRPr="00B57537" w:rsidRDefault="00520BDD" w:rsidP="00520BDD">
            <w:pPr>
              <w:spacing w:before="40" w:line="240" w:lineRule="auto"/>
              <w:rPr>
                <w:sz w:val="18"/>
                <w:szCs w:val="18"/>
              </w:rPr>
            </w:pPr>
            <w:r w:rsidRPr="00520BDD">
              <w:rPr>
                <w:sz w:val="18"/>
                <w:szCs w:val="18"/>
              </w:rPr>
              <w:t>By the end of Q6, at least 35 people have been trained on adaptation aspects of the new MRV system (and of those, at least 60% are women).</w:t>
            </w:r>
          </w:p>
        </w:tc>
        <w:tc>
          <w:tcPr>
            <w:tcW w:w="2947" w:type="dxa"/>
            <w:shd w:val="clear" w:color="auto" w:fill="92D050"/>
          </w:tcPr>
          <w:p w14:paraId="0BC1395B" w14:textId="77777777" w:rsidR="00FF7230" w:rsidRDefault="00FF7230" w:rsidP="00FF7230">
            <w:pPr>
              <w:pStyle w:val="NoSpacing"/>
              <w:spacing w:before="40"/>
              <w:rPr>
                <w:iCs/>
                <w:sz w:val="18"/>
                <w:szCs w:val="18"/>
                <w:lang w:val="en-GB"/>
              </w:rPr>
            </w:pPr>
            <w:r>
              <w:rPr>
                <w:iCs/>
                <w:sz w:val="18"/>
                <w:szCs w:val="18"/>
                <w:lang w:val="en-GB"/>
              </w:rPr>
              <w:t>C</w:t>
            </w:r>
            <w:r w:rsidRPr="00D813FF">
              <w:rPr>
                <w:iCs/>
                <w:sz w:val="18"/>
                <w:szCs w:val="18"/>
                <w:lang w:val="en-GB"/>
              </w:rPr>
              <w:t>onsultative meeting</w:t>
            </w:r>
            <w:r>
              <w:rPr>
                <w:iCs/>
                <w:sz w:val="18"/>
                <w:szCs w:val="18"/>
                <w:lang w:val="en-GB"/>
              </w:rPr>
              <w:t xml:space="preserve"> on 23-24 </w:t>
            </w:r>
            <w:r w:rsidRPr="00D813FF">
              <w:rPr>
                <w:iCs/>
                <w:sz w:val="18"/>
                <w:szCs w:val="18"/>
                <w:lang w:val="en-GB"/>
              </w:rPr>
              <w:t xml:space="preserve">April </w:t>
            </w:r>
            <w:r>
              <w:rPr>
                <w:iCs/>
                <w:sz w:val="18"/>
                <w:szCs w:val="18"/>
                <w:lang w:val="en-GB"/>
              </w:rPr>
              <w:t>2</w:t>
            </w:r>
            <w:r w:rsidRPr="00D813FF">
              <w:rPr>
                <w:iCs/>
                <w:sz w:val="18"/>
                <w:szCs w:val="18"/>
                <w:lang w:val="en-GB"/>
              </w:rPr>
              <w:t>019</w:t>
            </w:r>
            <w:r>
              <w:rPr>
                <w:iCs/>
                <w:sz w:val="18"/>
                <w:szCs w:val="18"/>
                <w:lang w:val="en-GB"/>
              </w:rPr>
              <w:t xml:space="preserve"> (35 participants/24 women)</w:t>
            </w:r>
          </w:p>
          <w:p w14:paraId="0EC21667" w14:textId="77777777" w:rsidR="00FF7230" w:rsidRDefault="00FF7230" w:rsidP="00FF7230">
            <w:pPr>
              <w:pStyle w:val="NoSpacing"/>
              <w:spacing w:before="40"/>
              <w:rPr>
                <w:iCs/>
                <w:sz w:val="18"/>
                <w:szCs w:val="18"/>
                <w:lang w:val="en-GB"/>
              </w:rPr>
            </w:pPr>
            <w:r w:rsidRPr="00D813FF">
              <w:rPr>
                <w:iCs/>
                <w:sz w:val="18"/>
                <w:szCs w:val="18"/>
                <w:lang w:val="en-GB"/>
              </w:rPr>
              <w:t>Impact and risks of climate change</w:t>
            </w:r>
            <w:r>
              <w:rPr>
                <w:iCs/>
                <w:sz w:val="18"/>
                <w:szCs w:val="18"/>
                <w:lang w:val="en-GB"/>
              </w:rPr>
              <w:t xml:space="preserve"> – 3 July 2019 (38 participants/18 women)</w:t>
            </w:r>
          </w:p>
          <w:p w14:paraId="31DCCD27" w14:textId="46E225B0" w:rsidR="00DC5086" w:rsidRPr="00B57537" w:rsidRDefault="00FF7230" w:rsidP="00FF7230">
            <w:pPr>
              <w:pStyle w:val="NoSpacing"/>
              <w:spacing w:before="40"/>
              <w:rPr>
                <w:iCs/>
                <w:sz w:val="18"/>
                <w:szCs w:val="18"/>
              </w:rPr>
            </w:pPr>
            <w:r w:rsidRPr="00D813FF">
              <w:rPr>
                <w:iCs/>
                <w:sz w:val="18"/>
                <w:szCs w:val="18"/>
                <w:lang w:val="en-GB"/>
              </w:rPr>
              <w:t xml:space="preserve">Dialogue on climate change </w:t>
            </w:r>
            <w:r>
              <w:rPr>
                <w:iCs/>
                <w:sz w:val="18"/>
                <w:szCs w:val="18"/>
                <w:lang w:val="en-GB"/>
              </w:rPr>
              <w:t xml:space="preserve">on </w:t>
            </w:r>
            <w:r w:rsidRPr="00D813FF">
              <w:rPr>
                <w:iCs/>
                <w:sz w:val="18"/>
                <w:szCs w:val="18"/>
                <w:lang w:val="en-GB"/>
              </w:rPr>
              <w:t>19</w:t>
            </w:r>
            <w:r>
              <w:rPr>
                <w:iCs/>
                <w:sz w:val="18"/>
                <w:szCs w:val="18"/>
                <w:lang w:val="en-GB"/>
              </w:rPr>
              <w:t xml:space="preserve"> -</w:t>
            </w:r>
            <w:r w:rsidRPr="00D813FF">
              <w:rPr>
                <w:iCs/>
                <w:sz w:val="18"/>
                <w:szCs w:val="18"/>
                <w:lang w:val="en-GB"/>
              </w:rPr>
              <w:t xml:space="preserve">21 </w:t>
            </w:r>
            <w:r>
              <w:rPr>
                <w:iCs/>
                <w:sz w:val="18"/>
                <w:szCs w:val="18"/>
                <w:lang w:val="en-GB"/>
              </w:rPr>
              <w:t>N</w:t>
            </w:r>
            <w:r w:rsidRPr="00D813FF">
              <w:rPr>
                <w:iCs/>
                <w:sz w:val="18"/>
                <w:szCs w:val="18"/>
                <w:lang w:val="en-GB"/>
              </w:rPr>
              <w:t>ovember 2019</w:t>
            </w:r>
            <w:r>
              <w:rPr>
                <w:iCs/>
                <w:sz w:val="18"/>
                <w:szCs w:val="18"/>
                <w:lang w:val="en-GB"/>
              </w:rPr>
              <w:t xml:space="preserve"> (32 participants/26 women)</w:t>
            </w:r>
          </w:p>
        </w:tc>
        <w:tc>
          <w:tcPr>
            <w:tcW w:w="739" w:type="dxa"/>
            <w:shd w:val="clear" w:color="auto" w:fill="auto"/>
            <w:vAlign w:val="center"/>
          </w:tcPr>
          <w:p w14:paraId="7EB729A8" w14:textId="1FD2CF99" w:rsidR="00ED082C" w:rsidRPr="00B57537" w:rsidRDefault="00A464E3" w:rsidP="002A6889">
            <w:pPr>
              <w:spacing w:before="0"/>
              <w:jc w:val="center"/>
              <w:rPr>
                <w:sz w:val="18"/>
                <w:szCs w:val="18"/>
              </w:rPr>
            </w:pPr>
            <w:r>
              <w:rPr>
                <w:sz w:val="18"/>
                <w:szCs w:val="18"/>
              </w:rPr>
              <w:t>S</w:t>
            </w:r>
          </w:p>
        </w:tc>
      </w:tr>
      <w:tr w:rsidR="00CC684C" w:rsidRPr="00B57537" w14:paraId="3226D9CD" w14:textId="77777777" w:rsidTr="001C69FE">
        <w:trPr>
          <w:trHeight w:val="899"/>
        </w:trPr>
        <w:tc>
          <w:tcPr>
            <w:tcW w:w="2972" w:type="dxa"/>
            <w:shd w:val="clear" w:color="auto" w:fill="auto"/>
          </w:tcPr>
          <w:p w14:paraId="6705A9E8" w14:textId="0FFB2814" w:rsidR="00CC684C" w:rsidRPr="00B57537" w:rsidRDefault="00605315" w:rsidP="00520BDD">
            <w:pPr>
              <w:spacing w:before="40" w:line="240" w:lineRule="auto"/>
              <w:rPr>
                <w:sz w:val="18"/>
                <w:szCs w:val="18"/>
              </w:rPr>
            </w:pPr>
            <w:r>
              <w:rPr>
                <w:sz w:val="18"/>
                <w:szCs w:val="18"/>
              </w:rPr>
              <w:t xml:space="preserve">2b: </w:t>
            </w:r>
            <w:r w:rsidR="00520BDD" w:rsidRPr="00520BDD">
              <w:rPr>
                <w:sz w:val="18"/>
                <w:szCs w:val="18"/>
              </w:rPr>
              <w:t>Level of participation in the MRV system</w:t>
            </w:r>
          </w:p>
        </w:tc>
        <w:tc>
          <w:tcPr>
            <w:tcW w:w="2693" w:type="dxa"/>
            <w:shd w:val="clear" w:color="auto" w:fill="auto"/>
          </w:tcPr>
          <w:p w14:paraId="19FCC041" w14:textId="5259F6AD" w:rsidR="00CC684C" w:rsidRPr="00B57537" w:rsidRDefault="00520BDD" w:rsidP="00520BDD">
            <w:pPr>
              <w:spacing w:before="40" w:line="240" w:lineRule="auto"/>
              <w:rPr>
                <w:sz w:val="18"/>
                <w:szCs w:val="18"/>
              </w:rPr>
            </w:pPr>
            <w:r w:rsidRPr="00520BDD">
              <w:rPr>
                <w:sz w:val="18"/>
                <w:szCs w:val="18"/>
              </w:rPr>
              <w:t xml:space="preserve">By the end of Q6, database access and use of </w:t>
            </w:r>
            <w:r w:rsidR="00A464E3">
              <w:rPr>
                <w:sz w:val="18"/>
                <w:szCs w:val="18"/>
              </w:rPr>
              <w:t xml:space="preserve">adaptation </w:t>
            </w:r>
            <w:r w:rsidRPr="00520BDD">
              <w:rPr>
                <w:sz w:val="18"/>
                <w:szCs w:val="18"/>
              </w:rPr>
              <w:t>information is</w:t>
            </w:r>
            <w:r>
              <w:rPr>
                <w:sz w:val="18"/>
                <w:szCs w:val="18"/>
              </w:rPr>
              <w:t xml:space="preserve"> </w:t>
            </w:r>
            <w:r w:rsidRPr="00520BDD">
              <w:rPr>
                <w:sz w:val="18"/>
                <w:szCs w:val="18"/>
              </w:rPr>
              <w:t>observed in at least 2</w:t>
            </w:r>
            <w:r>
              <w:rPr>
                <w:sz w:val="18"/>
                <w:szCs w:val="18"/>
              </w:rPr>
              <w:t xml:space="preserve"> </w:t>
            </w:r>
            <w:r w:rsidRPr="00520BDD">
              <w:rPr>
                <w:sz w:val="18"/>
                <w:szCs w:val="18"/>
              </w:rPr>
              <w:t>government agencies</w:t>
            </w:r>
          </w:p>
        </w:tc>
        <w:tc>
          <w:tcPr>
            <w:tcW w:w="2947" w:type="dxa"/>
            <w:shd w:val="clear" w:color="auto" w:fill="FFFF00"/>
          </w:tcPr>
          <w:p w14:paraId="32627F0F" w14:textId="4EE91554" w:rsidR="00411013" w:rsidRPr="00082584" w:rsidRDefault="006D3352" w:rsidP="00520BDD">
            <w:pPr>
              <w:spacing w:before="40" w:line="240" w:lineRule="auto"/>
              <w:rPr>
                <w:iCs/>
                <w:sz w:val="18"/>
                <w:szCs w:val="18"/>
                <w:highlight w:val="yellow"/>
              </w:rPr>
            </w:pPr>
            <w:r w:rsidRPr="00082584">
              <w:rPr>
                <w:iCs/>
                <w:sz w:val="18"/>
                <w:szCs w:val="18"/>
                <w:highlight w:val="yellow"/>
              </w:rPr>
              <w:t>Only MRV conceptual framework developed but the system not yet functional</w:t>
            </w:r>
          </w:p>
        </w:tc>
        <w:tc>
          <w:tcPr>
            <w:tcW w:w="739" w:type="dxa"/>
            <w:shd w:val="clear" w:color="auto" w:fill="auto"/>
            <w:vAlign w:val="center"/>
          </w:tcPr>
          <w:p w14:paraId="07B126B6" w14:textId="21183635" w:rsidR="00CC684C" w:rsidRPr="00B57537" w:rsidRDefault="00C42FCD" w:rsidP="00CC684C">
            <w:pPr>
              <w:spacing w:before="0"/>
              <w:jc w:val="center"/>
              <w:rPr>
                <w:sz w:val="18"/>
                <w:szCs w:val="18"/>
              </w:rPr>
            </w:pPr>
            <w:r>
              <w:rPr>
                <w:sz w:val="18"/>
                <w:szCs w:val="18"/>
              </w:rPr>
              <w:t>S</w:t>
            </w:r>
          </w:p>
        </w:tc>
      </w:tr>
      <w:tr w:rsidR="00CC684C" w:rsidRPr="00B57537" w14:paraId="31CF25CD" w14:textId="77777777" w:rsidTr="001C69FE">
        <w:tc>
          <w:tcPr>
            <w:tcW w:w="2972" w:type="dxa"/>
            <w:shd w:val="clear" w:color="auto" w:fill="auto"/>
          </w:tcPr>
          <w:p w14:paraId="0B2315C9" w14:textId="2E2F9493" w:rsidR="00CC684C" w:rsidRPr="00B57537" w:rsidRDefault="00605315" w:rsidP="00520BDD">
            <w:pPr>
              <w:spacing w:before="40" w:line="240" w:lineRule="auto"/>
              <w:rPr>
                <w:sz w:val="18"/>
                <w:szCs w:val="18"/>
              </w:rPr>
            </w:pPr>
            <w:r>
              <w:rPr>
                <w:sz w:val="18"/>
                <w:szCs w:val="18"/>
              </w:rPr>
              <w:t xml:space="preserve">2c: </w:t>
            </w:r>
            <w:r w:rsidR="00520BDD" w:rsidRPr="00520BDD">
              <w:rPr>
                <w:sz w:val="18"/>
                <w:szCs w:val="18"/>
              </w:rPr>
              <w:t>Degree to which domestic MRV system informs policies and reporting related to CC adaptation</w:t>
            </w:r>
          </w:p>
        </w:tc>
        <w:tc>
          <w:tcPr>
            <w:tcW w:w="2693" w:type="dxa"/>
            <w:shd w:val="clear" w:color="auto" w:fill="auto"/>
          </w:tcPr>
          <w:p w14:paraId="79D3A752" w14:textId="0C070B7A" w:rsidR="00CC684C" w:rsidRPr="00B57537" w:rsidRDefault="00520BDD" w:rsidP="00520BDD">
            <w:pPr>
              <w:spacing w:before="40" w:line="240" w:lineRule="auto"/>
              <w:rPr>
                <w:sz w:val="18"/>
                <w:szCs w:val="18"/>
              </w:rPr>
            </w:pPr>
            <w:r w:rsidRPr="00520BDD">
              <w:rPr>
                <w:sz w:val="18"/>
                <w:szCs w:val="18"/>
              </w:rPr>
              <w:t>By the end of Q6, adaptation</w:t>
            </w:r>
            <w:r>
              <w:rPr>
                <w:sz w:val="18"/>
                <w:szCs w:val="18"/>
              </w:rPr>
              <w:t xml:space="preserve"> </w:t>
            </w:r>
            <w:r w:rsidRPr="00520BDD">
              <w:rPr>
                <w:sz w:val="18"/>
                <w:szCs w:val="18"/>
              </w:rPr>
              <w:t>information from the database to been used to inform national reporting, i.e. to be used for improvement of national CC related legislation</w:t>
            </w:r>
          </w:p>
        </w:tc>
        <w:tc>
          <w:tcPr>
            <w:tcW w:w="2947" w:type="dxa"/>
            <w:shd w:val="clear" w:color="auto" w:fill="FFFF00"/>
          </w:tcPr>
          <w:p w14:paraId="45E2F5B8" w14:textId="47931ACF" w:rsidR="003921FA" w:rsidRPr="00082584" w:rsidRDefault="00B318C6" w:rsidP="00520BDD">
            <w:pPr>
              <w:spacing w:before="40" w:line="240" w:lineRule="auto"/>
              <w:rPr>
                <w:iCs/>
                <w:sz w:val="18"/>
                <w:szCs w:val="18"/>
                <w:highlight w:val="yellow"/>
              </w:rPr>
            </w:pPr>
            <w:r w:rsidRPr="00082584">
              <w:rPr>
                <w:iCs/>
                <w:sz w:val="18"/>
                <w:szCs w:val="18"/>
                <w:highlight w:val="yellow"/>
              </w:rPr>
              <w:t xml:space="preserve"> </w:t>
            </w:r>
            <w:r w:rsidR="006D3352" w:rsidRPr="00082584">
              <w:rPr>
                <w:iCs/>
                <w:sz w:val="18"/>
                <w:szCs w:val="18"/>
                <w:highlight w:val="yellow"/>
              </w:rPr>
              <w:t xml:space="preserve">Adaptation and vulnerability assessment information used </w:t>
            </w:r>
            <w:r w:rsidR="003F408D">
              <w:rPr>
                <w:iCs/>
                <w:sz w:val="18"/>
                <w:szCs w:val="18"/>
                <w:highlight w:val="yellow"/>
              </w:rPr>
              <w:t xml:space="preserve">in pre-project modality </w:t>
            </w:r>
            <w:r w:rsidR="006D3352" w:rsidRPr="00082584">
              <w:rPr>
                <w:iCs/>
                <w:sz w:val="18"/>
                <w:szCs w:val="18"/>
                <w:highlight w:val="yellow"/>
              </w:rPr>
              <w:t>for preparation of 2BUR and 3NC</w:t>
            </w:r>
          </w:p>
        </w:tc>
        <w:tc>
          <w:tcPr>
            <w:tcW w:w="739" w:type="dxa"/>
            <w:shd w:val="clear" w:color="auto" w:fill="auto"/>
            <w:vAlign w:val="center"/>
          </w:tcPr>
          <w:p w14:paraId="2EF96CC9" w14:textId="17E15C90" w:rsidR="00CC684C" w:rsidRPr="00B57537" w:rsidRDefault="00557B7F" w:rsidP="00CC684C">
            <w:pPr>
              <w:spacing w:before="0"/>
              <w:jc w:val="center"/>
              <w:rPr>
                <w:sz w:val="18"/>
                <w:szCs w:val="18"/>
              </w:rPr>
            </w:pPr>
            <w:r>
              <w:rPr>
                <w:sz w:val="18"/>
                <w:szCs w:val="18"/>
              </w:rPr>
              <w:t>M</w:t>
            </w:r>
            <w:r w:rsidR="00A464E3">
              <w:rPr>
                <w:sz w:val="18"/>
                <w:szCs w:val="18"/>
              </w:rPr>
              <w:t>S</w:t>
            </w:r>
          </w:p>
        </w:tc>
      </w:tr>
    </w:tbl>
    <w:p w14:paraId="1717DA09" w14:textId="1B016540" w:rsidR="00FF7230" w:rsidRDefault="00FF7230" w:rsidP="00FF7230">
      <w:pPr>
        <w:spacing w:before="240"/>
        <w:rPr>
          <w:bCs/>
        </w:rPr>
      </w:pPr>
      <w:r w:rsidRPr="009E4A0B">
        <w:rPr>
          <w:bCs/>
        </w:rPr>
        <w:t>A two-day</w:t>
      </w:r>
      <w:r>
        <w:rPr>
          <w:b/>
        </w:rPr>
        <w:t xml:space="preserve"> </w:t>
      </w:r>
      <w:r>
        <w:rPr>
          <w:bCs/>
        </w:rPr>
        <w:t>initial consultative meeting was organized in April 2019 with participation of 35 trainees from a variety of stakeholder organizations. Two follow-up trainings were organized</w:t>
      </w:r>
      <w:r w:rsidR="00597B34">
        <w:rPr>
          <w:bCs/>
        </w:rPr>
        <w:t xml:space="preserve"> </w:t>
      </w:r>
      <w:r>
        <w:rPr>
          <w:bCs/>
        </w:rPr>
        <w:t>in July and November 2019, with the respective number of participants 38 and 32. The sessions covered both mitigation and adaptation aspects of the MRV system. However, the process indicator measures only the number of trainees but does not allow the increase in capacity of the training participants. No reports are available about evaluation of the trainings.</w:t>
      </w:r>
    </w:p>
    <w:p w14:paraId="091448CA" w14:textId="77777777" w:rsidR="00FF7230" w:rsidRDefault="00FF7230" w:rsidP="00FF7230">
      <w:pPr>
        <w:rPr>
          <w:bCs/>
        </w:rPr>
      </w:pPr>
      <w:r>
        <w:rPr>
          <w:bCs/>
        </w:rPr>
        <w:t>In 2020, a series of webinars were conducted under the Global Support Project (GSP) implemented by UNDP with participation of smaller numbers participants.</w:t>
      </w:r>
    </w:p>
    <w:p w14:paraId="10125385" w14:textId="4DC2E858" w:rsidR="00E958B7" w:rsidRDefault="00082584" w:rsidP="001C69FE">
      <w:pPr>
        <w:rPr>
          <w:bCs/>
          <w:lang w:val="en-US"/>
        </w:rPr>
      </w:pPr>
      <w:r>
        <w:rPr>
          <w:bCs/>
          <w:lang w:val="en-US"/>
        </w:rPr>
        <w:t>Before the CBIT project, i</w:t>
      </w:r>
      <w:r w:rsidR="00E958B7" w:rsidRPr="00E958B7">
        <w:rPr>
          <w:bCs/>
          <w:lang w:val="en-US"/>
        </w:rPr>
        <w:t xml:space="preserve">nformation on vulnerabilities, loss and damage, risks, climate trends and scenarios for various </w:t>
      </w:r>
      <w:r w:rsidR="00AF2E0F">
        <w:rPr>
          <w:bCs/>
          <w:lang w:val="en-US"/>
        </w:rPr>
        <w:t xml:space="preserve">previous </w:t>
      </w:r>
      <w:r w:rsidR="00E958B7" w:rsidRPr="00E958B7">
        <w:rPr>
          <w:bCs/>
          <w:lang w:val="en-US"/>
        </w:rPr>
        <w:t>reports (</w:t>
      </w:r>
      <w:r w:rsidR="00C36D28">
        <w:rPr>
          <w:bCs/>
          <w:lang w:val="en-US"/>
        </w:rPr>
        <w:t xml:space="preserve">in particular </w:t>
      </w:r>
      <w:r w:rsidR="00E958B7">
        <w:rPr>
          <w:bCs/>
          <w:lang w:val="en-US"/>
        </w:rPr>
        <w:t xml:space="preserve">the </w:t>
      </w:r>
      <w:r w:rsidR="00C36D28">
        <w:rPr>
          <w:bCs/>
          <w:lang w:val="en-US"/>
        </w:rPr>
        <w:t>1</w:t>
      </w:r>
      <w:r w:rsidR="00C36D28" w:rsidRPr="00C36D28">
        <w:rPr>
          <w:bCs/>
          <w:vertAlign w:val="superscript"/>
          <w:lang w:val="en-US"/>
        </w:rPr>
        <w:t>st</w:t>
      </w:r>
      <w:r w:rsidR="00C36D28">
        <w:rPr>
          <w:bCs/>
          <w:lang w:val="en-US"/>
        </w:rPr>
        <w:t xml:space="preserve"> </w:t>
      </w:r>
      <w:r w:rsidR="00E958B7" w:rsidRPr="00E958B7">
        <w:rPr>
          <w:bCs/>
          <w:lang w:val="en-US"/>
        </w:rPr>
        <w:t>N</w:t>
      </w:r>
      <w:r w:rsidR="00E958B7">
        <w:rPr>
          <w:bCs/>
          <w:lang w:val="en-US"/>
        </w:rPr>
        <w:t>ational Adaptation Plan</w:t>
      </w:r>
      <w:r w:rsidR="00C36D28">
        <w:rPr>
          <w:bCs/>
          <w:lang w:val="en-US"/>
        </w:rPr>
        <w:t xml:space="preserve"> and </w:t>
      </w:r>
      <w:r w:rsidR="00E958B7">
        <w:rPr>
          <w:bCs/>
          <w:lang w:val="en-US"/>
        </w:rPr>
        <w:t xml:space="preserve">the 2NC) had been </w:t>
      </w:r>
      <w:r w:rsidR="00E958B7" w:rsidRPr="00E958B7">
        <w:rPr>
          <w:bCs/>
          <w:lang w:val="en-US"/>
        </w:rPr>
        <w:t xml:space="preserve">compiled </w:t>
      </w:r>
      <w:r w:rsidR="00AF2E0F" w:rsidRPr="00F827EC">
        <w:rPr>
          <w:bCs/>
          <w:lang w:val="en-US"/>
        </w:rPr>
        <w:t xml:space="preserve">by separate </w:t>
      </w:r>
      <w:r w:rsidR="00F460E3">
        <w:rPr>
          <w:bCs/>
          <w:lang w:val="en-US"/>
        </w:rPr>
        <w:t xml:space="preserve">efforts </w:t>
      </w:r>
      <w:r w:rsidR="00AF2E0F" w:rsidRPr="00F827EC">
        <w:rPr>
          <w:bCs/>
          <w:lang w:val="en-US"/>
        </w:rPr>
        <w:t xml:space="preserve">on a project basis without </w:t>
      </w:r>
      <w:r w:rsidR="00AF2E0F">
        <w:rPr>
          <w:bCs/>
          <w:lang w:val="en-US"/>
        </w:rPr>
        <w:t xml:space="preserve">coordination and </w:t>
      </w:r>
      <w:r w:rsidR="00AF2E0F" w:rsidRPr="00F827EC">
        <w:rPr>
          <w:bCs/>
          <w:lang w:val="en-US"/>
        </w:rPr>
        <w:t xml:space="preserve">regular engagement of relevant </w:t>
      </w:r>
      <w:r w:rsidR="00AF2E0F">
        <w:rPr>
          <w:bCs/>
          <w:lang w:val="en-US"/>
        </w:rPr>
        <w:t xml:space="preserve">line </w:t>
      </w:r>
      <w:r w:rsidR="00AF2E0F" w:rsidRPr="00F827EC">
        <w:rPr>
          <w:bCs/>
          <w:lang w:val="en-US"/>
        </w:rPr>
        <w:t>ministries and other stakeholders</w:t>
      </w:r>
      <w:r w:rsidR="00E958B7" w:rsidRPr="00E958B7">
        <w:rPr>
          <w:bCs/>
          <w:lang w:val="en-US"/>
        </w:rPr>
        <w:t>.</w:t>
      </w:r>
      <w:r w:rsidR="00C36D28">
        <w:rPr>
          <w:bCs/>
          <w:lang w:val="en-US"/>
        </w:rPr>
        <w:t xml:space="preserve"> </w:t>
      </w:r>
      <w:r w:rsidR="00AB4C67">
        <w:rPr>
          <w:bCs/>
          <w:lang w:val="en-US"/>
        </w:rPr>
        <w:t>The 2</w:t>
      </w:r>
      <w:r w:rsidR="00AB4C67" w:rsidRPr="006362B1">
        <w:rPr>
          <w:bCs/>
          <w:lang w:val="en-US"/>
        </w:rPr>
        <w:t xml:space="preserve">NC </w:t>
      </w:r>
      <w:r w:rsidR="00AB4C67">
        <w:rPr>
          <w:bCs/>
          <w:lang w:val="en-US"/>
        </w:rPr>
        <w:t xml:space="preserve">also </w:t>
      </w:r>
      <w:r w:rsidR="00AB4C67" w:rsidRPr="006362B1">
        <w:rPr>
          <w:bCs/>
          <w:lang w:val="en-US"/>
        </w:rPr>
        <w:t>highlight</w:t>
      </w:r>
      <w:r w:rsidR="00AB4C67">
        <w:rPr>
          <w:bCs/>
          <w:lang w:val="en-US"/>
        </w:rPr>
        <w:t>ed</w:t>
      </w:r>
      <w:r w:rsidR="00AB4C67" w:rsidRPr="006362B1">
        <w:rPr>
          <w:bCs/>
          <w:lang w:val="en-US"/>
        </w:rPr>
        <w:t xml:space="preserve"> lack of understanding of the importance of adaptation by the line ministries</w:t>
      </w:r>
      <w:r w:rsidR="00AB4C67">
        <w:rPr>
          <w:bCs/>
          <w:lang w:val="en-US"/>
        </w:rPr>
        <w:t>.</w:t>
      </w:r>
    </w:p>
    <w:p w14:paraId="495867B0" w14:textId="1525A462" w:rsidR="00D813FF" w:rsidRDefault="00D813FF" w:rsidP="001C69FE">
      <w:pPr>
        <w:rPr>
          <w:bCs/>
          <w:lang w:val="en-US"/>
        </w:rPr>
      </w:pPr>
      <w:r>
        <w:rPr>
          <w:bCs/>
          <w:lang w:val="en-US"/>
        </w:rPr>
        <w:t xml:space="preserve">In the course of </w:t>
      </w:r>
      <w:r w:rsidRPr="00D813FF">
        <w:rPr>
          <w:bCs/>
          <w:lang w:val="en-US"/>
        </w:rPr>
        <w:t xml:space="preserve">preparation of the </w:t>
      </w:r>
      <w:r>
        <w:rPr>
          <w:bCs/>
          <w:lang w:val="en-US"/>
        </w:rPr>
        <w:t>2</w:t>
      </w:r>
      <w:r w:rsidRPr="00D813FF">
        <w:rPr>
          <w:bCs/>
          <w:lang w:val="en-US"/>
        </w:rPr>
        <w:t xml:space="preserve">BUR and </w:t>
      </w:r>
      <w:r>
        <w:rPr>
          <w:bCs/>
          <w:lang w:val="en-US"/>
        </w:rPr>
        <w:t>3</w:t>
      </w:r>
      <w:r w:rsidRPr="00D813FF">
        <w:rPr>
          <w:bCs/>
          <w:lang w:val="en-US"/>
        </w:rPr>
        <w:t xml:space="preserve">NC, new information </w:t>
      </w:r>
      <w:r>
        <w:rPr>
          <w:bCs/>
          <w:lang w:val="en-US"/>
        </w:rPr>
        <w:t xml:space="preserve">was compiled </w:t>
      </w:r>
      <w:r w:rsidRPr="00D813FF">
        <w:rPr>
          <w:bCs/>
          <w:lang w:val="en-US"/>
        </w:rPr>
        <w:t>including climate observation, climate modelling (future scenarios), evaluation of impacts and development of adaptation measures</w:t>
      </w:r>
      <w:r>
        <w:rPr>
          <w:bCs/>
          <w:lang w:val="en-US"/>
        </w:rPr>
        <w:t xml:space="preserve">, </w:t>
      </w:r>
      <w:r w:rsidRPr="00D813FF">
        <w:rPr>
          <w:bCs/>
          <w:lang w:val="en-US"/>
        </w:rPr>
        <w:t xml:space="preserve">selected due to their importance to deal with the identified impacts of climate change. The design of the adaptation measures has not included the development of monitoring systems to track their performance. </w:t>
      </w:r>
    </w:p>
    <w:p w14:paraId="4CD30DB3" w14:textId="6346AAA8" w:rsidR="006362B1" w:rsidRDefault="00C36D28" w:rsidP="006362B1">
      <w:pPr>
        <w:rPr>
          <w:bCs/>
          <w:lang w:val="en-US"/>
        </w:rPr>
      </w:pPr>
      <w:r>
        <w:rPr>
          <w:bCs/>
          <w:lang w:val="en-US"/>
        </w:rPr>
        <w:t xml:space="preserve">Available reports </w:t>
      </w:r>
      <w:r w:rsidR="00BF2FB6">
        <w:rPr>
          <w:bCs/>
          <w:lang w:val="en-US"/>
        </w:rPr>
        <w:t xml:space="preserve">produced during implementation of this project </w:t>
      </w:r>
      <w:r w:rsidRPr="00C36D28">
        <w:rPr>
          <w:bCs/>
          <w:lang w:val="en-US"/>
        </w:rPr>
        <w:t xml:space="preserve">highlight specific data flow </w:t>
      </w:r>
      <w:r w:rsidR="00AB4C67">
        <w:rPr>
          <w:bCs/>
          <w:lang w:val="en-US"/>
        </w:rPr>
        <w:t>challenges</w:t>
      </w:r>
      <w:r w:rsidR="00AF2E0F">
        <w:rPr>
          <w:bCs/>
          <w:lang w:val="en-US"/>
        </w:rPr>
        <w:t xml:space="preserve"> related to adaptation</w:t>
      </w:r>
      <w:r>
        <w:rPr>
          <w:bCs/>
          <w:lang w:val="en-US"/>
        </w:rPr>
        <w:t xml:space="preserve">, in particular lack of </w:t>
      </w:r>
      <w:r w:rsidRPr="00C36D28">
        <w:rPr>
          <w:bCs/>
          <w:lang w:val="en-US"/>
        </w:rPr>
        <w:t xml:space="preserve">data about sector specific climate impacts and their economic implications including damage and loss analysis, </w:t>
      </w:r>
      <w:r w:rsidR="00F827EC">
        <w:rPr>
          <w:bCs/>
          <w:lang w:val="en-US"/>
        </w:rPr>
        <w:t>f</w:t>
      </w:r>
      <w:r w:rsidRPr="00C36D28">
        <w:rPr>
          <w:bCs/>
          <w:lang w:val="en-US"/>
        </w:rPr>
        <w:t>ragment</w:t>
      </w:r>
      <w:r w:rsidR="00F827EC">
        <w:rPr>
          <w:bCs/>
          <w:lang w:val="en-US"/>
        </w:rPr>
        <w:t xml:space="preserve">ation </w:t>
      </w:r>
      <w:r w:rsidR="00F827EC">
        <w:rPr>
          <w:bCs/>
          <w:lang w:val="en-US"/>
        </w:rPr>
        <w:lastRenderedPageBreak/>
        <w:t xml:space="preserve">of </w:t>
      </w:r>
      <w:r w:rsidRPr="00C36D28">
        <w:rPr>
          <w:bCs/>
          <w:lang w:val="en-US"/>
        </w:rPr>
        <w:t>vulnerability and risk assessments</w:t>
      </w:r>
      <w:r w:rsidR="00F827EC">
        <w:rPr>
          <w:bCs/>
          <w:lang w:val="en-US"/>
        </w:rPr>
        <w:t>,</w:t>
      </w:r>
      <w:r w:rsidRPr="00C36D28">
        <w:rPr>
          <w:bCs/>
          <w:lang w:val="en-US"/>
        </w:rPr>
        <w:t xml:space="preserve"> </w:t>
      </w:r>
      <w:r w:rsidR="00F827EC">
        <w:rPr>
          <w:bCs/>
          <w:lang w:val="en-US"/>
        </w:rPr>
        <w:t>as well as g</w:t>
      </w:r>
      <w:r w:rsidRPr="00C36D28">
        <w:rPr>
          <w:bCs/>
          <w:lang w:val="en-US"/>
        </w:rPr>
        <w:t>aps in the availability and communication of hydrometeorological risk information.</w:t>
      </w:r>
      <w:r w:rsidR="00F827EC">
        <w:rPr>
          <w:bCs/>
          <w:lang w:val="en-US"/>
        </w:rPr>
        <w:t xml:space="preserve"> Status report</w:t>
      </w:r>
      <w:r w:rsidR="006362B1">
        <w:rPr>
          <w:bCs/>
          <w:lang w:val="en-US"/>
        </w:rPr>
        <w:t xml:space="preserve"> conducted under this project </w:t>
      </w:r>
      <w:r w:rsidR="00F827EC">
        <w:rPr>
          <w:bCs/>
          <w:lang w:val="en-US"/>
        </w:rPr>
        <w:t>highlight</w:t>
      </w:r>
      <w:r w:rsidR="006362B1">
        <w:rPr>
          <w:bCs/>
          <w:lang w:val="en-US"/>
        </w:rPr>
        <w:t>s</w:t>
      </w:r>
      <w:r w:rsidR="00F827EC">
        <w:rPr>
          <w:bCs/>
          <w:lang w:val="en-US"/>
        </w:rPr>
        <w:t xml:space="preserve"> insufficient </w:t>
      </w:r>
      <w:r w:rsidR="00F827EC" w:rsidRPr="00F827EC">
        <w:rPr>
          <w:bCs/>
          <w:lang w:val="en-US"/>
        </w:rPr>
        <w:t>capacity (</w:t>
      </w:r>
      <w:r w:rsidR="00F460E3">
        <w:rPr>
          <w:bCs/>
          <w:lang w:val="en-US"/>
        </w:rPr>
        <w:t xml:space="preserve">in terms of </w:t>
      </w:r>
      <w:r w:rsidR="00F827EC" w:rsidRPr="00F827EC">
        <w:rPr>
          <w:bCs/>
          <w:lang w:val="en-US"/>
        </w:rPr>
        <w:t>resources</w:t>
      </w:r>
      <w:r w:rsidR="00F460E3">
        <w:rPr>
          <w:bCs/>
          <w:lang w:val="en-US"/>
        </w:rPr>
        <w:t xml:space="preserve"> and </w:t>
      </w:r>
      <w:r w:rsidR="00F827EC" w:rsidRPr="00F827EC">
        <w:rPr>
          <w:bCs/>
          <w:lang w:val="en-US"/>
        </w:rPr>
        <w:t xml:space="preserve">assigned responsibilities) to </w:t>
      </w:r>
      <w:r w:rsidR="00AF2E0F">
        <w:rPr>
          <w:bCs/>
          <w:lang w:val="en-US"/>
        </w:rPr>
        <w:t xml:space="preserve">compile </w:t>
      </w:r>
      <w:r w:rsidR="00F827EC" w:rsidRPr="00F827EC">
        <w:rPr>
          <w:bCs/>
          <w:lang w:val="en-US"/>
        </w:rPr>
        <w:t xml:space="preserve">information on </w:t>
      </w:r>
      <w:r w:rsidR="00F827EC">
        <w:rPr>
          <w:bCs/>
          <w:lang w:val="en-US"/>
        </w:rPr>
        <w:t xml:space="preserve">CC </w:t>
      </w:r>
      <w:r w:rsidR="00F827EC" w:rsidRPr="00F827EC">
        <w:rPr>
          <w:bCs/>
          <w:lang w:val="en-US"/>
        </w:rPr>
        <w:t xml:space="preserve">adaptation into a coherent form </w:t>
      </w:r>
      <w:r w:rsidR="00F827EC">
        <w:rPr>
          <w:bCs/>
          <w:lang w:val="en-US"/>
        </w:rPr>
        <w:t xml:space="preserve">that can be </w:t>
      </w:r>
      <w:r w:rsidR="00AF2E0F">
        <w:rPr>
          <w:bCs/>
          <w:lang w:val="en-US"/>
        </w:rPr>
        <w:t xml:space="preserve">subject to regular </w:t>
      </w:r>
      <w:r w:rsidR="00F827EC">
        <w:rPr>
          <w:bCs/>
          <w:lang w:val="en-US"/>
        </w:rPr>
        <w:t>update</w:t>
      </w:r>
      <w:r w:rsidR="00AF2E0F">
        <w:rPr>
          <w:bCs/>
          <w:lang w:val="en-US"/>
        </w:rPr>
        <w:t>s</w:t>
      </w:r>
      <w:r w:rsidR="00F827EC">
        <w:rPr>
          <w:bCs/>
          <w:lang w:val="en-US"/>
        </w:rPr>
        <w:t xml:space="preserve">. </w:t>
      </w:r>
    </w:p>
    <w:p w14:paraId="44600FD5" w14:textId="593DFB85" w:rsidR="00C42FCD" w:rsidRDefault="00C42FCD" w:rsidP="00016D12">
      <w:pPr>
        <w:spacing w:before="240"/>
      </w:pPr>
      <w:r>
        <w:rPr>
          <w:b/>
          <w:iCs/>
        </w:rPr>
        <w:t>Summary Assessment of Outcome</w:t>
      </w:r>
      <w:r>
        <w:t xml:space="preserve"> </w:t>
      </w:r>
      <w:r w:rsidRPr="00C42FCD">
        <w:rPr>
          <w:b/>
          <w:bCs/>
        </w:rPr>
        <w:t>2</w:t>
      </w:r>
      <w:r>
        <w:t xml:space="preserve">: </w:t>
      </w:r>
      <w:r w:rsidR="001C69FE" w:rsidRPr="001C69FE">
        <w:t xml:space="preserve">Similar to Outcome 1, the capacity building part of Outcome 2 has been progressing as planned </w:t>
      </w:r>
      <w:r w:rsidR="005C3474">
        <w:t xml:space="preserve">but </w:t>
      </w:r>
      <w:r w:rsidR="005C3474">
        <w:rPr>
          <w:bCs/>
        </w:rPr>
        <w:t>with</w:t>
      </w:r>
      <w:r w:rsidR="00F961E3">
        <w:rPr>
          <w:bCs/>
        </w:rPr>
        <w:t>out</w:t>
      </w:r>
      <w:r w:rsidR="005C3474">
        <w:rPr>
          <w:bCs/>
        </w:rPr>
        <w:t xml:space="preserve"> explicit linking of the trainings to the Outcome</w:t>
      </w:r>
      <w:r w:rsidR="00F961E3">
        <w:rPr>
          <w:bCs/>
        </w:rPr>
        <w:t xml:space="preserve"> and without tracking of the actual capacity improvements.  </w:t>
      </w:r>
      <w:r w:rsidR="005C3474">
        <w:rPr>
          <w:bCs/>
        </w:rPr>
        <w:t xml:space="preserve">Further progress has been </w:t>
      </w:r>
      <w:r w:rsidR="005C3474">
        <w:t xml:space="preserve">slowed down </w:t>
      </w:r>
      <w:r w:rsidR="001C69FE" w:rsidRPr="001C69FE">
        <w:t xml:space="preserve">due to the COVID-19 outbreak. </w:t>
      </w:r>
    </w:p>
    <w:p w14:paraId="1BE45213" w14:textId="77777777" w:rsidR="00C42FCD" w:rsidRDefault="00C42FCD" w:rsidP="00C42FCD">
      <w:pPr>
        <w:rPr>
          <w:bCs/>
          <w:lang w:val="en-US"/>
        </w:rPr>
      </w:pPr>
      <w:r>
        <w:rPr>
          <w:bCs/>
          <w:lang w:val="en-US"/>
        </w:rPr>
        <w:t xml:space="preserve">However, the level of participation of relevant stakeholders on compilation and use of adaptation information for policy and reporting appears to be less than satisfactory due to </w:t>
      </w:r>
      <w:r w:rsidRPr="00812484">
        <w:rPr>
          <w:bCs/>
          <w:lang w:val="en-US"/>
        </w:rPr>
        <w:t xml:space="preserve">limited </w:t>
      </w:r>
      <w:r>
        <w:rPr>
          <w:bCs/>
          <w:lang w:val="en-US"/>
        </w:rPr>
        <w:t xml:space="preserve">capability of </w:t>
      </w:r>
      <w:r w:rsidRPr="00812484">
        <w:rPr>
          <w:bCs/>
          <w:lang w:val="en-US"/>
        </w:rPr>
        <w:t xml:space="preserve">stakeholders </w:t>
      </w:r>
      <w:r>
        <w:rPr>
          <w:bCs/>
          <w:lang w:val="en-US"/>
        </w:rPr>
        <w:t xml:space="preserve">for preparation of </w:t>
      </w:r>
      <w:r w:rsidRPr="00812484">
        <w:rPr>
          <w:bCs/>
          <w:lang w:val="en-US"/>
        </w:rPr>
        <w:t xml:space="preserve">assessments </w:t>
      </w:r>
      <w:r>
        <w:rPr>
          <w:bCs/>
          <w:lang w:val="en-US"/>
        </w:rPr>
        <w:t xml:space="preserve">of climate impacts and for estimation of effects </w:t>
      </w:r>
      <w:r w:rsidRPr="00812484">
        <w:rPr>
          <w:bCs/>
          <w:lang w:val="en-US"/>
        </w:rPr>
        <w:t>of mitigation</w:t>
      </w:r>
      <w:r>
        <w:rPr>
          <w:bCs/>
          <w:lang w:val="en-US"/>
        </w:rPr>
        <w:t>/</w:t>
      </w:r>
      <w:r w:rsidRPr="00812484">
        <w:rPr>
          <w:bCs/>
          <w:lang w:val="en-US"/>
        </w:rPr>
        <w:t>adaptation actions.</w:t>
      </w:r>
      <w:r>
        <w:rPr>
          <w:bCs/>
          <w:lang w:val="en-US"/>
        </w:rPr>
        <w:t xml:space="preserve">  </w:t>
      </w:r>
    </w:p>
    <w:p w14:paraId="61051ADC" w14:textId="2A3BBD24" w:rsidR="00C42FCD" w:rsidRPr="00C42FCD" w:rsidRDefault="00C42FCD" w:rsidP="00C42FCD">
      <w:pPr>
        <w:rPr>
          <w:bCs/>
          <w:lang w:val="en-US"/>
        </w:rPr>
      </w:pPr>
      <w:r>
        <w:rPr>
          <w:bCs/>
          <w:lang w:val="en-US"/>
        </w:rPr>
        <w:t>The above deficiencies are being addressed under the GCF-funded project</w:t>
      </w:r>
      <w:r>
        <w:rPr>
          <w:rStyle w:val="FootnoteReference"/>
          <w:bCs/>
          <w:lang w:val="en-US"/>
        </w:rPr>
        <w:footnoteReference w:id="8"/>
      </w:r>
      <w:r>
        <w:rPr>
          <w:bCs/>
          <w:lang w:val="en-US"/>
        </w:rPr>
        <w:t xml:space="preserve"> implemented by UNDP and the MAFWM. The GCF project </w:t>
      </w:r>
      <w:r w:rsidRPr="006362B1">
        <w:rPr>
          <w:bCs/>
          <w:lang w:val="en-US"/>
        </w:rPr>
        <w:t xml:space="preserve">aims </w:t>
      </w:r>
      <w:r>
        <w:rPr>
          <w:bCs/>
          <w:lang w:val="en-US"/>
        </w:rPr>
        <w:t>at</w:t>
      </w:r>
      <w:r w:rsidRPr="006362B1">
        <w:rPr>
          <w:bCs/>
          <w:lang w:val="en-US"/>
        </w:rPr>
        <w:t xml:space="preserve"> strengthen</w:t>
      </w:r>
      <w:r>
        <w:rPr>
          <w:bCs/>
          <w:lang w:val="en-US"/>
        </w:rPr>
        <w:t>ing</w:t>
      </w:r>
      <w:r w:rsidRPr="006362B1">
        <w:rPr>
          <w:bCs/>
          <w:lang w:val="en-US"/>
        </w:rPr>
        <w:t xml:space="preserve"> national capacities </w:t>
      </w:r>
      <w:r>
        <w:rPr>
          <w:bCs/>
          <w:lang w:val="en-US"/>
        </w:rPr>
        <w:t xml:space="preserve">on adaptation </w:t>
      </w:r>
      <w:r w:rsidRPr="006362B1">
        <w:rPr>
          <w:bCs/>
          <w:lang w:val="en-US"/>
        </w:rPr>
        <w:t>through effective cooperation and coordination of all relevant institutions</w:t>
      </w:r>
      <w:r>
        <w:rPr>
          <w:bCs/>
          <w:lang w:val="en-US"/>
        </w:rPr>
        <w:t xml:space="preserve"> and </w:t>
      </w:r>
      <w:r w:rsidRPr="006362B1">
        <w:rPr>
          <w:bCs/>
          <w:lang w:val="en-US"/>
        </w:rPr>
        <w:t>establish</w:t>
      </w:r>
      <w:r>
        <w:rPr>
          <w:bCs/>
          <w:lang w:val="en-US"/>
        </w:rPr>
        <w:t>ing</w:t>
      </w:r>
      <w:r w:rsidRPr="006362B1">
        <w:rPr>
          <w:bCs/>
          <w:lang w:val="en-US"/>
        </w:rPr>
        <w:t xml:space="preserve"> </w:t>
      </w:r>
      <w:r>
        <w:rPr>
          <w:bCs/>
          <w:lang w:val="en-US"/>
        </w:rPr>
        <w:t xml:space="preserve">effective </w:t>
      </w:r>
      <w:r w:rsidRPr="006362B1">
        <w:rPr>
          <w:bCs/>
          <w:lang w:val="en-US"/>
        </w:rPr>
        <w:t xml:space="preserve">information </w:t>
      </w:r>
      <w:r>
        <w:rPr>
          <w:bCs/>
          <w:lang w:val="en-US"/>
        </w:rPr>
        <w:t xml:space="preserve">and data </w:t>
      </w:r>
      <w:r w:rsidRPr="006362B1">
        <w:rPr>
          <w:bCs/>
          <w:lang w:val="en-US"/>
        </w:rPr>
        <w:t>flow</w:t>
      </w:r>
      <w:r>
        <w:rPr>
          <w:bCs/>
          <w:lang w:val="en-US"/>
        </w:rPr>
        <w:t xml:space="preserve"> </w:t>
      </w:r>
      <w:r w:rsidRPr="006362B1">
        <w:rPr>
          <w:bCs/>
          <w:lang w:val="en-US"/>
        </w:rPr>
        <w:t>within the sectors of agriculture, forestry, water management, energy, transport and infrastructure</w:t>
      </w:r>
      <w:r>
        <w:rPr>
          <w:bCs/>
          <w:lang w:val="en-US"/>
        </w:rPr>
        <w:t xml:space="preserve">, in order to </w:t>
      </w:r>
      <w:r w:rsidRPr="006362B1">
        <w:rPr>
          <w:bCs/>
          <w:lang w:val="en-US"/>
        </w:rPr>
        <w:t>make all data transparent and accessible</w:t>
      </w:r>
      <w:r>
        <w:rPr>
          <w:bCs/>
          <w:lang w:val="en-US"/>
        </w:rPr>
        <w:t xml:space="preserve">, </w:t>
      </w:r>
      <w:r w:rsidRPr="006362B1">
        <w:rPr>
          <w:bCs/>
          <w:lang w:val="en-US"/>
        </w:rPr>
        <w:t xml:space="preserve">as well as to identify </w:t>
      </w:r>
      <w:r>
        <w:rPr>
          <w:bCs/>
          <w:lang w:val="en-US"/>
        </w:rPr>
        <w:t xml:space="preserve">efficient adaptation </w:t>
      </w:r>
      <w:r w:rsidRPr="006362B1">
        <w:rPr>
          <w:bCs/>
          <w:lang w:val="en-US"/>
        </w:rPr>
        <w:t xml:space="preserve">measures. </w:t>
      </w:r>
    </w:p>
    <w:p w14:paraId="2BCA8918" w14:textId="7DEDC040" w:rsidR="00C3394A" w:rsidRPr="005F0DD6" w:rsidRDefault="00495551" w:rsidP="00016D12">
      <w:pPr>
        <w:spacing w:before="240"/>
        <w:rPr>
          <w:b/>
          <w:bCs/>
          <w:i/>
          <w:iCs/>
        </w:rPr>
      </w:pPr>
      <w:r>
        <w:t xml:space="preserve">Based on the above findings, the progress towards achievement of the end-of-project targets </w:t>
      </w:r>
      <w:r w:rsidR="00002268">
        <w:t xml:space="preserve">under Outcome 2 </w:t>
      </w:r>
      <w:r w:rsidRPr="005F0DD6">
        <w:rPr>
          <w:b/>
          <w:bCs/>
        </w:rPr>
        <w:t>is rated</w:t>
      </w:r>
      <w:r w:rsidR="006D3352" w:rsidRPr="005F0DD6">
        <w:rPr>
          <w:b/>
          <w:bCs/>
        </w:rPr>
        <w:t xml:space="preserve"> Satisfactory (S). </w:t>
      </w:r>
    </w:p>
    <w:p w14:paraId="382D4872" w14:textId="24F560F8" w:rsidR="00790221" w:rsidRPr="00016D12" w:rsidRDefault="00D03CA6" w:rsidP="00C3394A">
      <w:pPr>
        <w:spacing w:before="240"/>
        <w:rPr>
          <w:b/>
          <w:bCs/>
        </w:rPr>
      </w:pPr>
      <w:r w:rsidRPr="00016D12">
        <w:rPr>
          <w:b/>
          <w:bCs/>
        </w:rPr>
        <w:t xml:space="preserve">Table </w:t>
      </w:r>
      <w:r w:rsidRPr="00016D12">
        <w:rPr>
          <w:b/>
          <w:bCs/>
        </w:rPr>
        <w:fldChar w:fldCharType="begin"/>
      </w:r>
      <w:r w:rsidRPr="00016D12">
        <w:rPr>
          <w:b/>
          <w:bCs/>
        </w:rPr>
        <w:instrText xml:space="preserve"> SEQ Table \* ARABIC </w:instrText>
      </w:r>
      <w:r w:rsidRPr="00016D12">
        <w:rPr>
          <w:b/>
          <w:bCs/>
        </w:rPr>
        <w:fldChar w:fldCharType="separate"/>
      </w:r>
      <w:r w:rsidR="004F45AC">
        <w:rPr>
          <w:b/>
          <w:bCs/>
          <w:noProof/>
        </w:rPr>
        <w:t>6</w:t>
      </w:r>
      <w:r w:rsidRPr="00016D12">
        <w:rPr>
          <w:b/>
          <w:bCs/>
        </w:rPr>
        <w:fldChar w:fldCharType="end"/>
      </w:r>
      <w:r w:rsidRPr="00016D12">
        <w:rPr>
          <w:b/>
          <w:bCs/>
        </w:rPr>
        <w:t>:</w:t>
      </w:r>
      <w:r w:rsidRPr="00016D12">
        <w:t xml:space="preserve"> </w:t>
      </w:r>
      <w:r w:rsidR="005C6857" w:rsidRPr="00016D12">
        <w:t>A</w:t>
      </w:r>
      <w:r w:rsidR="00790221" w:rsidRPr="00016D12">
        <w:t xml:space="preserve">chievements </w:t>
      </w:r>
      <w:r w:rsidR="005C6857" w:rsidRPr="00016D12">
        <w:t xml:space="preserve">at MTR </w:t>
      </w:r>
      <w:r w:rsidR="00790221" w:rsidRPr="00016D12">
        <w:t xml:space="preserve">for Outcome </w:t>
      </w:r>
      <w:r w:rsidR="008E1D14" w:rsidRPr="00016D12">
        <w:t>3</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E4367" w14:paraId="27EC6CE0" w14:textId="77777777" w:rsidTr="00B85B04">
        <w:tc>
          <w:tcPr>
            <w:tcW w:w="9493" w:type="dxa"/>
          </w:tcPr>
          <w:p w14:paraId="3C4115C1" w14:textId="722D7867" w:rsidR="00DE4367" w:rsidRPr="001B4950" w:rsidRDefault="0036356F" w:rsidP="00B85B04">
            <w:pPr>
              <w:spacing w:before="0" w:line="240" w:lineRule="auto"/>
              <w:ind w:right="-261"/>
              <w:rPr>
                <w:b/>
                <w:bCs/>
                <w:sz w:val="18"/>
                <w:szCs w:val="18"/>
              </w:rPr>
            </w:pPr>
            <w:r w:rsidRPr="001B4950">
              <w:rPr>
                <w:b/>
                <w:bCs/>
                <w:sz w:val="18"/>
                <w:szCs w:val="18"/>
              </w:rPr>
              <w:t xml:space="preserve">Component/ Outcome 3: </w:t>
            </w:r>
            <w:r w:rsidR="00B85B04" w:rsidRPr="00B85B04">
              <w:rPr>
                <w:b/>
                <w:sz w:val="18"/>
                <w:szCs w:val="18"/>
              </w:rPr>
              <w:t>Domestic MRV system for updating NDCs completed, including MRV to support stakeholders’ engagement</w:t>
            </w:r>
          </w:p>
        </w:tc>
      </w:tr>
    </w:tbl>
    <w:p w14:paraId="34198619" w14:textId="77777777" w:rsidR="00DE4367" w:rsidRPr="004D681C" w:rsidRDefault="00DE4367" w:rsidP="009A29D6">
      <w:pPr>
        <w:spacing w:before="0"/>
        <w:rPr>
          <w:sz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82"/>
        <w:gridCol w:w="2927"/>
        <w:gridCol w:w="737"/>
      </w:tblGrid>
      <w:tr w:rsidR="00152972" w:rsidRPr="00BC6EC5" w14:paraId="1DE29E63" w14:textId="77777777" w:rsidTr="00B85B04">
        <w:tc>
          <w:tcPr>
            <w:tcW w:w="9493" w:type="dxa"/>
            <w:gridSpan w:val="4"/>
            <w:shd w:val="clear" w:color="auto" w:fill="auto"/>
          </w:tcPr>
          <w:p w14:paraId="523A33D0" w14:textId="439FBBD2" w:rsidR="00152972" w:rsidRPr="0036356F" w:rsidRDefault="00152972" w:rsidP="00152972">
            <w:pPr>
              <w:spacing w:before="0"/>
              <w:rPr>
                <w:b/>
                <w:sz w:val="18"/>
                <w:szCs w:val="18"/>
              </w:rPr>
            </w:pPr>
            <w:r w:rsidRPr="00152972">
              <w:rPr>
                <w:b/>
                <w:sz w:val="18"/>
                <w:szCs w:val="18"/>
              </w:rPr>
              <w:t>Output 3.1</w:t>
            </w:r>
            <w:r w:rsidR="00B85B04">
              <w:rPr>
                <w:b/>
                <w:sz w:val="18"/>
                <w:szCs w:val="18"/>
              </w:rPr>
              <w:t xml:space="preserve">: </w:t>
            </w:r>
            <w:r w:rsidR="00B85B04" w:rsidRPr="00B85B04">
              <w:rPr>
                <w:b/>
                <w:sz w:val="18"/>
                <w:szCs w:val="18"/>
              </w:rPr>
              <w:t>Domestic MRV system for updating NDCs completed, including MRV to support stakeholders’ engagement</w:t>
            </w:r>
          </w:p>
        </w:tc>
      </w:tr>
      <w:tr w:rsidR="00DE4367" w:rsidRPr="00BC6EC5" w14:paraId="5C144DE8" w14:textId="77777777" w:rsidTr="005F0DD6">
        <w:tc>
          <w:tcPr>
            <w:tcW w:w="2547" w:type="dxa"/>
            <w:shd w:val="clear" w:color="auto" w:fill="auto"/>
          </w:tcPr>
          <w:p w14:paraId="19E2FE0E" w14:textId="77777777" w:rsidR="00DE4367" w:rsidRPr="0036356F" w:rsidRDefault="00DE4367" w:rsidP="00DE4367">
            <w:pPr>
              <w:spacing w:before="0"/>
              <w:jc w:val="center"/>
              <w:rPr>
                <w:b/>
                <w:sz w:val="18"/>
                <w:szCs w:val="18"/>
              </w:rPr>
            </w:pPr>
            <w:r w:rsidRPr="0036356F">
              <w:rPr>
                <w:rFonts w:eastAsia="Calibri"/>
                <w:b/>
                <w:bCs/>
                <w:color w:val="000000"/>
                <w:sz w:val="18"/>
                <w:szCs w:val="18"/>
                <w:lang w:eastAsia="en-US"/>
              </w:rPr>
              <w:t>Indicators</w:t>
            </w:r>
          </w:p>
        </w:tc>
        <w:tc>
          <w:tcPr>
            <w:tcW w:w="3282" w:type="dxa"/>
          </w:tcPr>
          <w:p w14:paraId="34391A81" w14:textId="77777777" w:rsidR="00DE4367" w:rsidRPr="0036356F" w:rsidRDefault="0036356F" w:rsidP="00DE4367">
            <w:pPr>
              <w:spacing w:before="0"/>
              <w:jc w:val="center"/>
              <w:rPr>
                <w:b/>
                <w:sz w:val="18"/>
                <w:szCs w:val="18"/>
              </w:rPr>
            </w:pPr>
            <w:r w:rsidRPr="0036356F">
              <w:rPr>
                <w:rFonts w:eastAsia="Calibri"/>
                <w:b/>
                <w:bCs/>
                <w:color w:val="000000"/>
                <w:sz w:val="18"/>
                <w:szCs w:val="18"/>
                <w:lang w:eastAsia="en-US"/>
              </w:rPr>
              <w:t xml:space="preserve">Mid-Term </w:t>
            </w:r>
            <w:r w:rsidR="00DE4367" w:rsidRPr="0036356F">
              <w:rPr>
                <w:rFonts w:eastAsia="Calibri"/>
                <w:b/>
                <w:bCs/>
                <w:color w:val="000000"/>
                <w:sz w:val="18"/>
                <w:szCs w:val="18"/>
                <w:lang w:eastAsia="en-US"/>
              </w:rPr>
              <w:t>Targets</w:t>
            </w:r>
          </w:p>
        </w:tc>
        <w:tc>
          <w:tcPr>
            <w:tcW w:w="2927" w:type="dxa"/>
            <w:shd w:val="clear" w:color="auto" w:fill="auto"/>
          </w:tcPr>
          <w:p w14:paraId="0DBAA247" w14:textId="77777777" w:rsidR="00DE4367" w:rsidRPr="0036356F" w:rsidRDefault="00DE4367" w:rsidP="00DE4367">
            <w:pPr>
              <w:spacing w:before="0"/>
              <w:jc w:val="center"/>
              <w:rPr>
                <w:b/>
                <w:sz w:val="18"/>
                <w:szCs w:val="18"/>
              </w:rPr>
            </w:pPr>
            <w:r w:rsidRPr="0036356F">
              <w:rPr>
                <w:b/>
                <w:sz w:val="18"/>
                <w:szCs w:val="18"/>
              </w:rPr>
              <w:t>Status at MTR</w:t>
            </w:r>
          </w:p>
        </w:tc>
        <w:tc>
          <w:tcPr>
            <w:tcW w:w="737" w:type="dxa"/>
          </w:tcPr>
          <w:p w14:paraId="4BF04859" w14:textId="77777777" w:rsidR="00DE4367" w:rsidRPr="0036356F" w:rsidRDefault="00DE4367" w:rsidP="00DE4367">
            <w:pPr>
              <w:spacing w:before="0"/>
              <w:jc w:val="center"/>
              <w:rPr>
                <w:b/>
                <w:sz w:val="18"/>
                <w:szCs w:val="18"/>
              </w:rPr>
            </w:pPr>
            <w:r w:rsidRPr="0036356F">
              <w:rPr>
                <w:b/>
                <w:sz w:val="18"/>
                <w:szCs w:val="18"/>
              </w:rPr>
              <w:t>Rating</w:t>
            </w:r>
          </w:p>
        </w:tc>
      </w:tr>
      <w:tr w:rsidR="00B64518" w:rsidRPr="00BC6EC5" w14:paraId="291549DA" w14:textId="77777777" w:rsidTr="00B64518">
        <w:tc>
          <w:tcPr>
            <w:tcW w:w="2547" w:type="dxa"/>
            <w:shd w:val="clear" w:color="auto" w:fill="auto"/>
          </w:tcPr>
          <w:p w14:paraId="480B9866" w14:textId="25E4641C" w:rsidR="00B64518" w:rsidRPr="0036356F" w:rsidRDefault="00B64518" w:rsidP="005F0DD6">
            <w:pPr>
              <w:spacing w:before="40" w:line="240" w:lineRule="auto"/>
              <w:rPr>
                <w:sz w:val="18"/>
                <w:szCs w:val="18"/>
              </w:rPr>
            </w:pPr>
            <w:r>
              <w:rPr>
                <w:sz w:val="18"/>
                <w:szCs w:val="18"/>
              </w:rPr>
              <w:t xml:space="preserve">3.1.a: </w:t>
            </w:r>
            <w:r w:rsidRPr="00B85B04">
              <w:rPr>
                <w:sz w:val="18"/>
                <w:szCs w:val="18"/>
              </w:rPr>
              <w:t>Number of stakeholders in local governments and businesses trained on the national MRV system</w:t>
            </w:r>
            <w:r>
              <w:rPr>
                <w:sz w:val="18"/>
                <w:szCs w:val="18"/>
              </w:rPr>
              <w:t xml:space="preserve"> </w:t>
            </w:r>
            <w:r w:rsidRPr="00B85B04">
              <w:rPr>
                <w:sz w:val="18"/>
                <w:szCs w:val="18"/>
              </w:rPr>
              <w:t>(gender-disaggregated)</w:t>
            </w:r>
          </w:p>
        </w:tc>
        <w:tc>
          <w:tcPr>
            <w:tcW w:w="3282" w:type="dxa"/>
          </w:tcPr>
          <w:p w14:paraId="323A4F20" w14:textId="1396A34A" w:rsidR="00B64518" w:rsidRPr="0036356F" w:rsidRDefault="00B64518" w:rsidP="00B85B04">
            <w:pPr>
              <w:spacing w:before="40" w:line="240" w:lineRule="auto"/>
              <w:rPr>
                <w:sz w:val="18"/>
                <w:szCs w:val="18"/>
              </w:rPr>
            </w:pPr>
            <w:r w:rsidRPr="00B85B04">
              <w:rPr>
                <w:sz w:val="18"/>
                <w:szCs w:val="18"/>
              </w:rPr>
              <w:t>By Q6, at least 25 local governments have been trained in MRV system and reporting on the CCM and CCA related data and activities</w:t>
            </w:r>
          </w:p>
        </w:tc>
        <w:tc>
          <w:tcPr>
            <w:tcW w:w="2927" w:type="dxa"/>
            <w:shd w:val="clear" w:color="auto" w:fill="FFFF00"/>
          </w:tcPr>
          <w:p w14:paraId="058EE78C" w14:textId="51866E24" w:rsidR="00B64518" w:rsidRDefault="00C3394A" w:rsidP="00D3022C">
            <w:pPr>
              <w:spacing w:before="40" w:line="240" w:lineRule="auto"/>
              <w:rPr>
                <w:iCs/>
                <w:sz w:val="18"/>
                <w:szCs w:val="18"/>
              </w:rPr>
            </w:pPr>
            <w:r>
              <w:rPr>
                <w:iCs/>
                <w:sz w:val="18"/>
                <w:szCs w:val="18"/>
              </w:rPr>
              <w:t>20</w:t>
            </w:r>
            <w:r w:rsidR="00B64518">
              <w:rPr>
                <w:iCs/>
                <w:sz w:val="18"/>
                <w:szCs w:val="18"/>
              </w:rPr>
              <w:t xml:space="preserve"> local governments trained in October – November 2019</w:t>
            </w:r>
          </w:p>
          <w:p w14:paraId="4BECC3C5" w14:textId="0F713C8E" w:rsidR="00162F0A" w:rsidRPr="0036356F" w:rsidRDefault="00162F0A" w:rsidP="00D3022C">
            <w:pPr>
              <w:spacing w:before="40" w:line="240" w:lineRule="auto"/>
              <w:rPr>
                <w:iCs/>
                <w:sz w:val="18"/>
                <w:szCs w:val="18"/>
              </w:rPr>
            </w:pPr>
            <w:r w:rsidRPr="00162F0A">
              <w:rPr>
                <w:iCs/>
                <w:sz w:val="18"/>
                <w:szCs w:val="18"/>
              </w:rPr>
              <w:t xml:space="preserve">Local Adaptation Plans developed for </w:t>
            </w:r>
            <w:r>
              <w:rPr>
                <w:iCs/>
                <w:sz w:val="18"/>
                <w:szCs w:val="18"/>
              </w:rPr>
              <w:t>3 LGs</w:t>
            </w:r>
          </w:p>
        </w:tc>
        <w:tc>
          <w:tcPr>
            <w:tcW w:w="737" w:type="dxa"/>
            <w:vMerge w:val="restart"/>
            <w:shd w:val="clear" w:color="auto" w:fill="auto"/>
            <w:vAlign w:val="center"/>
          </w:tcPr>
          <w:p w14:paraId="551F33DB" w14:textId="12106BBD" w:rsidR="00B64518" w:rsidRPr="0036356F" w:rsidRDefault="00B64518" w:rsidP="00DE4367">
            <w:pPr>
              <w:spacing w:before="0"/>
              <w:jc w:val="center"/>
              <w:rPr>
                <w:sz w:val="18"/>
                <w:szCs w:val="18"/>
              </w:rPr>
            </w:pPr>
            <w:r>
              <w:rPr>
                <w:sz w:val="18"/>
                <w:szCs w:val="18"/>
              </w:rPr>
              <w:t>S</w:t>
            </w:r>
          </w:p>
        </w:tc>
      </w:tr>
      <w:tr w:rsidR="00B64518" w:rsidRPr="00BC6EC5" w14:paraId="1971C31F" w14:textId="77777777" w:rsidTr="00BF4023">
        <w:tc>
          <w:tcPr>
            <w:tcW w:w="2547" w:type="dxa"/>
            <w:shd w:val="clear" w:color="auto" w:fill="auto"/>
          </w:tcPr>
          <w:p w14:paraId="6B915E4D" w14:textId="6F75840E" w:rsidR="00B64518" w:rsidRPr="0036356F" w:rsidRDefault="00B64518" w:rsidP="00B85B04">
            <w:pPr>
              <w:spacing w:before="40" w:line="240" w:lineRule="auto"/>
              <w:rPr>
                <w:sz w:val="18"/>
                <w:szCs w:val="18"/>
              </w:rPr>
            </w:pPr>
            <w:r>
              <w:rPr>
                <w:sz w:val="18"/>
                <w:szCs w:val="18"/>
              </w:rPr>
              <w:t xml:space="preserve">3.1.b: </w:t>
            </w:r>
            <w:r w:rsidRPr="00B85B04">
              <w:rPr>
                <w:sz w:val="18"/>
                <w:szCs w:val="18"/>
              </w:rPr>
              <w:t>Level of participation in the MRV system by local governments and businesses</w:t>
            </w:r>
          </w:p>
        </w:tc>
        <w:tc>
          <w:tcPr>
            <w:tcW w:w="3282" w:type="dxa"/>
          </w:tcPr>
          <w:p w14:paraId="42DBA84F" w14:textId="18FE628D" w:rsidR="00B64518" w:rsidRPr="0036356F" w:rsidRDefault="00B64518" w:rsidP="00B85B04">
            <w:pPr>
              <w:spacing w:before="40" w:line="240" w:lineRule="auto"/>
              <w:rPr>
                <w:sz w:val="18"/>
                <w:szCs w:val="18"/>
              </w:rPr>
            </w:pPr>
            <w:r w:rsidRPr="00B85B04">
              <w:rPr>
                <w:sz w:val="18"/>
                <w:szCs w:val="18"/>
              </w:rPr>
              <w:t>By Q6, at least 25 local governments are reporting data on CCM and CCA in energy, waste management, transport and water management sectors.</w:t>
            </w:r>
          </w:p>
        </w:tc>
        <w:tc>
          <w:tcPr>
            <w:tcW w:w="2927" w:type="dxa"/>
            <w:shd w:val="clear" w:color="auto" w:fill="FFFF00"/>
          </w:tcPr>
          <w:p w14:paraId="7FD4ADBF" w14:textId="41B51FBE" w:rsidR="00B64518" w:rsidRDefault="00BF4023" w:rsidP="00B85B04">
            <w:pPr>
              <w:spacing w:before="40" w:line="240" w:lineRule="auto"/>
              <w:rPr>
                <w:iCs/>
                <w:sz w:val="18"/>
                <w:szCs w:val="18"/>
              </w:rPr>
            </w:pPr>
            <w:r>
              <w:rPr>
                <w:iCs/>
                <w:sz w:val="18"/>
                <w:szCs w:val="18"/>
              </w:rPr>
              <w:t>A Climate Smart Information System for LGs under development</w:t>
            </w:r>
          </w:p>
        </w:tc>
        <w:tc>
          <w:tcPr>
            <w:tcW w:w="737" w:type="dxa"/>
            <w:vMerge/>
            <w:shd w:val="clear" w:color="auto" w:fill="auto"/>
            <w:vAlign w:val="center"/>
          </w:tcPr>
          <w:p w14:paraId="1D1A6A6E" w14:textId="77777777" w:rsidR="00B64518" w:rsidRPr="0036356F" w:rsidRDefault="00B64518" w:rsidP="00DE4367">
            <w:pPr>
              <w:spacing w:before="0"/>
              <w:jc w:val="center"/>
              <w:rPr>
                <w:sz w:val="18"/>
                <w:szCs w:val="18"/>
              </w:rPr>
            </w:pPr>
          </w:p>
        </w:tc>
      </w:tr>
      <w:tr w:rsidR="00B85B04" w:rsidRPr="00BC6EC5" w14:paraId="4E6CF88F" w14:textId="77777777" w:rsidTr="00B64518">
        <w:tc>
          <w:tcPr>
            <w:tcW w:w="2547" w:type="dxa"/>
            <w:shd w:val="clear" w:color="auto" w:fill="auto"/>
          </w:tcPr>
          <w:p w14:paraId="3251279D" w14:textId="6EEBA2A9" w:rsidR="00B85B04" w:rsidRPr="0036356F" w:rsidRDefault="005F0DD6" w:rsidP="00B85B04">
            <w:pPr>
              <w:spacing w:before="40" w:line="240" w:lineRule="auto"/>
              <w:rPr>
                <w:sz w:val="18"/>
                <w:szCs w:val="18"/>
              </w:rPr>
            </w:pPr>
            <w:r>
              <w:rPr>
                <w:sz w:val="18"/>
                <w:szCs w:val="18"/>
              </w:rPr>
              <w:t>3.1.</w:t>
            </w:r>
            <w:r w:rsidR="00870FC7">
              <w:rPr>
                <w:sz w:val="18"/>
                <w:szCs w:val="18"/>
              </w:rPr>
              <w:t>c</w:t>
            </w:r>
            <w:r>
              <w:rPr>
                <w:sz w:val="18"/>
                <w:szCs w:val="18"/>
              </w:rPr>
              <w:t xml:space="preserve">: </w:t>
            </w:r>
            <w:r w:rsidR="00B85B04" w:rsidRPr="00B85B04">
              <w:rPr>
                <w:sz w:val="18"/>
                <w:szCs w:val="18"/>
              </w:rPr>
              <w:t>Degree to which domestic MRV system informs policies and reporting related to capacity needs, technology transfer, and support received related to climate change and policy documents such as the</w:t>
            </w:r>
          </w:p>
        </w:tc>
        <w:tc>
          <w:tcPr>
            <w:tcW w:w="3282" w:type="dxa"/>
          </w:tcPr>
          <w:p w14:paraId="53C936D4" w14:textId="77777777" w:rsidR="00B85B04" w:rsidRDefault="00B85B04" w:rsidP="00B85B04">
            <w:pPr>
              <w:spacing w:before="40" w:line="240" w:lineRule="auto"/>
              <w:rPr>
                <w:sz w:val="18"/>
                <w:szCs w:val="18"/>
              </w:rPr>
            </w:pPr>
            <w:r w:rsidRPr="00B85B04">
              <w:rPr>
                <w:sz w:val="18"/>
                <w:szCs w:val="18"/>
              </w:rPr>
              <w:t>By Q6, at least 64 businesses have been trained on MRV requirements and reporting obligations</w:t>
            </w:r>
          </w:p>
          <w:p w14:paraId="60161831" w14:textId="77777777" w:rsidR="00B85B04" w:rsidRPr="00B85B04" w:rsidRDefault="00B85B04" w:rsidP="00B85B04">
            <w:pPr>
              <w:spacing w:before="40" w:line="240" w:lineRule="auto"/>
              <w:rPr>
                <w:sz w:val="18"/>
                <w:szCs w:val="18"/>
              </w:rPr>
            </w:pPr>
            <w:r w:rsidRPr="00B85B04">
              <w:rPr>
                <w:sz w:val="18"/>
                <w:szCs w:val="18"/>
              </w:rPr>
              <w:t>By the end of Q6, database access and use of information for transparency reporting other than mitigation and adaptation information is observed in at least 9 government agencies</w:t>
            </w:r>
          </w:p>
          <w:p w14:paraId="6E6980A2" w14:textId="1DA35E48" w:rsidR="00B85B04" w:rsidRPr="0036356F" w:rsidRDefault="00B85B04" w:rsidP="00B85B04">
            <w:pPr>
              <w:spacing w:before="40" w:line="240" w:lineRule="auto"/>
              <w:rPr>
                <w:sz w:val="18"/>
                <w:szCs w:val="18"/>
              </w:rPr>
            </w:pPr>
            <w:r w:rsidRPr="00B85B04">
              <w:rPr>
                <w:sz w:val="18"/>
                <w:szCs w:val="18"/>
              </w:rPr>
              <w:t>By the end of Q6, information on capacity development and support received for climate change projects systematically collected and available in the database</w:t>
            </w:r>
          </w:p>
        </w:tc>
        <w:tc>
          <w:tcPr>
            <w:tcW w:w="2927" w:type="dxa"/>
            <w:shd w:val="clear" w:color="auto" w:fill="FFFF00"/>
          </w:tcPr>
          <w:p w14:paraId="41004D38" w14:textId="2AC5B09F" w:rsidR="00AD78A3" w:rsidRDefault="00AD78A3" w:rsidP="00B85B04">
            <w:pPr>
              <w:spacing w:before="40" w:line="240" w:lineRule="auto"/>
              <w:rPr>
                <w:iCs/>
                <w:sz w:val="18"/>
                <w:szCs w:val="18"/>
              </w:rPr>
            </w:pPr>
            <w:r>
              <w:rPr>
                <w:iCs/>
                <w:sz w:val="18"/>
                <w:szCs w:val="18"/>
              </w:rPr>
              <w:t xml:space="preserve">No information on training of businesses </w:t>
            </w:r>
          </w:p>
          <w:p w14:paraId="7D15877E" w14:textId="3DFBF4C5" w:rsidR="00AD78A3" w:rsidRDefault="00AD78A3" w:rsidP="00B85B04">
            <w:pPr>
              <w:spacing w:before="40" w:line="240" w:lineRule="auto"/>
              <w:rPr>
                <w:iCs/>
                <w:sz w:val="18"/>
                <w:szCs w:val="18"/>
              </w:rPr>
            </w:pPr>
          </w:p>
          <w:p w14:paraId="7BBA13A9" w14:textId="77777777" w:rsidR="00AD78A3" w:rsidRDefault="00AD78A3" w:rsidP="00AD78A3">
            <w:pPr>
              <w:spacing w:before="40" w:line="240" w:lineRule="auto"/>
              <w:rPr>
                <w:iCs/>
                <w:sz w:val="18"/>
                <w:szCs w:val="18"/>
              </w:rPr>
            </w:pPr>
            <w:r>
              <w:rPr>
                <w:iCs/>
                <w:sz w:val="18"/>
                <w:szCs w:val="18"/>
              </w:rPr>
              <w:t xml:space="preserve">The MRV system is still under development </w:t>
            </w:r>
          </w:p>
          <w:p w14:paraId="05E9F71F" w14:textId="2C912B76" w:rsidR="00AD78A3" w:rsidRDefault="00AD78A3" w:rsidP="00B85B04">
            <w:pPr>
              <w:spacing w:before="40" w:line="240" w:lineRule="auto"/>
              <w:rPr>
                <w:iCs/>
                <w:sz w:val="18"/>
                <w:szCs w:val="18"/>
              </w:rPr>
            </w:pPr>
          </w:p>
          <w:p w14:paraId="583D2B74" w14:textId="3DB8D5F6" w:rsidR="00AD78A3" w:rsidRDefault="00AD78A3" w:rsidP="00B85B04">
            <w:pPr>
              <w:spacing w:before="40" w:line="240" w:lineRule="auto"/>
              <w:rPr>
                <w:iCs/>
                <w:sz w:val="18"/>
                <w:szCs w:val="18"/>
              </w:rPr>
            </w:pPr>
          </w:p>
          <w:p w14:paraId="6078B572" w14:textId="142D6300" w:rsidR="00E35B0D" w:rsidRDefault="006C28B4" w:rsidP="006C28B4">
            <w:pPr>
              <w:spacing w:before="40" w:line="240" w:lineRule="auto"/>
              <w:rPr>
                <w:iCs/>
                <w:sz w:val="18"/>
                <w:szCs w:val="18"/>
              </w:rPr>
            </w:pPr>
            <w:r>
              <w:rPr>
                <w:iCs/>
                <w:sz w:val="18"/>
                <w:szCs w:val="18"/>
              </w:rPr>
              <w:t xml:space="preserve">County-specific climate financing study </w:t>
            </w:r>
          </w:p>
        </w:tc>
        <w:tc>
          <w:tcPr>
            <w:tcW w:w="737" w:type="dxa"/>
            <w:shd w:val="clear" w:color="auto" w:fill="auto"/>
            <w:vAlign w:val="center"/>
          </w:tcPr>
          <w:p w14:paraId="11D5B427" w14:textId="217C0767" w:rsidR="00B85B04" w:rsidRPr="0036356F" w:rsidRDefault="00E35B0D" w:rsidP="00DE4367">
            <w:pPr>
              <w:spacing w:before="0"/>
              <w:jc w:val="center"/>
              <w:rPr>
                <w:sz w:val="18"/>
                <w:szCs w:val="18"/>
              </w:rPr>
            </w:pPr>
            <w:r>
              <w:rPr>
                <w:sz w:val="18"/>
                <w:szCs w:val="18"/>
              </w:rPr>
              <w:t>M</w:t>
            </w:r>
            <w:r w:rsidR="00B64518">
              <w:rPr>
                <w:sz w:val="18"/>
                <w:szCs w:val="18"/>
              </w:rPr>
              <w:t>S</w:t>
            </w:r>
          </w:p>
        </w:tc>
      </w:tr>
      <w:tr w:rsidR="00152972" w:rsidRPr="00BC6EC5" w14:paraId="29DFE4BD" w14:textId="77777777" w:rsidTr="00B85B04">
        <w:tc>
          <w:tcPr>
            <w:tcW w:w="9493" w:type="dxa"/>
            <w:gridSpan w:val="4"/>
            <w:shd w:val="clear" w:color="auto" w:fill="auto"/>
          </w:tcPr>
          <w:p w14:paraId="30BEFC40" w14:textId="5BC724EF" w:rsidR="00152972" w:rsidRPr="00152972" w:rsidRDefault="00152972" w:rsidP="00152972">
            <w:pPr>
              <w:spacing w:before="0"/>
              <w:rPr>
                <w:b/>
                <w:bCs/>
                <w:sz w:val="18"/>
                <w:szCs w:val="18"/>
              </w:rPr>
            </w:pPr>
            <w:r w:rsidRPr="00152972">
              <w:rPr>
                <w:b/>
                <w:bCs/>
                <w:sz w:val="18"/>
                <w:szCs w:val="18"/>
              </w:rPr>
              <w:lastRenderedPageBreak/>
              <w:t>Output 3.2</w:t>
            </w:r>
            <w:r w:rsidR="00B85B04">
              <w:rPr>
                <w:b/>
                <w:bCs/>
                <w:sz w:val="18"/>
                <w:szCs w:val="18"/>
              </w:rPr>
              <w:t xml:space="preserve">: </w:t>
            </w:r>
            <w:r w:rsidR="00B85B04" w:rsidRPr="00B85B04">
              <w:rPr>
                <w:b/>
                <w:bCs/>
                <w:sz w:val="18"/>
                <w:szCs w:val="18"/>
              </w:rPr>
              <w:t>National GHG inventories improved</w:t>
            </w:r>
          </w:p>
        </w:tc>
      </w:tr>
      <w:tr w:rsidR="00152972" w:rsidRPr="00BC6EC5" w14:paraId="126536B5" w14:textId="77777777" w:rsidTr="005F0DD6">
        <w:tc>
          <w:tcPr>
            <w:tcW w:w="2547" w:type="dxa"/>
            <w:shd w:val="clear" w:color="auto" w:fill="auto"/>
          </w:tcPr>
          <w:p w14:paraId="0D56F710" w14:textId="77777777" w:rsidR="00152972" w:rsidRPr="0036356F" w:rsidRDefault="00152972" w:rsidP="00152972">
            <w:pPr>
              <w:spacing w:before="0"/>
              <w:jc w:val="center"/>
              <w:rPr>
                <w:b/>
                <w:sz w:val="18"/>
                <w:szCs w:val="18"/>
              </w:rPr>
            </w:pPr>
            <w:r w:rsidRPr="0036356F">
              <w:rPr>
                <w:rFonts w:eastAsia="Calibri"/>
                <w:b/>
                <w:bCs/>
                <w:color w:val="000000"/>
                <w:sz w:val="18"/>
                <w:szCs w:val="18"/>
                <w:lang w:eastAsia="en-US"/>
              </w:rPr>
              <w:t>Indicators</w:t>
            </w:r>
          </w:p>
        </w:tc>
        <w:tc>
          <w:tcPr>
            <w:tcW w:w="3282" w:type="dxa"/>
          </w:tcPr>
          <w:p w14:paraId="5C50D077" w14:textId="77777777" w:rsidR="00152972" w:rsidRPr="0036356F" w:rsidRDefault="00152972" w:rsidP="00152972">
            <w:pPr>
              <w:spacing w:before="0"/>
              <w:jc w:val="center"/>
              <w:rPr>
                <w:b/>
                <w:sz w:val="18"/>
                <w:szCs w:val="18"/>
              </w:rPr>
            </w:pPr>
            <w:r w:rsidRPr="0036356F">
              <w:rPr>
                <w:rFonts w:eastAsia="Calibri"/>
                <w:b/>
                <w:bCs/>
                <w:color w:val="000000"/>
                <w:sz w:val="18"/>
                <w:szCs w:val="18"/>
                <w:lang w:eastAsia="en-US"/>
              </w:rPr>
              <w:t>Mid-Term Targets</w:t>
            </w:r>
          </w:p>
        </w:tc>
        <w:tc>
          <w:tcPr>
            <w:tcW w:w="2927" w:type="dxa"/>
            <w:shd w:val="clear" w:color="auto" w:fill="auto"/>
          </w:tcPr>
          <w:p w14:paraId="235A5327" w14:textId="77777777" w:rsidR="00152972" w:rsidRPr="0036356F" w:rsidRDefault="00152972" w:rsidP="00152972">
            <w:pPr>
              <w:spacing w:before="0"/>
              <w:jc w:val="center"/>
              <w:rPr>
                <w:b/>
                <w:sz w:val="18"/>
                <w:szCs w:val="18"/>
              </w:rPr>
            </w:pPr>
            <w:r w:rsidRPr="0036356F">
              <w:rPr>
                <w:b/>
                <w:sz w:val="18"/>
                <w:szCs w:val="18"/>
              </w:rPr>
              <w:t>Status at MTR</w:t>
            </w:r>
          </w:p>
        </w:tc>
        <w:tc>
          <w:tcPr>
            <w:tcW w:w="737" w:type="dxa"/>
          </w:tcPr>
          <w:p w14:paraId="5B34C48D" w14:textId="77777777" w:rsidR="00152972" w:rsidRPr="0036356F" w:rsidRDefault="00152972" w:rsidP="00152972">
            <w:pPr>
              <w:spacing w:before="0"/>
              <w:jc w:val="center"/>
              <w:rPr>
                <w:b/>
                <w:sz w:val="18"/>
                <w:szCs w:val="18"/>
              </w:rPr>
            </w:pPr>
            <w:r w:rsidRPr="0036356F">
              <w:rPr>
                <w:b/>
                <w:sz w:val="18"/>
                <w:szCs w:val="18"/>
              </w:rPr>
              <w:t>Rating</w:t>
            </w:r>
          </w:p>
        </w:tc>
      </w:tr>
      <w:tr w:rsidR="00152972" w:rsidRPr="00BC6EC5" w14:paraId="746E337E" w14:textId="77777777" w:rsidTr="00041AF8">
        <w:trPr>
          <w:trHeight w:val="571"/>
        </w:trPr>
        <w:tc>
          <w:tcPr>
            <w:tcW w:w="2547" w:type="dxa"/>
            <w:shd w:val="clear" w:color="auto" w:fill="auto"/>
          </w:tcPr>
          <w:p w14:paraId="4FF07D4B" w14:textId="399EA626" w:rsidR="00152972" w:rsidRPr="0036356F" w:rsidRDefault="00546B17" w:rsidP="00B85B04">
            <w:pPr>
              <w:spacing w:before="40" w:line="240" w:lineRule="auto"/>
              <w:rPr>
                <w:sz w:val="18"/>
                <w:szCs w:val="18"/>
              </w:rPr>
            </w:pPr>
            <w:r>
              <w:rPr>
                <w:sz w:val="18"/>
                <w:szCs w:val="18"/>
              </w:rPr>
              <w:t xml:space="preserve">3.2.a: </w:t>
            </w:r>
            <w:r w:rsidR="00B85B04" w:rsidRPr="00B85B04">
              <w:rPr>
                <w:sz w:val="18"/>
                <w:szCs w:val="18"/>
              </w:rPr>
              <w:t xml:space="preserve">Availability of country-specific emission factors </w:t>
            </w:r>
          </w:p>
        </w:tc>
        <w:tc>
          <w:tcPr>
            <w:tcW w:w="3282" w:type="dxa"/>
          </w:tcPr>
          <w:p w14:paraId="68F4FA65" w14:textId="59EADDCB" w:rsidR="00152972" w:rsidRPr="001B4950" w:rsidRDefault="00C31A0C" w:rsidP="00B85B04">
            <w:pPr>
              <w:pStyle w:val="NoSpacing"/>
              <w:spacing w:before="40"/>
              <w:rPr>
                <w:sz w:val="18"/>
                <w:szCs w:val="18"/>
              </w:rPr>
            </w:pPr>
            <w:r w:rsidRPr="00C31A0C">
              <w:rPr>
                <w:sz w:val="18"/>
                <w:szCs w:val="18"/>
              </w:rPr>
              <w:t>By Q6, at least 2 emission factors have been developed for Serbia’s GHG inventory</w:t>
            </w:r>
          </w:p>
        </w:tc>
        <w:tc>
          <w:tcPr>
            <w:tcW w:w="2927" w:type="dxa"/>
            <w:shd w:val="clear" w:color="auto" w:fill="FFFF00"/>
          </w:tcPr>
          <w:p w14:paraId="5A3D0713" w14:textId="38739DFA" w:rsidR="00DB7134" w:rsidRDefault="001B4713" w:rsidP="008A08BA">
            <w:pPr>
              <w:spacing w:before="40" w:line="240" w:lineRule="auto"/>
              <w:rPr>
                <w:iCs/>
                <w:sz w:val="18"/>
                <w:szCs w:val="18"/>
              </w:rPr>
            </w:pPr>
            <w:r>
              <w:rPr>
                <w:iCs/>
                <w:sz w:val="18"/>
                <w:szCs w:val="18"/>
              </w:rPr>
              <w:t xml:space="preserve">Report on </w:t>
            </w:r>
            <w:r w:rsidR="00C97CA1" w:rsidRPr="00C97CA1">
              <w:rPr>
                <w:iCs/>
                <w:sz w:val="18"/>
                <w:szCs w:val="18"/>
              </w:rPr>
              <w:t>net calorific value and emission factor</w:t>
            </w:r>
            <w:r w:rsidR="00C97CA1">
              <w:rPr>
                <w:iCs/>
                <w:sz w:val="18"/>
                <w:szCs w:val="18"/>
              </w:rPr>
              <w:t xml:space="preserve"> of domestic lignite</w:t>
            </w:r>
          </w:p>
          <w:p w14:paraId="77A8576D" w14:textId="66622C39" w:rsidR="001B4713" w:rsidRPr="0036356F" w:rsidRDefault="001B4713" w:rsidP="001B4713">
            <w:pPr>
              <w:spacing w:before="40" w:line="240" w:lineRule="auto"/>
              <w:rPr>
                <w:iCs/>
                <w:sz w:val="18"/>
                <w:szCs w:val="18"/>
              </w:rPr>
            </w:pPr>
          </w:p>
        </w:tc>
        <w:tc>
          <w:tcPr>
            <w:tcW w:w="737" w:type="dxa"/>
            <w:shd w:val="clear" w:color="auto" w:fill="auto"/>
            <w:vAlign w:val="center"/>
          </w:tcPr>
          <w:p w14:paraId="102EF4B3" w14:textId="72454E5F" w:rsidR="00152972" w:rsidRPr="0036356F" w:rsidRDefault="008A08BA" w:rsidP="00152972">
            <w:pPr>
              <w:spacing w:before="0"/>
              <w:jc w:val="center"/>
              <w:rPr>
                <w:sz w:val="18"/>
                <w:szCs w:val="18"/>
              </w:rPr>
            </w:pPr>
            <w:r>
              <w:rPr>
                <w:sz w:val="18"/>
                <w:szCs w:val="18"/>
              </w:rPr>
              <w:t>S</w:t>
            </w:r>
          </w:p>
        </w:tc>
      </w:tr>
      <w:tr w:rsidR="00B85B04" w:rsidRPr="00BC6EC5" w14:paraId="7E37B29C" w14:textId="77777777" w:rsidTr="00041AF8">
        <w:tc>
          <w:tcPr>
            <w:tcW w:w="2547" w:type="dxa"/>
            <w:shd w:val="clear" w:color="auto" w:fill="auto"/>
          </w:tcPr>
          <w:p w14:paraId="7C9B89F1" w14:textId="54C3CB75" w:rsidR="00B85B04" w:rsidRPr="00B85B04" w:rsidRDefault="00546B17" w:rsidP="00B85B04">
            <w:pPr>
              <w:spacing w:before="40" w:line="240" w:lineRule="auto"/>
              <w:rPr>
                <w:sz w:val="18"/>
                <w:szCs w:val="18"/>
              </w:rPr>
            </w:pPr>
            <w:r>
              <w:rPr>
                <w:sz w:val="18"/>
                <w:szCs w:val="18"/>
              </w:rPr>
              <w:t xml:space="preserve">3.2.b: </w:t>
            </w:r>
            <w:r w:rsidR="00B85B04" w:rsidRPr="00B85B04">
              <w:rPr>
                <w:sz w:val="18"/>
                <w:szCs w:val="18"/>
              </w:rPr>
              <w:t>Scope of estimate of carbon sinks</w:t>
            </w:r>
          </w:p>
          <w:p w14:paraId="23FC26C3" w14:textId="77777777" w:rsidR="00B85B04" w:rsidRPr="00B85B04" w:rsidRDefault="00B85B04" w:rsidP="00B85B04">
            <w:pPr>
              <w:spacing w:before="40" w:line="240" w:lineRule="auto"/>
              <w:rPr>
                <w:sz w:val="18"/>
                <w:szCs w:val="18"/>
              </w:rPr>
            </w:pPr>
          </w:p>
        </w:tc>
        <w:tc>
          <w:tcPr>
            <w:tcW w:w="3282" w:type="dxa"/>
          </w:tcPr>
          <w:p w14:paraId="1B67BE84" w14:textId="76F7F07C" w:rsidR="00B85B04" w:rsidRPr="001B4950" w:rsidRDefault="00C31A0C" w:rsidP="00B85B04">
            <w:pPr>
              <w:pStyle w:val="NoSpacing"/>
              <w:spacing w:before="40"/>
              <w:rPr>
                <w:sz w:val="18"/>
                <w:szCs w:val="18"/>
              </w:rPr>
            </w:pPr>
            <w:r w:rsidRPr="00C31A0C">
              <w:rPr>
                <w:sz w:val="18"/>
                <w:szCs w:val="18"/>
              </w:rPr>
              <w:t>By Q6, estimates of carbon sinks in Serbia have been broadened to include soil carbon and litter</w:t>
            </w:r>
          </w:p>
        </w:tc>
        <w:tc>
          <w:tcPr>
            <w:tcW w:w="2927" w:type="dxa"/>
            <w:shd w:val="clear" w:color="auto" w:fill="92D050"/>
          </w:tcPr>
          <w:p w14:paraId="5F47876F" w14:textId="77777777" w:rsidR="00874BB4" w:rsidRDefault="00874BB4" w:rsidP="00874BB4">
            <w:pPr>
              <w:spacing w:before="40" w:line="240" w:lineRule="auto"/>
              <w:rPr>
                <w:iCs/>
                <w:sz w:val="18"/>
                <w:szCs w:val="18"/>
              </w:rPr>
            </w:pPr>
            <w:r>
              <w:rPr>
                <w:iCs/>
                <w:sz w:val="18"/>
                <w:szCs w:val="18"/>
              </w:rPr>
              <w:t>Report on AFOLU short</w:t>
            </w:r>
            <w:r w:rsidRPr="001B4713">
              <w:rPr>
                <w:iCs/>
                <w:sz w:val="18"/>
                <w:szCs w:val="18"/>
              </w:rPr>
              <w:t>-term improvement</w:t>
            </w:r>
            <w:r>
              <w:rPr>
                <w:iCs/>
                <w:sz w:val="18"/>
                <w:szCs w:val="18"/>
              </w:rPr>
              <w:t>s</w:t>
            </w:r>
          </w:p>
          <w:p w14:paraId="09071582" w14:textId="77777777" w:rsidR="00874BB4" w:rsidRDefault="00874BB4" w:rsidP="00874BB4">
            <w:pPr>
              <w:spacing w:before="40" w:line="240" w:lineRule="auto"/>
              <w:rPr>
                <w:iCs/>
                <w:sz w:val="18"/>
                <w:szCs w:val="18"/>
              </w:rPr>
            </w:pPr>
            <w:r>
              <w:rPr>
                <w:iCs/>
                <w:sz w:val="18"/>
                <w:szCs w:val="18"/>
              </w:rPr>
              <w:t xml:space="preserve">Report on AFOLU </w:t>
            </w:r>
            <w:r w:rsidRPr="001B4713">
              <w:rPr>
                <w:iCs/>
                <w:sz w:val="18"/>
                <w:szCs w:val="18"/>
              </w:rPr>
              <w:t>mid- and</w:t>
            </w:r>
            <w:r>
              <w:rPr>
                <w:iCs/>
                <w:sz w:val="18"/>
                <w:szCs w:val="18"/>
              </w:rPr>
              <w:t xml:space="preserve"> </w:t>
            </w:r>
            <w:r w:rsidRPr="001B4713">
              <w:rPr>
                <w:iCs/>
                <w:sz w:val="18"/>
                <w:szCs w:val="18"/>
              </w:rPr>
              <w:t>long-term improvement</w:t>
            </w:r>
            <w:r>
              <w:rPr>
                <w:iCs/>
                <w:sz w:val="18"/>
                <w:szCs w:val="18"/>
              </w:rPr>
              <w:t xml:space="preserve">s </w:t>
            </w:r>
          </w:p>
          <w:p w14:paraId="76047FDA" w14:textId="4E4A7C36" w:rsidR="001B4713" w:rsidRDefault="001B4713" w:rsidP="00B85B04">
            <w:pPr>
              <w:spacing w:before="40" w:line="240" w:lineRule="auto"/>
              <w:rPr>
                <w:iCs/>
                <w:sz w:val="18"/>
                <w:szCs w:val="18"/>
              </w:rPr>
            </w:pPr>
            <w:r>
              <w:rPr>
                <w:iCs/>
                <w:sz w:val="18"/>
                <w:szCs w:val="18"/>
              </w:rPr>
              <w:t>S</w:t>
            </w:r>
            <w:r w:rsidRPr="001B4713">
              <w:rPr>
                <w:iCs/>
                <w:sz w:val="18"/>
                <w:szCs w:val="18"/>
              </w:rPr>
              <w:t>ummary report on improvements of</w:t>
            </w:r>
            <w:r>
              <w:rPr>
                <w:iCs/>
                <w:sz w:val="18"/>
                <w:szCs w:val="18"/>
              </w:rPr>
              <w:t xml:space="preserve"> </w:t>
            </w:r>
            <w:r w:rsidRPr="001B4713">
              <w:rPr>
                <w:iCs/>
                <w:sz w:val="18"/>
                <w:szCs w:val="18"/>
              </w:rPr>
              <w:t>AFOLU part of GHG Inventory–Soil organic carbon</w:t>
            </w:r>
          </w:p>
        </w:tc>
        <w:tc>
          <w:tcPr>
            <w:tcW w:w="737" w:type="dxa"/>
            <w:shd w:val="clear" w:color="auto" w:fill="auto"/>
            <w:vAlign w:val="center"/>
          </w:tcPr>
          <w:p w14:paraId="25A9CD5A" w14:textId="1A5BF7B6" w:rsidR="00B85B04" w:rsidRPr="0036356F" w:rsidRDefault="002C3309" w:rsidP="00152972">
            <w:pPr>
              <w:spacing w:before="0"/>
              <w:jc w:val="center"/>
              <w:rPr>
                <w:sz w:val="18"/>
                <w:szCs w:val="18"/>
              </w:rPr>
            </w:pPr>
            <w:r>
              <w:rPr>
                <w:sz w:val="18"/>
                <w:szCs w:val="18"/>
              </w:rPr>
              <w:t>S</w:t>
            </w:r>
          </w:p>
        </w:tc>
      </w:tr>
      <w:tr w:rsidR="00B85B04" w:rsidRPr="00BC6EC5" w14:paraId="73D0B322" w14:textId="77777777" w:rsidTr="005F0DD6">
        <w:tc>
          <w:tcPr>
            <w:tcW w:w="2547" w:type="dxa"/>
            <w:shd w:val="clear" w:color="auto" w:fill="auto"/>
          </w:tcPr>
          <w:p w14:paraId="615CD0F3" w14:textId="3C30A543" w:rsidR="00B85B04" w:rsidRPr="00B85B04" w:rsidRDefault="00546B17" w:rsidP="00B85B04">
            <w:pPr>
              <w:spacing w:before="40" w:line="240" w:lineRule="auto"/>
              <w:rPr>
                <w:sz w:val="18"/>
                <w:szCs w:val="18"/>
              </w:rPr>
            </w:pPr>
            <w:r>
              <w:rPr>
                <w:sz w:val="18"/>
                <w:szCs w:val="18"/>
              </w:rPr>
              <w:t xml:space="preserve">3.2.c: </w:t>
            </w:r>
            <w:r w:rsidR="00B85B04" w:rsidRPr="00B85B04">
              <w:rPr>
                <w:sz w:val="18"/>
                <w:szCs w:val="18"/>
              </w:rPr>
              <w:t>Use of country-specific emission factors in reporting</w:t>
            </w:r>
          </w:p>
        </w:tc>
        <w:tc>
          <w:tcPr>
            <w:tcW w:w="3282" w:type="dxa"/>
          </w:tcPr>
          <w:p w14:paraId="40C8E101" w14:textId="57F4AD47" w:rsidR="00B85B04" w:rsidRPr="001B4950" w:rsidRDefault="00C31A0C" w:rsidP="00B85B04">
            <w:pPr>
              <w:pStyle w:val="NoSpacing"/>
              <w:spacing w:before="40"/>
              <w:rPr>
                <w:sz w:val="18"/>
                <w:szCs w:val="18"/>
              </w:rPr>
            </w:pPr>
            <w:r>
              <w:rPr>
                <w:sz w:val="18"/>
                <w:szCs w:val="18"/>
              </w:rPr>
              <w:t>N.A.</w:t>
            </w:r>
          </w:p>
        </w:tc>
        <w:tc>
          <w:tcPr>
            <w:tcW w:w="2927" w:type="dxa"/>
            <w:shd w:val="clear" w:color="auto" w:fill="auto"/>
          </w:tcPr>
          <w:p w14:paraId="756CBE53" w14:textId="58EEA61C" w:rsidR="00B85B04" w:rsidRDefault="00C31A0C" w:rsidP="00B85B04">
            <w:pPr>
              <w:spacing w:before="40" w:line="240" w:lineRule="auto"/>
              <w:rPr>
                <w:iCs/>
                <w:sz w:val="18"/>
                <w:szCs w:val="18"/>
              </w:rPr>
            </w:pPr>
            <w:r>
              <w:rPr>
                <w:iCs/>
                <w:sz w:val="18"/>
                <w:szCs w:val="18"/>
              </w:rPr>
              <w:t>N.A.</w:t>
            </w:r>
          </w:p>
        </w:tc>
        <w:tc>
          <w:tcPr>
            <w:tcW w:w="737" w:type="dxa"/>
            <w:shd w:val="clear" w:color="auto" w:fill="auto"/>
            <w:vAlign w:val="center"/>
          </w:tcPr>
          <w:p w14:paraId="67CE639F" w14:textId="77777777" w:rsidR="00B85B04" w:rsidRPr="0036356F" w:rsidRDefault="00B85B04" w:rsidP="00152972">
            <w:pPr>
              <w:spacing w:before="0"/>
              <w:jc w:val="center"/>
              <w:rPr>
                <w:sz w:val="18"/>
                <w:szCs w:val="18"/>
              </w:rPr>
            </w:pPr>
          </w:p>
        </w:tc>
      </w:tr>
      <w:tr w:rsidR="00152972" w:rsidRPr="00BC6EC5" w14:paraId="01F5CC31" w14:textId="77777777" w:rsidTr="00B85B04">
        <w:tc>
          <w:tcPr>
            <w:tcW w:w="9493" w:type="dxa"/>
            <w:gridSpan w:val="4"/>
            <w:shd w:val="clear" w:color="auto" w:fill="auto"/>
          </w:tcPr>
          <w:p w14:paraId="42BA5904" w14:textId="3DE00A1B" w:rsidR="00152972" w:rsidRPr="00152972" w:rsidRDefault="00152972" w:rsidP="00152972">
            <w:pPr>
              <w:spacing w:before="0"/>
              <w:rPr>
                <w:b/>
                <w:bCs/>
                <w:sz w:val="18"/>
                <w:szCs w:val="18"/>
              </w:rPr>
            </w:pPr>
            <w:r w:rsidRPr="00152972">
              <w:rPr>
                <w:b/>
                <w:bCs/>
                <w:sz w:val="18"/>
                <w:szCs w:val="18"/>
              </w:rPr>
              <w:t>Out</w:t>
            </w:r>
            <w:r w:rsidR="00B85B04">
              <w:rPr>
                <w:b/>
                <w:bCs/>
                <w:sz w:val="18"/>
                <w:szCs w:val="18"/>
              </w:rPr>
              <w:t xml:space="preserve">put </w:t>
            </w:r>
            <w:r w:rsidRPr="00152972">
              <w:rPr>
                <w:b/>
                <w:bCs/>
                <w:sz w:val="18"/>
                <w:szCs w:val="18"/>
              </w:rPr>
              <w:t>3.3</w:t>
            </w:r>
            <w:r w:rsidR="00C31A0C">
              <w:rPr>
                <w:b/>
                <w:bCs/>
                <w:sz w:val="18"/>
                <w:szCs w:val="18"/>
              </w:rPr>
              <w:t xml:space="preserve">: </w:t>
            </w:r>
            <w:r w:rsidR="00C31A0C" w:rsidRPr="00C31A0C">
              <w:rPr>
                <w:b/>
                <w:bCs/>
                <w:sz w:val="18"/>
                <w:szCs w:val="18"/>
              </w:rPr>
              <w:t>NDC Capacity Built through Peer Exchanges</w:t>
            </w:r>
          </w:p>
        </w:tc>
      </w:tr>
      <w:tr w:rsidR="00152972" w:rsidRPr="00BC6EC5" w14:paraId="4E2E0A02" w14:textId="77777777" w:rsidTr="005F0DD6">
        <w:tc>
          <w:tcPr>
            <w:tcW w:w="2547" w:type="dxa"/>
            <w:shd w:val="clear" w:color="auto" w:fill="auto"/>
          </w:tcPr>
          <w:p w14:paraId="4DA73031" w14:textId="77777777" w:rsidR="00152972" w:rsidRPr="0036356F" w:rsidRDefault="00152972" w:rsidP="00152972">
            <w:pPr>
              <w:spacing w:before="0"/>
              <w:jc w:val="center"/>
              <w:rPr>
                <w:b/>
                <w:sz w:val="18"/>
                <w:szCs w:val="18"/>
              </w:rPr>
            </w:pPr>
            <w:r w:rsidRPr="0036356F">
              <w:rPr>
                <w:rFonts w:eastAsia="Calibri"/>
                <w:b/>
                <w:bCs/>
                <w:color w:val="000000"/>
                <w:sz w:val="18"/>
                <w:szCs w:val="18"/>
                <w:lang w:eastAsia="en-US"/>
              </w:rPr>
              <w:t>Indicators</w:t>
            </w:r>
          </w:p>
        </w:tc>
        <w:tc>
          <w:tcPr>
            <w:tcW w:w="3282" w:type="dxa"/>
          </w:tcPr>
          <w:p w14:paraId="21F0B114" w14:textId="77777777" w:rsidR="00152972" w:rsidRPr="0036356F" w:rsidRDefault="00152972" w:rsidP="00152972">
            <w:pPr>
              <w:spacing w:before="0"/>
              <w:jc w:val="center"/>
              <w:rPr>
                <w:b/>
                <w:sz w:val="18"/>
                <w:szCs w:val="18"/>
              </w:rPr>
            </w:pPr>
            <w:r w:rsidRPr="0036356F">
              <w:rPr>
                <w:rFonts w:eastAsia="Calibri"/>
                <w:b/>
                <w:bCs/>
                <w:color w:val="000000"/>
                <w:sz w:val="18"/>
                <w:szCs w:val="18"/>
                <w:lang w:eastAsia="en-US"/>
              </w:rPr>
              <w:t>Mid-Term Targets</w:t>
            </w:r>
          </w:p>
        </w:tc>
        <w:tc>
          <w:tcPr>
            <w:tcW w:w="2927" w:type="dxa"/>
            <w:shd w:val="clear" w:color="auto" w:fill="auto"/>
          </w:tcPr>
          <w:p w14:paraId="29C61E9D" w14:textId="77777777" w:rsidR="00152972" w:rsidRPr="0036356F" w:rsidRDefault="00152972" w:rsidP="00152972">
            <w:pPr>
              <w:spacing w:before="0"/>
              <w:jc w:val="center"/>
              <w:rPr>
                <w:b/>
                <w:sz w:val="18"/>
                <w:szCs w:val="18"/>
              </w:rPr>
            </w:pPr>
            <w:r w:rsidRPr="0036356F">
              <w:rPr>
                <w:b/>
                <w:sz w:val="18"/>
                <w:szCs w:val="18"/>
              </w:rPr>
              <w:t>Status at MTR</w:t>
            </w:r>
          </w:p>
        </w:tc>
        <w:tc>
          <w:tcPr>
            <w:tcW w:w="737" w:type="dxa"/>
          </w:tcPr>
          <w:p w14:paraId="3091386A" w14:textId="77777777" w:rsidR="00152972" w:rsidRPr="0036356F" w:rsidRDefault="00152972" w:rsidP="00152972">
            <w:pPr>
              <w:spacing w:before="0"/>
              <w:jc w:val="center"/>
              <w:rPr>
                <w:b/>
                <w:sz w:val="18"/>
                <w:szCs w:val="18"/>
              </w:rPr>
            </w:pPr>
            <w:r w:rsidRPr="0036356F">
              <w:rPr>
                <w:b/>
                <w:sz w:val="18"/>
                <w:szCs w:val="18"/>
              </w:rPr>
              <w:t>Rating</w:t>
            </w:r>
          </w:p>
        </w:tc>
      </w:tr>
      <w:tr w:rsidR="00152972" w:rsidRPr="00BC6EC5" w14:paraId="44104C91" w14:textId="77777777" w:rsidTr="00162F0A">
        <w:tc>
          <w:tcPr>
            <w:tcW w:w="2547" w:type="dxa"/>
            <w:shd w:val="clear" w:color="auto" w:fill="auto"/>
          </w:tcPr>
          <w:p w14:paraId="5742BDDA" w14:textId="1EFD9E20" w:rsidR="00152972" w:rsidRPr="0036356F" w:rsidRDefault="007B29C9" w:rsidP="00C31A0C">
            <w:pPr>
              <w:spacing w:before="40" w:line="240" w:lineRule="auto"/>
              <w:rPr>
                <w:sz w:val="18"/>
                <w:szCs w:val="18"/>
              </w:rPr>
            </w:pPr>
            <w:r>
              <w:rPr>
                <w:sz w:val="18"/>
                <w:szCs w:val="18"/>
              </w:rPr>
              <w:t xml:space="preserve">3.3.a: </w:t>
            </w:r>
            <w:r w:rsidR="00C31A0C" w:rsidRPr="00C31A0C">
              <w:rPr>
                <w:sz w:val="18"/>
                <w:szCs w:val="18"/>
              </w:rPr>
              <w:t>Availability of peer exchanges</w:t>
            </w:r>
          </w:p>
        </w:tc>
        <w:tc>
          <w:tcPr>
            <w:tcW w:w="3282" w:type="dxa"/>
          </w:tcPr>
          <w:p w14:paraId="7B0EA16F" w14:textId="4CC54DCF" w:rsidR="00152972" w:rsidRPr="0036356F" w:rsidRDefault="00C31A0C" w:rsidP="00C31A0C">
            <w:pPr>
              <w:spacing w:before="40" w:line="240" w:lineRule="auto"/>
              <w:rPr>
                <w:sz w:val="18"/>
                <w:szCs w:val="18"/>
              </w:rPr>
            </w:pPr>
            <w:r w:rsidRPr="00C31A0C">
              <w:rPr>
                <w:sz w:val="18"/>
                <w:szCs w:val="18"/>
              </w:rPr>
              <w:t>By Q6, at least 3 peer exchanges have taken place</w:t>
            </w:r>
          </w:p>
        </w:tc>
        <w:tc>
          <w:tcPr>
            <w:tcW w:w="2927" w:type="dxa"/>
            <w:shd w:val="clear" w:color="auto" w:fill="92D050"/>
          </w:tcPr>
          <w:p w14:paraId="42DD3600" w14:textId="567A0995" w:rsidR="00162F0A" w:rsidRDefault="00162F0A" w:rsidP="00C31A0C">
            <w:pPr>
              <w:spacing w:before="40" w:line="240" w:lineRule="auto"/>
              <w:rPr>
                <w:iCs/>
                <w:sz w:val="18"/>
                <w:szCs w:val="18"/>
              </w:rPr>
            </w:pPr>
            <w:r>
              <w:rPr>
                <w:iCs/>
                <w:sz w:val="18"/>
                <w:szCs w:val="18"/>
              </w:rPr>
              <w:t>Regional CB workshop at IRH, 27 February 2019</w:t>
            </w:r>
          </w:p>
          <w:p w14:paraId="03C6C6AC" w14:textId="072C203B" w:rsidR="00152972" w:rsidRDefault="00C97CA1" w:rsidP="00C31A0C">
            <w:pPr>
              <w:spacing w:before="40" w:line="240" w:lineRule="auto"/>
              <w:rPr>
                <w:iCs/>
                <w:sz w:val="18"/>
                <w:szCs w:val="18"/>
              </w:rPr>
            </w:pPr>
            <w:r w:rsidRPr="00C97CA1">
              <w:rPr>
                <w:iCs/>
                <w:sz w:val="18"/>
                <w:szCs w:val="18"/>
              </w:rPr>
              <w:t xml:space="preserve">Regional Workshop </w:t>
            </w:r>
            <w:r w:rsidR="00F92FA8">
              <w:rPr>
                <w:iCs/>
                <w:sz w:val="18"/>
                <w:szCs w:val="18"/>
              </w:rPr>
              <w:t>in Podgorica, 12-13 February 2020</w:t>
            </w:r>
          </w:p>
          <w:p w14:paraId="730C1864" w14:textId="13FA21C2" w:rsidR="00B64518" w:rsidRPr="0036356F" w:rsidRDefault="00B64518" w:rsidP="00F63AAF">
            <w:pPr>
              <w:spacing w:before="40" w:line="240" w:lineRule="auto"/>
              <w:rPr>
                <w:iCs/>
                <w:sz w:val="18"/>
                <w:szCs w:val="18"/>
              </w:rPr>
            </w:pPr>
            <w:r>
              <w:rPr>
                <w:iCs/>
                <w:sz w:val="18"/>
                <w:szCs w:val="18"/>
              </w:rPr>
              <w:t>W</w:t>
            </w:r>
            <w:r w:rsidRPr="00B64518">
              <w:rPr>
                <w:iCs/>
                <w:sz w:val="18"/>
                <w:szCs w:val="18"/>
              </w:rPr>
              <w:t>ebinar with participation of Serbia and North Macedonia</w:t>
            </w:r>
            <w:r>
              <w:rPr>
                <w:iCs/>
                <w:sz w:val="18"/>
                <w:szCs w:val="18"/>
              </w:rPr>
              <w:t>, 24 June 2020</w:t>
            </w:r>
          </w:p>
        </w:tc>
        <w:tc>
          <w:tcPr>
            <w:tcW w:w="737" w:type="dxa"/>
            <w:shd w:val="clear" w:color="auto" w:fill="auto"/>
            <w:vAlign w:val="center"/>
          </w:tcPr>
          <w:p w14:paraId="3210A82B" w14:textId="2FE3DBE9" w:rsidR="00152972" w:rsidRPr="00F92FA8" w:rsidRDefault="00F92FA8" w:rsidP="00152972">
            <w:pPr>
              <w:spacing w:before="0"/>
              <w:jc w:val="center"/>
              <w:rPr>
                <w:sz w:val="20"/>
                <w:szCs w:val="20"/>
              </w:rPr>
            </w:pPr>
            <w:r>
              <w:rPr>
                <w:sz w:val="18"/>
                <w:szCs w:val="18"/>
              </w:rPr>
              <w:t>S</w:t>
            </w:r>
          </w:p>
        </w:tc>
      </w:tr>
      <w:tr w:rsidR="00C31A0C" w:rsidRPr="00BC6EC5" w14:paraId="06668748" w14:textId="77777777" w:rsidTr="005F0DD6">
        <w:tc>
          <w:tcPr>
            <w:tcW w:w="2547" w:type="dxa"/>
            <w:shd w:val="clear" w:color="auto" w:fill="auto"/>
          </w:tcPr>
          <w:p w14:paraId="1C5908D0" w14:textId="1F10B56B" w:rsidR="00C31A0C" w:rsidRPr="0036356F" w:rsidRDefault="007B29C9" w:rsidP="00C31A0C">
            <w:pPr>
              <w:spacing w:before="0" w:line="240" w:lineRule="auto"/>
              <w:rPr>
                <w:sz w:val="18"/>
                <w:szCs w:val="18"/>
              </w:rPr>
            </w:pPr>
            <w:r>
              <w:rPr>
                <w:sz w:val="18"/>
                <w:szCs w:val="18"/>
              </w:rPr>
              <w:t xml:space="preserve">3.3.b: </w:t>
            </w:r>
            <w:r w:rsidR="00C31A0C" w:rsidRPr="00C31A0C">
              <w:rPr>
                <w:sz w:val="18"/>
                <w:szCs w:val="18"/>
              </w:rPr>
              <w:t>Degree to which peer exchange learning is applied</w:t>
            </w:r>
          </w:p>
        </w:tc>
        <w:tc>
          <w:tcPr>
            <w:tcW w:w="3282" w:type="dxa"/>
          </w:tcPr>
          <w:p w14:paraId="1EB3E7B6" w14:textId="74038BE2" w:rsidR="00C31A0C" w:rsidRPr="00C31A0C" w:rsidRDefault="00C31A0C" w:rsidP="00C31A0C">
            <w:pPr>
              <w:spacing w:before="40" w:line="240" w:lineRule="auto"/>
              <w:rPr>
                <w:sz w:val="18"/>
                <w:szCs w:val="18"/>
              </w:rPr>
            </w:pPr>
            <w:r w:rsidRPr="00C31A0C">
              <w:rPr>
                <w:sz w:val="18"/>
                <w:szCs w:val="18"/>
              </w:rPr>
              <w:t>Most or nearly all participants report benefits from participation in post-exchange questionnaires (immediate ex post and three months later)</w:t>
            </w:r>
          </w:p>
        </w:tc>
        <w:tc>
          <w:tcPr>
            <w:tcW w:w="2927" w:type="dxa"/>
            <w:shd w:val="clear" w:color="auto" w:fill="auto"/>
          </w:tcPr>
          <w:p w14:paraId="76CCE3EA" w14:textId="7D0DE481" w:rsidR="00C31A0C" w:rsidRDefault="007B29C9" w:rsidP="00BD40D0">
            <w:pPr>
              <w:spacing w:before="40"/>
              <w:rPr>
                <w:iCs/>
                <w:sz w:val="18"/>
                <w:szCs w:val="18"/>
              </w:rPr>
            </w:pPr>
            <w:r>
              <w:rPr>
                <w:iCs/>
                <w:sz w:val="18"/>
                <w:szCs w:val="18"/>
              </w:rPr>
              <w:t>Information not available</w:t>
            </w:r>
          </w:p>
        </w:tc>
        <w:tc>
          <w:tcPr>
            <w:tcW w:w="737" w:type="dxa"/>
            <w:shd w:val="clear" w:color="auto" w:fill="auto"/>
            <w:vAlign w:val="center"/>
          </w:tcPr>
          <w:p w14:paraId="2D508E0E" w14:textId="77777777" w:rsidR="00C31A0C" w:rsidRPr="0036356F" w:rsidRDefault="00C31A0C" w:rsidP="00152972">
            <w:pPr>
              <w:spacing w:before="0"/>
              <w:jc w:val="center"/>
              <w:rPr>
                <w:sz w:val="18"/>
                <w:szCs w:val="18"/>
              </w:rPr>
            </w:pPr>
          </w:p>
        </w:tc>
      </w:tr>
    </w:tbl>
    <w:p w14:paraId="17DC0BA8" w14:textId="77777777" w:rsidR="00BA40E5" w:rsidRDefault="00BA40E5" w:rsidP="00195A82">
      <w:pPr>
        <w:pStyle w:val="NoSpacing"/>
        <w:spacing w:line="276" w:lineRule="auto"/>
        <w:jc w:val="both"/>
        <w:rPr>
          <w:b/>
        </w:rPr>
      </w:pPr>
    </w:p>
    <w:p w14:paraId="59C8F024" w14:textId="4E5A9115" w:rsidR="00C97CA1" w:rsidRDefault="00870FC7" w:rsidP="00765A00">
      <w:r>
        <w:t xml:space="preserve">As </w:t>
      </w:r>
      <w:r w:rsidR="00C97CA1">
        <w:t xml:space="preserve">mentioned in the section </w:t>
      </w:r>
      <w:r w:rsidR="00CD0B15">
        <w:t>‘</w:t>
      </w:r>
      <w:r w:rsidR="00C97CA1">
        <w:t>Project design</w:t>
      </w:r>
      <w:r w:rsidR="00CD0B15">
        <w:t>’ above</w:t>
      </w:r>
      <w:r w:rsidR="00C97CA1">
        <w:t xml:space="preserve">, the development of the MRV system has not been included </w:t>
      </w:r>
      <w:r w:rsidR="00CD0B15">
        <w:t xml:space="preserve">as an explicit result </w:t>
      </w:r>
      <w:r w:rsidR="00C97CA1">
        <w:t>in the project results framework. As the MRV system is the key deliverable of the project, progress in this regard is summarized in the text below.</w:t>
      </w:r>
    </w:p>
    <w:p w14:paraId="38FEDFE3" w14:textId="2DE1B5B5" w:rsidR="00765A00" w:rsidRDefault="00BA40E5" w:rsidP="00765A00">
      <w:r>
        <w:t xml:space="preserve">In 2019, </w:t>
      </w:r>
      <w:r w:rsidR="004662B2">
        <w:t xml:space="preserve">two international consultants with respective expertise on transparency and MRV, </w:t>
      </w:r>
      <w:r w:rsidR="004A179E">
        <w:t>w</w:t>
      </w:r>
      <w:r w:rsidR="004662B2">
        <w:t>ere</w:t>
      </w:r>
      <w:r w:rsidR="004A179E">
        <w:t xml:space="preserve"> appointed to conduct </w:t>
      </w:r>
      <w:r w:rsidR="004A179E" w:rsidRPr="004A179E">
        <w:t xml:space="preserve">gaps and needs </w:t>
      </w:r>
      <w:r w:rsidR="00765A00">
        <w:t xml:space="preserve">analysis and assessment </w:t>
      </w:r>
      <w:r w:rsidR="004A179E" w:rsidRPr="004A179E">
        <w:t xml:space="preserve">of </w:t>
      </w:r>
      <w:r w:rsidR="004A179E">
        <w:t xml:space="preserve">the </w:t>
      </w:r>
      <w:r w:rsidR="004A179E" w:rsidRPr="004A179E">
        <w:t xml:space="preserve">existing institutional arrangements, data flows, management systems, </w:t>
      </w:r>
      <w:r w:rsidR="004A179E">
        <w:t xml:space="preserve">as well as </w:t>
      </w:r>
      <w:r w:rsidR="004A179E" w:rsidRPr="004A179E">
        <w:t xml:space="preserve">communication tools </w:t>
      </w:r>
      <w:r w:rsidR="004A179E">
        <w:t xml:space="preserve">for MRV </w:t>
      </w:r>
      <w:r w:rsidR="004A179E" w:rsidRPr="004A179E">
        <w:t>data exchange, collection and reporting</w:t>
      </w:r>
      <w:r w:rsidR="004A179E">
        <w:t xml:space="preserve">. The </w:t>
      </w:r>
      <w:r w:rsidR="004662B2">
        <w:t xml:space="preserve">consultants were </w:t>
      </w:r>
      <w:r w:rsidR="004A179E">
        <w:t xml:space="preserve">also tasked to provide outline and </w:t>
      </w:r>
      <w:r w:rsidR="004A179E" w:rsidRPr="004A179E">
        <w:t>recommendations for development of a robust MRV system on climate change data and information, including relevant indicators and involving a wide range of stakeholders</w:t>
      </w:r>
      <w:r w:rsidR="004A179E">
        <w:t>.</w:t>
      </w:r>
    </w:p>
    <w:p w14:paraId="480C9C76" w14:textId="40A0C367" w:rsidR="007D1926" w:rsidRDefault="00D45FC4" w:rsidP="007D1926">
      <w:r>
        <w:t xml:space="preserve">Based upon </w:t>
      </w:r>
      <w:r w:rsidR="00765A00">
        <w:t xml:space="preserve">results of the above consultancy, UNDP launched international tender for </w:t>
      </w:r>
      <w:r w:rsidR="00765A00" w:rsidRPr="00765A00">
        <w:t>develop</w:t>
      </w:r>
      <w:r w:rsidR="00765A00">
        <w:t>ment</w:t>
      </w:r>
      <w:r w:rsidR="00765A00" w:rsidRPr="00765A00">
        <w:t xml:space="preserve"> </w:t>
      </w:r>
      <w:r>
        <w:t xml:space="preserve">of </w:t>
      </w:r>
      <w:r w:rsidR="00765A00" w:rsidRPr="00765A00">
        <w:t>a comprehensive MRV</w:t>
      </w:r>
      <w:r w:rsidR="007D1926">
        <w:t xml:space="preserve"> s</w:t>
      </w:r>
      <w:r w:rsidR="00765A00" w:rsidRPr="00765A00">
        <w:t xml:space="preserve">ystem </w:t>
      </w:r>
      <w:r w:rsidR="007D1926">
        <w:t xml:space="preserve">including development </w:t>
      </w:r>
      <w:r>
        <w:t xml:space="preserve">of an </w:t>
      </w:r>
      <w:r w:rsidR="007D1926">
        <w:t xml:space="preserve">online </w:t>
      </w:r>
      <w:r w:rsidR="00AD0955">
        <w:t xml:space="preserve">MVR </w:t>
      </w:r>
      <w:r w:rsidR="007D1926">
        <w:t>platform</w:t>
      </w:r>
      <w:r>
        <w:t xml:space="preserve"> and related software</w:t>
      </w:r>
      <w:r w:rsidR="007D1926">
        <w:t xml:space="preserve">. </w:t>
      </w:r>
      <w:r w:rsidR="00AD0955">
        <w:t xml:space="preserve">The contract was awarded to the </w:t>
      </w:r>
      <w:r w:rsidR="00AD0955" w:rsidRPr="007D1926">
        <w:t>Environment Agency Austria (</w:t>
      </w:r>
      <w:proofErr w:type="spellStart"/>
      <w:r w:rsidR="00AD0955" w:rsidRPr="007D1926">
        <w:t>U</w:t>
      </w:r>
      <w:r w:rsidR="00AD0955">
        <w:t>mweltbundesamt</w:t>
      </w:r>
      <w:proofErr w:type="spellEnd"/>
      <w:r w:rsidR="00AD0955">
        <w:t xml:space="preserve"> -UBA</w:t>
      </w:r>
      <w:r w:rsidR="00AD0955" w:rsidRPr="007D1926">
        <w:t>)</w:t>
      </w:r>
      <w:r w:rsidR="00AD0955">
        <w:t xml:space="preserve">. However, due to the COVID-19 outbreak in early 2020, the award of the </w:t>
      </w:r>
      <w:r w:rsidR="007D1926">
        <w:t xml:space="preserve">contract was </w:t>
      </w:r>
      <w:r>
        <w:t xml:space="preserve">postponed </w:t>
      </w:r>
      <w:r w:rsidR="007D1926">
        <w:t xml:space="preserve">by about 3 months. </w:t>
      </w:r>
    </w:p>
    <w:p w14:paraId="4BFA9B85" w14:textId="77777777" w:rsidR="00A36207" w:rsidRDefault="00BF3125" w:rsidP="00BF3125">
      <w:r>
        <w:t>By the end of 2020, UBA delivered a comprehensive report on current national policy and institutional frameworks in the climate change field as well as a p</w:t>
      </w:r>
      <w:r w:rsidRPr="00BF3125">
        <w:t xml:space="preserve">roposal for </w:t>
      </w:r>
      <w:r>
        <w:t>c</w:t>
      </w:r>
      <w:r w:rsidRPr="00BF3125">
        <w:t xml:space="preserve">onceptual </w:t>
      </w:r>
      <w:r>
        <w:t>f</w:t>
      </w:r>
      <w:r w:rsidRPr="00BF3125">
        <w:t xml:space="preserve">ramework for </w:t>
      </w:r>
      <w:r w:rsidR="00D45FC4">
        <w:t xml:space="preserve">the </w:t>
      </w:r>
      <w:r w:rsidRPr="00BF3125">
        <w:t>MRV</w:t>
      </w:r>
      <w:r w:rsidR="00D45FC4">
        <w:t xml:space="preserve"> that will ensure full compliance with the PCA </w:t>
      </w:r>
      <w:r w:rsidR="00796C8E">
        <w:t xml:space="preserve">requirements </w:t>
      </w:r>
      <w:r w:rsidR="00D45FC4">
        <w:t xml:space="preserve">as well as with the </w:t>
      </w:r>
      <w:r w:rsidR="00D45FC4" w:rsidRPr="00D45FC4">
        <w:rPr>
          <w:i/>
          <w:iCs/>
        </w:rPr>
        <w:t>EU acquis</w:t>
      </w:r>
      <w:r w:rsidR="00D45FC4">
        <w:rPr>
          <w:i/>
          <w:iCs/>
        </w:rPr>
        <w:t>.</w:t>
      </w:r>
      <w:r w:rsidR="00D45FC4">
        <w:t xml:space="preserve"> </w:t>
      </w:r>
      <w:r w:rsidR="001D46E1">
        <w:t xml:space="preserve">At the time of writing of this report, the work was on-going on design of the IT tool </w:t>
      </w:r>
      <w:r w:rsidR="001D46E1" w:rsidRPr="001D46E1">
        <w:t xml:space="preserve">for collection and storage of </w:t>
      </w:r>
      <w:r w:rsidR="001D46E1">
        <w:t xml:space="preserve">all </w:t>
      </w:r>
      <w:r w:rsidR="001D46E1" w:rsidRPr="001D46E1">
        <w:t xml:space="preserve">MRV-relevant data and information </w:t>
      </w:r>
      <w:r w:rsidR="001D46E1">
        <w:t xml:space="preserve">as a </w:t>
      </w:r>
      <w:r w:rsidR="001D46E1" w:rsidRPr="001D46E1">
        <w:t>common data basis to merge all climate-related data and information</w:t>
      </w:r>
      <w:r w:rsidR="001D46E1">
        <w:t>.</w:t>
      </w:r>
    </w:p>
    <w:p w14:paraId="43E394B2" w14:textId="037CBEE8" w:rsidR="00AD0955" w:rsidRDefault="00A36207" w:rsidP="00BF3125">
      <w:r>
        <w:rPr>
          <w:bCs/>
        </w:rPr>
        <w:lastRenderedPageBreak/>
        <w:t xml:space="preserve">According to the update provided by </w:t>
      </w:r>
      <w:r w:rsidR="00A17224">
        <w:rPr>
          <w:bCs/>
        </w:rPr>
        <w:t xml:space="preserve">the </w:t>
      </w:r>
      <w:r>
        <w:rPr>
          <w:bCs/>
        </w:rPr>
        <w:t>UBA</w:t>
      </w:r>
      <w:r w:rsidR="00A17224">
        <w:rPr>
          <w:bCs/>
        </w:rPr>
        <w:t xml:space="preserve"> consultants involved in the development the MRV system</w:t>
      </w:r>
      <w:r>
        <w:rPr>
          <w:bCs/>
        </w:rPr>
        <w:t xml:space="preserve">, the delivery of the fully operational MRV system including the IT tool, MPGs and </w:t>
      </w:r>
      <w:r w:rsidR="005F1A02">
        <w:rPr>
          <w:bCs/>
        </w:rPr>
        <w:t xml:space="preserve">a </w:t>
      </w:r>
      <w:r>
        <w:rPr>
          <w:bCs/>
        </w:rPr>
        <w:t>supporting training programme will be completed as originally planned, i.e. by the end of 2021</w:t>
      </w:r>
      <w:r w:rsidR="00A17224">
        <w:rPr>
          <w:bCs/>
        </w:rPr>
        <w:t xml:space="preserve">, despite the initial delay of the contract award. </w:t>
      </w:r>
      <w:r>
        <w:rPr>
          <w:bCs/>
        </w:rPr>
        <w:t xml:space="preserve"> </w:t>
      </w:r>
      <w:r w:rsidR="005F1A02">
        <w:t>T</w:t>
      </w:r>
      <w:r w:rsidR="00AD0955">
        <w:t xml:space="preserve">he Project Document does not set any explicit deadline for delivery and commissioning of the MRV system. </w:t>
      </w:r>
      <w:r w:rsidR="005F1A02">
        <w:t xml:space="preserve">Nevertheless, </w:t>
      </w:r>
      <w:r w:rsidR="00AD0955">
        <w:t xml:space="preserve">the project results framework contains </w:t>
      </w:r>
      <w:r w:rsidR="005F0DD6">
        <w:t>I</w:t>
      </w:r>
      <w:r w:rsidR="00AD0955">
        <w:t xml:space="preserve">ndicators </w:t>
      </w:r>
      <w:r w:rsidR="00605315">
        <w:t>1b and 2b (</w:t>
      </w:r>
      <w:r w:rsidR="00AD0955">
        <w:t>for Outcomes 1 and 2</w:t>
      </w:r>
      <w:r w:rsidR="00605315">
        <w:t>)</w:t>
      </w:r>
      <w:r w:rsidR="00AD0955">
        <w:t xml:space="preserve"> </w:t>
      </w:r>
      <w:r w:rsidR="005F0DD6">
        <w:t xml:space="preserve">as well as Indicator 3.1.d under this Outcome </w:t>
      </w:r>
      <w:r w:rsidR="00CC0A10">
        <w:t xml:space="preserve">with </w:t>
      </w:r>
      <w:r w:rsidR="00796C8E">
        <w:t xml:space="preserve">MTR targets for number of agencies </w:t>
      </w:r>
      <w:r w:rsidR="00CC0A10">
        <w:t xml:space="preserve">accessing and </w:t>
      </w:r>
      <w:r w:rsidR="00796C8E">
        <w:t xml:space="preserve">using the electronic MRV system as </w:t>
      </w:r>
      <w:r w:rsidR="00AD0955">
        <w:t>measure</w:t>
      </w:r>
      <w:r w:rsidR="00CC0A10">
        <w:t>s</w:t>
      </w:r>
      <w:r w:rsidR="00AD0955">
        <w:t xml:space="preserve"> </w:t>
      </w:r>
      <w:r w:rsidR="00796C8E">
        <w:t xml:space="preserve">of </w:t>
      </w:r>
      <w:r w:rsidR="00AD0955">
        <w:t xml:space="preserve">the level of participation </w:t>
      </w:r>
      <w:r w:rsidR="00605315">
        <w:t xml:space="preserve">in the </w:t>
      </w:r>
      <w:r w:rsidR="00CC0A10">
        <w:t xml:space="preserve">new </w:t>
      </w:r>
      <w:r w:rsidR="00605315">
        <w:t>MRV system</w:t>
      </w:r>
      <w:r w:rsidR="00AD0955">
        <w:t xml:space="preserve">. </w:t>
      </w:r>
    </w:p>
    <w:p w14:paraId="63B46973" w14:textId="42250D92" w:rsidR="00CD0B15" w:rsidRPr="005F1A02" w:rsidRDefault="00CD0B15" w:rsidP="00CD0B15">
      <w:pPr>
        <w:rPr>
          <w:bCs/>
        </w:rPr>
      </w:pPr>
      <w:r>
        <w:t>The underlying reason for not including the development of the MRV system as an explicit project result was the expected gradual evolution of the pre-project climate reporting system into a new fully functional MRV system in line with the PCA requirements. However, it would be very difficult to measure progress in using the system. Development of an IT tool for support of the MRV system is far better measurable indicator of progress.</w:t>
      </w:r>
    </w:p>
    <w:p w14:paraId="372B6AC5" w14:textId="2D3C3EF6" w:rsidR="00BF4023" w:rsidRDefault="005F0DD6" w:rsidP="00BF3125">
      <w:pPr>
        <w:rPr>
          <w:bCs/>
        </w:rPr>
      </w:pPr>
      <w:r>
        <w:rPr>
          <w:b/>
        </w:rPr>
        <w:t xml:space="preserve">Output 3.1: </w:t>
      </w:r>
      <w:r w:rsidR="00041AF8">
        <w:rPr>
          <w:bCs/>
        </w:rPr>
        <w:t>C</w:t>
      </w:r>
      <w:r w:rsidR="00041AF8" w:rsidRPr="00041AF8">
        <w:rPr>
          <w:bCs/>
        </w:rPr>
        <w:t xml:space="preserve">apacity building trainings for </w:t>
      </w:r>
      <w:r w:rsidR="00041AF8">
        <w:rPr>
          <w:bCs/>
        </w:rPr>
        <w:t>local governments (</w:t>
      </w:r>
      <w:r w:rsidR="00041AF8" w:rsidRPr="00041AF8">
        <w:rPr>
          <w:bCs/>
        </w:rPr>
        <w:t>LG</w:t>
      </w:r>
      <w:r w:rsidR="00041AF8">
        <w:rPr>
          <w:bCs/>
        </w:rPr>
        <w:t>)</w:t>
      </w:r>
      <w:r w:rsidR="00041AF8" w:rsidRPr="00041AF8">
        <w:rPr>
          <w:bCs/>
        </w:rPr>
        <w:t xml:space="preserve"> on development of Local Climate Change Adaptation Action Plans were conducted for more than </w:t>
      </w:r>
      <w:r w:rsidR="00041AF8">
        <w:rPr>
          <w:bCs/>
        </w:rPr>
        <w:t xml:space="preserve">50 representatives of </w:t>
      </w:r>
      <w:r w:rsidR="00C3394A">
        <w:rPr>
          <w:bCs/>
        </w:rPr>
        <w:t>20</w:t>
      </w:r>
      <w:r w:rsidR="00041AF8" w:rsidRPr="00041AF8">
        <w:rPr>
          <w:bCs/>
        </w:rPr>
        <w:t xml:space="preserve"> LG</w:t>
      </w:r>
      <w:r w:rsidR="00041AF8">
        <w:rPr>
          <w:bCs/>
        </w:rPr>
        <w:t>s</w:t>
      </w:r>
      <w:r w:rsidR="00041AF8" w:rsidRPr="00041AF8">
        <w:rPr>
          <w:bCs/>
        </w:rPr>
        <w:t xml:space="preserve"> within 3 river basins (</w:t>
      </w:r>
      <w:proofErr w:type="spellStart"/>
      <w:r w:rsidR="00041AF8" w:rsidRPr="00041AF8">
        <w:rPr>
          <w:bCs/>
        </w:rPr>
        <w:t>Kolubara</w:t>
      </w:r>
      <w:proofErr w:type="spellEnd"/>
      <w:r w:rsidR="00041AF8" w:rsidRPr="00041AF8">
        <w:rPr>
          <w:bCs/>
        </w:rPr>
        <w:t xml:space="preserve">, </w:t>
      </w:r>
      <w:proofErr w:type="spellStart"/>
      <w:r w:rsidR="00041AF8" w:rsidRPr="00041AF8">
        <w:rPr>
          <w:bCs/>
        </w:rPr>
        <w:t>Zapadna</w:t>
      </w:r>
      <w:proofErr w:type="spellEnd"/>
      <w:r w:rsidR="00041AF8" w:rsidRPr="00041AF8">
        <w:rPr>
          <w:bCs/>
        </w:rPr>
        <w:t xml:space="preserve"> Morava and </w:t>
      </w:r>
      <w:proofErr w:type="spellStart"/>
      <w:r w:rsidR="00041AF8" w:rsidRPr="00041AF8">
        <w:rPr>
          <w:bCs/>
        </w:rPr>
        <w:t>Gornje</w:t>
      </w:r>
      <w:proofErr w:type="spellEnd"/>
      <w:r w:rsidR="00041AF8" w:rsidRPr="00041AF8">
        <w:rPr>
          <w:bCs/>
        </w:rPr>
        <w:t xml:space="preserve"> </w:t>
      </w:r>
      <w:proofErr w:type="spellStart"/>
      <w:r w:rsidR="00041AF8" w:rsidRPr="00041AF8">
        <w:rPr>
          <w:bCs/>
        </w:rPr>
        <w:t>Podunavlje</w:t>
      </w:r>
      <w:proofErr w:type="spellEnd"/>
      <w:r w:rsidR="00041AF8" w:rsidRPr="00041AF8">
        <w:rPr>
          <w:bCs/>
        </w:rPr>
        <w:t>)</w:t>
      </w:r>
      <w:r w:rsidR="00041AF8">
        <w:rPr>
          <w:bCs/>
        </w:rPr>
        <w:t>.</w:t>
      </w:r>
      <w:r w:rsidR="00162F0A">
        <w:rPr>
          <w:bCs/>
        </w:rPr>
        <w:t xml:space="preserve"> This served as basis for development of Local Adaptation Plans for 3 LGs (</w:t>
      </w:r>
      <w:proofErr w:type="spellStart"/>
      <w:r w:rsidR="00162F0A" w:rsidRPr="00162F0A">
        <w:rPr>
          <w:bCs/>
        </w:rPr>
        <w:t>Ub</w:t>
      </w:r>
      <w:proofErr w:type="spellEnd"/>
      <w:r w:rsidR="00162F0A" w:rsidRPr="00162F0A">
        <w:rPr>
          <w:bCs/>
        </w:rPr>
        <w:t xml:space="preserve">, </w:t>
      </w:r>
      <w:proofErr w:type="spellStart"/>
      <w:r w:rsidR="00162F0A" w:rsidRPr="00162F0A">
        <w:rPr>
          <w:bCs/>
        </w:rPr>
        <w:t>Zrenjanin</w:t>
      </w:r>
      <w:proofErr w:type="spellEnd"/>
      <w:r w:rsidR="00162F0A" w:rsidRPr="00162F0A">
        <w:rPr>
          <w:bCs/>
        </w:rPr>
        <w:t xml:space="preserve"> and </w:t>
      </w:r>
      <w:proofErr w:type="spellStart"/>
      <w:r w:rsidR="00162F0A" w:rsidRPr="00162F0A">
        <w:rPr>
          <w:bCs/>
        </w:rPr>
        <w:t>Kraljevo</w:t>
      </w:r>
      <w:proofErr w:type="spellEnd"/>
      <w:r w:rsidR="00162F0A">
        <w:rPr>
          <w:bCs/>
        </w:rPr>
        <w:t>).</w:t>
      </w:r>
    </w:p>
    <w:p w14:paraId="0D415CC5" w14:textId="49A7AE9A" w:rsidR="00BF4023" w:rsidRDefault="00BF4023" w:rsidP="00BF3125">
      <w:pPr>
        <w:rPr>
          <w:bCs/>
        </w:rPr>
      </w:pPr>
      <w:r>
        <w:rPr>
          <w:bCs/>
        </w:rPr>
        <w:t xml:space="preserve">The current way of data reporting by the LGs will be soon upgraded through a </w:t>
      </w:r>
      <w:r w:rsidRPr="00BF4023">
        <w:rPr>
          <w:bCs/>
        </w:rPr>
        <w:t>Climate Smart Info</w:t>
      </w:r>
      <w:r>
        <w:rPr>
          <w:bCs/>
        </w:rPr>
        <w:t>rmation</w:t>
      </w:r>
      <w:r w:rsidRPr="00BF4023">
        <w:rPr>
          <w:bCs/>
        </w:rPr>
        <w:t xml:space="preserve"> System </w:t>
      </w:r>
      <w:r>
        <w:rPr>
          <w:bCs/>
        </w:rPr>
        <w:t xml:space="preserve">(CSIS) </w:t>
      </w:r>
      <w:r w:rsidRPr="00BF4023">
        <w:rPr>
          <w:bCs/>
        </w:rPr>
        <w:t xml:space="preserve">for LGs </w:t>
      </w:r>
      <w:r>
        <w:rPr>
          <w:bCs/>
        </w:rPr>
        <w:t xml:space="preserve">that </w:t>
      </w:r>
      <w:r w:rsidRPr="00BF4023">
        <w:rPr>
          <w:bCs/>
        </w:rPr>
        <w:t xml:space="preserve">is </w:t>
      </w:r>
      <w:r>
        <w:rPr>
          <w:bCs/>
        </w:rPr>
        <w:t xml:space="preserve">being developed </w:t>
      </w:r>
      <w:r w:rsidRPr="00BF4023">
        <w:rPr>
          <w:bCs/>
        </w:rPr>
        <w:t>covering energy,</w:t>
      </w:r>
      <w:r>
        <w:rPr>
          <w:bCs/>
        </w:rPr>
        <w:t xml:space="preserve"> traffic, </w:t>
      </w:r>
      <w:r w:rsidRPr="00BF4023">
        <w:rPr>
          <w:bCs/>
        </w:rPr>
        <w:t>waste</w:t>
      </w:r>
      <w:r>
        <w:rPr>
          <w:bCs/>
        </w:rPr>
        <w:t xml:space="preserve"> management and agriculture. This work is supported by a parallel GEF-funded project ‘</w:t>
      </w:r>
      <w:r w:rsidRPr="00BF4023">
        <w:rPr>
          <w:bCs/>
        </w:rPr>
        <w:t>Climate Smart Urban Development Challenge</w:t>
      </w:r>
      <w:r>
        <w:rPr>
          <w:bCs/>
        </w:rPr>
        <w:t>’. The CSIS tool will be linked to the comprehensive MRV IT tool developed under the CBIT project.</w:t>
      </w:r>
    </w:p>
    <w:p w14:paraId="69B10823" w14:textId="1DCC2823" w:rsidR="00327B8F" w:rsidRDefault="00F23675" w:rsidP="008A08BA">
      <w:pPr>
        <w:rPr>
          <w:bCs/>
        </w:rPr>
      </w:pPr>
      <w:r>
        <w:rPr>
          <w:b/>
        </w:rPr>
        <w:t xml:space="preserve">Output 3.2: </w:t>
      </w:r>
      <w:r w:rsidR="00327B8F">
        <w:rPr>
          <w:bCs/>
        </w:rPr>
        <w:t>National CO</w:t>
      </w:r>
      <w:r w:rsidR="00327B8F">
        <w:rPr>
          <w:bCs/>
          <w:vertAlign w:val="subscript"/>
        </w:rPr>
        <w:t xml:space="preserve">2 </w:t>
      </w:r>
      <w:r w:rsidR="00327B8F">
        <w:rPr>
          <w:bCs/>
        </w:rPr>
        <w:t xml:space="preserve">emission factor </w:t>
      </w:r>
      <w:r w:rsidR="00C97CA1">
        <w:rPr>
          <w:bCs/>
        </w:rPr>
        <w:t xml:space="preserve">and net calorific value </w:t>
      </w:r>
      <w:r w:rsidR="00327B8F">
        <w:rPr>
          <w:bCs/>
        </w:rPr>
        <w:t xml:space="preserve">for lignite that </w:t>
      </w:r>
      <w:r w:rsidR="00C97CA1">
        <w:rPr>
          <w:bCs/>
        </w:rPr>
        <w:t xml:space="preserve">had been </w:t>
      </w:r>
      <w:r w:rsidR="00327B8F">
        <w:rPr>
          <w:bCs/>
        </w:rPr>
        <w:t xml:space="preserve">used in the </w:t>
      </w:r>
      <w:r w:rsidR="005F0DD6">
        <w:rPr>
          <w:bCs/>
        </w:rPr>
        <w:t>1</w:t>
      </w:r>
      <w:r w:rsidR="00327B8F">
        <w:rPr>
          <w:bCs/>
        </w:rPr>
        <w:t xml:space="preserve">NC were recalculated </w:t>
      </w:r>
      <w:r w:rsidR="00C97CA1">
        <w:rPr>
          <w:bCs/>
        </w:rPr>
        <w:t xml:space="preserve">and provided as input for </w:t>
      </w:r>
      <w:r w:rsidR="00327B8F">
        <w:rPr>
          <w:bCs/>
        </w:rPr>
        <w:t xml:space="preserve">preparation of the </w:t>
      </w:r>
      <w:r w:rsidR="005F0DD6">
        <w:rPr>
          <w:bCs/>
        </w:rPr>
        <w:t>2</w:t>
      </w:r>
      <w:r w:rsidR="00327B8F">
        <w:rPr>
          <w:bCs/>
        </w:rPr>
        <w:t xml:space="preserve">BUR. </w:t>
      </w:r>
      <w:r w:rsidR="00C97CA1">
        <w:rPr>
          <w:bCs/>
        </w:rPr>
        <w:t>Furthermore, t</w:t>
      </w:r>
      <w:r w:rsidR="007E5E98">
        <w:rPr>
          <w:bCs/>
        </w:rPr>
        <w:t xml:space="preserve">he project commissioned preparation of </w:t>
      </w:r>
      <w:r w:rsidR="00C97CA1">
        <w:rPr>
          <w:bCs/>
        </w:rPr>
        <w:t xml:space="preserve">two </w:t>
      </w:r>
      <w:r w:rsidR="00327B8F">
        <w:rPr>
          <w:bCs/>
        </w:rPr>
        <w:t>report</w:t>
      </w:r>
      <w:r w:rsidR="00C97CA1">
        <w:rPr>
          <w:bCs/>
        </w:rPr>
        <w:t>s</w:t>
      </w:r>
      <w:r w:rsidR="00327B8F">
        <w:rPr>
          <w:bCs/>
        </w:rPr>
        <w:t xml:space="preserve"> with </w:t>
      </w:r>
      <w:r w:rsidR="00327B8F" w:rsidRPr="00327B8F">
        <w:rPr>
          <w:bCs/>
        </w:rPr>
        <w:t>recommendation</w:t>
      </w:r>
      <w:r w:rsidR="00327B8F">
        <w:rPr>
          <w:bCs/>
        </w:rPr>
        <w:t>s</w:t>
      </w:r>
      <w:r w:rsidR="00327B8F" w:rsidRPr="00327B8F">
        <w:rPr>
          <w:bCs/>
        </w:rPr>
        <w:t xml:space="preserve"> for </w:t>
      </w:r>
      <w:r w:rsidR="00C97CA1">
        <w:rPr>
          <w:bCs/>
        </w:rPr>
        <w:t>short-te</w:t>
      </w:r>
      <w:r w:rsidR="004F45AC">
        <w:rPr>
          <w:bCs/>
        </w:rPr>
        <w:t>r</w:t>
      </w:r>
      <w:r w:rsidR="00C97CA1">
        <w:rPr>
          <w:bCs/>
        </w:rPr>
        <w:t xml:space="preserve">m, </w:t>
      </w:r>
      <w:r w:rsidR="00327B8F" w:rsidRPr="00327B8F">
        <w:rPr>
          <w:bCs/>
        </w:rPr>
        <w:t>m</w:t>
      </w:r>
      <w:r w:rsidR="00327B8F">
        <w:rPr>
          <w:bCs/>
        </w:rPr>
        <w:t>e</w:t>
      </w:r>
      <w:r w:rsidR="00327B8F" w:rsidRPr="00327B8F">
        <w:rPr>
          <w:bCs/>
        </w:rPr>
        <w:t>d</w:t>
      </w:r>
      <w:r w:rsidR="00327B8F">
        <w:rPr>
          <w:bCs/>
        </w:rPr>
        <w:t>ium</w:t>
      </w:r>
      <w:r w:rsidR="00327B8F" w:rsidRPr="00327B8F">
        <w:rPr>
          <w:bCs/>
        </w:rPr>
        <w:t>-</w:t>
      </w:r>
      <w:r w:rsidR="00327B8F">
        <w:rPr>
          <w:bCs/>
        </w:rPr>
        <w:t xml:space="preserve"> </w:t>
      </w:r>
      <w:r w:rsidR="00327B8F" w:rsidRPr="00327B8F">
        <w:rPr>
          <w:bCs/>
        </w:rPr>
        <w:t>and long-term improvement</w:t>
      </w:r>
      <w:r w:rsidR="00C97CA1">
        <w:rPr>
          <w:bCs/>
        </w:rPr>
        <w:t>s</w:t>
      </w:r>
      <w:r w:rsidR="00327B8F" w:rsidRPr="00327B8F">
        <w:rPr>
          <w:bCs/>
        </w:rPr>
        <w:t xml:space="preserve"> of </w:t>
      </w:r>
      <w:r w:rsidR="00327B8F">
        <w:rPr>
          <w:bCs/>
        </w:rPr>
        <w:t xml:space="preserve">the </w:t>
      </w:r>
      <w:r w:rsidR="00327B8F" w:rsidRPr="00327B8F">
        <w:rPr>
          <w:bCs/>
        </w:rPr>
        <w:t xml:space="preserve">part of </w:t>
      </w:r>
      <w:r w:rsidR="00F92FA8">
        <w:rPr>
          <w:bCs/>
        </w:rPr>
        <w:t xml:space="preserve">the </w:t>
      </w:r>
      <w:r w:rsidR="00327B8F" w:rsidRPr="00327B8F">
        <w:rPr>
          <w:bCs/>
        </w:rPr>
        <w:t xml:space="preserve">GHG Inventory </w:t>
      </w:r>
      <w:r w:rsidR="00327B8F">
        <w:rPr>
          <w:bCs/>
        </w:rPr>
        <w:t>of the Agriculture, Forestry and Other Land Use (AFOLU) sector, based on analyses of S</w:t>
      </w:r>
      <w:r w:rsidR="00327B8F" w:rsidRPr="00327B8F">
        <w:rPr>
          <w:bCs/>
        </w:rPr>
        <w:t xml:space="preserve">oil </w:t>
      </w:r>
      <w:r w:rsidR="00327B8F">
        <w:rPr>
          <w:bCs/>
        </w:rPr>
        <w:t>O</w:t>
      </w:r>
      <w:r w:rsidR="00327B8F" w:rsidRPr="00327B8F">
        <w:rPr>
          <w:bCs/>
        </w:rPr>
        <w:t xml:space="preserve">rganic </w:t>
      </w:r>
      <w:r w:rsidR="00327B8F">
        <w:rPr>
          <w:bCs/>
        </w:rPr>
        <w:t>C</w:t>
      </w:r>
      <w:r w:rsidR="00327B8F" w:rsidRPr="00327B8F">
        <w:rPr>
          <w:bCs/>
        </w:rPr>
        <w:t>arbon</w:t>
      </w:r>
      <w:r w:rsidR="00327B8F">
        <w:rPr>
          <w:bCs/>
        </w:rPr>
        <w:t xml:space="preserve"> (SOC) stocks in 1</w:t>
      </w:r>
      <w:r w:rsidR="00327B8F" w:rsidRPr="00327B8F">
        <w:rPr>
          <w:bCs/>
        </w:rPr>
        <w:t>,324</w:t>
      </w:r>
      <w:r w:rsidR="00327B8F">
        <w:rPr>
          <w:bCs/>
        </w:rPr>
        <w:t xml:space="preserve"> </w:t>
      </w:r>
      <w:r w:rsidR="00327B8F" w:rsidRPr="00327B8F">
        <w:rPr>
          <w:bCs/>
        </w:rPr>
        <w:t>soil profiles</w:t>
      </w:r>
      <w:r w:rsidR="00327B8F">
        <w:rPr>
          <w:bCs/>
        </w:rPr>
        <w:t xml:space="preserve"> </w:t>
      </w:r>
      <w:r w:rsidR="00327B8F" w:rsidRPr="00327B8F">
        <w:rPr>
          <w:bCs/>
        </w:rPr>
        <w:t xml:space="preserve">from different land use categories </w:t>
      </w:r>
      <w:r w:rsidR="007E5E98">
        <w:rPr>
          <w:bCs/>
        </w:rPr>
        <w:t xml:space="preserve">in </w:t>
      </w:r>
      <w:r w:rsidR="007E5E98" w:rsidRPr="00327B8F">
        <w:rPr>
          <w:bCs/>
        </w:rPr>
        <w:t xml:space="preserve">the </w:t>
      </w:r>
      <w:r w:rsidR="00327B8F" w:rsidRPr="00327B8F">
        <w:rPr>
          <w:bCs/>
        </w:rPr>
        <w:t>period 1990-2018.</w:t>
      </w:r>
      <w:r w:rsidR="007E5E98">
        <w:rPr>
          <w:bCs/>
        </w:rPr>
        <w:t xml:space="preserve"> Both reports were prepared by national consultants.</w:t>
      </w:r>
    </w:p>
    <w:p w14:paraId="333D0C38" w14:textId="00DAF6D2" w:rsidR="00E3247A" w:rsidRPr="007E5E98" w:rsidRDefault="007E5E98" w:rsidP="008A08BA">
      <w:pPr>
        <w:rPr>
          <w:bCs/>
        </w:rPr>
      </w:pPr>
      <w:r>
        <w:rPr>
          <w:bCs/>
        </w:rPr>
        <w:t xml:space="preserve">Also, </w:t>
      </w:r>
      <w:r w:rsidR="008A08BA" w:rsidRPr="008A08BA">
        <w:rPr>
          <w:bCs/>
        </w:rPr>
        <w:t>SEPA</w:t>
      </w:r>
      <w:r w:rsidR="008A08BA">
        <w:rPr>
          <w:bCs/>
        </w:rPr>
        <w:t xml:space="preserve"> </w:t>
      </w:r>
      <w:r>
        <w:rPr>
          <w:bCs/>
        </w:rPr>
        <w:t>proposed to</w:t>
      </w:r>
      <w:r w:rsidR="008A08BA" w:rsidRPr="008A08BA">
        <w:rPr>
          <w:bCs/>
        </w:rPr>
        <w:t xml:space="preserve"> </w:t>
      </w:r>
      <w:r>
        <w:rPr>
          <w:bCs/>
        </w:rPr>
        <w:t xml:space="preserve">develop an integrated </w:t>
      </w:r>
      <w:r w:rsidRPr="008A08BA">
        <w:rPr>
          <w:bCs/>
        </w:rPr>
        <w:t xml:space="preserve">inventory </w:t>
      </w:r>
      <w:r>
        <w:rPr>
          <w:bCs/>
        </w:rPr>
        <w:t xml:space="preserve">reflecting </w:t>
      </w:r>
      <w:r w:rsidR="008A08BA" w:rsidRPr="008A08BA">
        <w:rPr>
          <w:bCs/>
        </w:rPr>
        <w:t xml:space="preserve">interrelations between </w:t>
      </w:r>
      <w:r>
        <w:rPr>
          <w:bCs/>
        </w:rPr>
        <w:t xml:space="preserve">GHG </w:t>
      </w:r>
      <w:r w:rsidR="008A08BA" w:rsidRPr="008A08BA">
        <w:rPr>
          <w:bCs/>
        </w:rPr>
        <w:t xml:space="preserve">and air pollutants </w:t>
      </w:r>
      <w:r>
        <w:rPr>
          <w:bCs/>
        </w:rPr>
        <w:t xml:space="preserve">that originate from the same </w:t>
      </w:r>
      <w:r w:rsidR="008A08BA" w:rsidRPr="008A08BA">
        <w:rPr>
          <w:bCs/>
        </w:rPr>
        <w:t xml:space="preserve">activity data and source categories. </w:t>
      </w:r>
    </w:p>
    <w:p w14:paraId="5E5C3982" w14:textId="7ACBA583" w:rsidR="00F92FA8" w:rsidRDefault="005F282C" w:rsidP="00C31A0C">
      <w:pPr>
        <w:pStyle w:val="NoSpacing"/>
        <w:spacing w:before="240" w:line="276" w:lineRule="auto"/>
        <w:jc w:val="both"/>
        <w:rPr>
          <w:bCs/>
        </w:rPr>
      </w:pPr>
      <w:r>
        <w:rPr>
          <w:b/>
        </w:rPr>
        <w:t xml:space="preserve">Output 3.3: </w:t>
      </w:r>
      <w:r w:rsidR="00F92FA8">
        <w:rPr>
          <w:bCs/>
        </w:rPr>
        <w:t xml:space="preserve">The following peer exchanges were organized </w:t>
      </w:r>
      <w:r w:rsidR="00162F0A">
        <w:rPr>
          <w:bCs/>
        </w:rPr>
        <w:t>by the GSP during the CBIT project:</w:t>
      </w:r>
    </w:p>
    <w:p w14:paraId="52CB49F5" w14:textId="767BD1CA" w:rsidR="00B64518" w:rsidRDefault="00B64518" w:rsidP="00162F0A">
      <w:pPr>
        <w:pStyle w:val="NoSpacing"/>
        <w:numPr>
          <w:ilvl w:val="0"/>
          <w:numId w:val="40"/>
        </w:numPr>
        <w:spacing w:before="120" w:line="276" w:lineRule="auto"/>
        <w:ind w:left="426" w:hanging="284"/>
        <w:jc w:val="both"/>
        <w:rPr>
          <w:bCs/>
        </w:rPr>
      </w:pPr>
      <w:r w:rsidRPr="00B64518">
        <w:rPr>
          <w:bCs/>
        </w:rPr>
        <w:t>Regional Capacity- building Workshop for Balkan Countries + Lebanon and Armenia on the Measurement, Reporting and Verification (MRV) and Transparency Framework</w:t>
      </w:r>
      <w:r>
        <w:rPr>
          <w:bCs/>
        </w:rPr>
        <w:t xml:space="preserve"> was held on 27 February 2019 with </w:t>
      </w:r>
      <w:r w:rsidR="00162F0A">
        <w:rPr>
          <w:bCs/>
        </w:rPr>
        <w:t>participation of Serbia. However, this was shortly before the official start of the Serbia CBIT project.</w:t>
      </w:r>
    </w:p>
    <w:p w14:paraId="42D185BF" w14:textId="398F8AC4" w:rsidR="00F92FA8" w:rsidRDefault="00F92FA8" w:rsidP="00162F0A">
      <w:pPr>
        <w:pStyle w:val="NoSpacing"/>
        <w:numPr>
          <w:ilvl w:val="0"/>
          <w:numId w:val="40"/>
        </w:numPr>
        <w:spacing w:before="120" w:line="276" w:lineRule="auto"/>
        <w:ind w:left="426" w:hanging="284"/>
        <w:jc w:val="both"/>
        <w:rPr>
          <w:bCs/>
        </w:rPr>
      </w:pPr>
      <w:r w:rsidRPr="00F92FA8">
        <w:rPr>
          <w:bCs/>
        </w:rPr>
        <w:lastRenderedPageBreak/>
        <w:t>3rd Regional Workshop on Supporting the Integration of Gender Considerations into MRV and Transparency Processes in the Western Balkan Countries and Lebanon</w:t>
      </w:r>
      <w:r>
        <w:rPr>
          <w:bCs/>
        </w:rPr>
        <w:t xml:space="preserve"> was held on 12-13 February 2020 in Podgorica, Montenegro.</w:t>
      </w:r>
      <w:r w:rsidRPr="00F92FA8">
        <w:t xml:space="preserve"> </w:t>
      </w:r>
      <w:r w:rsidRPr="00F92FA8">
        <w:rPr>
          <w:bCs/>
        </w:rPr>
        <w:t>The event gathered representatives of national institutions in charge of climate change MRV and transparency, as well as from institutions in</w:t>
      </w:r>
      <w:r>
        <w:rPr>
          <w:bCs/>
        </w:rPr>
        <w:t xml:space="preserve"> </w:t>
      </w:r>
      <w:r w:rsidRPr="00F92FA8">
        <w:rPr>
          <w:bCs/>
        </w:rPr>
        <w:t>charge of gender equality from Albania, Bosnia and Herzegovina, Montenegro, North Macedonia and Lebanon</w:t>
      </w:r>
      <w:r>
        <w:rPr>
          <w:bCs/>
        </w:rPr>
        <w:t xml:space="preserve">, </w:t>
      </w:r>
      <w:r w:rsidRPr="00F92FA8">
        <w:rPr>
          <w:bCs/>
        </w:rPr>
        <w:t>as well as representatives of France</w:t>
      </w:r>
      <w:r>
        <w:rPr>
          <w:bCs/>
        </w:rPr>
        <w:t xml:space="preserve">, Germany, </w:t>
      </w:r>
      <w:r w:rsidRPr="00F92FA8">
        <w:rPr>
          <w:bCs/>
        </w:rPr>
        <w:t>UNDP and UNFCCC</w:t>
      </w:r>
      <w:r>
        <w:rPr>
          <w:bCs/>
        </w:rPr>
        <w:t>.</w:t>
      </w:r>
      <w:r w:rsidR="007B29C9">
        <w:rPr>
          <w:bCs/>
        </w:rPr>
        <w:t xml:space="preserve"> All </w:t>
      </w:r>
      <w:r w:rsidR="00315666">
        <w:rPr>
          <w:bCs/>
        </w:rPr>
        <w:t xml:space="preserve">4 workshop participants </w:t>
      </w:r>
      <w:r w:rsidR="007B29C9">
        <w:rPr>
          <w:bCs/>
        </w:rPr>
        <w:t>from Serbia were women.</w:t>
      </w:r>
    </w:p>
    <w:p w14:paraId="758A1082" w14:textId="396C4308" w:rsidR="00F92FA8" w:rsidRDefault="00162F0A" w:rsidP="00162F0A">
      <w:pPr>
        <w:pStyle w:val="NoSpacing"/>
        <w:numPr>
          <w:ilvl w:val="0"/>
          <w:numId w:val="40"/>
        </w:numPr>
        <w:spacing w:before="120" w:line="276" w:lineRule="auto"/>
        <w:ind w:left="426" w:hanging="284"/>
        <w:jc w:val="both"/>
        <w:rPr>
          <w:bCs/>
        </w:rPr>
      </w:pPr>
      <w:r>
        <w:rPr>
          <w:bCs/>
        </w:rPr>
        <w:t>A w</w:t>
      </w:r>
      <w:r w:rsidR="00B23DD1">
        <w:rPr>
          <w:bCs/>
        </w:rPr>
        <w:t xml:space="preserve">ebinar with participation of Serbia and North Macedonia was organized </w:t>
      </w:r>
      <w:r>
        <w:rPr>
          <w:bCs/>
        </w:rPr>
        <w:t xml:space="preserve">on 24 June 2020, </w:t>
      </w:r>
      <w:r w:rsidR="00B23DD1">
        <w:rPr>
          <w:bCs/>
        </w:rPr>
        <w:t xml:space="preserve">in order to exchange experiences from implementation of the respective CBIT projects in the two countries and discuss moving towards </w:t>
      </w:r>
      <w:r>
        <w:rPr>
          <w:bCs/>
        </w:rPr>
        <w:t xml:space="preserve">BTRs </w:t>
      </w:r>
      <w:r w:rsidR="00B23DD1">
        <w:rPr>
          <w:bCs/>
        </w:rPr>
        <w:t>under the PCA ETF.</w:t>
      </w:r>
    </w:p>
    <w:p w14:paraId="084ACC3D" w14:textId="77777777" w:rsidR="004020B2" w:rsidRDefault="002F1BC4" w:rsidP="00587F90">
      <w:pPr>
        <w:pStyle w:val="NoSpacing"/>
        <w:spacing w:before="240" w:line="276" w:lineRule="auto"/>
        <w:jc w:val="both"/>
        <w:rPr>
          <w:b/>
        </w:rPr>
      </w:pPr>
      <w:r>
        <w:rPr>
          <w:b/>
        </w:rPr>
        <w:t xml:space="preserve">Summary assessment of Outcome 3: </w:t>
      </w:r>
    </w:p>
    <w:p w14:paraId="7405A1A7" w14:textId="404AC667" w:rsidR="00162F0A" w:rsidRDefault="00162F0A" w:rsidP="000347EB">
      <w:pPr>
        <w:pStyle w:val="NoSpacing"/>
        <w:spacing w:before="240" w:line="276" w:lineRule="auto"/>
        <w:jc w:val="both"/>
        <w:rPr>
          <w:bCs/>
        </w:rPr>
      </w:pPr>
      <w:r>
        <w:rPr>
          <w:bCs/>
        </w:rPr>
        <w:t xml:space="preserve">Capacity building for LGs progressed well in 2019 but </w:t>
      </w:r>
      <w:r w:rsidR="00AD78A3">
        <w:rPr>
          <w:bCs/>
        </w:rPr>
        <w:t>finally stayed short of the MTR target.  There is no information about capacity building of businesses.</w:t>
      </w:r>
    </w:p>
    <w:p w14:paraId="0FAA31CA" w14:textId="3707398F" w:rsidR="00AD78A3" w:rsidRDefault="006C28B4" w:rsidP="006C28B4">
      <w:pPr>
        <w:pStyle w:val="NoSpacing"/>
        <w:spacing w:before="120" w:line="276" w:lineRule="auto"/>
        <w:jc w:val="both"/>
        <w:rPr>
          <w:bCs/>
        </w:rPr>
      </w:pPr>
      <w:r w:rsidRPr="006C28B4">
        <w:rPr>
          <w:bCs/>
          <w:lang w:val="en-GB"/>
        </w:rPr>
        <w:t xml:space="preserve">A study on </w:t>
      </w:r>
      <w:r w:rsidR="0049364D">
        <w:rPr>
          <w:bCs/>
          <w:lang w:val="en-GB"/>
        </w:rPr>
        <w:t>‘</w:t>
      </w:r>
      <w:r w:rsidRPr="006C28B4">
        <w:rPr>
          <w:bCs/>
          <w:lang w:val="en-GB"/>
        </w:rPr>
        <w:t>Climate Financing in Serbia: Overview and Next Steps</w:t>
      </w:r>
      <w:r w:rsidR="0049364D">
        <w:rPr>
          <w:bCs/>
          <w:lang w:val="en-GB"/>
        </w:rPr>
        <w:t>’ was commissioned</w:t>
      </w:r>
      <w:r w:rsidRPr="006C28B4">
        <w:rPr>
          <w:bCs/>
          <w:lang w:val="en-GB"/>
        </w:rPr>
        <w:t xml:space="preserve"> as a </w:t>
      </w:r>
      <w:r w:rsidR="00AD78A3" w:rsidRPr="006C28B4">
        <w:rPr>
          <w:bCs/>
          <w:lang w:val="en-GB"/>
        </w:rPr>
        <w:t>pioneering attempt to analy</w:t>
      </w:r>
      <w:r>
        <w:rPr>
          <w:bCs/>
          <w:lang w:val="en-GB"/>
        </w:rPr>
        <w:t>s</w:t>
      </w:r>
      <w:r w:rsidRPr="006C28B4">
        <w:rPr>
          <w:bCs/>
          <w:lang w:val="en-GB"/>
        </w:rPr>
        <w:t xml:space="preserve">e </w:t>
      </w:r>
      <w:r w:rsidR="00AD78A3" w:rsidRPr="006C28B4">
        <w:rPr>
          <w:bCs/>
          <w:lang w:val="en-GB"/>
        </w:rPr>
        <w:t>climate</w:t>
      </w:r>
      <w:r w:rsidR="00AD78A3" w:rsidRPr="00AD78A3">
        <w:rPr>
          <w:bCs/>
        </w:rPr>
        <w:t xml:space="preserve"> change related financing in Serbia. </w:t>
      </w:r>
      <w:r>
        <w:rPr>
          <w:bCs/>
        </w:rPr>
        <w:t>The study</w:t>
      </w:r>
      <w:r w:rsidR="0049364D">
        <w:rPr>
          <w:bCs/>
        </w:rPr>
        <w:t>, released in December 2020,</w:t>
      </w:r>
      <w:r>
        <w:rPr>
          <w:bCs/>
        </w:rPr>
        <w:t xml:space="preserve"> </w:t>
      </w:r>
      <w:r w:rsidR="00AD78A3" w:rsidRPr="00AD78A3">
        <w:rPr>
          <w:bCs/>
        </w:rPr>
        <w:t>provides an overview of</w:t>
      </w:r>
      <w:r>
        <w:rPr>
          <w:bCs/>
        </w:rPr>
        <w:t xml:space="preserve"> </w:t>
      </w:r>
      <w:r w:rsidR="00AD78A3" w:rsidRPr="00AD78A3">
        <w:rPr>
          <w:bCs/>
        </w:rPr>
        <w:t xml:space="preserve">strategic and legal </w:t>
      </w:r>
      <w:r>
        <w:rPr>
          <w:bCs/>
        </w:rPr>
        <w:t xml:space="preserve">framework for </w:t>
      </w:r>
      <w:r w:rsidR="00AD78A3" w:rsidRPr="00AD78A3">
        <w:rPr>
          <w:bCs/>
        </w:rPr>
        <w:t xml:space="preserve">climate </w:t>
      </w:r>
      <w:r>
        <w:rPr>
          <w:bCs/>
        </w:rPr>
        <w:t xml:space="preserve">financing as well as </w:t>
      </w:r>
      <w:r w:rsidR="00AD78A3" w:rsidRPr="00AD78A3">
        <w:rPr>
          <w:bCs/>
        </w:rPr>
        <w:t>the current status of the budgetary framework in Serbia.</w:t>
      </w:r>
    </w:p>
    <w:p w14:paraId="05A8575C" w14:textId="61D8DF9E" w:rsidR="0049364D" w:rsidRDefault="0049364D" w:rsidP="0049364D">
      <w:pPr>
        <w:rPr>
          <w:bCs/>
        </w:rPr>
      </w:pPr>
      <w:r>
        <w:rPr>
          <w:bCs/>
        </w:rPr>
        <w:t xml:space="preserve">A </w:t>
      </w:r>
      <w:r w:rsidRPr="0049364D">
        <w:rPr>
          <w:bCs/>
        </w:rPr>
        <w:t>detailed database on support received related to climate change is presented within the draft 2BUR.</w:t>
      </w:r>
    </w:p>
    <w:p w14:paraId="2E63B4EA" w14:textId="255F40DA" w:rsidR="00CF5E23" w:rsidRPr="006C28B4" w:rsidRDefault="00002268" w:rsidP="000347EB">
      <w:pPr>
        <w:pStyle w:val="NoSpacing"/>
        <w:spacing w:before="240" w:line="276" w:lineRule="auto"/>
        <w:jc w:val="both"/>
        <w:rPr>
          <w:b/>
          <w:bCs/>
        </w:rPr>
      </w:pPr>
      <w:r>
        <w:t>Based on the above findings, the progress towards achievement of the end-of-project targets for Outcome 3 is rated</w:t>
      </w:r>
      <w:r w:rsidR="006C28B4">
        <w:t xml:space="preserve"> </w:t>
      </w:r>
      <w:r w:rsidR="006C28B4">
        <w:rPr>
          <w:b/>
          <w:bCs/>
        </w:rPr>
        <w:t>Satisfactory (S).</w:t>
      </w:r>
    </w:p>
    <w:p w14:paraId="5F8A30A0" w14:textId="77777777" w:rsidR="00EB41DA" w:rsidRDefault="00EB41DA">
      <w:pPr>
        <w:spacing w:before="0" w:line="240" w:lineRule="auto"/>
        <w:jc w:val="left"/>
        <w:rPr>
          <w:b/>
          <w:bCs/>
        </w:rPr>
      </w:pPr>
      <w:r>
        <w:rPr>
          <w:b/>
          <w:bCs/>
        </w:rPr>
        <w:br w:type="page"/>
      </w:r>
    </w:p>
    <w:p w14:paraId="56960B5E" w14:textId="490853F8" w:rsidR="005C6857" w:rsidRPr="006D3352" w:rsidRDefault="00C31A0C" w:rsidP="00EB41DA">
      <w:pPr>
        <w:spacing w:before="240" w:after="120" w:line="240" w:lineRule="auto"/>
        <w:jc w:val="left"/>
      </w:pPr>
      <w:r w:rsidRPr="006D3352">
        <w:rPr>
          <w:b/>
          <w:bCs/>
        </w:rPr>
        <w:lastRenderedPageBreak/>
        <w:t xml:space="preserve">Table </w:t>
      </w:r>
      <w:r w:rsidRPr="006D3352">
        <w:rPr>
          <w:b/>
          <w:bCs/>
        </w:rPr>
        <w:fldChar w:fldCharType="begin"/>
      </w:r>
      <w:r w:rsidRPr="006D3352">
        <w:rPr>
          <w:b/>
          <w:bCs/>
        </w:rPr>
        <w:instrText xml:space="preserve"> SEQ Table \* ARABIC </w:instrText>
      </w:r>
      <w:r w:rsidRPr="006D3352">
        <w:rPr>
          <w:b/>
          <w:bCs/>
        </w:rPr>
        <w:fldChar w:fldCharType="separate"/>
      </w:r>
      <w:r w:rsidR="004F45AC">
        <w:rPr>
          <w:b/>
          <w:bCs/>
          <w:noProof/>
        </w:rPr>
        <w:t>7</w:t>
      </w:r>
      <w:r w:rsidRPr="006D3352">
        <w:rPr>
          <w:b/>
          <w:bCs/>
        </w:rPr>
        <w:fldChar w:fldCharType="end"/>
      </w:r>
      <w:r w:rsidRPr="006D3352">
        <w:rPr>
          <w:b/>
          <w:bCs/>
        </w:rPr>
        <w:t>:</w:t>
      </w:r>
      <w:r w:rsidRPr="006D3352">
        <w:t xml:space="preserve"> </w:t>
      </w:r>
      <w:r w:rsidR="005C6857" w:rsidRPr="006D3352">
        <w:t xml:space="preserve">Achievements at MTR for </w:t>
      </w:r>
      <w:r w:rsidR="005E7610" w:rsidRPr="006D3352">
        <w:t>Outcome</w:t>
      </w:r>
      <w:r w:rsidR="00D4115A" w:rsidRPr="006D3352">
        <w:t xml:space="preserve"> 4</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4115A" w:rsidRPr="005C3BB8" w14:paraId="6BC7A18B" w14:textId="77777777" w:rsidTr="00C31A0C">
        <w:tc>
          <w:tcPr>
            <w:tcW w:w="9493" w:type="dxa"/>
          </w:tcPr>
          <w:p w14:paraId="553EF847" w14:textId="77777777" w:rsidR="00D4115A" w:rsidRPr="001B4950" w:rsidRDefault="005C3BB8" w:rsidP="001B4950">
            <w:pPr>
              <w:spacing w:before="40"/>
              <w:rPr>
                <w:rFonts w:eastAsia="Calibri"/>
                <w:b/>
                <w:sz w:val="18"/>
                <w:szCs w:val="18"/>
                <w:lang w:val="en-US" w:eastAsia="en-US"/>
              </w:rPr>
            </w:pPr>
            <w:r w:rsidRPr="001B4950">
              <w:rPr>
                <w:rFonts w:eastAsia="Calibri"/>
                <w:b/>
                <w:sz w:val="18"/>
                <w:szCs w:val="18"/>
                <w:lang w:val="en-US" w:eastAsia="en-US"/>
              </w:rPr>
              <w:t>Component/ Outcome 4: Knowledge Management and M&amp;E</w:t>
            </w:r>
          </w:p>
        </w:tc>
      </w:tr>
    </w:tbl>
    <w:p w14:paraId="648D44F5" w14:textId="77777777" w:rsidR="00D4115A" w:rsidRPr="005C3BB8" w:rsidRDefault="00D4115A" w:rsidP="00D4115A">
      <w:pPr>
        <w:spacing w:before="0"/>
        <w:rPr>
          <w:rFonts w:eastAsia="Calibri"/>
          <w:b/>
          <w:sz w:val="18"/>
          <w:szCs w:val="18"/>
          <w:lang w:val="en-US"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35"/>
        <w:gridCol w:w="3969"/>
        <w:gridCol w:w="851"/>
      </w:tblGrid>
      <w:tr w:rsidR="002D7285" w:rsidRPr="005C3BB8" w14:paraId="56E867E0" w14:textId="77777777" w:rsidTr="00C31A0C">
        <w:trPr>
          <w:tblHeader/>
        </w:trPr>
        <w:tc>
          <w:tcPr>
            <w:tcW w:w="9493" w:type="dxa"/>
            <w:gridSpan w:val="4"/>
            <w:shd w:val="clear" w:color="auto" w:fill="auto"/>
          </w:tcPr>
          <w:p w14:paraId="1A9B67C3" w14:textId="3329EF0D" w:rsidR="002D7285" w:rsidRPr="005C3BB8" w:rsidRDefault="002D7285" w:rsidP="002D7285">
            <w:pPr>
              <w:spacing w:before="0"/>
              <w:rPr>
                <w:b/>
                <w:sz w:val="18"/>
                <w:szCs w:val="18"/>
              </w:rPr>
            </w:pPr>
            <w:r>
              <w:rPr>
                <w:b/>
                <w:sz w:val="18"/>
                <w:szCs w:val="18"/>
              </w:rPr>
              <w:t>Out</w:t>
            </w:r>
            <w:r w:rsidR="006306DA">
              <w:rPr>
                <w:b/>
                <w:sz w:val="18"/>
                <w:szCs w:val="18"/>
              </w:rPr>
              <w:t>put</w:t>
            </w:r>
            <w:r>
              <w:rPr>
                <w:b/>
                <w:sz w:val="18"/>
                <w:szCs w:val="18"/>
              </w:rPr>
              <w:t xml:space="preserve"> 4.1: </w:t>
            </w:r>
            <w:r w:rsidR="00C31A0C">
              <w:rPr>
                <w:b/>
                <w:sz w:val="18"/>
                <w:szCs w:val="18"/>
              </w:rPr>
              <w:t>Not defined</w:t>
            </w:r>
          </w:p>
        </w:tc>
      </w:tr>
      <w:tr w:rsidR="00D4115A" w:rsidRPr="005C3BB8" w14:paraId="5CEA0951" w14:textId="77777777" w:rsidTr="0049364D">
        <w:trPr>
          <w:tblHeader/>
        </w:trPr>
        <w:tc>
          <w:tcPr>
            <w:tcW w:w="1838" w:type="dxa"/>
            <w:shd w:val="clear" w:color="auto" w:fill="auto"/>
          </w:tcPr>
          <w:p w14:paraId="2CE5D385" w14:textId="77777777" w:rsidR="00D4115A" w:rsidRPr="005C3BB8" w:rsidRDefault="00D4115A" w:rsidP="00D4115A">
            <w:pPr>
              <w:spacing w:before="0"/>
              <w:jc w:val="center"/>
              <w:rPr>
                <w:b/>
                <w:sz w:val="18"/>
                <w:szCs w:val="18"/>
              </w:rPr>
            </w:pPr>
            <w:r w:rsidRPr="005C3BB8">
              <w:rPr>
                <w:rFonts w:eastAsia="Calibri"/>
                <w:b/>
                <w:bCs/>
                <w:color w:val="000000"/>
                <w:sz w:val="18"/>
                <w:szCs w:val="18"/>
                <w:lang w:eastAsia="en-US"/>
              </w:rPr>
              <w:t>Indicators</w:t>
            </w:r>
          </w:p>
        </w:tc>
        <w:tc>
          <w:tcPr>
            <w:tcW w:w="2835" w:type="dxa"/>
          </w:tcPr>
          <w:p w14:paraId="07F05250" w14:textId="77777777" w:rsidR="00D4115A" w:rsidRPr="005C3BB8" w:rsidRDefault="005C3BB8" w:rsidP="00D4115A">
            <w:pPr>
              <w:spacing w:before="0"/>
              <w:jc w:val="center"/>
              <w:rPr>
                <w:b/>
                <w:sz w:val="18"/>
                <w:szCs w:val="18"/>
              </w:rPr>
            </w:pPr>
            <w:r w:rsidRPr="005C3BB8">
              <w:rPr>
                <w:rFonts w:eastAsia="Calibri"/>
                <w:b/>
                <w:bCs/>
                <w:color w:val="000000"/>
                <w:sz w:val="18"/>
                <w:szCs w:val="18"/>
                <w:lang w:eastAsia="en-US"/>
              </w:rPr>
              <w:t xml:space="preserve">Mid-Term </w:t>
            </w:r>
            <w:r w:rsidR="00D4115A" w:rsidRPr="005C3BB8">
              <w:rPr>
                <w:rFonts w:eastAsia="Calibri"/>
                <w:b/>
                <w:bCs/>
                <w:color w:val="000000"/>
                <w:sz w:val="18"/>
                <w:szCs w:val="18"/>
                <w:lang w:eastAsia="en-US"/>
              </w:rPr>
              <w:t>Targets</w:t>
            </w:r>
          </w:p>
        </w:tc>
        <w:tc>
          <w:tcPr>
            <w:tcW w:w="3969" w:type="dxa"/>
            <w:shd w:val="clear" w:color="auto" w:fill="auto"/>
          </w:tcPr>
          <w:p w14:paraId="299274FF" w14:textId="77777777" w:rsidR="00D4115A" w:rsidRPr="005C3BB8" w:rsidRDefault="00D4115A" w:rsidP="00D4115A">
            <w:pPr>
              <w:spacing w:before="0"/>
              <w:jc w:val="center"/>
              <w:rPr>
                <w:b/>
                <w:sz w:val="18"/>
                <w:szCs w:val="18"/>
              </w:rPr>
            </w:pPr>
            <w:r w:rsidRPr="005C3BB8">
              <w:rPr>
                <w:b/>
                <w:sz w:val="18"/>
                <w:szCs w:val="18"/>
              </w:rPr>
              <w:t>Status at MTR</w:t>
            </w:r>
          </w:p>
        </w:tc>
        <w:tc>
          <w:tcPr>
            <w:tcW w:w="851" w:type="dxa"/>
          </w:tcPr>
          <w:p w14:paraId="729F1B5F" w14:textId="77777777" w:rsidR="00D4115A" w:rsidRPr="005C3BB8" w:rsidRDefault="00D4115A" w:rsidP="00D4115A">
            <w:pPr>
              <w:spacing w:before="0"/>
              <w:jc w:val="center"/>
              <w:rPr>
                <w:b/>
                <w:sz w:val="18"/>
                <w:szCs w:val="18"/>
              </w:rPr>
            </w:pPr>
            <w:r w:rsidRPr="005C3BB8">
              <w:rPr>
                <w:b/>
                <w:sz w:val="18"/>
                <w:szCs w:val="18"/>
              </w:rPr>
              <w:t>Rating</w:t>
            </w:r>
          </w:p>
        </w:tc>
      </w:tr>
      <w:tr w:rsidR="004876E8" w:rsidRPr="005C3BB8" w14:paraId="4630D8A7" w14:textId="77777777" w:rsidTr="0049364D">
        <w:tc>
          <w:tcPr>
            <w:tcW w:w="1838" w:type="dxa"/>
            <w:shd w:val="clear" w:color="auto" w:fill="auto"/>
          </w:tcPr>
          <w:p w14:paraId="1974415E" w14:textId="552EC74F" w:rsidR="00D4115A" w:rsidRPr="005C3BB8" w:rsidRDefault="007B29C9" w:rsidP="007B29C9">
            <w:pPr>
              <w:spacing w:before="40" w:line="240" w:lineRule="auto"/>
              <w:rPr>
                <w:bCs/>
                <w:sz w:val="18"/>
                <w:szCs w:val="18"/>
              </w:rPr>
            </w:pPr>
            <w:r>
              <w:rPr>
                <w:sz w:val="18"/>
                <w:szCs w:val="18"/>
              </w:rPr>
              <w:t xml:space="preserve">4.1.a: </w:t>
            </w:r>
            <w:r w:rsidR="00C31A0C" w:rsidRPr="00C31A0C">
              <w:rPr>
                <w:sz w:val="18"/>
                <w:szCs w:val="18"/>
              </w:rPr>
              <w:t>Level of dissemination of knowledge products produced by the project</w:t>
            </w:r>
          </w:p>
        </w:tc>
        <w:tc>
          <w:tcPr>
            <w:tcW w:w="2835" w:type="dxa"/>
          </w:tcPr>
          <w:p w14:paraId="4FAFE47F" w14:textId="45056211" w:rsidR="005C3BB8" w:rsidRPr="001B4950" w:rsidRDefault="004876E8" w:rsidP="00C31A0C">
            <w:pPr>
              <w:pStyle w:val="NoSpacing"/>
              <w:spacing w:before="40"/>
              <w:rPr>
                <w:sz w:val="18"/>
                <w:szCs w:val="18"/>
                <w:lang w:val="en-GB"/>
              </w:rPr>
            </w:pPr>
            <w:r w:rsidRPr="004876E8">
              <w:rPr>
                <w:sz w:val="18"/>
                <w:szCs w:val="18"/>
                <w:lang w:val="en-GB"/>
              </w:rPr>
              <w:t>Findings from the project have been presented internally within UNDP at the CO and regional level</w:t>
            </w:r>
          </w:p>
        </w:tc>
        <w:tc>
          <w:tcPr>
            <w:tcW w:w="3969" w:type="dxa"/>
            <w:shd w:val="clear" w:color="auto" w:fill="92D050"/>
          </w:tcPr>
          <w:p w14:paraId="4371D907" w14:textId="77777777" w:rsidR="00D26152" w:rsidRDefault="007B29C9" w:rsidP="007B29C9">
            <w:pPr>
              <w:spacing w:before="40" w:line="240" w:lineRule="auto"/>
              <w:rPr>
                <w:iCs/>
                <w:sz w:val="18"/>
                <w:szCs w:val="18"/>
              </w:rPr>
            </w:pPr>
            <w:r w:rsidRPr="00C97CA1">
              <w:rPr>
                <w:iCs/>
                <w:sz w:val="18"/>
                <w:szCs w:val="18"/>
              </w:rPr>
              <w:t xml:space="preserve">Regional Workshop </w:t>
            </w:r>
            <w:r>
              <w:rPr>
                <w:iCs/>
                <w:sz w:val="18"/>
                <w:szCs w:val="18"/>
              </w:rPr>
              <w:t xml:space="preserve">in Podgorica, 12-13 February 2020 </w:t>
            </w:r>
          </w:p>
          <w:p w14:paraId="0AB46BB4" w14:textId="58145C2E" w:rsidR="00195A82" w:rsidRDefault="005D15F8" w:rsidP="005D15F8">
            <w:pPr>
              <w:spacing w:before="40" w:line="240" w:lineRule="auto"/>
              <w:rPr>
                <w:iCs/>
                <w:sz w:val="18"/>
                <w:szCs w:val="18"/>
              </w:rPr>
            </w:pPr>
            <w:r w:rsidRPr="005D15F8">
              <w:rPr>
                <w:iCs/>
                <w:sz w:val="18"/>
                <w:szCs w:val="18"/>
              </w:rPr>
              <w:t>Bilateral Consultation on Mainstreaming Gender into Climate Change: Sharing Experience from Serbia to Kazakhstan</w:t>
            </w:r>
            <w:r w:rsidR="00F63AAF">
              <w:rPr>
                <w:iCs/>
                <w:sz w:val="18"/>
                <w:szCs w:val="18"/>
              </w:rPr>
              <w:t>, 27 August 2021</w:t>
            </w:r>
          </w:p>
          <w:p w14:paraId="511AD01C" w14:textId="77777777" w:rsidR="005D15F8" w:rsidRDefault="005D15F8" w:rsidP="005D15F8">
            <w:pPr>
              <w:spacing w:before="40" w:line="240" w:lineRule="auto"/>
              <w:rPr>
                <w:iCs/>
                <w:sz w:val="18"/>
                <w:szCs w:val="18"/>
              </w:rPr>
            </w:pPr>
            <w:r w:rsidRPr="005D15F8">
              <w:rPr>
                <w:iCs/>
                <w:sz w:val="18"/>
                <w:szCs w:val="18"/>
              </w:rPr>
              <w:t>Experiences of Serbia and North Macedonia in implementation of their CBIT projects</w:t>
            </w:r>
          </w:p>
          <w:p w14:paraId="295B0B9E" w14:textId="206D7EBB" w:rsidR="00CA5374" w:rsidRPr="001B4950" w:rsidRDefault="00CA5374" w:rsidP="005D15F8">
            <w:pPr>
              <w:spacing w:before="40" w:line="240" w:lineRule="auto"/>
              <w:rPr>
                <w:iCs/>
                <w:sz w:val="18"/>
                <w:szCs w:val="18"/>
              </w:rPr>
            </w:pPr>
            <w:r>
              <w:rPr>
                <w:iCs/>
                <w:sz w:val="18"/>
                <w:szCs w:val="18"/>
              </w:rPr>
              <w:t>1</w:t>
            </w:r>
            <w:r w:rsidRPr="00016D46">
              <w:rPr>
                <w:iCs/>
                <w:sz w:val="18"/>
                <w:szCs w:val="18"/>
                <w:vertAlign w:val="superscript"/>
              </w:rPr>
              <w:t>st</w:t>
            </w:r>
            <w:r>
              <w:rPr>
                <w:iCs/>
                <w:sz w:val="18"/>
                <w:szCs w:val="18"/>
              </w:rPr>
              <w:t xml:space="preserve"> </w:t>
            </w:r>
            <w:r w:rsidRPr="00D26152">
              <w:rPr>
                <w:iCs/>
                <w:sz w:val="18"/>
                <w:szCs w:val="18"/>
              </w:rPr>
              <w:t>Annual Western Balkan and Eastern Europe Network meeting</w:t>
            </w:r>
            <w:r>
              <w:rPr>
                <w:iCs/>
                <w:sz w:val="18"/>
                <w:szCs w:val="18"/>
              </w:rPr>
              <w:t xml:space="preserve"> (virtual), 27 January 2021</w:t>
            </w:r>
          </w:p>
        </w:tc>
        <w:tc>
          <w:tcPr>
            <w:tcW w:w="851" w:type="dxa"/>
            <w:shd w:val="clear" w:color="auto" w:fill="auto"/>
            <w:vAlign w:val="center"/>
          </w:tcPr>
          <w:p w14:paraId="24D97A2D" w14:textId="074461E5" w:rsidR="00D4115A" w:rsidRPr="001B4950" w:rsidRDefault="007B29C9" w:rsidP="00D4115A">
            <w:pPr>
              <w:pStyle w:val="ListParagraph"/>
              <w:spacing w:before="0"/>
              <w:ind w:left="243"/>
              <w:jc w:val="center"/>
              <w:rPr>
                <w:rFonts w:eastAsia="Times New Roman"/>
                <w:bCs/>
                <w:sz w:val="18"/>
                <w:szCs w:val="18"/>
                <w:lang w:val="en-GB" w:eastAsia="en-GB"/>
              </w:rPr>
            </w:pPr>
            <w:r>
              <w:rPr>
                <w:rFonts w:eastAsia="Times New Roman"/>
                <w:bCs/>
                <w:sz w:val="18"/>
                <w:szCs w:val="18"/>
                <w:lang w:val="en-GB" w:eastAsia="en-GB"/>
              </w:rPr>
              <w:t>S</w:t>
            </w:r>
          </w:p>
        </w:tc>
      </w:tr>
      <w:tr w:rsidR="004876E8" w:rsidRPr="005C3BB8" w14:paraId="0553679D" w14:textId="77777777" w:rsidTr="0049364D">
        <w:tc>
          <w:tcPr>
            <w:tcW w:w="1838" w:type="dxa"/>
            <w:shd w:val="clear" w:color="auto" w:fill="auto"/>
          </w:tcPr>
          <w:p w14:paraId="29EC124B" w14:textId="33776112" w:rsidR="004876E8" w:rsidRPr="00C31A0C" w:rsidRDefault="007B29C9" w:rsidP="00C31A0C">
            <w:pPr>
              <w:spacing w:before="40" w:line="240" w:lineRule="auto"/>
              <w:rPr>
                <w:sz w:val="18"/>
                <w:szCs w:val="18"/>
              </w:rPr>
            </w:pPr>
            <w:r>
              <w:rPr>
                <w:sz w:val="18"/>
                <w:szCs w:val="18"/>
              </w:rPr>
              <w:t xml:space="preserve">4.1.b: </w:t>
            </w:r>
            <w:r w:rsidR="004876E8" w:rsidRPr="004876E8">
              <w:rPr>
                <w:sz w:val="18"/>
                <w:szCs w:val="18"/>
              </w:rPr>
              <w:t>Level of compliance with project M&amp;E plan</w:t>
            </w:r>
          </w:p>
        </w:tc>
        <w:tc>
          <w:tcPr>
            <w:tcW w:w="2835" w:type="dxa"/>
          </w:tcPr>
          <w:p w14:paraId="6086800A" w14:textId="409EA223" w:rsidR="004876E8" w:rsidRPr="004876E8" w:rsidRDefault="004876E8" w:rsidP="00C31A0C">
            <w:pPr>
              <w:pStyle w:val="NoSpacing"/>
              <w:spacing w:before="40"/>
              <w:rPr>
                <w:sz w:val="18"/>
                <w:szCs w:val="18"/>
                <w:lang w:val="en-GB"/>
              </w:rPr>
            </w:pPr>
            <w:r w:rsidRPr="004876E8">
              <w:rPr>
                <w:sz w:val="18"/>
                <w:szCs w:val="18"/>
                <w:lang w:val="en-GB"/>
              </w:rPr>
              <w:t>M&amp;E and adaptive management applied to project in response to needs, mid-term evaluation conducted, and its findings extracted</w:t>
            </w:r>
          </w:p>
        </w:tc>
        <w:tc>
          <w:tcPr>
            <w:tcW w:w="3969" w:type="dxa"/>
            <w:shd w:val="clear" w:color="auto" w:fill="92D050"/>
          </w:tcPr>
          <w:p w14:paraId="22EAF3B3" w14:textId="5A583A38" w:rsidR="004876E8" w:rsidRPr="001B4950" w:rsidRDefault="007B29C9" w:rsidP="00C31A0C">
            <w:pPr>
              <w:pStyle w:val="NoSpacing"/>
              <w:spacing w:before="40"/>
              <w:rPr>
                <w:iCs/>
                <w:sz w:val="18"/>
                <w:szCs w:val="18"/>
                <w:lang w:val="en-GB"/>
              </w:rPr>
            </w:pPr>
            <w:r>
              <w:rPr>
                <w:iCs/>
                <w:sz w:val="18"/>
                <w:szCs w:val="18"/>
                <w:lang w:val="en-GB"/>
              </w:rPr>
              <w:t>Mid-Term review conducted according to the M&amp;E plan</w:t>
            </w:r>
          </w:p>
        </w:tc>
        <w:tc>
          <w:tcPr>
            <w:tcW w:w="851" w:type="dxa"/>
            <w:shd w:val="clear" w:color="auto" w:fill="auto"/>
            <w:vAlign w:val="center"/>
          </w:tcPr>
          <w:p w14:paraId="2A93DB5E" w14:textId="4DE1F7CD" w:rsidR="004876E8" w:rsidRPr="001B4950" w:rsidRDefault="007B29C9" w:rsidP="00D4115A">
            <w:pPr>
              <w:pStyle w:val="ListParagraph"/>
              <w:spacing w:before="0"/>
              <w:ind w:left="243"/>
              <w:jc w:val="center"/>
              <w:rPr>
                <w:rFonts w:eastAsia="Times New Roman"/>
                <w:bCs/>
                <w:sz w:val="18"/>
                <w:szCs w:val="18"/>
                <w:lang w:val="en-GB" w:eastAsia="en-GB"/>
              </w:rPr>
            </w:pPr>
            <w:r>
              <w:rPr>
                <w:rFonts w:eastAsia="Times New Roman"/>
                <w:bCs/>
                <w:sz w:val="18"/>
                <w:szCs w:val="18"/>
                <w:lang w:val="en-GB" w:eastAsia="en-GB"/>
              </w:rPr>
              <w:t>S</w:t>
            </w:r>
          </w:p>
        </w:tc>
      </w:tr>
      <w:tr w:rsidR="004876E8" w:rsidRPr="005C3BB8" w14:paraId="72825CF1" w14:textId="77777777" w:rsidTr="0049364D">
        <w:tc>
          <w:tcPr>
            <w:tcW w:w="1838" w:type="dxa"/>
            <w:shd w:val="clear" w:color="auto" w:fill="auto"/>
          </w:tcPr>
          <w:p w14:paraId="5B88102E" w14:textId="69649612" w:rsidR="004876E8" w:rsidRPr="00C31A0C" w:rsidRDefault="007B29C9" w:rsidP="00C31A0C">
            <w:pPr>
              <w:spacing w:before="40" w:line="240" w:lineRule="auto"/>
              <w:rPr>
                <w:sz w:val="18"/>
                <w:szCs w:val="18"/>
              </w:rPr>
            </w:pPr>
            <w:r>
              <w:rPr>
                <w:sz w:val="18"/>
                <w:szCs w:val="18"/>
              </w:rPr>
              <w:t xml:space="preserve">4.1.c: </w:t>
            </w:r>
            <w:r w:rsidR="004876E8" w:rsidRPr="004876E8">
              <w:rPr>
                <w:sz w:val="18"/>
                <w:szCs w:val="18"/>
              </w:rPr>
              <w:t>Absolute levels of</w:t>
            </w:r>
            <w:r w:rsidR="004876E8">
              <w:rPr>
                <w:sz w:val="18"/>
                <w:szCs w:val="18"/>
              </w:rPr>
              <w:t xml:space="preserve"> </w:t>
            </w:r>
            <w:r w:rsidR="004876E8" w:rsidRPr="004876E8">
              <w:rPr>
                <w:sz w:val="18"/>
                <w:szCs w:val="18"/>
              </w:rPr>
              <w:t>awareness / capacity, and relative changes in awareness / capacity of project beneficiaries by gender</w:t>
            </w:r>
          </w:p>
        </w:tc>
        <w:tc>
          <w:tcPr>
            <w:tcW w:w="2835" w:type="dxa"/>
          </w:tcPr>
          <w:p w14:paraId="0DE188DC" w14:textId="53273703" w:rsidR="004876E8" w:rsidRPr="004876E8" w:rsidRDefault="004876E8" w:rsidP="00C31A0C">
            <w:pPr>
              <w:pStyle w:val="NoSpacing"/>
              <w:spacing w:before="40"/>
              <w:rPr>
                <w:sz w:val="18"/>
                <w:szCs w:val="18"/>
                <w:lang w:val="en-GB"/>
              </w:rPr>
            </w:pPr>
            <w:r w:rsidRPr="004876E8">
              <w:rPr>
                <w:sz w:val="18"/>
                <w:szCs w:val="18"/>
                <w:lang w:val="en-GB"/>
              </w:rPr>
              <w:t>Absolute awareness levels and relative changes in awareness among project beneficiaries do not differ significantly between women and men participating in capacity strengthening activities</w:t>
            </w:r>
          </w:p>
        </w:tc>
        <w:tc>
          <w:tcPr>
            <w:tcW w:w="3969" w:type="dxa"/>
            <w:shd w:val="clear" w:color="auto" w:fill="92D050"/>
          </w:tcPr>
          <w:p w14:paraId="43D4414C" w14:textId="77777777" w:rsidR="0049364D" w:rsidRDefault="00315666" w:rsidP="00C31A0C">
            <w:pPr>
              <w:pStyle w:val="NoSpacing"/>
              <w:spacing w:before="40"/>
              <w:rPr>
                <w:iCs/>
                <w:sz w:val="18"/>
                <w:szCs w:val="18"/>
                <w:lang w:val="en-GB"/>
              </w:rPr>
            </w:pPr>
            <w:r>
              <w:rPr>
                <w:iCs/>
                <w:sz w:val="18"/>
                <w:szCs w:val="18"/>
                <w:lang w:val="en-GB"/>
              </w:rPr>
              <w:t>60% of the IMWG are women</w:t>
            </w:r>
          </w:p>
          <w:p w14:paraId="368FBD4F" w14:textId="3FA373ED" w:rsidR="00315666" w:rsidRDefault="0049364D" w:rsidP="00C31A0C">
            <w:pPr>
              <w:pStyle w:val="NoSpacing"/>
              <w:spacing w:before="40"/>
              <w:rPr>
                <w:iCs/>
                <w:sz w:val="18"/>
                <w:szCs w:val="18"/>
                <w:lang w:val="en-GB"/>
              </w:rPr>
            </w:pPr>
            <w:r>
              <w:rPr>
                <w:iCs/>
                <w:sz w:val="18"/>
                <w:szCs w:val="18"/>
                <w:lang w:val="en-GB"/>
              </w:rPr>
              <w:t xml:space="preserve">High percentage of </w:t>
            </w:r>
            <w:r w:rsidR="00197F61">
              <w:rPr>
                <w:iCs/>
                <w:sz w:val="18"/>
                <w:szCs w:val="18"/>
                <w:lang w:val="en-GB"/>
              </w:rPr>
              <w:t>training participants were women</w:t>
            </w:r>
          </w:p>
          <w:p w14:paraId="204C12BA" w14:textId="200BD407" w:rsidR="004876E8" w:rsidRPr="001B4950" w:rsidRDefault="0049364D" w:rsidP="00C31A0C">
            <w:pPr>
              <w:pStyle w:val="NoSpacing"/>
              <w:spacing w:before="40"/>
              <w:rPr>
                <w:iCs/>
                <w:sz w:val="18"/>
                <w:szCs w:val="18"/>
                <w:lang w:val="en-GB"/>
              </w:rPr>
            </w:pPr>
            <w:r>
              <w:rPr>
                <w:iCs/>
                <w:sz w:val="18"/>
                <w:szCs w:val="18"/>
                <w:lang w:val="en-GB"/>
              </w:rPr>
              <w:t>No gender-based difference in awareness among project beneficiaries</w:t>
            </w:r>
          </w:p>
        </w:tc>
        <w:tc>
          <w:tcPr>
            <w:tcW w:w="851" w:type="dxa"/>
            <w:shd w:val="clear" w:color="auto" w:fill="auto"/>
            <w:vAlign w:val="center"/>
          </w:tcPr>
          <w:p w14:paraId="217722E5" w14:textId="430FBD67" w:rsidR="004876E8" w:rsidRPr="001B4950" w:rsidRDefault="007B29C9" w:rsidP="00D4115A">
            <w:pPr>
              <w:pStyle w:val="ListParagraph"/>
              <w:spacing w:before="0"/>
              <w:ind w:left="243"/>
              <w:jc w:val="center"/>
              <w:rPr>
                <w:rFonts w:eastAsia="Times New Roman"/>
                <w:bCs/>
                <w:sz w:val="18"/>
                <w:szCs w:val="18"/>
                <w:lang w:val="en-GB" w:eastAsia="en-GB"/>
              </w:rPr>
            </w:pPr>
            <w:r>
              <w:rPr>
                <w:rFonts w:eastAsia="Times New Roman"/>
                <w:bCs/>
                <w:sz w:val="18"/>
                <w:szCs w:val="18"/>
                <w:lang w:val="en-GB" w:eastAsia="en-GB"/>
              </w:rPr>
              <w:t>S</w:t>
            </w:r>
          </w:p>
        </w:tc>
      </w:tr>
    </w:tbl>
    <w:p w14:paraId="5AF4635F" w14:textId="77777777" w:rsidR="00D06E67" w:rsidRDefault="00D06E67">
      <w:pPr>
        <w:spacing w:before="0"/>
      </w:pPr>
    </w:p>
    <w:p w14:paraId="3646F2D2" w14:textId="3F67103A" w:rsidR="003E1D42" w:rsidRDefault="003E1D42">
      <w:pPr>
        <w:spacing w:before="0"/>
      </w:pPr>
      <w:r>
        <w:t xml:space="preserve">For organization of events on knowledge sharing and dissemination, the CBIT project benefited from support from </w:t>
      </w:r>
      <w:r w:rsidRPr="003E1D42">
        <w:t>the GSP project.</w:t>
      </w:r>
    </w:p>
    <w:p w14:paraId="6308097E" w14:textId="03177743" w:rsidR="005D15F8" w:rsidRDefault="00CA5374" w:rsidP="003E1D42">
      <w:r>
        <w:t>Experience from the Serbia CBIT project was presented at the 3</w:t>
      </w:r>
      <w:r w:rsidRPr="00CA5374">
        <w:rPr>
          <w:vertAlign w:val="superscript"/>
        </w:rPr>
        <w:t>rd</w:t>
      </w:r>
      <w:r>
        <w:t xml:space="preserve"> </w:t>
      </w:r>
      <w:r w:rsidRPr="00CA5374">
        <w:t>Regional Workshop on Supporting the Integration of Gender Considerations into MRV/Transparency Processes in the Western Balkan Countries and Lebanon</w:t>
      </w:r>
      <w:r>
        <w:t xml:space="preserve"> in Podgorica on 12 February 2020 and the </w:t>
      </w:r>
      <w:r w:rsidRPr="00CA5374">
        <w:t>1</w:t>
      </w:r>
      <w:r w:rsidRPr="00CA5374">
        <w:rPr>
          <w:vertAlign w:val="superscript"/>
        </w:rPr>
        <w:t>st</w:t>
      </w:r>
      <w:r>
        <w:t xml:space="preserve"> </w:t>
      </w:r>
      <w:r w:rsidRPr="00CA5374">
        <w:t>Annual Western Balkan and Eastern Europe Network meeting (virtual)</w:t>
      </w:r>
      <w:r w:rsidR="003321EC">
        <w:t xml:space="preserve"> on </w:t>
      </w:r>
      <w:r w:rsidRPr="00CA5374">
        <w:t>27 January 2021</w:t>
      </w:r>
      <w:r w:rsidR="003321EC">
        <w:t xml:space="preserve">. </w:t>
      </w:r>
    </w:p>
    <w:p w14:paraId="5473F152" w14:textId="54D41076" w:rsidR="003321EC" w:rsidRDefault="003321EC" w:rsidP="003321EC">
      <w:r>
        <w:t xml:space="preserve">In addition to the above, there were two knowledge sharing events, both organized in a virtual mode. In the first one held on 24 June, representatives of the PIU of the Serbia CBIT project </w:t>
      </w:r>
      <w:r w:rsidRPr="003321EC">
        <w:t>present</w:t>
      </w:r>
      <w:r>
        <w:t xml:space="preserve">ed the experience </w:t>
      </w:r>
      <w:r w:rsidRPr="003321EC">
        <w:t>in strengthening national transparency capacities for tracking NDC progress</w:t>
      </w:r>
      <w:r>
        <w:t xml:space="preserve"> as well as on </w:t>
      </w:r>
      <w:r w:rsidRPr="003321EC">
        <w:t>components, approaches and steps</w:t>
      </w:r>
      <w:r>
        <w:t xml:space="preserve"> progress </w:t>
      </w:r>
      <w:r w:rsidRPr="003321EC">
        <w:t>in establishing the national MRV system</w:t>
      </w:r>
      <w:r>
        <w:t xml:space="preserve"> </w:t>
      </w:r>
      <w:r w:rsidRPr="003321EC">
        <w:t>in Serbia.</w:t>
      </w:r>
      <w:r>
        <w:t xml:space="preserve"> This exchange of experience allowed other countries in the Western Balkans to learn from Serbian experience.</w:t>
      </w:r>
    </w:p>
    <w:p w14:paraId="122978C5" w14:textId="428F1F83" w:rsidR="003E1D42" w:rsidRDefault="003321EC" w:rsidP="003E1D42">
      <w:r>
        <w:t xml:space="preserve">Another example of knowledge sharing was the </w:t>
      </w:r>
      <w:r w:rsidRPr="003321EC">
        <w:t>Bilateral Consultation on Mainstreaming Gender into Climate Change</w:t>
      </w:r>
      <w:r>
        <w:t xml:space="preserve"> </w:t>
      </w:r>
      <w:r w:rsidR="003E1D42">
        <w:t xml:space="preserve">held on 27 August 2020. This allowed </w:t>
      </w:r>
      <w:r w:rsidR="003E1D42" w:rsidRPr="003E1D42">
        <w:t xml:space="preserve">experts and practitioners from Kazakhstan </w:t>
      </w:r>
      <w:r w:rsidR="003E1D42">
        <w:t xml:space="preserve">to </w:t>
      </w:r>
      <w:r w:rsidR="003E1D42" w:rsidRPr="003E1D42">
        <w:t xml:space="preserve">learn </w:t>
      </w:r>
      <w:r w:rsidR="003E1D42">
        <w:t xml:space="preserve">from </w:t>
      </w:r>
      <w:r w:rsidR="003E1D42" w:rsidRPr="003E1D42">
        <w:t>Serbia’s experience in collecting and analy</w:t>
      </w:r>
      <w:r w:rsidR="003E1D42">
        <w:t>s</w:t>
      </w:r>
      <w:r w:rsidR="003E1D42" w:rsidRPr="003E1D42">
        <w:t xml:space="preserve">ing sex-disaggregated data, establishing institutional set-up and coordination, </w:t>
      </w:r>
      <w:r w:rsidR="003E1D42">
        <w:t xml:space="preserve">as well as </w:t>
      </w:r>
      <w:r w:rsidR="003E1D42" w:rsidRPr="003E1D42">
        <w:t>performing capacity building exercises on gender and climate change.</w:t>
      </w:r>
      <w:r w:rsidR="003E1D42">
        <w:t xml:space="preserve"> </w:t>
      </w:r>
    </w:p>
    <w:p w14:paraId="144B7669" w14:textId="7FCD2663" w:rsidR="005D15F8" w:rsidRDefault="007B29C9" w:rsidP="005D15F8">
      <w:r>
        <w:t>The</w:t>
      </w:r>
      <w:r w:rsidR="00197F61">
        <w:t xml:space="preserve"> monitoring &amp; evaluation </w:t>
      </w:r>
      <w:r>
        <w:t xml:space="preserve">part of </w:t>
      </w:r>
      <w:r w:rsidR="00197F61">
        <w:t xml:space="preserve">Outcome 4 (Indicator 4.1.b) covers the MTR that has been conducted on time and in line with the standard procedures for GEF project implementation.  Adaptive management is discussed under the next section of this report. </w:t>
      </w:r>
    </w:p>
    <w:p w14:paraId="6B77F3B0" w14:textId="4D77A0D9" w:rsidR="00346FF1" w:rsidRDefault="00197F61" w:rsidP="003E1D42">
      <w:r>
        <w:t xml:space="preserve">The knowledge management and awareness part has also been implemented well, hence the </w:t>
      </w:r>
      <w:r w:rsidRPr="00197F61">
        <w:rPr>
          <w:b/>
          <w:bCs/>
        </w:rPr>
        <w:t>overall rating of Outcome 4 is Satisfactory (S).</w:t>
      </w:r>
    </w:p>
    <w:p w14:paraId="0B6616BA" w14:textId="6FE2204B" w:rsidR="00346FF1" w:rsidRPr="003E1D42" w:rsidRDefault="000D1E64" w:rsidP="003E1D42">
      <w:pPr>
        <w:spacing w:before="240" w:after="120"/>
      </w:pPr>
      <w:r w:rsidRPr="003E1D42">
        <w:rPr>
          <w:b/>
          <w:bCs/>
        </w:rPr>
        <w:lastRenderedPageBreak/>
        <w:t xml:space="preserve">Table </w:t>
      </w:r>
      <w:r w:rsidRPr="003E1D42">
        <w:rPr>
          <w:b/>
          <w:bCs/>
        </w:rPr>
        <w:fldChar w:fldCharType="begin"/>
      </w:r>
      <w:r w:rsidRPr="003E1D42">
        <w:rPr>
          <w:b/>
          <w:bCs/>
        </w:rPr>
        <w:instrText xml:space="preserve"> SEQ Table \* ARABIC </w:instrText>
      </w:r>
      <w:r w:rsidRPr="003E1D42">
        <w:rPr>
          <w:b/>
          <w:bCs/>
        </w:rPr>
        <w:fldChar w:fldCharType="separate"/>
      </w:r>
      <w:r w:rsidR="004F45AC">
        <w:rPr>
          <w:b/>
          <w:bCs/>
          <w:noProof/>
        </w:rPr>
        <w:t>8</w:t>
      </w:r>
      <w:r w:rsidRPr="003E1D42">
        <w:rPr>
          <w:b/>
          <w:bCs/>
        </w:rPr>
        <w:fldChar w:fldCharType="end"/>
      </w:r>
      <w:r w:rsidRPr="003E1D42">
        <w:rPr>
          <w:b/>
          <w:bCs/>
        </w:rPr>
        <w:t>:</w:t>
      </w:r>
      <w:r w:rsidRPr="003E1D42">
        <w:t xml:space="preserve"> </w:t>
      </w:r>
      <w:r w:rsidR="00346FF1" w:rsidRPr="003E1D42">
        <w:t xml:space="preserve">Achievements related for assessment towards the Project Objective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268"/>
        <w:gridCol w:w="1843"/>
        <w:gridCol w:w="1843"/>
      </w:tblGrid>
      <w:tr w:rsidR="00346FF1" w:rsidRPr="005C3BB8" w14:paraId="37FDE250" w14:textId="77777777" w:rsidTr="000D1E64">
        <w:trPr>
          <w:tblHeader/>
        </w:trPr>
        <w:tc>
          <w:tcPr>
            <w:tcW w:w="9493" w:type="dxa"/>
            <w:gridSpan w:val="4"/>
            <w:shd w:val="clear" w:color="auto" w:fill="auto"/>
          </w:tcPr>
          <w:p w14:paraId="6682838F" w14:textId="6C80135B" w:rsidR="00346FF1" w:rsidRPr="005C3BB8" w:rsidRDefault="00346FF1" w:rsidP="004876E8">
            <w:pPr>
              <w:spacing w:before="0" w:line="240" w:lineRule="auto"/>
              <w:rPr>
                <w:b/>
                <w:sz w:val="18"/>
                <w:szCs w:val="18"/>
              </w:rPr>
            </w:pPr>
            <w:r>
              <w:rPr>
                <w:b/>
                <w:sz w:val="18"/>
                <w:szCs w:val="18"/>
              </w:rPr>
              <w:t xml:space="preserve">Project Objective: </w:t>
            </w:r>
            <w:r w:rsidR="004876E8">
              <w:rPr>
                <w:b/>
                <w:sz w:val="18"/>
                <w:szCs w:val="18"/>
              </w:rPr>
              <w:t>T</w:t>
            </w:r>
            <w:r w:rsidR="004876E8" w:rsidRPr="004876E8">
              <w:rPr>
                <w:b/>
                <w:sz w:val="18"/>
                <w:szCs w:val="18"/>
              </w:rPr>
              <w:t>o shift Serbia towards a low-carbon and climate resilience development pathway by mainstreaming and integrating climate change considerations into development strategies and sector-based policy frameworks; ensuring continuity in institutional and technical capacity building; and sustaining these policies and measures with a routine mechanism for climate change monitoring, reporting and verification.</w:t>
            </w:r>
          </w:p>
        </w:tc>
      </w:tr>
      <w:tr w:rsidR="00346FF1" w:rsidRPr="005C3BB8" w14:paraId="2511D6C4" w14:textId="77777777" w:rsidTr="003271C5">
        <w:trPr>
          <w:tblHeader/>
        </w:trPr>
        <w:tc>
          <w:tcPr>
            <w:tcW w:w="3539" w:type="dxa"/>
            <w:shd w:val="clear" w:color="auto" w:fill="auto"/>
          </w:tcPr>
          <w:p w14:paraId="21DFD6FA" w14:textId="77777777" w:rsidR="00346FF1" w:rsidRPr="005C3BB8" w:rsidRDefault="00346FF1" w:rsidP="00A22760">
            <w:pPr>
              <w:spacing w:before="0"/>
              <w:jc w:val="center"/>
              <w:rPr>
                <w:b/>
                <w:sz w:val="18"/>
                <w:szCs w:val="18"/>
              </w:rPr>
            </w:pPr>
            <w:r w:rsidRPr="005C3BB8">
              <w:rPr>
                <w:rFonts w:eastAsia="Calibri"/>
                <w:b/>
                <w:bCs/>
                <w:color w:val="000000"/>
                <w:sz w:val="18"/>
                <w:szCs w:val="18"/>
                <w:lang w:eastAsia="en-US"/>
              </w:rPr>
              <w:t>Indicators</w:t>
            </w:r>
          </w:p>
        </w:tc>
        <w:tc>
          <w:tcPr>
            <w:tcW w:w="2268" w:type="dxa"/>
          </w:tcPr>
          <w:p w14:paraId="23470C57" w14:textId="77777777" w:rsidR="00346FF1" w:rsidRPr="005C3BB8" w:rsidRDefault="00346FF1" w:rsidP="00A22760">
            <w:pPr>
              <w:spacing w:before="0"/>
              <w:jc w:val="center"/>
              <w:rPr>
                <w:b/>
                <w:sz w:val="18"/>
                <w:szCs w:val="18"/>
              </w:rPr>
            </w:pPr>
            <w:r w:rsidRPr="005C3BB8">
              <w:rPr>
                <w:rFonts w:eastAsia="Calibri"/>
                <w:b/>
                <w:bCs/>
                <w:color w:val="000000"/>
                <w:sz w:val="18"/>
                <w:szCs w:val="18"/>
                <w:lang w:eastAsia="en-US"/>
              </w:rPr>
              <w:t>Mid-Term Targets</w:t>
            </w:r>
          </w:p>
        </w:tc>
        <w:tc>
          <w:tcPr>
            <w:tcW w:w="1843" w:type="dxa"/>
            <w:shd w:val="clear" w:color="auto" w:fill="auto"/>
          </w:tcPr>
          <w:p w14:paraId="77B11F13" w14:textId="77777777" w:rsidR="00346FF1" w:rsidRPr="005C3BB8" w:rsidRDefault="00346FF1" w:rsidP="00A22760">
            <w:pPr>
              <w:spacing w:before="0"/>
              <w:jc w:val="center"/>
              <w:rPr>
                <w:b/>
                <w:sz w:val="18"/>
                <w:szCs w:val="18"/>
              </w:rPr>
            </w:pPr>
            <w:r w:rsidRPr="005C3BB8">
              <w:rPr>
                <w:b/>
                <w:sz w:val="18"/>
                <w:szCs w:val="18"/>
              </w:rPr>
              <w:t>Status at MTR</w:t>
            </w:r>
          </w:p>
        </w:tc>
        <w:tc>
          <w:tcPr>
            <w:tcW w:w="1843" w:type="dxa"/>
          </w:tcPr>
          <w:p w14:paraId="610201F4" w14:textId="18EAD654" w:rsidR="00346FF1" w:rsidRPr="005C3BB8" w:rsidRDefault="003271C5" w:rsidP="00A22760">
            <w:pPr>
              <w:spacing w:before="0"/>
              <w:jc w:val="center"/>
              <w:rPr>
                <w:b/>
                <w:sz w:val="18"/>
                <w:szCs w:val="18"/>
              </w:rPr>
            </w:pPr>
            <w:r>
              <w:rPr>
                <w:b/>
                <w:sz w:val="18"/>
                <w:szCs w:val="18"/>
              </w:rPr>
              <w:t xml:space="preserve">MTR </w:t>
            </w:r>
            <w:r w:rsidR="00346FF1" w:rsidRPr="005C3BB8">
              <w:rPr>
                <w:b/>
                <w:sz w:val="18"/>
                <w:szCs w:val="18"/>
              </w:rPr>
              <w:t>Rating</w:t>
            </w:r>
          </w:p>
        </w:tc>
      </w:tr>
      <w:tr w:rsidR="00346FF1" w:rsidRPr="005C3BB8" w14:paraId="4678E5ED" w14:textId="77777777" w:rsidTr="006C28B4">
        <w:trPr>
          <w:trHeight w:val="468"/>
        </w:trPr>
        <w:tc>
          <w:tcPr>
            <w:tcW w:w="3539" w:type="dxa"/>
            <w:shd w:val="clear" w:color="auto" w:fill="auto"/>
          </w:tcPr>
          <w:p w14:paraId="2CF15D25" w14:textId="302CEC1B" w:rsidR="00346FF1" w:rsidRPr="005C3BB8" w:rsidRDefault="004876E8" w:rsidP="00346FF1">
            <w:pPr>
              <w:spacing w:before="40"/>
              <w:rPr>
                <w:bCs/>
                <w:sz w:val="18"/>
                <w:szCs w:val="18"/>
              </w:rPr>
            </w:pPr>
            <w:r w:rsidRPr="004876E8">
              <w:rPr>
                <w:bCs/>
                <w:sz w:val="18"/>
                <w:szCs w:val="18"/>
              </w:rPr>
              <w:t>Objective Indic</w:t>
            </w:r>
            <w:r w:rsidR="007404E1">
              <w:rPr>
                <w:bCs/>
                <w:sz w:val="18"/>
                <w:szCs w:val="18"/>
              </w:rPr>
              <w:t>a</w:t>
            </w:r>
            <w:r w:rsidRPr="004876E8">
              <w:rPr>
                <w:bCs/>
                <w:sz w:val="18"/>
                <w:szCs w:val="18"/>
              </w:rPr>
              <w:t>tor 1 (CBIT TT Indicator 3</w:t>
            </w:r>
            <w:r>
              <w:rPr>
                <w:rStyle w:val="FootnoteReference"/>
                <w:bCs/>
                <w:sz w:val="18"/>
                <w:szCs w:val="18"/>
              </w:rPr>
              <w:footnoteReference w:id="9"/>
            </w:r>
            <w:r w:rsidRPr="004876E8">
              <w:rPr>
                <w:bCs/>
                <w:sz w:val="18"/>
                <w:szCs w:val="18"/>
              </w:rPr>
              <w:t>): Quality of MRV Systems</w:t>
            </w:r>
          </w:p>
        </w:tc>
        <w:tc>
          <w:tcPr>
            <w:tcW w:w="2268" w:type="dxa"/>
          </w:tcPr>
          <w:p w14:paraId="3F6746CA" w14:textId="4BDF2E8D" w:rsidR="00346FF1" w:rsidRPr="001B4950" w:rsidRDefault="004876E8" w:rsidP="00346FF1">
            <w:pPr>
              <w:pStyle w:val="NoSpacing"/>
              <w:spacing w:before="40"/>
              <w:rPr>
                <w:sz w:val="18"/>
                <w:szCs w:val="18"/>
                <w:lang w:val="en-GB"/>
              </w:rPr>
            </w:pPr>
            <w:r>
              <w:rPr>
                <w:sz w:val="18"/>
                <w:szCs w:val="18"/>
                <w:lang w:val="en-GB"/>
              </w:rPr>
              <w:t>Rating 6</w:t>
            </w:r>
          </w:p>
        </w:tc>
        <w:tc>
          <w:tcPr>
            <w:tcW w:w="1843" w:type="dxa"/>
            <w:shd w:val="clear" w:color="auto" w:fill="92D050"/>
          </w:tcPr>
          <w:p w14:paraId="7AEDB4B7" w14:textId="19AB3CAC" w:rsidR="00346FF1" w:rsidRPr="001B4950" w:rsidRDefault="007404E1" w:rsidP="00C31A0C">
            <w:pPr>
              <w:pStyle w:val="NoSpacing"/>
              <w:spacing w:before="60"/>
              <w:rPr>
                <w:iCs/>
                <w:sz w:val="18"/>
                <w:szCs w:val="18"/>
                <w:lang w:val="en-GB"/>
              </w:rPr>
            </w:pPr>
            <w:r>
              <w:rPr>
                <w:iCs/>
                <w:sz w:val="18"/>
                <w:szCs w:val="18"/>
                <w:lang w:val="en-GB"/>
              </w:rPr>
              <w:t>Rating 6</w:t>
            </w:r>
          </w:p>
        </w:tc>
        <w:tc>
          <w:tcPr>
            <w:tcW w:w="1843" w:type="dxa"/>
            <w:shd w:val="clear" w:color="auto" w:fill="auto"/>
            <w:vAlign w:val="center"/>
          </w:tcPr>
          <w:p w14:paraId="0C3ACA8B" w14:textId="044ECE6A" w:rsidR="00346FF1" w:rsidRPr="001B4950" w:rsidRDefault="007404E1" w:rsidP="00A6070D">
            <w:pPr>
              <w:pStyle w:val="ListParagraph"/>
              <w:spacing w:before="0"/>
              <w:ind w:left="243" w:hanging="421"/>
              <w:jc w:val="center"/>
              <w:rPr>
                <w:rFonts w:eastAsia="Times New Roman"/>
                <w:bCs/>
                <w:sz w:val="18"/>
                <w:szCs w:val="18"/>
                <w:highlight w:val="yellow"/>
                <w:lang w:val="en-GB" w:eastAsia="en-GB"/>
              </w:rPr>
            </w:pPr>
            <w:r w:rsidRPr="007404E1">
              <w:rPr>
                <w:rFonts w:eastAsia="Times New Roman"/>
                <w:bCs/>
                <w:sz w:val="18"/>
                <w:szCs w:val="18"/>
                <w:lang w:val="en-GB" w:eastAsia="en-GB"/>
              </w:rPr>
              <w:t>S</w:t>
            </w:r>
          </w:p>
        </w:tc>
      </w:tr>
      <w:tr w:rsidR="00346FF1" w:rsidRPr="005C3BB8" w14:paraId="120B4309" w14:textId="77777777" w:rsidTr="006C28B4">
        <w:tc>
          <w:tcPr>
            <w:tcW w:w="3539" w:type="dxa"/>
            <w:shd w:val="clear" w:color="auto" w:fill="auto"/>
          </w:tcPr>
          <w:p w14:paraId="27198E1D" w14:textId="01EB0473" w:rsidR="00346FF1" w:rsidRPr="006C2BE2" w:rsidRDefault="004876E8" w:rsidP="004876E8">
            <w:pPr>
              <w:spacing w:before="40" w:line="240" w:lineRule="auto"/>
              <w:rPr>
                <w:bCs/>
                <w:sz w:val="18"/>
                <w:szCs w:val="18"/>
              </w:rPr>
            </w:pPr>
            <w:r w:rsidRPr="004876E8">
              <w:rPr>
                <w:bCs/>
                <w:sz w:val="18"/>
                <w:szCs w:val="18"/>
              </w:rPr>
              <w:t xml:space="preserve">Objective </w:t>
            </w:r>
            <w:r w:rsidR="007404E1">
              <w:rPr>
                <w:bCs/>
                <w:sz w:val="18"/>
                <w:szCs w:val="18"/>
              </w:rPr>
              <w:t>I</w:t>
            </w:r>
            <w:r w:rsidRPr="004876E8">
              <w:rPr>
                <w:bCs/>
                <w:sz w:val="18"/>
                <w:szCs w:val="18"/>
              </w:rPr>
              <w:t>ndicator 2 (CBIT TT indicator 5</w:t>
            </w:r>
            <w:r>
              <w:rPr>
                <w:rStyle w:val="FootnoteReference"/>
                <w:bCs/>
                <w:sz w:val="18"/>
                <w:szCs w:val="18"/>
              </w:rPr>
              <w:footnoteReference w:id="10"/>
            </w:r>
            <w:r w:rsidRPr="004876E8">
              <w:rPr>
                <w:bCs/>
                <w:sz w:val="18"/>
                <w:szCs w:val="18"/>
              </w:rPr>
              <w:t>):</w:t>
            </w:r>
            <w:r>
              <w:rPr>
                <w:bCs/>
                <w:sz w:val="18"/>
                <w:szCs w:val="18"/>
              </w:rPr>
              <w:t xml:space="preserve"> </w:t>
            </w:r>
            <w:r w:rsidRPr="004876E8">
              <w:rPr>
                <w:bCs/>
                <w:sz w:val="18"/>
                <w:szCs w:val="18"/>
              </w:rPr>
              <w:t>Qualitative Assessment of Institutional Capacity for Transparency-Related Activities</w:t>
            </w:r>
          </w:p>
        </w:tc>
        <w:tc>
          <w:tcPr>
            <w:tcW w:w="2268" w:type="dxa"/>
          </w:tcPr>
          <w:p w14:paraId="7F766A83" w14:textId="1DB0C947" w:rsidR="00346FF1" w:rsidRPr="004876E8" w:rsidRDefault="004876E8" w:rsidP="004876E8">
            <w:pPr>
              <w:autoSpaceDE w:val="0"/>
              <w:autoSpaceDN w:val="0"/>
              <w:adjustRightInd w:val="0"/>
              <w:spacing w:before="60" w:line="240" w:lineRule="auto"/>
              <w:rPr>
                <w:rFonts w:eastAsia="Calibri"/>
                <w:color w:val="000000"/>
                <w:sz w:val="18"/>
                <w:szCs w:val="18"/>
                <w:lang w:eastAsia="en-US"/>
              </w:rPr>
            </w:pPr>
            <w:r>
              <w:rPr>
                <w:rFonts w:eastAsia="Calibri"/>
                <w:color w:val="000000"/>
                <w:sz w:val="18"/>
                <w:szCs w:val="18"/>
                <w:lang w:eastAsia="en-US"/>
              </w:rPr>
              <w:t>Rating 3</w:t>
            </w:r>
          </w:p>
        </w:tc>
        <w:tc>
          <w:tcPr>
            <w:tcW w:w="1843" w:type="dxa"/>
            <w:shd w:val="clear" w:color="auto" w:fill="FFFF00"/>
          </w:tcPr>
          <w:p w14:paraId="4FBB892B" w14:textId="08831624" w:rsidR="006C2BE2" w:rsidRDefault="003271C5" w:rsidP="004876E8">
            <w:pPr>
              <w:spacing w:before="40" w:line="240" w:lineRule="auto"/>
              <w:rPr>
                <w:iCs/>
                <w:sz w:val="18"/>
                <w:szCs w:val="18"/>
              </w:rPr>
            </w:pPr>
            <w:r>
              <w:rPr>
                <w:iCs/>
                <w:sz w:val="18"/>
                <w:szCs w:val="18"/>
              </w:rPr>
              <w:t xml:space="preserve">Rating </w:t>
            </w:r>
            <w:r w:rsidR="007404E1">
              <w:rPr>
                <w:iCs/>
                <w:sz w:val="18"/>
                <w:szCs w:val="18"/>
              </w:rPr>
              <w:t>2</w:t>
            </w:r>
          </w:p>
        </w:tc>
        <w:tc>
          <w:tcPr>
            <w:tcW w:w="1843" w:type="dxa"/>
            <w:shd w:val="clear" w:color="auto" w:fill="auto"/>
            <w:vAlign w:val="center"/>
          </w:tcPr>
          <w:p w14:paraId="688A05BE" w14:textId="4D83FC59" w:rsidR="00346FF1" w:rsidRPr="001B4950" w:rsidRDefault="003271C5" w:rsidP="00A6070D">
            <w:pPr>
              <w:pStyle w:val="ListParagraph"/>
              <w:spacing w:before="0"/>
              <w:ind w:left="-178"/>
              <w:jc w:val="center"/>
              <w:rPr>
                <w:rFonts w:eastAsia="Times New Roman"/>
                <w:bCs/>
                <w:sz w:val="18"/>
                <w:szCs w:val="18"/>
                <w:highlight w:val="yellow"/>
                <w:lang w:val="en-GB" w:eastAsia="en-GB"/>
              </w:rPr>
            </w:pPr>
            <w:r w:rsidRPr="003271C5">
              <w:rPr>
                <w:rFonts w:eastAsia="Times New Roman"/>
                <w:bCs/>
                <w:sz w:val="18"/>
                <w:szCs w:val="18"/>
                <w:lang w:val="en-GB" w:eastAsia="en-GB"/>
              </w:rPr>
              <w:t>S</w:t>
            </w:r>
            <w:r w:rsidR="00A6070D" w:rsidRPr="003271C5">
              <w:rPr>
                <w:rFonts w:eastAsia="Times New Roman"/>
                <w:bCs/>
                <w:sz w:val="18"/>
                <w:szCs w:val="18"/>
                <w:lang w:val="en-GB" w:eastAsia="en-GB"/>
              </w:rPr>
              <w:t xml:space="preserve">  </w:t>
            </w:r>
          </w:p>
        </w:tc>
      </w:tr>
      <w:tr w:rsidR="006C2BE2" w:rsidRPr="005C3BB8" w14:paraId="223E7D05" w14:textId="77777777" w:rsidTr="003271C5">
        <w:tc>
          <w:tcPr>
            <w:tcW w:w="3539" w:type="dxa"/>
            <w:shd w:val="clear" w:color="auto" w:fill="auto"/>
          </w:tcPr>
          <w:p w14:paraId="2B20544E" w14:textId="2D799C54" w:rsidR="004876E8" w:rsidRPr="004876E8" w:rsidRDefault="004876E8" w:rsidP="004876E8">
            <w:pPr>
              <w:autoSpaceDE w:val="0"/>
              <w:autoSpaceDN w:val="0"/>
              <w:adjustRightInd w:val="0"/>
              <w:spacing w:before="60" w:line="240" w:lineRule="auto"/>
              <w:rPr>
                <w:sz w:val="18"/>
                <w:szCs w:val="18"/>
              </w:rPr>
            </w:pPr>
            <w:r w:rsidRPr="004876E8">
              <w:rPr>
                <w:sz w:val="18"/>
                <w:szCs w:val="18"/>
              </w:rPr>
              <w:t>Objective Indicator 3:</w:t>
            </w:r>
            <w:r>
              <w:rPr>
                <w:sz w:val="18"/>
                <w:szCs w:val="18"/>
              </w:rPr>
              <w:t xml:space="preserve"> </w:t>
            </w:r>
            <w:r w:rsidRPr="004876E8">
              <w:rPr>
                <w:sz w:val="18"/>
                <w:szCs w:val="18"/>
              </w:rPr>
              <w:t>Number of direct project beneficiaries</w:t>
            </w:r>
          </w:p>
          <w:p w14:paraId="7F5CF0E8" w14:textId="7D080FB7" w:rsidR="006C2BE2" w:rsidRPr="006C2BE2" w:rsidRDefault="004876E8" w:rsidP="004876E8">
            <w:pPr>
              <w:autoSpaceDE w:val="0"/>
              <w:autoSpaceDN w:val="0"/>
              <w:adjustRightInd w:val="0"/>
              <w:spacing w:before="60" w:line="240" w:lineRule="auto"/>
              <w:rPr>
                <w:sz w:val="18"/>
                <w:szCs w:val="18"/>
              </w:rPr>
            </w:pPr>
            <w:r w:rsidRPr="004876E8">
              <w:rPr>
                <w:sz w:val="18"/>
                <w:szCs w:val="18"/>
              </w:rPr>
              <w:t>Of that group, number of women</w:t>
            </w:r>
          </w:p>
        </w:tc>
        <w:tc>
          <w:tcPr>
            <w:tcW w:w="2268" w:type="dxa"/>
          </w:tcPr>
          <w:p w14:paraId="3B965915" w14:textId="136CF213" w:rsidR="006C2BE2" w:rsidRPr="004876E8" w:rsidRDefault="004876E8" w:rsidP="004876E8">
            <w:pPr>
              <w:autoSpaceDE w:val="0"/>
              <w:autoSpaceDN w:val="0"/>
              <w:adjustRightInd w:val="0"/>
              <w:spacing w:before="60" w:line="240" w:lineRule="auto"/>
              <w:rPr>
                <w:sz w:val="18"/>
                <w:szCs w:val="18"/>
              </w:rPr>
            </w:pPr>
            <w:r w:rsidRPr="004876E8">
              <w:rPr>
                <w:sz w:val="18"/>
                <w:szCs w:val="18"/>
              </w:rPr>
              <w:t>50 direct beneficiaries, of whom 40 are women</w:t>
            </w:r>
          </w:p>
        </w:tc>
        <w:tc>
          <w:tcPr>
            <w:tcW w:w="1843" w:type="dxa"/>
            <w:shd w:val="clear" w:color="auto" w:fill="auto"/>
          </w:tcPr>
          <w:p w14:paraId="0545555C" w14:textId="068E0316" w:rsidR="00A6070D" w:rsidRPr="006C28B4" w:rsidRDefault="006C28B4" w:rsidP="004876E8">
            <w:pPr>
              <w:autoSpaceDE w:val="0"/>
              <w:autoSpaceDN w:val="0"/>
              <w:adjustRightInd w:val="0"/>
              <w:spacing w:before="60" w:line="240" w:lineRule="auto"/>
              <w:rPr>
                <w:iCs/>
                <w:sz w:val="18"/>
                <w:szCs w:val="18"/>
              </w:rPr>
            </w:pPr>
            <w:r>
              <w:rPr>
                <w:iCs/>
                <w:sz w:val="18"/>
                <w:szCs w:val="18"/>
              </w:rPr>
              <w:t>About 35 beneficiaries from agencies of the Government and more than 50 beneficiaries from LGs</w:t>
            </w:r>
          </w:p>
        </w:tc>
        <w:tc>
          <w:tcPr>
            <w:tcW w:w="1843" w:type="dxa"/>
            <w:shd w:val="clear" w:color="auto" w:fill="auto"/>
            <w:vAlign w:val="center"/>
          </w:tcPr>
          <w:p w14:paraId="4FE86A2F" w14:textId="746C9143" w:rsidR="00422838" w:rsidRPr="00A6070D" w:rsidRDefault="006C28B4" w:rsidP="006C28B4">
            <w:pPr>
              <w:spacing w:before="0"/>
              <w:jc w:val="center"/>
              <w:rPr>
                <w:bCs/>
                <w:sz w:val="18"/>
                <w:szCs w:val="18"/>
                <w:highlight w:val="yellow"/>
              </w:rPr>
            </w:pPr>
            <w:r w:rsidRPr="003271C5">
              <w:rPr>
                <w:bCs/>
                <w:sz w:val="18"/>
                <w:szCs w:val="18"/>
              </w:rPr>
              <w:t>S</w:t>
            </w:r>
          </w:p>
        </w:tc>
      </w:tr>
      <w:tr w:rsidR="004876E8" w:rsidRPr="005C3BB8" w14:paraId="15071FDD" w14:textId="77777777" w:rsidTr="003271C5">
        <w:tc>
          <w:tcPr>
            <w:tcW w:w="3539" w:type="dxa"/>
            <w:shd w:val="clear" w:color="auto" w:fill="auto"/>
          </w:tcPr>
          <w:p w14:paraId="60285460" w14:textId="185DDABA" w:rsidR="004876E8" w:rsidRPr="004876E8" w:rsidRDefault="004876E8" w:rsidP="004876E8">
            <w:pPr>
              <w:autoSpaceDE w:val="0"/>
              <w:autoSpaceDN w:val="0"/>
              <w:adjustRightInd w:val="0"/>
              <w:spacing w:before="60" w:line="240" w:lineRule="auto"/>
              <w:rPr>
                <w:sz w:val="18"/>
                <w:szCs w:val="18"/>
              </w:rPr>
            </w:pPr>
            <w:r w:rsidRPr="004876E8">
              <w:rPr>
                <w:sz w:val="18"/>
                <w:szCs w:val="18"/>
              </w:rPr>
              <w:t xml:space="preserve">Objective Indicator 4 (CBIT TT indicator 4): </w:t>
            </w:r>
            <w:r>
              <w:rPr>
                <w:sz w:val="18"/>
                <w:szCs w:val="18"/>
              </w:rPr>
              <w:t xml:space="preserve"> </w:t>
            </w:r>
            <w:r w:rsidRPr="004876E8">
              <w:rPr>
                <w:sz w:val="18"/>
                <w:szCs w:val="18"/>
              </w:rPr>
              <w:t>Status of Convention obligations on reporting, including mitigation contribution</w:t>
            </w:r>
          </w:p>
        </w:tc>
        <w:tc>
          <w:tcPr>
            <w:tcW w:w="2268" w:type="dxa"/>
          </w:tcPr>
          <w:p w14:paraId="0639CBA9" w14:textId="3599E775" w:rsidR="004876E8" w:rsidRPr="004876E8" w:rsidRDefault="004876E8" w:rsidP="004876E8">
            <w:pPr>
              <w:autoSpaceDE w:val="0"/>
              <w:autoSpaceDN w:val="0"/>
              <w:adjustRightInd w:val="0"/>
              <w:spacing w:before="60" w:line="240" w:lineRule="auto"/>
              <w:rPr>
                <w:sz w:val="18"/>
                <w:szCs w:val="18"/>
              </w:rPr>
            </w:pPr>
            <w:r w:rsidRPr="004876E8">
              <w:rPr>
                <w:sz w:val="18"/>
                <w:szCs w:val="18"/>
              </w:rPr>
              <w:t>By the end of Q6, the Second BUR will have been submitted to the UNFCCC</w:t>
            </w:r>
          </w:p>
        </w:tc>
        <w:tc>
          <w:tcPr>
            <w:tcW w:w="1843" w:type="dxa"/>
            <w:shd w:val="clear" w:color="auto" w:fill="auto"/>
          </w:tcPr>
          <w:p w14:paraId="7246B9A7" w14:textId="4FA7FEBD" w:rsidR="004876E8" w:rsidRDefault="000C33B6" w:rsidP="000C33B6">
            <w:pPr>
              <w:autoSpaceDE w:val="0"/>
              <w:autoSpaceDN w:val="0"/>
              <w:adjustRightInd w:val="0"/>
              <w:spacing w:before="60" w:line="240" w:lineRule="auto"/>
              <w:jc w:val="center"/>
              <w:rPr>
                <w:iCs/>
                <w:sz w:val="18"/>
                <w:szCs w:val="18"/>
              </w:rPr>
            </w:pPr>
            <w:r>
              <w:rPr>
                <w:iCs/>
                <w:sz w:val="18"/>
                <w:szCs w:val="18"/>
              </w:rPr>
              <w:t>2BUR not submitted</w:t>
            </w:r>
          </w:p>
        </w:tc>
        <w:tc>
          <w:tcPr>
            <w:tcW w:w="1843" w:type="dxa"/>
            <w:shd w:val="clear" w:color="auto" w:fill="auto"/>
            <w:vAlign w:val="center"/>
          </w:tcPr>
          <w:p w14:paraId="1E4D42C4" w14:textId="75696409" w:rsidR="004876E8" w:rsidRPr="00B27B86" w:rsidRDefault="00B27B86" w:rsidP="000C33B6">
            <w:pPr>
              <w:spacing w:before="0"/>
              <w:jc w:val="center"/>
              <w:rPr>
                <w:bCs/>
                <w:sz w:val="18"/>
                <w:szCs w:val="18"/>
              </w:rPr>
            </w:pPr>
            <w:r w:rsidRPr="00B27B86">
              <w:rPr>
                <w:bCs/>
                <w:sz w:val="18"/>
                <w:szCs w:val="18"/>
              </w:rPr>
              <w:t>N.A.</w:t>
            </w:r>
          </w:p>
        </w:tc>
      </w:tr>
    </w:tbl>
    <w:p w14:paraId="38882259" w14:textId="284652CF" w:rsidR="005F5DCD" w:rsidRPr="005E7610" w:rsidRDefault="007404E1" w:rsidP="001B6733">
      <w:pPr>
        <w:shd w:val="clear" w:color="auto" w:fill="FFFFFF"/>
        <w:spacing w:before="240"/>
        <w:rPr>
          <w:b/>
          <w:bCs/>
          <w:u w:val="single"/>
        </w:rPr>
      </w:pPr>
      <w:r>
        <w:rPr>
          <w:b/>
          <w:bCs/>
          <w:u w:val="single"/>
        </w:rPr>
        <w:t>A</w:t>
      </w:r>
      <w:r w:rsidR="005E7610" w:rsidRPr="005E7610">
        <w:rPr>
          <w:b/>
          <w:bCs/>
          <w:u w:val="single"/>
        </w:rPr>
        <w:t>ssessment of progress</w:t>
      </w:r>
      <w:r w:rsidR="002735C1">
        <w:rPr>
          <w:b/>
          <w:bCs/>
          <w:u w:val="single"/>
        </w:rPr>
        <w:t xml:space="preserve"> towards the </w:t>
      </w:r>
      <w:r w:rsidR="006C2BE2">
        <w:rPr>
          <w:b/>
          <w:bCs/>
          <w:u w:val="single"/>
        </w:rPr>
        <w:t>P</w:t>
      </w:r>
      <w:r w:rsidR="002735C1">
        <w:rPr>
          <w:b/>
          <w:bCs/>
          <w:u w:val="single"/>
        </w:rPr>
        <w:t xml:space="preserve">roject </w:t>
      </w:r>
      <w:r w:rsidR="006C2BE2">
        <w:rPr>
          <w:b/>
          <w:bCs/>
          <w:u w:val="single"/>
        </w:rPr>
        <w:t>O</w:t>
      </w:r>
      <w:r w:rsidR="002735C1">
        <w:rPr>
          <w:b/>
          <w:bCs/>
          <w:u w:val="single"/>
        </w:rPr>
        <w:t>bjective</w:t>
      </w:r>
      <w:r w:rsidR="005E7610" w:rsidRPr="005E7610">
        <w:rPr>
          <w:b/>
          <w:bCs/>
          <w:u w:val="single"/>
        </w:rPr>
        <w:t>:</w:t>
      </w:r>
    </w:p>
    <w:p w14:paraId="30B7390D" w14:textId="11FD0507" w:rsidR="006C2BD5" w:rsidRDefault="006C2BD5" w:rsidP="006C2BD5">
      <w:r>
        <w:t>It follows f</w:t>
      </w:r>
      <w:r w:rsidR="00BC19BD">
        <w:t xml:space="preserve">rom the above </w:t>
      </w:r>
      <w:r>
        <w:t xml:space="preserve">discussion of </w:t>
      </w:r>
      <w:r w:rsidR="00BC19BD">
        <w:t xml:space="preserve">achievements under the project </w:t>
      </w:r>
      <w:r w:rsidR="0003252E">
        <w:t xml:space="preserve">substantive </w:t>
      </w:r>
      <w:r>
        <w:t>Outcomes</w:t>
      </w:r>
      <w:r w:rsidR="00BC19BD">
        <w:t xml:space="preserve"> </w:t>
      </w:r>
      <w:r w:rsidR="0003252E">
        <w:t>t</w:t>
      </w:r>
      <w:r w:rsidR="00BC19BD">
        <w:t xml:space="preserve">hat the project </w:t>
      </w:r>
      <w:r>
        <w:t>so far has not had impact on improvement</w:t>
      </w:r>
      <w:r w:rsidR="009F461D">
        <w:t xml:space="preserve"> of the quality of the MRV system as the current status is that the new enhanced </w:t>
      </w:r>
      <w:r w:rsidR="007404E1">
        <w:t xml:space="preserve">MRV system </w:t>
      </w:r>
      <w:r w:rsidR="009F461D">
        <w:t>was still under development during the MTR</w:t>
      </w:r>
      <w:r w:rsidR="007404E1">
        <w:t xml:space="preserve"> and the stakeholder institutions were using the MRV system. </w:t>
      </w:r>
      <w:r w:rsidR="009F461D">
        <w:t xml:space="preserve"> </w:t>
      </w:r>
      <w:r>
        <w:t xml:space="preserve"> </w:t>
      </w:r>
    </w:p>
    <w:p w14:paraId="1D68DBA6" w14:textId="4CD33D65" w:rsidR="007404E1" w:rsidRDefault="007404E1" w:rsidP="006C2BD5">
      <w:r>
        <w:t xml:space="preserve">The Objective Indicator 1 is based on CBIT TT Indicator 3 that was developed for quality of MRV systems for </w:t>
      </w:r>
      <w:r w:rsidRPr="007404E1">
        <w:t>tracking results related to low-GHG development and GHG emissions</w:t>
      </w:r>
      <w:r>
        <w:t xml:space="preserve">, i.e. only for the </w:t>
      </w:r>
      <w:r w:rsidRPr="007404E1">
        <w:t>mitigation</w:t>
      </w:r>
      <w:r>
        <w:t xml:space="preserve"> part of the MRV systems</w:t>
      </w:r>
      <w:r w:rsidR="005D6C27">
        <w:t xml:space="preserve">. In Serbia, the GHG-related reporting </w:t>
      </w:r>
      <w:r w:rsidR="005D6C27" w:rsidRPr="005D6C27">
        <w:t xml:space="preserve">is </w:t>
      </w:r>
      <w:r w:rsidR="00766884">
        <w:t xml:space="preserve">advanced </w:t>
      </w:r>
      <w:r w:rsidR="005D6C27" w:rsidRPr="005D6C27">
        <w:t>but not complete</w:t>
      </w:r>
      <w:r w:rsidR="005D6C27">
        <w:t xml:space="preserve"> and </w:t>
      </w:r>
      <w:r w:rsidR="005D6C27" w:rsidRPr="005D6C27">
        <w:t>transparent</w:t>
      </w:r>
      <w:r w:rsidR="005D6C27">
        <w:t xml:space="preserve"> and not all data could be verified</w:t>
      </w:r>
      <w:r w:rsidR="00766884">
        <w:t xml:space="preserve">. Therefore, it </w:t>
      </w:r>
      <w:r w:rsidR="005D6C27">
        <w:t xml:space="preserve">has reached the mid-term target of Rating 6. </w:t>
      </w:r>
    </w:p>
    <w:p w14:paraId="017D4B1B" w14:textId="301E95C1" w:rsidR="007404E1" w:rsidRDefault="007404E1" w:rsidP="006C2BD5">
      <w:r>
        <w:t xml:space="preserve">The MTR target </w:t>
      </w:r>
      <w:r w:rsidR="005D6C27">
        <w:t>f</w:t>
      </w:r>
      <w:r>
        <w:t>or the Objective Indicator 2</w:t>
      </w:r>
      <w:r w:rsidR="005D6C27">
        <w:t xml:space="preserve"> to have a designated transparency i</w:t>
      </w:r>
      <w:r w:rsidR="005D6C27" w:rsidRPr="005D6C27">
        <w:t xml:space="preserve">nstitution </w:t>
      </w:r>
      <w:r w:rsidR="005D6C27">
        <w:t xml:space="preserve">with </w:t>
      </w:r>
      <w:r w:rsidR="005D6C27" w:rsidRPr="005D6C27">
        <w:t>authority or mandate to coordinate transparency activities under Article 13</w:t>
      </w:r>
      <w:r w:rsidR="005D6C27">
        <w:t xml:space="preserve"> of PCA. </w:t>
      </w:r>
      <w:r w:rsidR="004A42B8">
        <w:t xml:space="preserve">Under the existing legislation, </w:t>
      </w:r>
      <w:r w:rsidR="005D6C27">
        <w:t xml:space="preserve">MEP is the </w:t>
      </w:r>
      <w:r w:rsidR="000C33B6">
        <w:t xml:space="preserve">designated </w:t>
      </w:r>
      <w:r w:rsidR="005D6C27">
        <w:t>transparency institution</w:t>
      </w:r>
      <w:r w:rsidR="004A42B8">
        <w:t xml:space="preserve"> and the same is proposed in the draft revised LCC. Since the LCC has not been approved yet, it is considered that the mid-term rating target has not been achieved at the time of the MTR, hence the pre-project rating 2 is maintained. However, as</w:t>
      </w:r>
      <w:r w:rsidR="005D6C27">
        <w:t xml:space="preserve"> the </w:t>
      </w:r>
      <w:r w:rsidR="004A42B8">
        <w:t xml:space="preserve">LCC </w:t>
      </w:r>
      <w:r w:rsidR="005D6C27">
        <w:t xml:space="preserve">is reportedly near the end of the legislative process and the official approval by the National Assembly is expected in 1Q 2021, </w:t>
      </w:r>
      <w:r w:rsidR="004A42B8">
        <w:t>s</w:t>
      </w:r>
      <w:r w:rsidR="000C33B6">
        <w:t>atisfactory (S) MTR rating is given</w:t>
      </w:r>
      <w:r w:rsidR="004A42B8">
        <w:t xml:space="preserve"> for both Objective Indicators.</w:t>
      </w:r>
    </w:p>
    <w:p w14:paraId="647D973C" w14:textId="6CD8AAD2" w:rsidR="00766884" w:rsidRPr="00766884" w:rsidRDefault="00766884" w:rsidP="006C2BD5">
      <w:pPr>
        <w:rPr>
          <w:b/>
          <w:bCs/>
        </w:rPr>
      </w:pPr>
      <w:r w:rsidRPr="004A42B8">
        <w:rPr>
          <w:b/>
          <w:bCs/>
        </w:rPr>
        <w:t>The summary rating for progress towards the Project Objective is</w:t>
      </w:r>
      <w:r>
        <w:t xml:space="preserve"> </w:t>
      </w:r>
      <w:r>
        <w:rPr>
          <w:b/>
          <w:bCs/>
        </w:rPr>
        <w:t>Satisfactory (S).</w:t>
      </w:r>
    </w:p>
    <w:p w14:paraId="52B11CB6" w14:textId="51C0A5C2" w:rsidR="003D5D11" w:rsidRDefault="003D5D11" w:rsidP="003D5D11">
      <w:pPr>
        <w:spacing w:before="240"/>
        <w:rPr>
          <w:b/>
          <w:bCs/>
          <w:u w:val="single"/>
        </w:rPr>
      </w:pPr>
      <w:r>
        <w:rPr>
          <w:b/>
          <w:bCs/>
          <w:u w:val="single"/>
        </w:rPr>
        <w:t>Issues to be addressed by the end of the project</w:t>
      </w:r>
    </w:p>
    <w:p w14:paraId="7D46A4F8" w14:textId="0449DCBE" w:rsidR="00535BC3" w:rsidRDefault="00766884" w:rsidP="003D5D11">
      <w:pPr>
        <w:spacing w:before="240"/>
      </w:pPr>
      <w:r>
        <w:t xml:space="preserve">Development and </w:t>
      </w:r>
      <w:r w:rsidR="00535BC3">
        <w:t>commissioning of the IT tool for the national MRV system</w:t>
      </w:r>
      <w:r>
        <w:t xml:space="preserve"> as well as </w:t>
      </w:r>
      <w:r w:rsidR="004A42B8">
        <w:t xml:space="preserve">compilation </w:t>
      </w:r>
      <w:r w:rsidR="00DB29CA">
        <w:t xml:space="preserve">of </w:t>
      </w:r>
      <w:r w:rsidR="00DB29CA" w:rsidRPr="00DB29CA">
        <w:t xml:space="preserve">Modalities, Procedures and Guidelines (MPGs) </w:t>
      </w:r>
      <w:r w:rsidR="005919A7">
        <w:t xml:space="preserve">for the ETF </w:t>
      </w:r>
      <w:r>
        <w:t xml:space="preserve">are the main </w:t>
      </w:r>
      <w:r w:rsidR="005919A7">
        <w:lastRenderedPageBreak/>
        <w:t>activit</w:t>
      </w:r>
      <w:r>
        <w:t>ies</w:t>
      </w:r>
      <w:r w:rsidR="005919A7">
        <w:t xml:space="preserve"> for the remaining duration of the project</w:t>
      </w:r>
      <w:r>
        <w:t xml:space="preserve"> as </w:t>
      </w:r>
      <w:r w:rsidR="004A42B8">
        <w:t xml:space="preserve">both </w:t>
      </w:r>
      <w:r>
        <w:t xml:space="preserve">are </w:t>
      </w:r>
      <w:r w:rsidR="005919A7">
        <w:t>of critical importance for the success of the project</w:t>
      </w:r>
      <w:r w:rsidR="00535BC3">
        <w:t>.</w:t>
      </w:r>
      <w:r w:rsidR="005919A7">
        <w:t xml:space="preserve"> </w:t>
      </w:r>
    </w:p>
    <w:p w14:paraId="3BAB6E28" w14:textId="2CFBF14F" w:rsidR="00CD191F" w:rsidRPr="00CD191F" w:rsidRDefault="004A42B8" w:rsidP="00535BC3">
      <w:r>
        <w:t xml:space="preserve">AS already discussed under Outcome 3, the IT platform for the MRV system will enable tracking of progress in participation in the MRV activities as well as use of the MRV system for national reporting.  </w:t>
      </w:r>
      <w:r w:rsidR="00535BC3">
        <w:t>T</w:t>
      </w:r>
      <w:r w:rsidR="005919A7" w:rsidRPr="005919A7">
        <w:t xml:space="preserve">he original INDC and NDC submissions contained limited data </w:t>
      </w:r>
      <w:r w:rsidR="00535BC3">
        <w:t xml:space="preserve">with </w:t>
      </w:r>
      <w:r w:rsidR="00CD191F">
        <w:t xml:space="preserve">no provisions for </w:t>
      </w:r>
      <w:r w:rsidR="005919A7" w:rsidRPr="005919A7">
        <w:t xml:space="preserve">monitoring of progress. The MPGs </w:t>
      </w:r>
      <w:r w:rsidR="0047236A">
        <w:t xml:space="preserve">will facilitate </w:t>
      </w:r>
      <w:r w:rsidR="005919A7" w:rsidRPr="005919A7">
        <w:t xml:space="preserve">reporting on NDCs targets </w:t>
      </w:r>
      <w:r w:rsidR="0047236A">
        <w:t>that includes</w:t>
      </w:r>
      <w:r w:rsidR="00CD191F">
        <w:t xml:space="preserve"> </w:t>
      </w:r>
      <w:r w:rsidR="005919A7" w:rsidRPr="005919A7">
        <w:t xml:space="preserve">identification of qualitative and quantitative indicators </w:t>
      </w:r>
      <w:r w:rsidR="0047236A" w:rsidRPr="005919A7">
        <w:t xml:space="preserve">and tracking </w:t>
      </w:r>
      <w:r w:rsidR="0047236A">
        <w:t xml:space="preserve">of </w:t>
      </w:r>
      <w:r w:rsidR="005919A7" w:rsidRPr="005919A7">
        <w:t xml:space="preserve">progress. </w:t>
      </w:r>
      <w:r w:rsidR="00CD191F">
        <w:t>T</w:t>
      </w:r>
      <w:r w:rsidR="0047236A">
        <w:t xml:space="preserve">hrough presentation of </w:t>
      </w:r>
      <w:r w:rsidR="00CD191F">
        <w:t xml:space="preserve">the NDC </w:t>
      </w:r>
      <w:r w:rsidR="005919A7" w:rsidRPr="005919A7">
        <w:t xml:space="preserve">targets </w:t>
      </w:r>
      <w:r w:rsidR="00CD191F">
        <w:t xml:space="preserve">and related indicators </w:t>
      </w:r>
      <w:r w:rsidR="0047236A">
        <w:t xml:space="preserve">with </w:t>
      </w:r>
      <w:r w:rsidR="005919A7" w:rsidRPr="005919A7">
        <w:t xml:space="preserve">defined elements </w:t>
      </w:r>
      <w:r w:rsidR="00CD191F">
        <w:t xml:space="preserve">such as </w:t>
      </w:r>
      <w:r w:rsidR="005919A7" w:rsidRPr="005919A7">
        <w:t>baselines</w:t>
      </w:r>
      <w:r w:rsidR="00CD191F">
        <w:t xml:space="preserve">, </w:t>
      </w:r>
      <w:r w:rsidR="00CD191F" w:rsidRPr="005919A7">
        <w:t>timeframes</w:t>
      </w:r>
      <w:r w:rsidR="00CD191F">
        <w:t xml:space="preserve"> </w:t>
      </w:r>
      <w:r w:rsidR="005919A7" w:rsidRPr="005919A7">
        <w:t>and information for specific years</w:t>
      </w:r>
      <w:r w:rsidR="00CD191F">
        <w:t xml:space="preserve">, </w:t>
      </w:r>
      <w:r w:rsidR="0047236A">
        <w:t xml:space="preserve">the MDGs are one of the principal tools for ensuring transparency of the </w:t>
      </w:r>
      <w:r>
        <w:t xml:space="preserve">climate </w:t>
      </w:r>
      <w:r w:rsidR="00CD191F" w:rsidRPr="005919A7">
        <w:t>accounting approach</w:t>
      </w:r>
      <w:r w:rsidR="00CD191F">
        <w:t>.</w:t>
      </w:r>
    </w:p>
    <w:p w14:paraId="680226ED" w14:textId="2E708234" w:rsidR="009655DB" w:rsidRDefault="009655DB" w:rsidP="008A2614">
      <w:pPr>
        <w:pStyle w:val="Heading2"/>
      </w:pPr>
      <w:bookmarkStart w:id="41" w:name="_Toc515816652"/>
      <w:bookmarkStart w:id="42" w:name="_Toc66777412"/>
      <w:r w:rsidRPr="00D83C59">
        <w:t xml:space="preserve">Project Implementation and Adaptive </w:t>
      </w:r>
      <w:r w:rsidR="007565BD">
        <w:t>Management A</w:t>
      </w:r>
      <w:r w:rsidRPr="00D83C59">
        <w:t>rrangements</w:t>
      </w:r>
      <w:bookmarkEnd w:id="41"/>
      <w:bookmarkEnd w:id="42"/>
    </w:p>
    <w:p w14:paraId="359C42DE" w14:textId="77777777" w:rsidR="00F002C9" w:rsidRDefault="00F002C9" w:rsidP="00D13637">
      <w:pPr>
        <w:autoSpaceDE w:val="0"/>
        <w:autoSpaceDN w:val="0"/>
        <w:adjustRightInd w:val="0"/>
        <w:spacing w:after="120"/>
      </w:pPr>
      <w:r>
        <w:t xml:space="preserve">This section of the </w:t>
      </w:r>
      <w:r w:rsidR="000C504B">
        <w:t xml:space="preserve">MTR </w:t>
      </w:r>
      <w:r>
        <w:t xml:space="preserve">report provides assessment of </w:t>
      </w:r>
      <w:r w:rsidR="000A2B4D">
        <w:t xml:space="preserve">the </w:t>
      </w:r>
      <w:r w:rsidR="00393D4E">
        <w:t xml:space="preserve">seven </w:t>
      </w:r>
      <w:r w:rsidR="000A2B4D">
        <w:t xml:space="preserve">components of </w:t>
      </w:r>
      <w:r w:rsidR="00393D4E">
        <w:t xml:space="preserve">the </w:t>
      </w:r>
      <w:r w:rsidR="000A2B4D">
        <w:t xml:space="preserve">project implementation and adaptive management, namely </w:t>
      </w:r>
      <w:r w:rsidR="00D00A09">
        <w:t>management arrangements, work planning, finance and co-finance, project-level monitoring and evaluation, management of risks, stakeholder engagement, as well as reporting and communications.</w:t>
      </w:r>
    </w:p>
    <w:p w14:paraId="46BE0049" w14:textId="77777777" w:rsidR="00D00A09" w:rsidRDefault="00D00A09" w:rsidP="00D00A09">
      <w:pPr>
        <w:pStyle w:val="Heading3"/>
      </w:pPr>
      <w:bookmarkStart w:id="43" w:name="_Toc515816653"/>
      <w:bookmarkStart w:id="44" w:name="_Toc66777413"/>
      <w:r>
        <w:t>Management arrangements</w:t>
      </w:r>
      <w:bookmarkEnd w:id="43"/>
      <w:bookmarkEnd w:id="44"/>
    </w:p>
    <w:p w14:paraId="2A7A3B30" w14:textId="575D7D23" w:rsidR="00F04F50" w:rsidRDefault="00F04F50" w:rsidP="00D0225D">
      <w:pPr>
        <w:autoSpaceDE w:val="0"/>
        <w:autoSpaceDN w:val="0"/>
        <w:adjustRightInd w:val="0"/>
      </w:pPr>
      <w:r>
        <w:t xml:space="preserve">The CBIT project was designed </w:t>
      </w:r>
      <w:r w:rsidR="00D0225D">
        <w:t xml:space="preserve">for </w:t>
      </w:r>
      <w:r>
        <w:t>implement</w:t>
      </w:r>
      <w:r w:rsidR="00D0225D">
        <w:t>ation</w:t>
      </w:r>
      <w:r>
        <w:t xml:space="preserve"> under </w:t>
      </w:r>
      <w:r w:rsidR="00D0225D">
        <w:t xml:space="preserve">the </w:t>
      </w:r>
      <w:r w:rsidR="00C6308A">
        <w:t xml:space="preserve">NIM </w:t>
      </w:r>
      <w:r w:rsidR="00D0225D">
        <w:t>in line with the Standard Basic Assistance Agreement between UNDP and the Government of Serbia</w:t>
      </w:r>
      <w:r w:rsidR="008F2BC0">
        <w:t xml:space="preserve">. </w:t>
      </w:r>
      <w:r w:rsidR="00D0225D">
        <w:t xml:space="preserve">MEP as the </w:t>
      </w:r>
      <w:r w:rsidR="00C6308A">
        <w:t xml:space="preserve">designated </w:t>
      </w:r>
      <w:r w:rsidR="00D0225D">
        <w:t xml:space="preserve">Implementing Partner </w:t>
      </w:r>
      <w:r w:rsidR="00935DCD">
        <w:t xml:space="preserve">has </w:t>
      </w:r>
      <w:r w:rsidR="008F2BC0">
        <w:t xml:space="preserve">provided office space to host the Project </w:t>
      </w:r>
      <w:r w:rsidR="003A7551">
        <w:t xml:space="preserve">Management </w:t>
      </w:r>
      <w:r w:rsidR="008F2BC0">
        <w:t>Unit (P</w:t>
      </w:r>
      <w:r w:rsidR="003A7551">
        <w:t>M</w:t>
      </w:r>
      <w:r w:rsidR="008F2BC0">
        <w:t xml:space="preserve">U) and appointed </w:t>
      </w:r>
      <w:r w:rsidR="00C6308A">
        <w:t xml:space="preserve">the </w:t>
      </w:r>
      <w:r w:rsidR="008F2BC0">
        <w:t xml:space="preserve">Assistant Minister </w:t>
      </w:r>
      <w:r w:rsidR="00D0225D">
        <w:t>as the National Project Director</w:t>
      </w:r>
      <w:r w:rsidR="005F7BCE">
        <w:t xml:space="preserve"> (NPD).</w:t>
      </w:r>
      <w:r w:rsidR="00D0225D">
        <w:t xml:space="preserve"> </w:t>
      </w:r>
    </w:p>
    <w:p w14:paraId="1D59DBB4" w14:textId="3EE08D6B" w:rsidR="00386D99" w:rsidRDefault="00935DCD" w:rsidP="00386D99">
      <w:pPr>
        <w:autoSpaceDE w:val="0"/>
        <w:autoSpaceDN w:val="0"/>
        <w:adjustRightInd w:val="0"/>
        <w:rPr>
          <w:lang w:val="en-US"/>
        </w:rPr>
      </w:pPr>
      <w:r>
        <w:t>On basis of a Standard Letter of Agreement</w:t>
      </w:r>
      <w:r w:rsidR="00583A63">
        <w:t>, the UNDP CO provides specific services to the project in terms of staffing of the PIU, i</w:t>
      </w:r>
      <w:r>
        <w:t>dentification and facilitation of training activities</w:t>
      </w:r>
      <w:r w:rsidR="00583A63">
        <w:t>, as well as p</w:t>
      </w:r>
      <w:r>
        <w:t>rocurement of goods and services</w:t>
      </w:r>
      <w:r w:rsidR="00583A63">
        <w:t>.</w:t>
      </w:r>
      <w:r w:rsidR="00386D99">
        <w:t xml:space="preserve"> </w:t>
      </w:r>
      <w:r w:rsidR="005F7BCE">
        <w:t xml:space="preserve">The same modality had been implemented in all similar previous projects as it </w:t>
      </w:r>
      <w:r w:rsidR="00386D99">
        <w:t xml:space="preserve">builds upon </w:t>
      </w:r>
      <w:r w:rsidR="00386D99" w:rsidRPr="00D13637">
        <w:rPr>
          <w:lang w:val="en-US"/>
        </w:rPr>
        <w:t>requisite capacities</w:t>
      </w:r>
      <w:r w:rsidR="00386D99">
        <w:rPr>
          <w:lang w:val="en-US"/>
        </w:rPr>
        <w:t xml:space="preserve"> of the UNDP CO, namely </w:t>
      </w:r>
      <w:r w:rsidR="00386D99" w:rsidRPr="00D13637">
        <w:rPr>
          <w:lang w:val="en-US"/>
        </w:rPr>
        <w:t xml:space="preserve">thorough understanding of the country’s </w:t>
      </w:r>
      <w:r w:rsidR="00386D99">
        <w:rPr>
          <w:lang w:val="en-US"/>
        </w:rPr>
        <w:t>development challenges,</w:t>
      </w:r>
      <w:r w:rsidR="00386D99" w:rsidRPr="00D13637">
        <w:rPr>
          <w:lang w:val="en-US"/>
        </w:rPr>
        <w:t xml:space="preserve"> strong </w:t>
      </w:r>
      <w:r w:rsidR="00386D99">
        <w:rPr>
          <w:lang w:val="en-US"/>
        </w:rPr>
        <w:t xml:space="preserve">reputation </w:t>
      </w:r>
      <w:r w:rsidR="00386D99" w:rsidRPr="00D13637">
        <w:rPr>
          <w:lang w:val="en-US"/>
        </w:rPr>
        <w:t>with national and international partners</w:t>
      </w:r>
      <w:r w:rsidR="00386D99">
        <w:rPr>
          <w:lang w:val="en-US"/>
        </w:rPr>
        <w:t>, as well as</w:t>
      </w:r>
      <w:r w:rsidR="00386D99" w:rsidRPr="00D13637">
        <w:rPr>
          <w:lang w:val="en-US"/>
        </w:rPr>
        <w:t xml:space="preserve"> </w:t>
      </w:r>
      <w:r w:rsidR="00386D99">
        <w:rPr>
          <w:lang w:val="en-US"/>
        </w:rPr>
        <w:t xml:space="preserve">proven </w:t>
      </w:r>
      <w:r w:rsidR="00386D99" w:rsidRPr="00D13637">
        <w:rPr>
          <w:lang w:val="en-US"/>
        </w:rPr>
        <w:t xml:space="preserve">capacities in logistics, recruitment, procurement, financial management, and reporting. </w:t>
      </w:r>
    </w:p>
    <w:p w14:paraId="697931A7" w14:textId="794F770D" w:rsidR="00C6308A" w:rsidRDefault="00583A63" w:rsidP="0053201A">
      <w:pPr>
        <w:autoSpaceDE w:val="0"/>
        <w:autoSpaceDN w:val="0"/>
        <w:adjustRightInd w:val="0"/>
      </w:pPr>
      <w:r>
        <w:t xml:space="preserve">Two staff members </w:t>
      </w:r>
      <w:r w:rsidR="00C6308A">
        <w:t xml:space="preserve">UNDP </w:t>
      </w:r>
      <w:r>
        <w:t xml:space="preserve">CO have been </w:t>
      </w:r>
      <w:r w:rsidR="005F7BCE">
        <w:t xml:space="preserve">located </w:t>
      </w:r>
      <w:r>
        <w:t xml:space="preserve">to the PIU office premises to perform the respective roles of the Project Manager </w:t>
      </w:r>
      <w:r w:rsidR="00386D99">
        <w:t xml:space="preserve">(PM) </w:t>
      </w:r>
      <w:r>
        <w:t>and the Project Coordinator</w:t>
      </w:r>
      <w:r w:rsidR="005F7BCE">
        <w:t xml:space="preserve"> (PC)</w:t>
      </w:r>
      <w:r>
        <w:t xml:space="preserve">. </w:t>
      </w:r>
      <w:r w:rsidR="0053201A">
        <w:t xml:space="preserve">The </w:t>
      </w:r>
      <w:r w:rsidR="00386D99">
        <w:t xml:space="preserve">PM has </w:t>
      </w:r>
      <w:r w:rsidR="00386D99" w:rsidRPr="007F0CBA">
        <w:t>responsib</w:t>
      </w:r>
      <w:r w:rsidR="00386D99">
        <w:t xml:space="preserve">ilities </w:t>
      </w:r>
      <w:r w:rsidR="00386D99" w:rsidRPr="00DC386E">
        <w:t xml:space="preserve">for the day-to-day running of the project, including planning, management, implementation, </w:t>
      </w:r>
      <w:r w:rsidR="00386D99" w:rsidRPr="00583A63">
        <w:t>regular monitoring of project results and risks</w:t>
      </w:r>
      <w:r w:rsidR="00386D99">
        <w:t xml:space="preserve">, as well as for </w:t>
      </w:r>
      <w:r w:rsidR="00386D99" w:rsidRPr="00DC386E">
        <w:t xml:space="preserve">reporting of all project </w:t>
      </w:r>
      <w:r w:rsidR="00386D99">
        <w:t xml:space="preserve">results. </w:t>
      </w:r>
    </w:p>
    <w:p w14:paraId="021DCEDC" w14:textId="70A75EDB" w:rsidR="00132F4C" w:rsidRDefault="00386D99" w:rsidP="00D13637">
      <w:pPr>
        <w:autoSpaceDE w:val="0"/>
        <w:autoSpaceDN w:val="0"/>
        <w:adjustRightInd w:val="0"/>
        <w:rPr>
          <w:lang w:val="en-US"/>
        </w:rPr>
      </w:pPr>
      <w:r>
        <w:t xml:space="preserve">The </w:t>
      </w:r>
      <w:r w:rsidR="005F7BCE">
        <w:rPr>
          <w:lang w:val="en-US"/>
        </w:rPr>
        <w:t xml:space="preserve">project partners </w:t>
      </w:r>
      <w:r w:rsidR="00D13637">
        <w:rPr>
          <w:lang w:val="en-US"/>
        </w:rPr>
        <w:t>consider</w:t>
      </w:r>
      <w:r w:rsidR="005F7BCE">
        <w:rPr>
          <w:lang w:val="en-US"/>
        </w:rPr>
        <w:t xml:space="preserve"> the NIM with UNDP support </w:t>
      </w:r>
      <w:r w:rsidR="00D13637">
        <w:rPr>
          <w:lang w:val="en-US"/>
        </w:rPr>
        <w:t xml:space="preserve">optimal for </w:t>
      </w:r>
      <w:r w:rsidR="00D13637" w:rsidRPr="00D13637">
        <w:rPr>
          <w:lang w:val="en-US"/>
        </w:rPr>
        <w:t>meticulous</w:t>
      </w:r>
      <w:r w:rsidR="00D13637">
        <w:rPr>
          <w:lang w:val="en-US"/>
        </w:rPr>
        <w:t xml:space="preserve"> implementation of the project</w:t>
      </w:r>
      <w:r>
        <w:rPr>
          <w:lang w:val="en-US"/>
        </w:rPr>
        <w:t xml:space="preserve">. On the other hand, the </w:t>
      </w:r>
      <w:r w:rsidR="00F91FCE">
        <w:rPr>
          <w:lang w:val="en-US"/>
        </w:rPr>
        <w:t xml:space="preserve">extensive </w:t>
      </w:r>
      <w:r>
        <w:rPr>
          <w:lang w:val="en-US"/>
        </w:rPr>
        <w:t>involvement of the UNDP CO contribute</w:t>
      </w:r>
      <w:r w:rsidR="005F7BCE">
        <w:rPr>
          <w:lang w:val="en-US"/>
        </w:rPr>
        <w:t xml:space="preserve">s very little </w:t>
      </w:r>
      <w:r>
        <w:rPr>
          <w:lang w:val="en-US"/>
        </w:rPr>
        <w:t xml:space="preserve">to </w:t>
      </w:r>
      <w:r w:rsidR="00FE0AE5">
        <w:rPr>
          <w:lang w:val="en-US"/>
        </w:rPr>
        <w:t xml:space="preserve">development of </w:t>
      </w:r>
      <w:r w:rsidR="00D13637">
        <w:rPr>
          <w:lang w:val="en-US"/>
        </w:rPr>
        <w:t xml:space="preserve">national </w:t>
      </w:r>
      <w:r w:rsidR="00132F4C" w:rsidRPr="00132F4C">
        <w:rPr>
          <w:lang w:val="en-US"/>
        </w:rPr>
        <w:t xml:space="preserve">capacity </w:t>
      </w:r>
      <w:r>
        <w:rPr>
          <w:lang w:val="en-US"/>
        </w:rPr>
        <w:t xml:space="preserve">for management of </w:t>
      </w:r>
      <w:r w:rsidR="00FE0AE5">
        <w:rPr>
          <w:lang w:val="en-US"/>
        </w:rPr>
        <w:t xml:space="preserve">international </w:t>
      </w:r>
      <w:r>
        <w:rPr>
          <w:lang w:val="en-US"/>
        </w:rPr>
        <w:t>development assistance projects</w:t>
      </w:r>
      <w:r w:rsidR="00D13637">
        <w:rPr>
          <w:lang w:val="en-US"/>
        </w:rPr>
        <w:t>.</w:t>
      </w:r>
    </w:p>
    <w:p w14:paraId="0690F292" w14:textId="318CC0FD" w:rsidR="005045CD" w:rsidRDefault="00DC386E" w:rsidP="00DC386E">
      <w:pPr>
        <w:autoSpaceDE w:val="0"/>
        <w:autoSpaceDN w:val="0"/>
        <w:adjustRightInd w:val="0"/>
      </w:pPr>
      <w:r w:rsidRPr="005F7BCE">
        <w:rPr>
          <w:u w:val="single"/>
        </w:rPr>
        <w:t>Th</w:t>
      </w:r>
      <w:r w:rsidR="00EF2102" w:rsidRPr="005F7BCE">
        <w:rPr>
          <w:u w:val="single"/>
        </w:rPr>
        <w:t>e</w:t>
      </w:r>
      <w:r w:rsidRPr="005F7BCE">
        <w:rPr>
          <w:u w:val="single"/>
        </w:rPr>
        <w:t xml:space="preserve"> </w:t>
      </w:r>
      <w:r w:rsidR="005415B7" w:rsidRPr="005F7BCE">
        <w:rPr>
          <w:u w:val="single"/>
        </w:rPr>
        <w:t xml:space="preserve">Project </w:t>
      </w:r>
      <w:r w:rsidR="006763F2" w:rsidRPr="005F7BCE">
        <w:rPr>
          <w:u w:val="single"/>
        </w:rPr>
        <w:t xml:space="preserve">Board </w:t>
      </w:r>
      <w:r w:rsidR="00482672" w:rsidRPr="005F7BCE">
        <w:rPr>
          <w:u w:val="single"/>
        </w:rPr>
        <w:t>(P</w:t>
      </w:r>
      <w:r w:rsidR="006763F2" w:rsidRPr="005F7BCE">
        <w:rPr>
          <w:u w:val="single"/>
        </w:rPr>
        <w:t>B</w:t>
      </w:r>
      <w:r w:rsidR="00482672" w:rsidRPr="005F7BCE">
        <w:rPr>
          <w:u w:val="single"/>
        </w:rPr>
        <w:t>)</w:t>
      </w:r>
      <w:r w:rsidR="00482672">
        <w:t xml:space="preserve"> </w:t>
      </w:r>
      <w:r w:rsidR="005045CD">
        <w:t xml:space="preserve">has </w:t>
      </w:r>
      <w:r w:rsidR="005415B7" w:rsidRPr="005415B7">
        <w:t>be</w:t>
      </w:r>
      <w:r w:rsidR="005045CD">
        <w:t>en</w:t>
      </w:r>
      <w:r w:rsidR="005415B7" w:rsidRPr="005415B7">
        <w:t xml:space="preserve"> established to oversee </w:t>
      </w:r>
      <w:r w:rsidR="005045CD">
        <w:t xml:space="preserve">the </w:t>
      </w:r>
      <w:r w:rsidR="005415B7" w:rsidRPr="005415B7">
        <w:t xml:space="preserve">project </w:t>
      </w:r>
      <w:r>
        <w:t xml:space="preserve">implementation, </w:t>
      </w:r>
      <w:r w:rsidR="005415B7" w:rsidRPr="005415B7">
        <w:t xml:space="preserve">provide overall strategic direction and play a critical role </w:t>
      </w:r>
      <w:r w:rsidR="005045CD">
        <w:t xml:space="preserve">to </w:t>
      </w:r>
      <w:r w:rsidR="005415B7" w:rsidRPr="005415B7">
        <w:t>review</w:t>
      </w:r>
      <w:r w:rsidR="005045CD">
        <w:t xml:space="preserve"> </w:t>
      </w:r>
      <w:r w:rsidR="00FE0AE5">
        <w:t xml:space="preserve">the </w:t>
      </w:r>
      <w:r w:rsidR="005415B7" w:rsidRPr="005415B7">
        <w:t>project progress</w:t>
      </w:r>
      <w:r w:rsidR="00FE0AE5">
        <w:t xml:space="preserve"> </w:t>
      </w:r>
      <w:r w:rsidR="005415B7" w:rsidRPr="005415B7">
        <w:t>and a</w:t>
      </w:r>
      <w:r>
        <w:t>pprove</w:t>
      </w:r>
      <w:r w:rsidR="005415B7" w:rsidRPr="005415B7">
        <w:t xml:space="preserve"> annual project work </w:t>
      </w:r>
      <w:r>
        <w:t xml:space="preserve">and </w:t>
      </w:r>
      <w:r w:rsidR="00FE0AE5">
        <w:t xml:space="preserve">financial </w:t>
      </w:r>
      <w:r w:rsidR="005415B7" w:rsidRPr="005415B7">
        <w:t>plans.</w:t>
      </w:r>
      <w:r w:rsidR="005045CD">
        <w:t xml:space="preserve"> </w:t>
      </w:r>
      <w:r w:rsidR="00FB766A">
        <w:t xml:space="preserve">The PB membership is limited to </w:t>
      </w:r>
      <w:r w:rsidR="005F7BCE">
        <w:t>two members</w:t>
      </w:r>
      <w:r w:rsidR="00FB766A">
        <w:t xml:space="preserve"> </w:t>
      </w:r>
      <w:r w:rsidR="00FB766A">
        <w:lastRenderedPageBreak/>
        <w:t>nominated by MEP</w:t>
      </w:r>
      <w:r w:rsidR="005F7BCE">
        <w:t xml:space="preserve">, namely the NPD and the Head of the </w:t>
      </w:r>
      <w:r w:rsidR="00FB766A">
        <w:t xml:space="preserve">MEP </w:t>
      </w:r>
      <w:r w:rsidR="005F7BCE">
        <w:t>Group on Mitigation in the MEP Climate Change Department</w:t>
      </w:r>
      <w:r w:rsidR="008A070E">
        <w:t xml:space="preserve">, </w:t>
      </w:r>
      <w:r w:rsidR="00FB766A">
        <w:t>and the Programme Analyst from the UNDP CO.</w:t>
      </w:r>
      <w:r w:rsidR="008A070E">
        <w:t xml:space="preserve"> The relatively narrow membership was decided purposefully in order to keep the PB more focused and operational.</w:t>
      </w:r>
    </w:p>
    <w:p w14:paraId="7FD476DC" w14:textId="60EB1109" w:rsidR="005B1EA2" w:rsidRDefault="005B1EA2" w:rsidP="00DC386E">
      <w:pPr>
        <w:autoSpaceDE w:val="0"/>
        <w:autoSpaceDN w:val="0"/>
        <w:adjustRightInd w:val="0"/>
      </w:pPr>
      <w:r>
        <w:t xml:space="preserve">In line with the Project Document, an Inter-Ministerial Working Group (IMWG) was established </w:t>
      </w:r>
      <w:r w:rsidR="0047236A">
        <w:t xml:space="preserve">as a consulting body </w:t>
      </w:r>
      <w:r>
        <w:t>to support the PB</w:t>
      </w:r>
      <w:r w:rsidR="0047236A">
        <w:t>. It is composed of 58 representatives of the Implementing Partners, line ministries, other national and provincial institutions, major national companies and NGOs. More about its functioning is in the section ‘Stakeholder engagement’ below.</w:t>
      </w:r>
    </w:p>
    <w:p w14:paraId="546C5275" w14:textId="00E23224" w:rsidR="008A070E" w:rsidRDefault="00DC386E" w:rsidP="00113324">
      <w:pPr>
        <w:autoSpaceDE w:val="0"/>
        <w:autoSpaceDN w:val="0"/>
        <w:adjustRightInd w:val="0"/>
      </w:pPr>
      <w:r w:rsidRPr="00FB766A">
        <w:rPr>
          <w:u w:val="single"/>
        </w:rPr>
        <w:t>The Inception Workshop (IW)</w:t>
      </w:r>
      <w:r>
        <w:t xml:space="preserve"> was conducted on</w:t>
      </w:r>
      <w:r w:rsidR="00FE0AE5">
        <w:t xml:space="preserve"> 24 April 2019</w:t>
      </w:r>
      <w:r>
        <w:t xml:space="preserve">, i.e. </w:t>
      </w:r>
      <w:r w:rsidR="00FE0AE5">
        <w:t xml:space="preserve">1.5 </w:t>
      </w:r>
      <w:r>
        <w:t>months after the official starting date of the project</w:t>
      </w:r>
      <w:r w:rsidR="005F7BCE">
        <w:t xml:space="preserve">. </w:t>
      </w:r>
      <w:r w:rsidR="00E44BFC">
        <w:t>The participants were the members of the PB</w:t>
      </w:r>
      <w:r w:rsidR="00FB766A">
        <w:t xml:space="preserve"> and two additional representatives of MEP. </w:t>
      </w:r>
      <w:r w:rsidR="008A070E">
        <w:t>The PB members approved the first Annual Work Plan (AWP) prepared in line with the Project Document and TORs for short-term consultancies. Written Inception Report was prepared within one month after the IW.</w:t>
      </w:r>
    </w:p>
    <w:p w14:paraId="7B638204" w14:textId="53785AAB" w:rsidR="0010682F" w:rsidRPr="0010682F" w:rsidRDefault="005F7BCE" w:rsidP="0010682F">
      <w:pPr>
        <w:autoSpaceDE w:val="0"/>
        <w:autoSpaceDN w:val="0"/>
        <w:adjustRightInd w:val="0"/>
        <w:rPr>
          <w:lang w:val="en-US"/>
        </w:rPr>
      </w:pPr>
      <w:r>
        <w:rPr>
          <w:lang w:val="en-US"/>
        </w:rPr>
        <w:t>T</w:t>
      </w:r>
      <w:r w:rsidR="00BB00AE">
        <w:rPr>
          <w:lang w:val="en-US"/>
        </w:rPr>
        <w:t xml:space="preserve">he IW is </w:t>
      </w:r>
      <w:r w:rsidR="008A070E">
        <w:rPr>
          <w:lang w:val="en-US"/>
        </w:rPr>
        <w:t xml:space="preserve">also </w:t>
      </w:r>
      <w:r w:rsidR="00BB00AE">
        <w:rPr>
          <w:lang w:val="en-US"/>
        </w:rPr>
        <w:t xml:space="preserve">considered </w:t>
      </w:r>
      <w:r w:rsidR="008A070E">
        <w:rPr>
          <w:lang w:val="en-US"/>
        </w:rPr>
        <w:t xml:space="preserve">as </w:t>
      </w:r>
      <w:r w:rsidR="00BB00AE">
        <w:rPr>
          <w:lang w:val="en-US"/>
        </w:rPr>
        <w:t>the first PB meeting</w:t>
      </w:r>
      <w:r w:rsidR="008A070E">
        <w:rPr>
          <w:lang w:val="en-US"/>
        </w:rPr>
        <w:t>. T</w:t>
      </w:r>
      <w:r w:rsidR="006A0B9E">
        <w:rPr>
          <w:lang w:val="en-US"/>
        </w:rPr>
        <w:t>he</w:t>
      </w:r>
      <w:r w:rsidR="008A070E">
        <w:rPr>
          <w:lang w:val="en-US"/>
        </w:rPr>
        <w:t xml:space="preserve"> second PB meeting was held </w:t>
      </w:r>
      <w:r w:rsidR="0053201A">
        <w:rPr>
          <w:lang w:val="en-US"/>
        </w:rPr>
        <w:t xml:space="preserve">on </w:t>
      </w:r>
      <w:r w:rsidR="004662B2">
        <w:rPr>
          <w:lang w:val="en-US"/>
        </w:rPr>
        <w:t>10</w:t>
      </w:r>
      <w:r w:rsidR="0053201A">
        <w:rPr>
          <w:lang w:val="en-US"/>
        </w:rPr>
        <w:t xml:space="preserve"> </w:t>
      </w:r>
      <w:r w:rsidR="00BB00AE">
        <w:rPr>
          <w:lang w:val="en-US"/>
        </w:rPr>
        <w:t>April 2020</w:t>
      </w:r>
      <w:r w:rsidR="0053201A">
        <w:rPr>
          <w:lang w:val="en-US"/>
        </w:rPr>
        <w:t>.</w:t>
      </w:r>
      <w:r w:rsidR="008A070E">
        <w:rPr>
          <w:lang w:val="en-US"/>
        </w:rPr>
        <w:t xml:space="preserve"> </w:t>
      </w:r>
      <w:r w:rsidR="0053201A">
        <w:rPr>
          <w:lang w:val="en-US"/>
        </w:rPr>
        <w:t xml:space="preserve">Due to the COVID-19 outbreak it was organized as a virtual meeting through the Zoom platform. </w:t>
      </w:r>
      <w:r w:rsidR="008A070E">
        <w:rPr>
          <w:lang w:val="en-US"/>
        </w:rPr>
        <w:t>The participants were presented with a report on the results of the project’s 1</w:t>
      </w:r>
      <w:r w:rsidR="008A070E" w:rsidRPr="008A070E">
        <w:rPr>
          <w:vertAlign w:val="superscript"/>
          <w:lang w:val="en-US"/>
        </w:rPr>
        <w:t>st</w:t>
      </w:r>
      <w:r w:rsidR="008A070E">
        <w:rPr>
          <w:lang w:val="en-US"/>
        </w:rPr>
        <w:t xml:space="preserve"> year of implementation and approved the AWP for the 2</w:t>
      </w:r>
      <w:r w:rsidR="008A070E" w:rsidRPr="008A070E">
        <w:rPr>
          <w:vertAlign w:val="superscript"/>
          <w:lang w:val="en-US"/>
        </w:rPr>
        <w:t>nd</w:t>
      </w:r>
      <w:r w:rsidR="008A070E">
        <w:rPr>
          <w:lang w:val="en-US"/>
        </w:rPr>
        <w:t xml:space="preserve"> year</w:t>
      </w:r>
      <w:r w:rsidR="0010682F">
        <w:rPr>
          <w:lang w:val="en-US"/>
        </w:rPr>
        <w:t xml:space="preserve">, including parallel activities </w:t>
      </w:r>
      <w:r w:rsidR="00B25FCE">
        <w:rPr>
          <w:lang w:val="en-US"/>
        </w:rPr>
        <w:t xml:space="preserve">and budget </w:t>
      </w:r>
      <w:r w:rsidR="0010682F">
        <w:rPr>
          <w:lang w:val="en-US"/>
        </w:rPr>
        <w:t>under the UNDP Climate Promise</w:t>
      </w:r>
      <w:r w:rsidR="0010682F">
        <w:rPr>
          <w:rStyle w:val="FootnoteReference"/>
          <w:lang w:val="en-US"/>
        </w:rPr>
        <w:footnoteReference w:id="11"/>
      </w:r>
      <w:r w:rsidR="0010682F">
        <w:rPr>
          <w:lang w:val="en-US"/>
        </w:rPr>
        <w:t xml:space="preserve"> developed to </w:t>
      </w:r>
      <w:r w:rsidR="0010682F" w:rsidRPr="0010682F">
        <w:rPr>
          <w:lang w:val="en-US"/>
        </w:rPr>
        <w:t xml:space="preserve">enhance the </w:t>
      </w:r>
      <w:r w:rsidR="0010682F">
        <w:rPr>
          <w:lang w:val="en-US"/>
        </w:rPr>
        <w:t xml:space="preserve">NDC. </w:t>
      </w:r>
    </w:p>
    <w:p w14:paraId="2C630FA0" w14:textId="7BEF8D46" w:rsidR="009708CA" w:rsidRPr="001A274B" w:rsidRDefault="009708CA" w:rsidP="001A274B">
      <w:pPr>
        <w:autoSpaceDE w:val="0"/>
        <w:autoSpaceDN w:val="0"/>
        <w:adjustRightInd w:val="0"/>
      </w:pPr>
      <w:r w:rsidRPr="000E25D4">
        <w:t xml:space="preserve">The </w:t>
      </w:r>
      <w:r>
        <w:t xml:space="preserve">MTR </w:t>
      </w:r>
      <w:r w:rsidR="00DC386E">
        <w:t xml:space="preserve">team </w:t>
      </w:r>
      <w:r>
        <w:t xml:space="preserve">considers that the </w:t>
      </w:r>
      <w:r w:rsidRPr="000E25D4">
        <w:t xml:space="preserve">established managerial arrangements </w:t>
      </w:r>
      <w:r w:rsidR="008632C5">
        <w:t>and frequency of P</w:t>
      </w:r>
      <w:r w:rsidR="008A070E">
        <w:t>B</w:t>
      </w:r>
      <w:r w:rsidR="008632C5">
        <w:t xml:space="preserve"> meetings </w:t>
      </w:r>
      <w:r w:rsidRPr="000E25D4">
        <w:t>are adequate for the size and level of complexity of the project</w:t>
      </w:r>
      <w:r w:rsidR="00DC386E">
        <w:t>.</w:t>
      </w:r>
      <w:r w:rsidRPr="000E25D4">
        <w:t xml:space="preserve"> </w:t>
      </w:r>
      <w:r w:rsidR="001A274B">
        <w:t xml:space="preserve">Therefore, </w:t>
      </w:r>
      <w:r w:rsidR="001A274B">
        <w:rPr>
          <w:b/>
          <w:bCs/>
          <w:lang w:val="en-US"/>
        </w:rPr>
        <w:t>t</w:t>
      </w:r>
      <w:r w:rsidRPr="007E0CAE">
        <w:rPr>
          <w:b/>
        </w:rPr>
        <w:t>he management arrangement component is</w:t>
      </w:r>
      <w:r>
        <w:rPr>
          <w:b/>
        </w:rPr>
        <w:t xml:space="preserve"> </w:t>
      </w:r>
      <w:r w:rsidR="008632C5">
        <w:rPr>
          <w:b/>
        </w:rPr>
        <w:t xml:space="preserve">rated </w:t>
      </w:r>
      <w:r>
        <w:rPr>
          <w:b/>
        </w:rPr>
        <w:t>Satisfa</w:t>
      </w:r>
      <w:r w:rsidR="001A274B">
        <w:rPr>
          <w:b/>
        </w:rPr>
        <w:t>c</w:t>
      </w:r>
      <w:r>
        <w:rPr>
          <w:b/>
        </w:rPr>
        <w:t>tory (S)</w:t>
      </w:r>
      <w:r w:rsidRPr="007E0CAE">
        <w:rPr>
          <w:b/>
        </w:rPr>
        <w:t>.</w:t>
      </w:r>
    </w:p>
    <w:p w14:paraId="6F5B38BA" w14:textId="77777777" w:rsidR="007040F3" w:rsidRDefault="007040F3" w:rsidP="007040F3">
      <w:pPr>
        <w:pStyle w:val="Heading3"/>
      </w:pPr>
      <w:bookmarkStart w:id="45" w:name="_Toc515816654"/>
      <w:bookmarkStart w:id="46" w:name="_Toc66777414"/>
      <w:r w:rsidRPr="006A130F">
        <w:t>Work planning</w:t>
      </w:r>
      <w:bookmarkEnd w:id="45"/>
      <w:bookmarkEnd w:id="46"/>
    </w:p>
    <w:p w14:paraId="199C1BFA" w14:textId="05D02021" w:rsidR="00943A1F" w:rsidRDefault="00B62D75" w:rsidP="005E4D82">
      <w:r>
        <w:t xml:space="preserve">In consultation with the relevant stakeholders, </w:t>
      </w:r>
      <w:r w:rsidR="00B25FCE">
        <w:t xml:space="preserve">the PIU </w:t>
      </w:r>
      <w:r w:rsidR="005E4D82">
        <w:t>prepare</w:t>
      </w:r>
      <w:r w:rsidR="00B25FCE">
        <w:t>d</w:t>
      </w:r>
      <w:r w:rsidR="005E4D82">
        <w:t xml:space="preserve"> </w:t>
      </w:r>
      <w:r w:rsidR="005E4D82" w:rsidRPr="005E4D82">
        <w:t>AWP</w:t>
      </w:r>
      <w:r w:rsidR="005E4D82">
        <w:t xml:space="preserve">s with </w:t>
      </w:r>
      <w:r w:rsidR="005E4D82" w:rsidRPr="005E4D82">
        <w:t>planned activities</w:t>
      </w:r>
      <w:r w:rsidR="00B25FCE">
        <w:t xml:space="preserve">, allocated budget and </w:t>
      </w:r>
      <w:r>
        <w:t>indicative time</w:t>
      </w:r>
      <w:r w:rsidR="00943A1F">
        <w:t>frame</w:t>
      </w:r>
      <w:r>
        <w:t xml:space="preserve"> </w:t>
      </w:r>
      <w:r w:rsidR="00943A1F">
        <w:t xml:space="preserve">under </w:t>
      </w:r>
      <w:r w:rsidR="005E4D82">
        <w:t xml:space="preserve">each </w:t>
      </w:r>
      <w:r w:rsidR="00B25FCE">
        <w:t>Outcome</w:t>
      </w:r>
      <w:r w:rsidR="005E4D82" w:rsidRPr="005E4D82">
        <w:t xml:space="preserve">. AWPs </w:t>
      </w:r>
      <w:r w:rsidR="00B25FCE">
        <w:t>we</w:t>
      </w:r>
      <w:r w:rsidR="005E4D82" w:rsidRPr="005E4D82">
        <w:t xml:space="preserve">re </w:t>
      </w:r>
      <w:r w:rsidR="005E4D82">
        <w:t xml:space="preserve">presented to </w:t>
      </w:r>
      <w:r w:rsidR="00B25FCE">
        <w:t xml:space="preserve">PB </w:t>
      </w:r>
      <w:r w:rsidR="005E4D82">
        <w:t xml:space="preserve">meetings for approval. </w:t>
      </w:r>
    </w:p>
    <w:p w14:paraId="6727DACF" w14:textId="193543A6" w:rsidR="00B25FCE" w:rsidRDefault="00B62D75" w:rsidP="005E4D82">
      <w:r>
        <w:t xml:space="preserve">The </w:t>
      </w:r>
      <w:r w:rsidR="00B25FCE">
        <w:t xml:space="preserve">MTR team </w:t>
      </w:r>
      <w:r>
        <w:t xml:space="preserve">reviewed </w:t>
      </w:r>
      <w:r w:rsidR="00943A1F">
        <w:t>A</w:t>
      </w:r>
      <w:r w:rsidR="00AD2D74">
        <w:t xml:space="preserve">nnual </w:t>
      </w:r>
      <w:r w:rsidR="00943A1F">
        <w:t>W</w:t>
      </w:r>
      <w:r w:rsidR="00AD2D74">
        <w:t xml:space="preserve">ork </w:t>
      </w:r>
      <w:r w:rsidR="00943A1F">
        <w:t>P</w:t>
      </w:r>
      <w:r w:rsidR="00AD2D74">
        <w:t>lan</w:t>
      </w:r>
      <w:r w:rsidR="00943A1F">
        <w:t>s</w:t>
      </w:r>
      <w:r w:rsidR="00AD2D74">
        <w:t xml:space="preserve"> (AWPs)</w:t>
      </w:r>
      <w:r w:rsidR="00943A1F">
        <w:t xml:space="preserve"> </w:t>
      </w:r>
      <w:r>
        <w:t>for the years 201</w:t>
      </w:r>
      <w:r w:rsidR="00B25FCE">
        <w:t>9</w:t>
      </w:r>
      <w:r>
        <w:t>, 20</w:t>
      </w:r>
      <w:r w:rsidR="00B25FCE">
        <w:t>20</w:t>
      </w:r>
      <w:r>
        <w:t xml:space="preserve"> and 20</w:t>
      </w:r>
      <w:r w:rsidR="00B25FCE">
        <w:t>21</w:t>
      </w:r>
      <w:r w:rsidR="008A66F8">
        <w:t xml:space="preserve"> </w:t>
      </w:r>
      <w:r w:rsidR="00943A1F">
        <w:t xml:space="preserve">and found them </w:t>
      </w:r>
      <w:r>
        <w:t xml:space="preserve">realistic </w:t>
      </w:r>
      <w:r w:rsidR="00943A1F">
        <w:t xml:space="preserve">with </w:t>
      </w:r>
      <w:r>
        <w:t xml:space="preserve">narrative description of planned </w:t>
      </w:r>
      <w:r w:rsidR="008A66F8">
        <w:t xml:space="preserve">activities and associated actions, indicators and their annual targets, as well as allocated financial inputs. </w:t>
      </w:r>
    </w:p>
    <w:p w14:paraId="2B70FCC4" w14:textId="32582E9D" w:rsidR="005A7891" w:rsidRDefault="005A7891" w:rsidP="003A48A6">
      <w:r w:rsidRPr="005A7891">
        <w:t xml:space="preserve">Based on the conclusions of the PB meeting held in April 2020, </w:t>
      </w:r>
      <w:r>
        <w:t xml:space="preserve">the annual budget for 2020 </w:t>
      </w:r>
      <w:r w:rsidRPr="005A7891">
        <w:t xml:space="preserve">was </w:t>
      </w:r>
      <w:r>
        <w:t xml:space="preserve">reduced </w:t>
      </w:r>
      <w:r w:rsidRPr="005A7891">
        <w:t>due to travel restrictions</w:t>
      </w:r>
      <w:r>
        <w:t xml:space="preserve"> and adaptive management interventions related to organization of project meetings on-line instead of physical meetings</w:t>
      </w:r>
      <w:r w:rsidRPr="005A7891">
        <w:t>.</w:t>
      </w:r>
      <w:r w:rsidR="003A48A6">
        <w:t xml:space="preserve"> A budget revision was conducted in order to transfer the reduced amounts to the 2021 annual budget. </w:t>
      </w:r>
    </w:p>
    <w:p w14:paraId="71580FE5" w14:textId="1A04BC25" w:rsidR="005F76B7" w:rsidRPr="00B62D75" w:rsidRDefault="00B62D75" w:rsidP="007040F3">
      <w:r w:rsidRPr="004A42B8">
        <w:rPr>
          <w:b/>
          <w:bCs/>
        </w:rPr>
        <w:t xml:space="preserve">The MTR team </w:t>
      </w:r>
      <w:r w:rsidR="00F33858" w:rsidRPr="004A42B8">
        <w:rPr>
          <w:b/>
          <w:bCs/>
        </w:rPr>
        <w:t xml:space="preserve">rates </w:t>
      </w:r>
      <w:r w:rsidRPr="004A42B8">
        <w:rPr>
          <w:b/>
          <w:bCs/>
        </w:rPr>
        <w:t>the project work planning</w:t>
      </w:r>
      <w:r>
        <w:t xml:space="preserve"> </w:t>
      </w:r>
      <w:r>
        <w:rPr>
          <w:b/>
          <w:bCs/>
        </w:rPr>
        <w:t>Satisfactory (S).</w:t>
      </w:r>
      <w:r>
        <w:t xml:space="preserve"> </w:t>
      </w:r>
    </w:p>
    <w:p w14:paraId="5A66C73D" w14:textId="6A6D4E1D" w:rsidR="00426F16" w:rsidRDefault="00426F16" w:rsidP="00426F16">
      <w:pPr>
        <w:pStyle w:val="Heading3"/>
      </w:pPr>
      <w:bookmarkStart w:id="47" w:name="_Toc515816655"/>
      <w:bookmarkStart w:id="48" w:name="_Toc66777415"/>
      <w:r>
        <w:lastRenderedPageBreak/>
        <w:t>Monitoring and evaluation</w:t>
      </w:r>
      <w:bookmarkEnd w:id="47"/>
      <w:bookmarkEnd w:id="48"/>
    </w:p>
    <w:p w14:paraId="3A43ADF2" w14:textId="2373576B" w:rsidR="008A66F8" w:rsidRDefault="009518B8" w:rsidP="00223FDF">
      <w:r>
        <w:t xml:space="preserve">The Project Document states that </w:t>
      </w:r>
      <w:r w:rsidR="008A66F8">
        <w:t>t</w:t>
      </w:r>
      <w:r w:rsidR="008A66F8" w:rsidRPr="008A66F8">
        <w:t>he project results as outlined in the results framework will be monitored annually and evaluated periodically during project implementation to ensure the project effectively achieves these results.</w:t>
      </w:r>
    </w:p>
    <w:p w14:paraId="33F66386" w14:textId="3A444EB6" w:rsidR="00E350D2" w:rsidRDefault="008A66F8" w:rsidP="00223FDF">
      <w:r>
        <w:t>T</w:t>
      </w:r>
      <w:r w:rsidR="00546EFD">
        <w:t xml:space="preserve">he </w:t>
      </w:r>
      <w:r w:rsidR="00327BB2">
        <w:t xml:space="preserve">project performance monitoring and evaluation </w:t>
      </w:r>
      <w:r>
        <w:t xml:space="preserve">has been </w:t>
      </w:r>
      <w:r w:rsidR="00327BB2">
        <w:t xml:space="preserve">conducted at several levels in line with the UNDP </w:t>
      </w:r>
      <w:r w:rsidR="00327BB2" w:rsidRPr="00327BB2">
        <w:t xml:space="preserve">Programme and Operations Policies and Procedures (POPP) </w:t>
      </w:r>
      <w:r w:rsidR="00327BB2">
        <w:t xml:space="preserve">and the UNDP Evaluation Policy. </w:t>
      </w:r>
      <w:r>
        <w:t>Operational m</w:t>
      </w:r>
      <w:r w:rsidR="00327BB2">
        <w:t xml:space="preserve">onitoring is provided in the first instance by </w:t>
      </w:r>
      <w:r>
        <w:t>the PIU</w:t>
      </w:r>
      <w:r w:rsidR="00327BB2">
        <w:t xml:space="preserve"> and in the second instance</w:t>
      </w:r>
      <w:r w:rsidR="00CB70FF">
        <w:t>, together with project oversight,</w:t>
      </w:r>
      <w:r w:rsidR="00327BB2">
        <w:t xml:space="preserve"> by the </w:t>
      </w:r>
      <w:r w:rsidR="00CB70FF">
        <w:t>PB</w:t>
      </w:r>
      <w:r w:rsidR="00327BB2">
        <w:t xml:space="preserve">. </w:t>
      </w:r>
      <w:r w:rsidR="00E350D2" w:rsidRPr="001B1A3F">
        <w:t>However, the evaluators noted that there was no systematic compilation of progress data on the output and outcome indicators as agreed in the project results framework.</w:t>
      </w:r>
    </w:p>
    <w:p w14:paraId="615BABB0" w14:textId="34A7D61D" w:rsidR="00930F66" w:rsidRDefault="00472DBB" w:rsidP="00223FDF">
      <w:r w:rsidRPr="00472DBB">
        <w:rPr>
          <w:u w:val="single"/>
        </w:rPr>
        <w:t>Project Implementation Review (PIR)</w:t>
      </w:r>
      <w:r>
        <w:rPr>
          <w:u w:val="single"/>
        </w:rPr>
        <w:t>:</w:t>
      </w:r>
      <w:r>
        <w:t xml:space="preserve"> </w:t>
      </w:r>
      <w:r w:rsidR="00930F66">
        <w:t xml:space="preserve">The GEF M&amp;E policy requires </w:t>
      </w:r>
      <w:r w:rsidR="00327BB2">
        <w:t>t</w:t>
      </w:r>
      <w:r w:rsidR="00327BB2" w:rsidRPr="00327BB2">
        <w:t>he Project Manager</w:t>
      </w:r>
      <w:r w:rsidR="00327BB2">
        <w:t xml:space="preserve"> and </w:t>
      </w:r>
      <w:r w:rsidR="00327BB2" w:rsidRPr="00327BB2">
        <w:t xml:space="preserve">the UNDP-GEF Regional Technical Advisor </w:t>
      </w:r>
      <w:r w:rsidR="00930F66">
        <w:t xml:space="preserve">to </w:t>
      </w:r>
      <w:r w:rsidR="00327BB2">
        <w:t xml:space="preserve">compile </w:t>
      </w:r>
      <w:r>
        <w:t xml:space="preserve">the PIR </w:t>
      </w:r>
      <w:r w:rsidR="00327BB2">
        <w:t xml:space="preserve">on annual basis the </w:t>
      </w:r>
      <w:r w:rsidR="00327BB2" w:rsidRPr="00327BB2">
        <w:t xml:space="preserve">GEF </w:t>
      </w:r>
      <w:r w:rsidR="00327BB2">
        <w:t xml:space="preserve">that </w:t>
      </w:r>
      <w:r w:rsidR="00327BB2" w:rsidRPr="00327BB2">
        <w:t>cover</w:t>
      </w:r>
      <w:r w:rsidR="008A66F8">
        <w:t xml:space="preserve">s </w:t>
      </w:r>
      <w:r w:rsidR="00327BB2" w:rsidRPr="00327BB2">
        <w:t xml:space="preserve">the reporting period </w:t>
      </w:r>
      <w:r w:rsidR="00327BB2">
        <w:t xml:space="preserve">from </w:t>
      </w:r>
      <w:r w:rsidR="00327BB2" w:rsidRPr="00327BB2">
        <w:t>July (</w:t>
      </w:r>
      <w:r w:rsidR="00930F66">
        <w:t>previous year</w:t>
      </w:r>
      <w:r w:rsidR="00327BB2" w:rsidRPr="00327BB2">
        <w:t>) to June (current year) for each year of project implementation</w:t>
      </w:r>
      <w:r w:rsidR="00327BB2">
        <w:t xml:space="preserve">. </w:t>
      </w:r>
      <w:r w:rsidR="00930F66">
        <w:t>Until the MTR, one</w:t>
      </w:r>
      <w:r w:rsidR="00327BB2">
        <w:t xml:space="preserve"> PIR </w:t>
      </w:r>
      <w:r w:rsidR="00930F66">
        <w:t xml:space="preserve">was </w:t>
      </w:r>
      <w:r w:rsidR="00327BB2">
        <w:t>pr</w:t>
      </w:r>
      <w:r w:rsidR="00930F66">
        <w:t xml:space="preserve">epared </w:t>
      </w:r>
      <w:r w:rsidR="001F6B6B">
        <w:t xml:space="preserve">covering the period </w:t>
      </w:r>
      <w:r w:rsidR="00930F66">
        <w:t xml:space="preserve">from the start of implementation until </w:t>
      </w:r>
      <w:r w:rsidR="001F6B6B">
        <w:t>June 20</w:t>
      </w:r>
      <w:r w:rsidR="00930F66">
        <w:t>20</w:t>
      </w:r>
      <w:r w:rsidR="00327BB2">
        <w:t xml:space="preserve">. </w:t>
      </w:r>
      <w:r w:rsidR="009F762C">
        <w:t xml:space="preserve">The contributions to the PIR were provided by the Project </w:t>
      </w:r>
      <w:r w:rsidR="00470C74">
        <w:t>M</w:t>
      </w:r>
      <w:r w:rsidR="009F762C">
        <w:t>anager, the UNDP CO Programme Officer and the UNDP RTA, while contributions from the Government were not provided, reportedly due to the coincidence of the P</w:t>
      </w:r>
      <w:r w:rsidR="00470C74">
        <w:t>IR</w:t>
      </w:r>
      <w:r w:rsidR="009F762C">
        <w:t xml:space="preserve"> preparation with parliamentary election in Serbia.</w:t>
      </w:r>
    </w:p>
    <w:p w14:paraId="0E54E8E5" w14:textId="012B804B" w:rsidR="00327BB2" w:rsidRDefault="00327BB2" w:rsidP="00223FDF">
      <w:r>
        <w:t xml:space="preserve">The </w:t>
      </w:r>
      <w:r w:rsidR="00930F66">
        <w:t xml:space="preserve">MTR team </w:t>
      </w:r>
      <w:r w:rsidR="001F6B6B">
        <w:t xml:space="preserve">found </w:t>
      </w:r>
      <w:r w:rsidR="00930F66">
        <w:t xml:space="preserve">the </w:t>
      </w:r>
      <w:r w:rsidR="001F6B6B">
        <w:t xml:space="preserve">PIR in line with the standard GEF </w:t>
      </w:r>
      <w:r w:rsidR="00F33858">
        <w:t xml:space="preserve">PIR </w:t>
      </w:r>
      <w:r w:rsidR="001F6B6B">
        <w:t xml:space="preserve">format </w:t>
      </w:r>
      <w:r w:rsidR="00930F66">
        <w:t xml:space="preserve">with </w:t>
      </w:r>
      <w:r w:rsidR="001F6B6B" w:rsidRPr="001F6B6B">
        <w:t>adequate</w:t>
      </w:r>
      <w:r w:rsidR="001F6B6B">
        <w:t xml:space="preserve"> level of details in narrative description</w:t>
      </w:r>
      <w:r w:rsidR="00F33858">
        <w:t>s</w:t>
      </w:r>
      <w:r w:rsidR="001F6B6B">
        <w:t xml:space="preserve"> of achievement</w:t>
      </w:r>
      <w:r w:rsidR="00F33858">
        <w:t>s</w:t>
      </w:r>
      <w:r w:rsidR="001F6B6B">
        <w:t xml:space="preserve"> during the reporting period</w:t>
      </w:r>
      <w:r w:rsidR="00A8786C">
        <w:t xml:space="preserve"> </w:t>
      </w:r>
      <w:r w:rsidR="00F33858">
        <w:t xml:space="preserve">as well as </w:t>
      </w:r>
      <w:r w:rsidR="00A8786C" w:rsidRPr="00A8786C">
        <w:t>justified ratings</w:t>
      </w:r>
      <w:r w:rsidR="00A8786C">
        <w:t xml:space="preserve"> of progress in project implementation and </w:t>
      </w:r>
      <w:r w:rsidR="00F33858">
        <w:t xml:space="preserve">of </w:t>
      </w:r>
      <w:r w:rsidR="00A8786C">
        <w:t>overall progress towards the project development objective.</w:t>
      </w:r>
      <w:r w:rsidR="001F6B6B">
        <w:t xml:space="preserve"> </w:t>
      </w:r>
      <w:r w:rsidR="00431E16">
        <w:t xml:space="preserve">However, the </w:t>
      </w:r>
      <w:r w:rsidR="004A42B8">
        <w:t xml:space="preserve">overall assessment of progress by the UNDP CO and the Implementing Partner (MEP) could have been more elaborate to fully justify the rating. No input was provided by </w:t>
      </w:r>
      <w:r w:rsidR="009F762C">
        <w:t xml:space="preserve">the GEF Operational Focal Point. </w:t>
      </w:r>
    </w:p>
    <w:p w14:paraId="7CE57E81" w14:textId="09D9E869" w:rsidR="00927661" w:rsidRDefault="00927661" w:rsidP="00927661">
      <w:r w:rsidRPr="00597B34">
        <w:rPr>
          <w:u w:val="single"/>
        </w:rPr>
        <w:t>The GEF Tracking Tool (TT):</w:t>
      </w:r>
      <w:r>
        <w:t xml:space="preserve"> The MTR team reviewed the GEF TT that had been prepared and submitted at the GEF CEO endorsement and the TT prepared before the MTR data collection. The team found t</w:t>
      </w:r>
      <w:r w:rsidR="00597B34">
        <w:t>hat t</w:t>
      </w:r>
      <w:r>
        <w:t>he mid-term TT</w:t>
      </w:r>
      <w:r w:rsidR="00597B34">
        <w:t xml:space="preserve"> contains </w:t>
      </w:r>
      <w:r>
        <w:t>all required information and duly reflect the progress made.</w:t>
      </w:r>
      <w:r w:rsidR="00597B34">
        <w:t xml:space="preserve"> Both TTs are provided as a separate Annex 8.</w:t>
      </w:r>
    </w:p>
    <w:p w14:paraId="4BCEE6AA" w14:textId="200B9A0A" w:rsidR="007E5449" w:rsidRDefault="00432D38" w:rsidP="00223FDF">
      <w:r w:rsidRPr="00432D38">
        <w:rPr>
          <w:u w:val="single"/>
        </w:rPr>
        <w:t>Mid-Term Review</w:t>
      </w:r>
      <w:r>
        <w:t xml:space="preserve"> </w:t>
      </w:r>
      <w:r w:rsidR="00930F66" w:rsidRPr="00432D38">
        <w:t>was</w:t>
      </w:r>
      <w:r w:rsidR="00930F66">
        <w:t xml:space="preserve"> initiated </w:t>
      </w:r>
      <w:r w:rsidR="00472DBB">
        <w:t>in 4Q of 2020, in line with the assumption made in the Project Document</w:t>
      </w:r>
      <w:r w:rsidR="00930F66">
        <w:t xml:space="preserve">. </w:t>
      </w:r>
      <w:r w:rsidR="00E350D2" w:rsidRPr="00E350D2">
        <w:t>The</w:t>
      </w:r>
      <w:r w:rsidR="00472DBB">
        <w:t xml:space="preserve"> </w:t>
      </w:r>
      <w:proofErr w:type="spellStart"/>
      <w:r w:rsidR="00472DBB">
        <w:t>ToR</w:t>
      </w:r>
      <w:proofErr w:type="spellEnd"/>
      <w:r w:rsidR="00E350D2" w:rsidRPr="00E350D2">
        <w:t xml:space="preserve">, the </w:t>
      </w:r>
      <w:r w:rsidR="00E350D2">
        <w:t xml:space="preserve">MTR </w:t>
      </w:r>
      <w:r w:rsidR="00E350D2" w:rsidRPr="00E350D2">
        <w:t xml:space="preserve">process and the </w:t>
      </w:r>
      <w:r w:rsidR="00E350D2">
        <w:t xml:space="preserve">required outline of the </w:t>
      </w:r>
      <w:r w:rsidR="00E350D2" w:rsidRPr="00E350D2">
        <w:t xml:space="preserve">MTR report follow the standard templates and guidance for GEF-financed projects. </w:t>
      </w:r>
      <w:r w:rsidR="00E350D2">
        <w:t xml:space="preserve">The MTR team </w:t>
      </w:r>
      <w:r w:rsidR="00472DBB">
        <w:t xml:space="preserve">appointed by the commissioning unit </w:t>
      </w:r>
      <w:r w:rsidR="00E350D2">
        <w:t xml:space="preserve">is composed of one International Consultant and one National Consultant. Both consultants are </w:t>
      </w:r>
      <w:r w:rsidR="00E350D2" w:rsidRPr="00E350D2">
        <w:t xml:space="preserve">independent from </w:t>
      </w:r>
      <w:r w:rsidR="00E350D2">
        <w:t xml:space="preserve">the </w:t>
      </w:r>
      <w:r w:rsidR="00E350D2" w:rsidRPr="00E350D2">
        <w:t xml:space="preserve">organizations that </w:t>
      </w:r>
      <w:r w:rsidR="00E350D2">
        <w:t xml:space="preserve">had been </w:t>
      </w:r>
      <w:r w:rsidR="00E350D2" w:rsidRPr="00E350D2">
        <w:t xml:space="preserve">involved in </w:t>
      </w:r>
      <w:r w:rsidR="00E350D2">
        <w:t xml:space="preserve">the </w:t>
      </w:r>
      <w:r w:rsidR="00E350D2" w:rsidRPr="00E350D2">
        <w:t>designing, executing or advising on the project.</w:t>
      </w:r>
      <w:r w:rsidR="00930F66">
        <w:t xml:space="preserve"> The MTR report will be submitted in February 2021, i.e. well before </w:t>
      </w:r>
      <w:r w:rsidR="007E5449">
        <w:t xml:space="preserve">the submission deadline of the </w:t>
      </w:r>
      <w:r w:rsidR="00930F66">
        <w:t>of the</w:t>
      </w:r>
      <w:r w:rsidR="007E5449">
        <w:t xml:space="preserve"> 2</w:t>
      </w:r>
      <w:r w:rsidR="007E5449" w:rsidRPr="007E5449">
        <w:rPr>
          <w:vertAlign w:val="superscript"/>
        </w:rPr>
        <w:t>nd</w:t>
      </w:r>
      <w:r w:rsidR="007E5449">
        <w:t xml:space="preserve"> PIR.</w:t>
      </w:r>
      <w:r w:rsidR="00472DBB">
        <w:t xml:space="preserve"> </w:t>
      </w:r>
      <w:r w:rsidR="00472DBB" w:rsidRPr="00472DBB">
        <w:t xml:space="preserve">The MTR findings and recommendations </w:t>
      </w:r>
      <w:r w:rsidR="00472DBB">
        <w:t xml:space="preserve">will be incorporated for </w:t>
      </w:r>
      <w:r w:rsidR="00472DBB" w:rsidRPr="00472DBB">
        <w:t xml:space="preserve">implementation </w:t>
      </w:r>
      <w:r w:rsidR="00472DBB">
        <w:t xml:space="preserve">in </w:t>
      </w:r>
      <w:r w:rsidR="00472DBB" w:rsidRPr="00472DBB">
        <w:t xml:space="preserve">the final </w:t>
      </w:r>
      <w:r w:rsidR="00472DBB">
        <w:t xml:space="preserve">year </w:t>
      </w:r>
      <w:r w:rsidR="00472DBB" w:rsidRPr="00472DBB">
        <w:t xml:space="preserve">of the project’s duration.  </w:t>
      </w:r>
    </w:p>
    <w:p w14:paraId="7D8B9060" w14:textId="6AA387CC" w:rsidR="0031487E" w:rsidRPr="00A8786C" w:rsidRDefault="00FB27B8" w:rsidP="00223FDF">
      <w:pPr>
        <w:rPr>
          <w:b/>
          <w:bCs/>
        </w:rPr>
      </w:pPr>
      <w:r>
        <w:t>T</w:t>
      </w:r>
      <w:r w:rsidR="00A8786C" w:rsidRPr="005C3474">
        <w:rPr>
          <w:b/>
          <w:bCs/>
        </w:rPr>
        <w:t>he monitoring and evaluation of the project is rated Satisfactory</w:t>
      </w:r>
      <w:r w:rsidR="00A8786C">
        <w:rPr>
          <w:b/>
          <w:bCs/>
        </w:rPr>
        <w:t xml:space="preserve"> (S).</w:t>
      </w:r>
    </w:p>
    <w:p w14:paraId="6E2EB852" w14:textId="77777777" w:rsidR="00426F16" w:rsidRDefault="00426F16" w:rsidP="00426F16">
      <w:pPr>
        <w:pStyle w:val="Heading3"/>
      </w:pPr>
      <w:bookmarkStart w:id="49" w:name="_Toc515816656"/>
      <w:bookmarkStart w:id="50" w:name="_Toc66777416"/>
      <w:r w:rsidRPr="002B27FA">
        <w:lastRenderedPageBreak/>
        <w:t>Identification and management of risks</w:t>
      </w:r>
      <w:bookmarkEnd w:id="49"/>
      <w:bookmarkEnd w:id="50"/>
    </w:p>
    <w:p w14:paraId="11620EF6" w14:textId="27585E65" w:rsidR="00184B7A" w:rsidRDefault="002E4053" w:rsidP="00050648">
      <w:r>
        <w:t xml:space="preserve">The project document contains a risk matrix </w:t>
      </w:r>
      <w:r w:rsidR="00880595">
        <w:t xml:space="preserve">with 4 risks identified during the preparatory phase of the project. The matrix is </w:t>
      </w:r>
      <w:r>
        <w:t xml:space="preserve">composed of the risk description and type, </w:t>
      </w:r>
      <w:r w:rsidR="00D547DE">
        <w:t xml:space="preserve">assessment of </w:t>
      </w:r>
      <w:r w:rsidR="002E6EC4">
        <w:t xml:space="preserve">risk </w:t>
      </w:r>
      <w:r w:rsidR="00D547DE">
        <w:t xml:space="preserve">impacts </w:t>
      </w:r>
      <w:r w:rsidR="002E6EC4">
        <w:t>and probability</w:t>
      </w:r>
      <w:r w:rsidR="00880595">
        <w:t xml:space="preserve"> (both rated on 5-point scales)</w:t>
      </w:r>
      <w:r w:rsidR="002E6EC4">
        <w:t xml:space="preserve">, </w:t>
      </w:r>
      <w:r w:rsidR="00F948AD">
        <w:t>related mitigation measures</w:t>
      </w:r>
      <w:r w:rsidR="00D547DE">
        <w:t>, as well as owners of each identified risk.</w:t>
      </w:r>
      <w:r w:rsidR="00880595">
        <w:t xml:space="preserve"> </w:t>
      </w:r>
      <w:r w:rsidR="00D547DE">
        <w:t xml:space="preserve"> </w:t>
      </w:r>
      <w:r w:rsidR="00880595">
        <w:t xml:space="preserve">One of the risks is related to project design/implementation and the remaining risks are </w:t>
      </w:r>
      <w:r w:rsidR="005F612E" w:rsidRPr="005F612E">
        <w:t>regarded</w:t>
      </w:r>
      <w:r w:rsidR="00880595">
        <w:t xml:space="preserve"> as political.</w:t>
      </w:r>
    </w:p>
    <w:p w14:paraId="24CC345B" w14:textId="56EC6407" w:rsidR="006D4457" w:rsidRDefault="001462C5" w:rsidP="006638E3">
      <w:r w:rsidRPr="00E63C31">
        <w:t xml:space="preserve">The </w:t>
      </w:r>
      <w:r w:rsidR="00880595">
        <w:t>MTR team</w:t>
      </w:r>
      <w:r w:rsidR="00E63C31" w:rsidRPr="00E63C31">
        <w:t xml:space="preserve"> </w:t>
      </w:r>
      <w:r w:rsidRPr="00E63C31">
        <w:t xml:space="preserve">consider the </w:t>
      </w:r>
      <w:r w:rsidR="00E63C31">
        <w:t xml:space="preserve">initial identification of </w:t>
      </w:r>
      <w:r w:rsidRPr="00E63C31">
        <w:t>risk</w:t>
      </w:r>
      <w:r w:rsidR="00E63C31">
        <w:t>s</w:t>
      </w:r>
      <w:r w:rsidRPr="00E63C31">
        <w:t xml:space="preserve"> </w:t>
      </w:r>
      <w:r w:rsidR="00820A0A" w:rsidRPr="00E63C31">
        <w:t xml:space="preserve">and </w:t>
      </w:r>
      <w:r w:rsidR="00D547DE">
        <w:t xml:space="preserve">mitigation </w:t>
      </w:r>
      <w:r w:rsidR="00E63C31">
        <w:t xml:space="preserve">measures </w:t>
      </w:r>
      <w:r w:rsidR="00D547DE">
        <w:t xml:space="preserve">reasonable and </w:t>
      </w:r>
      <w:r w:rsidR="00820A0A" w:rsidRPr="00E63C31">
        <w:t>sufficiently detailed</w:t>
      </w:r>
      <w:r w:rsidR="005F612E">
        <w:t xml:space="preserve">. However, </w:t>
      </w:r>
      <w:r w:rsidR="00424DE5">
        <w:t>the interviews with the key stakeholder institutions (MEP, SEPA) revealed that the CC data collection and reporting activities in these institutions are dependent on a small number of individuals and therefore very thin</w:t>
      </w:r>
      <w:r w:rsidR="009A6BAA">
        <w:t>. Recent evaluation of the UNDP Country Programme found that in the area of Serbia’s implementation of international conventions and compliance with the EU acquis, particularly in the area of climate change and energy, the main weakness is lack of capacity, worsened by high staff turnover in government institutions</w:t>
      </w:r>
      <w:r w:rsidR="009A6BAA">
        <w:rPr>
          <w:rStyle w:val="FootnoteReference"/>
        </w:rPr>
        <w:footnoteReference w:id="12"/>
      </w:r>
      <w:r w:rsidR="009A6BAA">
        <w:t xml:space="preserve">. As the CBIT project is oriented towards capacity building of key individuals in the project stakeholder institutions, the risk of </w:t>
      </w:r>
      <w:r w:rsidR="006D4457">
        <w:t>human knowledge losses due to dropout of key trained staff should have been identified and recorded at the project inception.</w:t>
      </w:r>
    </w:p>
    <w:p w14:paraId="5BF0031B" w14:textId="7055978E" w:rsidR="00127837" w:rsidRDefault="006D4457" w:rsidP="006638E3">
      <w:r>
        <w:t xml:space="preserve">As </w:t>
      </w:r>
      <w:r w:rsidR="002E6EC4">
        <w:t xml:space="preserve">to the </w:t>
      </w:r>
      <w:r w:rsidR="006638E3">
        <w:t xml:space="preserve">reporting </w:t>
      </w:r>
      <w:r w:rsidR="002E6EC4">
        <w:t xml:space="preserve">of risks, </w:t>
      </w:r>
      <w:r w:rsidR="006638E3">
        <w:t xml:space="preserve">a </w:t>
      </w:r>
      <w:r w:rsidR="006638E3" w:rsidRPr="00E63C31">
        <w:t xml:space="preserve">periodic re-assessment of </w:t>
      </w:r>
      <w:r w:rsidR="006638E3">
        <w:t xml:space="preserve">the identified </w:t>
      </w:r>
      <w:r w:rsidR="006638E3" w:rsidRPr="00E63C31">
        <w:t>risks</w:t>
      </w:r>
      <w:r w:rsidR="006638E3">
        <w:t xml:space="preserve"> is recorded in the reports in the UNDP Atlas that are prepared by</w:t>
      </w:r>
      <w:r w:rsidR="00DD2500">
        <w:t xml:space="preserve"> the PIU</w:t>
      </w:r>
      <w:r w:rsidR="006638E3">
        <w:t xml:space="preserve">. </w:t>
      </w:r>
      <w:r>
        <w:t>Management of risks marked as critical</w:t>
      </w:r>
      <w:r w:rsidR="00DD2500">
        <w:t xml:space="preserve"> (defined by </w:t>
      </w:r>
      <w:r w:rsidR="00FE7C8F">
        <w:t xml:space="preserve">concurrent </w:t>
      </w:r>
      <w:r w:rsidR="00DD2500">
        <w:t>high rating</w:t>
      </w:r>
      <w:r w:rsidR="00FE7C8F">
        <w:t>s</w:t>
      </w:r>
      <w:r w:rsidR="00DD2500">
        <w:t xml:space="preserve"> of impact and probability)</w:t>
      </w:r>
      <w:r>
        <w:t xml:space="preserve"> is a standard part of the annual PIRs</w:t>
      </w:r>
      <w:r w:rsidR="00DD2500">
        <w:t xml:space="preserve">. </w:t>
      </w:r>
      <w:r>
        <w:t xml:space="preserve"> </w:t>
      </w:r>
      <w:r w:rsidR="00DD2500">
        <w:t>T</w:t>
      </w:r>
      <w:r w:rsidR="008E5C4D">
        <w:t xml:space="preserve">here </w:t>
      </w:r>
      <w:r w:rsidR="0055613B">
        <w:t xml:space="preserve">were no risks </w:t>
      </w:r>
      <w:r w:rsidR="006638E3">
        <w:t xml:space="preserve">reported </w:t>
      </w:r>
      <w:r w:rsidR="008E5C4D">
        <w:t>under the paragraph Critical Risk Management</w:t>
      </w:r>
      <w:r w:rsidR="00F43F26">
        <w:t xml:space="preserve"> in the </w:t>
      </w:r>
      <w:r w:rsidR="00DD2500">
        <w:t xml:space="preserve">2020 </w:t>
      </w:r>
      <w:r w:rsidR="00F43F26">
        <w:t>PIRs</w:t>
      </w:r>
      <w:r w:rsidR="008E5C4D">
        <w:t xml:space="preserve">. </w:t>
      </w:r>
    </w:p>
    <w:p w14:paraId="6153A0F3" w14:textId="4864A4C3" w:rsidR="006638E3" w:rsidRDefault="00DD2500" w:rsidP="006638E3">
      <w:r>
        <w:t xml:space="preserve">While the MTR </w:t>
      </w:r>
      <w:r w:rsidR="004324A4">
        <w:t xml:space="preserve">team </w:t>
      </w:r>
      <w:r>
        <w:t xml:space="preserve">would agree that none of the risks identified at the project inception </w:t>
      </w:r>
      <w:r w:rsidR="00127837">
        <w:t>fall into the critical risk category</w:t>
      </w:r>
      <w:r>
        <w:t xml:space="preserve">, </w:t>
      </w:r>
      <w:r w:rsidR="004324A4">
        <w:t xml:space="preserve">potential </w:t>
      </w:r>
      <w:r>
        <w:t xml:space="preserve">loss of the knowledge of processes and products that are </w:t>
      </w:r>
      <w:r w:rsidR="00FE7C8F">
        <w:t xml:space="preserve">essential for functionality </w:t>
      </w:r>
      <w:r>
        <w:t>of the MRV system would have negative consequences on the system’s sustainability.  Therefore, t</w:t>
      </w:r>
      <w:r w:rsidR="008F7114">
        <w:t>h</w:t>
      </w:r>
      <w:r w:rsidR="004324A4">
        <w:t xml:space="preserve">is risk should be considered critical in order to develop </w:t>
      </w:r>
      <w:r w:rsidR="00A97C1E">
        <w:t xml:space="preserve">timely and </w:t>
      </w:r>
      <w:r w:rsidR="004324A4">
        <w:t>effective mitigation measures.</w:t>
      </w:r>
    </w:p>
    <w:p w14:paraId="6C8F2BF2" w14:textId="5F17C5D1" w:rsidR="00F23651" w:rsidRPr="00F23651" w:rsidRDefault="00F23651" w:rsidP="007855E4">
      <w:pPr>
        <w:rPr>
          <w:b/>
        </w:rPr>
      </w:pPr>
      <w:r w:rsidRPr="00B13FF5">
        <w:t xml:space="preserve">Based on the above, </w:t>
      </w:r>
      <w:r w:rsidRPr="005C3474">
        <w:rPr>
          <w:b/>
          <w:bCs/>
        </w:rPr>
        <w:t xml:space="preserve">the </w:t>
      </w:r>
      <w:r w:rsidR="005C3474" w:rsidRPr="005C3474">
        <w:rPr>
          <w:b/>
          <w:bCs/>
        </w:rPr>
        <w:t xml:space="preserve">rating of </w:t>
      </w:r>
      <w:r w:rsidRPr="005C3474">
        <w:rPr>
          <w:b/>
          <w:bCs/>
        </w:rPr>
        <w:t>the</w:t>
      </w:r>
      <w:r w:rsidRPr="005C3474">
        <w:rPr>
          <w:b/>
        </w:rPr>
        <w:t xml:space="preserve"> identification and management </w:t>
      </w:r>
      <w:r w:rsidR="002E6EC4" w:rsidRPr="005C3474">
        <w:rPr>
          <w:b/>
        </w:rPr>
        <w:t>of risks</w:t>
      </w:r>
      <w:r w:rsidRPr="005C3474">
        <w:rPr>
          <w:b/>
        </w:rPr>
        <w:t xml:space="preserve"> </w:t>
      </w:r>
      <w:r w:rsidR="002E6EC4">
        <w:rPr>
          <w:b/>
        </w:rPr>
        <w:t xml:space="preserve">Marginally </w:t>
      </w:r>
      <w:r w:rsidR="004324A4">
        <w:rPr>
          <w:b/>
        </w:rPr>
        <w:t>S</w:t>
      </w:r>
      <w:r w:rsidR="00B13FF5" w:rsidRPr="00B13FF5">
        <w:rPr>
          <w:b/>
        </w:rPr>
        <w:t xml:space="preserve">atisfactory </w:t>
      </w:r>
      <w:r w:rsidRPr="00B13FF5">
        <w:rPr>
          <w:b/>
        </w:rPr>
        <w:t>(</w:t>
      </w:r>
      <w:r w:rsidR="002E6EC4">
        <w:rPr>
          <w:b/>
        </w:rPr>
        <w:t>M</w:t>
      </w:r>
      <w:r w:rsidR="004324A4">
        <w:rPr>
          <w:b/>
        </w:rPr>
        <w:t>S</w:t>
      </w:r>
      <w:r w:rsidRPr="00B13FF5">
        <w:rPr>
          <w:b/>
        </w:rPr>
        <w:t>).</w:t>
      </w:r>
    </w:p>
    <w:p w14:paraId="4B95E18B" w14:textId="77777777" w:rsidR="00B82177" w:rsidRPr="00BC5FC3" w:rsidRDefault="009655DB" w:rsidP="00BC5FC3">
      <w:pPr>
        <w:pStyle w:val="Heading3"/>
      </w:pPr>
      <w:bookmarkStart w:id="51" w:name="_Toc515816657"/>
      <w:bookmarkStart w:id="52" w:name="_Toc66777417"/>
      <w:r w:rsidRPr="009636BC">
        <w:t>Finance and co-finance</w:t>
      </w:r>
      <w:bookmarkEnd w:id="51"/>
      <w:bookmarkEnd w:id="52"/>
    </w:p>
    <w:p w14:paraId="4FFA6A6F" w14:textId="77777777" w:rsidR="00FF1DB3" w:rsidRPr="009636BC" w:rsidRDefault="00BF0ECD" w:rsidP="00BB3DA7">
      <w:r w:rsidRPr="009636BC">
        <w:t xml:space="preserve">The tables below provide </w:t>
      </w:r>
      <w:r w:rsidR="00FF1DB3" w:rsidRPr="009636BC">
        <w:t xml:space="preserve">a summary of resources allocation for the project </w:t>
      </w:r>
      <w:r w:rsidRPr="009636BC">
        <w:t>and of level of disb</w:t>
      </w:r>
      <w:r w:rsidR="00133B8E" w:rsidRPr="009636BC">
        <w:t xml:space="preserve">ursement of the GEF grant funds as well as the </w:t>
      </w:r>
      <w:r w:rsidR="009636BC">
        <w:t xml:space="preserve">estimated actual </w:t>
      </w:r>
      <w:r w:rsidR="00133B8E" w:rsidRPr="009636BC">
        <w:t>amount of co-finance up to MTR.</w:t>
      </w:r>
    </w:p>
    <w:p w14:paraId="54D21577" w14:textId="3C479F21" w:rsidR="00A75377" w:rsidRPr="009636BC" w:rsidRDefault="00133B8E" w:rsidP="00E755D1">
      <w:pPr>
        <w:spacing w:after="120"/>
      </w:pPr>
      <w:r w:rsidRPr="009636BC">
        <w:t>Table</w:t>
      </w:r>
      <w:r w:rsidR="00570DB9">
        <w:t xml:space="preserve"> </w:t>
      </w:r>
      <w:r w:rsidR="005C3474">
        <w:t>9</w:t>
      </w:r>
      <w:r w:rsidRPr="009636BC">
        <w:t xml:space="preserve"> </w:t>
      </w:r>
      <w:r w:rsidR="00AD71DA" w:rsidRPr="009636BC">
        <w:t xml:space="preserve">below displays </w:t>
      </w:r>
      <w:r w:rsidR="00570DB9">
        <w:t xml:space="preserve">breakdown </w:t>
      </w:r>
      <w:r w:rsidR="00AD71DA" w:rsidRPr="009636BC">
        <w:t xml:space="preserve">of the </w:t>
      </w:r>
      <w:r w:rsidR="00570DB9">
        <w:t xml:space="preserve">GEF </w:t>
      </w:r>
      <w:r w:rsidR="00AD71DA" w:rsidRPr="009636BC">
        <w:t xml:space="preserve">project </w:t>
      </w:r>
      <w:r w:rsidR="00570DB9">
        <w:t>grant disbursements into the project components</w:t>
      </w:r>
      <w:r w:rsidR="00A75377" w:rsidRPr="009636BC">
        <w:t>.</w:t>
      </w:r>
    </w:p>
    <w:p w14:paraId="5412D644" w14:textId="77777777" w:rsidR="00927661" w:rsidRDefault="00927661">
      <w:pPr>
        <w:spacing w:before="0" w:line="240" w:lineRule="auto"/>
        <w:jc w:val="left"/>
        <w:rPr>
          <w:b/>
          <w:bCs/>
        </w:rPr>
      </w:pPr>
      <w:r>
        <w:rPr>
          <w:b/>
          <w:bCs/>
          <w:i/>
          <w:iCs/>
        </w:rPr>
        <w:br w:type="page"/>
      </w:r>
    </w:p>
    <w:p w14:paraId="1A8E5AB6" w14:textId="432741C4" w:rsidR="00BF0ECD" w:rsidRPr="00FE7C8F" w:rsidRDefault="00FE7C8F" w:rsidP="00FE7C8F">
      <w:pPr>
        <w:pStyle w:val="Caption"/>
        <w:spacing w:before="240" w:after="120"/>
        <w:rPr>
          <w:i w:val="0"/>
          <w:iCs w:val="0"/>
          <w:color w:val="auto"/>
          <w:sz w:val="24"/>
          <w:szCs w:val="24"/>
        </w:rPr>
      </w:pPr>
      <w:r w:rsidRPr="00FE7C8F">
        <w:rPr>
          <w:b/>
          <w:bCs/>
          <w:i w:val="0"/>
          <w:iCs w:val="0"/>
          <w:color w:val="auto"/>
          <w:sz w:val="24"/>
          <w:szCs w:val="24"/>
        </w:rPr>
        <w:lastRenderedPageBreak/>
        <w:t xml:space="preserve">Table </w:t>
      </w:r>
      <w:r w:rsidRPr="00FE7C8F">
        <w:rPr>
          <w:b/>
          <w:bCs/>
          <w:i w:val="0"/>
          <w:iCs w:val="0"/>
          <w:color w:val="auto"/>
          <w:sz w:val="24"/>
          <w:szCs w:val="24"/>
        </w:rPr>
        <w:fldChar w:fldCharType="begin"/>
      </w:r>
      <w:r w:rsidRPr="00FE7C8F">
        <w:rPr>
          <w:b/>
          <w:bCs/>
          <w:i w:val="0"/>
          <w:iCs w:val="0"/>
          <w:color w:val="auto"/>
          <w:sz w:val="24"/>
          <w:szCs w:val="24"/>
        </w:rPr>
        <w:instrText xml:space="preserve"> SEQ Table \* ARABIC </w:instrText>
      </w:r>
      <w:r w:rsidRPr="00FE7C8F">
        <w:rPr>
          <w:b/>
          <w:bCs/>
          <w:i w:val="0"/>
          <w:iCs w:val="0"/>
          <w:color w:val="auto"/>
          <w:sz w:val="24"/>
          <w:szCs w:val="24"/>
        </w:rPr>
        <w:fldChar w:fldCharType="separate"/>
      </w:r>
      <w:r w:rsidR="004F45AC">
        <w:rPr>
          <w:b/>
          <w:bCs/>
          <w:i w:val="0"/>
          <w:iCs w:val="0"/>
          <w:noProof/>
          <w:color w:val="auto"/>
          <w:sz w:val="24"/>
          <w:szCs w:val="24"/>
        </w:rPr>
        <w:t>9</w:t>
      </w:r>
      <w:r w:rsidRPr="00FE7C8F">
        <w:rPr>
          <w:b/>
          <w:bCs/>
          <w:i w:val="0"/>
          <w:iCs w:val="0"/>
          <w:color w:val="auto"/>
          <w:sz w:val="24"/>
          <w:szCs w:val="24"/>
        </w:rPr>
        <w:fldChar w:fldCharType="end"/>
      </w:r>
      <w:r w:rsidRPr="00FE7C8F">
        <w:rPr>
          <w:b/>
          <w:bCs/>
          <w:i w:val="0"/>
          <w:iCs w:val="0"/>
          <w:color w:val="auto"/>
          <w:sz w:val="24"/>
          <w:szCs w:val="24"/>
        </w:rPr>
        <w:t>:</w:t>
      </w:r>
      <w:r w:rsidRPr="00FE7C8F">
        <w:rPr>
          <w:i w:val="0"/>
          <w:iCs w:val="0"/>
          <w:color w:val="auto"/>
          <w:sz w:val="24"/>
          <w:szCs w:val="24"/>
        </w:rPr>
        <w:t xml:space="preserve"> </w:t>
      </w:r>
      <w:r w:rsidR="00BF0ECD" w:rsidRPr="00FE7C8F">
        <w:rPr>
          <w:i w:val="0"/>
          <w:iCs w:val="0"/>
          <w:color w:val="auto"/>
          <w:sz w:val="24"/>
          <w:szCs w:val="24"/>
        </w:rPr>
        <w:t>Allocation and disbursement of GEF funds (as of 3</w:t>
      </w:r>
      <w:r w:rsidR="00943A1F" w:rsidRPr="00FE7C8F">
        <w:rPr>
          <w:i w:val="0"/>
          <w:iCs w:val="0"/>
          <w:color w:val="auto"/>
          <w:sz w:val="24"/>
          <w:szCs w:val="24"/>
        </w:rPr>
        <w:t>1</w:t>
      </w:r>
      <w:r w:rsidR="001D77BD" w:rsidRPr="00FE7C8F">
        <w:rPr>
          <w:i w:val="0"/>
          <w:iCs w:val="0"/>
          <w:color w:val="auto"/>
          <w:sz w:val="24"/>
          <w:szCs w:val="24"/>
        </w:rPr>
        <w:t xml:space="preserve"> </w:t>
      </w:r>
      <w:r w:rsidRPr="00FE7C8F">
        <w:rPr>
          <w:i w:val="0"/>
          <w:iCs w:val="0"/>
          <w:color w:val="auto"/>
          <w:sz w:val="24"/>
          <w:szCs w:val="24"/>
        </w:rPr>
        <w:t xml:space="preserve">December </w:t>
      </w:r>
      <w:r w:rsidR="001D77BD" w:rsidRPr="00FE7C8F">
        <w:rPr>
          <w:i w:val="0"/>
          <w:iCs w:val="0"/>
          <w:color w:val="auto"/>
          <w:sz w:val="24"/>
          <w:szCs w:val="24"/>
        </w:rPr>
        <w:t>20</w:t>
      </w:r>
      <w:r w:rsidRPr="00FE7C8F">
        <w:rPr>
          <w:i w:val="0"/>
          <w:iCs w:val="0"/>
          <w:color w:val="auto"/>
          <w:sz w:val="24"/>
          <w:szCs w:val="24"/>
        </w:rPr>
        <w:t>20</w:t>
      </w:r>
      <w:r w:rsidR="00BF0ECD" w:rsidRPr="00FE7C8F">
        <w:rPr>
          <w:i w:val="0"/>
          <w:iCs w:val="0"/>
          <w:color w:val="auto"/>
          <w:sz w:val="24"/>
          <w:szCs w:val="24"/>
        </w:rPr>
        <w:t>)</w:t>
      </w:r>
    </w:p>
    <w:tbl>
      <w:tblPr>
        <w:tblW w:w="8359" w:type="dxa"/>
        <w:tblLook w:val="04A0" w:firstRow="1" w:lastRow="0" w:firstColumn="1" w:lastColumn="0" w:noHBand="0" w:noVBand="1"/>
      </w:tblPr>
      <w:tblGrid>
        <w:gridCol w:w="1980"/>
        <w:gridCol w:w="1417"/>
        <w:gridCol w:w="1134"/>
        <w:gridCol w:w="1134"/>
        <w:gridCol w:w="1276"/>
        <w:gridCol w:w="1418"/>
      </w:tblGrid>
      <w:tr w:rsidR="000116D3" w:rsidRPr="000116D3" w14:paraId="20168E2D" w14:textId="77777777" w:rsidTr="000116D3">
        <w:trPr>
          <w:trHeight w:val="320"/>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946028" w14:textId="77777777" w:rsidR="000116D3" w:rsidRPr="000116D3" w:rsidRDefault="000116D3" w:rsidP="000116D3">
            <w:pPr>
              <w:spacing w:before="0" w:line="240" w:lineRule="auto"/>
              <w:jc w:val="center"/>
              <w:rPr>
                <w:b/>
                <w:bCs/>
                <w:color w:val="000000"/>
                <w:sz w:val="20"/>
                <w:szCs w:val="20"/>
              </w:rPr>
            </w:pPr>
            <w:r w:rsidRPr="000116D3">
              <w:rPr>
                <w:b/>
                <w:bCs/>
                <w:color w:val="000000"/>
                <w:sz w:val="20"/>
                <w:szCs w:val="20"/>
              </w:rPr>
              <w:t>Component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399B14" w14:textId="0DF3411E" w:rsidR="000116D3" w:rsidRPr="000116D3" w:rsidRDefault="000116D3" w:rsidP="000116D3">
            <w:pPr>
              <w:spacing w:before="0" w:line="240" w:lineRule="auto"/>
              <w:jc w:val="center"/>
              <w:rPr>
                <w:b/>
                <w:bCs/>
                <w:color w:val="000000"/>
                <w:sz w:val="20"/>
                <w:szCs w:val="20"/>
              </w:rPr>
            </w:pPr>
            <w:r w:rsidRPr="000116D3">
              <w:rPr>
                <w:b/>
                <w:bCs/>
                <w:color w:val="000000"/>
                <w:sz w:val="20"/>
                <w:szCs w:val="20"/>
              </w:rPr>
              <w:t>Budget</w:t>
            </w:r>
            <w:r>
              <w:rPr>
                <w:b/>
                <w:bCs/>
                <w:color w:val="000000"/>
                <w:sz w:val="20"/>
                <w:szCs w:val="20"/>
              </w:rPr>
              <w:t xml:space="preserve"> (US$)</w:t>
            </w:r>
          </w:p>
        </w:tc>
        <w:tc>
          <w:tcPr>
            <w:tcW w:w="354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FEF8C1" w14:textId="77777777" w:rsidR="000116D3" w:rsidRPr="000116D3" w:rsidRDefault="000116D3" w:rsidP="000116D3">
            <w:pPr>
              <w:spacing w:before="0" w:line="240" w:lineRule="auto"/>
              <w:jc w:val="center"/>
              <w:rPr>
                <w:rFonts w:ascii="Calibri" w:hAnsi="Calibri" w:cs="Calibri"/>
                <w:b/>
                <w:bCs/>
                <w:color w:val="000000"/>
                <w:sz w:val="20"/>
                <w:szCs w:val="20"/>
              </w:rPr>
            </w:pPr>
            <w:r w:rsidRPr="000116D3">
              <w:rPr>
                <w:rFonts w:ascii="Calibri" w:hAnsi="Calibri" w:cs="Calibri"/>
                <w:b/>
                <w:bCs/>
                <w:color w:val="000000"/>
                <w:sz w:val="20"/>
                <w:szCs w:val="20"/>
              </w:rPr>
              <w:t>Expenditures (US$)</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99B737" w14:textId="77777777" w:rsidR="000116D3" w:rsidRPr="000116D3" w:rsidRDefault="000116D3" w:rsidP="000116D3">
            <w:pPr>
              <w:spacing w:before="0" w:line="240" w:lineRule="auto"/>
              <w:jc w:val="center"/>
              <w:rPr>
                <w:b/>
                <w:bCs/>
                <w:color w:val="000000"/>
                <w:sz w:val="20"/>
                <w:szCs w:val="20"/>
              </w:rPr>
            </w:pPr>
            <w:r w:rsidRPr="000116D3">
              <w:rPr>
                <w:b/>
                <w:bCs/>
                <w:color w:val="000000"/>
                <w:sz w:val="20"/>
                <w:szCs w:val="20"/>
              </w:rPr>
              <w:t xml:space="preserve">% Delivery </w:t>
            </w:r>
          </w:p>
        </w:tc>
      </w:tr>
      <w:tr w:rsidR="000116D3" w:rsidRPr="000116D3" w14:paraId="504D2566" w14:textId="77777777" w:rsidTr="000116D3">
        <w:trPr>
          <w:trHeight w:val="320"/>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1C591BFB" w14:textId="77777777" w:rsidR="000116D3" w:rsidRPr="000116D3" w:rsidRDefault="000116D3" w:rsidP="000116D3">
            <w:pPr>
              <w:spacing w:before="0" w:line="240" w:lineRule="auto"/>
              <w:jc w:val="left"/>
              <w:rPr>
                <w:b/>
                <w:bCs/>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193388A" w14:textId="77777777" w:rsidR="000116D3" w:rsidRPr="000116D3" w:rsidRDefault="000116D3" w:rsidP="000116D3">
            <w:pPr>
              <w:spacing w:before="0" w:line="240" w:lineRule="auto"/>
              <w:jc w:val="left"/>
              <w:rPr>
                <w:b/>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27ECBD22" w14:textId="77777777" w:rsidR="000116D3" w:rsidRPr="000116D3" w:rsidRDefault="000116D3" w:rsidP="000116D3">
            <w:pPr>
              <w:spacing w:before="0" w:line="240" w:lineRule="auto"/>
              <w:jc w:val="center"/>
              <w:rPr>
                <w:b/>
                <w:bCs/>
                <w:color w:val="000000"/>
                <w:sz w:val="20"/>
                <w:szCs w:val="20"/>
              </w:rPr>
            </w:pPr>
            <w:r w:rsidRPr="000116D3">
              <w:rPr>
                <w:b/>
                <w:bCs/>
                <w:color w:val="000000"/>
                <w:sz w:val="20"/>
                <w:szCs w:val="20"/>
              </w:rPr>
              <w:t>2019</w:t>
            </w:r>
          </w:p>
        </w:tc>
        <w:tc>
          <w:tcPr>
            <w:tcW w:w="1134" w:type="dxa"/>
            <w:tcBorders>
              <w:top w:val="nil"/>
              <w:left w:val="nil"/>
              <w:bottom w:val="single" w:sz="4" w:space="0" w:color="auto"/>
              <w:right w:val="single" w:sz="4" w:space="0" w:color="auto"/>
            </w:tcBorders>
            <w:shd w:val="clear" w:color="auto" w:fill="auto"/>
            <w:noWrap/>
            <w:vAlign w:val="bottom"/>
            <w:hideMark/>
          </w:tcPr>
          <w:p w14:paraId="40208144" w14:textId="77777777" w:rsidR="000116D3" w:rsidRPr="000116D3" w:rsidRDefault="000116D3" w:rsidP="000116D3">
            <w:pPr>
              <w:spacing w:before="0" w:line="240" w:lineRule="auto"/>
              <w:jc w:val="center"/>
              <w:rPr>
                <w:b/>
                <w:bCs/>
                <w:color w:val="000000"/>
                <w:sz w:val="20"/>
                <w:szCs w:val="20"/>
              </w:rPr>
            </w:pPr>
            <w:r w:rsidRPr="000116D3">
              <w:rPr>
                <w:b/>
                <w:bCs/>
                <w:color w:val="000000"/>
                <w:sz w:val="20"/>
                <w:szCs w:val="20"/>
              </w:rPr>
              <w:t>2020</w:t>
            </w:r>
          </w:p>
        </w:tc>
        <w:tc>
          <w:tcPr>
            <w:tcW w:w="1276" w:type="dxa"/>
            <w:tcBorders>
              <w:top w:val="nil"/>
              <w:left w:val="nil"/>
              <w:bottom w:val="single" w:sz="4" w:space="0" w:color="auto"/>
              <w:right w:val="single" w:sz="4" w:space="0" w:color="auto"/>
            </w:tcBorders>
            <w:shd w:val="clear" w:color="auto" w:fill="auto"/>
            <w:noWrap/>
            <w:vAlign w:val="bottom"/>
            <w:hideMark/>
          </w:tcPr>
          <w:p w14:paraId="3A0BE538" w14:textId="77777777" w:rsidR="000116D3" w:rsidRPr="000116D3" w:rsidRDefault="000116D3" w:rsidP="000116D3">
            <w:pPr>
              <w:spacing w:before="0" w:line="240" w:lineRule="auto"/>
              <w:jc w:val="center"/>
              <w:rPr>
                <w:b/>
                <w:bCs/>
                <w:color w:val="000000"/>
                <w:sz w:val="20"/>
                <w:szCs w:val="20"/>
              </w:rPr>
            </w:pPr>
            <w:r w:rsidRPr="000116D3">
              <w:rPr>
                <w:b/>
                <w:bCs/>
                <w:color w:val="000000"/>
                <w:sz w:val="20"/>
                <w:szCs w:val="20"/>
              </w:rPr>
              <w:t>2019-2020</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565752D" w14:textId="77777777" w:rsidR="000116D3" w:rsidRPr="000116D3" w:rsidRDefault="000116D3" w:rsidP="000116D3">
            <w:pPr>
              <w:spacing w:before="0" w:line="240" w:lineRule="auto"/>
              <w:jc w:val="left"/>
              <w:rPr>
                <w:b/>
                <w:bCs/>
                <w:color w:val="000000"/>
                <w:sz w:val="20"/>
                <w:szCs w:val="20"/>
              </w:rPr>
            </w:pPr>
          </w:p>
        </w:tc>
      </w:tr>
      <w:tr w:rsidR="000116D3" w:rsidRPr="000116D3" w14:paraId="442DA91E" w14:textId="77777777" w:rsidTr="000116D3">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AA0A32E" w14:textId="77777777" w:rsidR="000116D3" w:rsidRPr="000116D3" w:rsidRDefault="000116D3" w:rsidP="000116D3">
            <w:pPr>
              <w:spacing w:before="0" w:line="240" w:lineRule="auto"/>
              <w:jc w:val="left"/>
              <w:rPr>
                <w:color w:val="000000"/>
                <w:sz w:val="20"/>
                <w:szCs w:val="20"/>
              </w:rPr>
            </w:pPr>
            <w:r w:rsidRPr="000116D3">
              <w:rPr>
                <w:color w:val="000000"/>
                <w:sz w:val="20"/>
                <w:szCs w:val="20"/>
              </w:rPr>
              <w:t>Outcome 1</w:t>
            </w:r>
          </w:p>
        </w:tc>
        <w:tc>
          <w:tcPr>
            <w:tcW w:w="1417" w:type="dxa"/>
            <w:tcBorders>
              <w:top w:val="nil"/>
              <w:left w:val="nil"/>
              <w:bottom w:val="single" w:sz="4" w:space="0" w:color="auto"/>
              <w:right w:val="single" w:sz="4" w:space="0" w:color="auto"/>
            </w:tcBorders>
            <w:shd w:val="clear" w:color="auto" w:fill="auto"/>
            <w:noWrap/>
            <w:vAlign w:val="bottom"/>
            <w:hideMark/>
          </w:tcPr>
          <w:p w14:paraId="3FA0EF7B" w14:textId="096DB448" w:rsidR="000116D3" w:rsidRPr="000116D3" w:rsidRDefault="000116D3" w:rsidP="000116D3">
            <w:pPr>
              <w:spacing w:before="0" w:line="240" w:lineRule="auto"/>
              <w:jc w:val="center"/>
              <w:rPr>
                <w:color w:val="000000"/>
                <w:sz w:val="20"/>
                <w:szCs w:val="20"/>
              </w:rPr>
            </w:pPr>
            <w:r w:rsidRPr="000116D3">
              <w:rPr>
                <w:color w:val="000000"/>
                <w:sz w:val="20"/>
                <w:szCs w:val="20"/>
              </w:rPr>
              <w:t>297,900</w:t>
            </w:r>
          </w:p>
        </w:tc>
        <w:tc>
          <w:tcPr>
            <w:tcW w:w="1134" w:type="dxa"/>
            <w:tcBorders>
              <w:top w:val="nil"/>
              <w:left w:val="nil"/>
              <w:bottom w:val="single" w:sz="4" w:space="0" w:color="auto"/>
              <w:right w:val="single" w:sz="4" w:space="0" w:color="auto"/>
            </w:tcBorders>
            <w:shd w:val="clear" w:color="auto" w:fill="auto"/>
            <w:noWrap/>
            <w:vAlign w:val="bottom"/>
            <w:hideMark/>
          </w:tcPr>
          <w:p w14:paraId="1C101E5F" w14:textId="2027F6B1" w:rsidR="000116D3" w:rsidRPr="000116D3" w:rsidRDefault="000116D3" w:rsidP="000116D3">
            <w:pPr>
              <w:spacing w:before="0" w:line="240" w:lineRule="auto"/>
              <w:jc w:val="center"/>
              <w:rPr>
                <w:color w:val="000000"/>
                <w:sz w:val="20"/>
                <w:szCs w:val="20"/>
              </w:rPr>
            </w:pPr>
            <w:r w:rsidRPr="000116D3">
              <w:rPr>
                <w:color w:val="000000"/>
                <w:sz w:val="20"/>
                <w:szCs w:val="20"/>
              </w:rPr>
              <w:t>75,708.98</w:t>
            </w:r>
          </w:p>
        </w:tc>
        <w:tc>
          <w:tcPr>
            <w:tcW w:w="1134" w:type="dxa"/>
            <w:tcBorders>
              <w:top w:val="nil"/>
              <w:left w:val="nil"/>
              <w:bottom w:val="single" w:sz="4" w:space="0" w:color="auto"/>
              <w:right w:val="single" w:sz="4" w:space="0" w:color="auto"/>
            </w:tcBorders>
            <w:shd w:val="clear" w:color="auto" w:fill="auto"/>
            <w:noWrap/>
            <w:vAlign w:val="bottom"/>
            <w:hideMark/>
          </w:tcPr>
          <w:p w14:paraId="3169F070" w14:textId="149C61F1" w:rsidR="000116D3" w:rsidRPr="000116D3" w:rsidRDefault="000116D3" w:rsidP="000116D3">
            <w:pPr>
              <w:spacing w:before="0" w:line="240" w:lineRule="auto"/>
              <w:jc w:val="center"/>
              <w:rPr>
                <w:color w:val="000000"/>
                <w:sz w:val="20"/>
                <w:szCs w:val="20"/>
              </w:rPr>
            </w:pPr>
            <w:r w:rsidRPr="000116D3">
              <w:rPr>
                <w:color w:val="000000"/>
                <w:sz w:val="20"/>
                <w:szCs w:val="20"/>
              </w:rPr>
              <w:t>84,919.29</w:t>
            </w:r>
          </w:p>
        </w:tc>
        <w:tc>
          <w:tcPr>
            <w:tcW w:w="1276" w:type="dxa"/>
            <w:tcBorders>
              <w:top w:val="nil"/>
              <w:left w:val="nil"/>
              <w:bottom w:val="single" w:sz="4" w:space="0" w:color="auto"/>
              <w:right w:val="single" w:sz="4" w:space="0" w:color="auto"/>
            </w:tcBorders>
            <w:shd w:val="clear" w:color="auto" w:fill="auto"/>
            <w:noWrap/>
            <w:vAlign w:val="bottom"/>
            <w:hideMark/>
          </w:tcPr>
          <w:p w14:paraId="4839CEEE" w14:textId="3ED875D3" w:rsidR="000116D3" w:rsidRPr="000116D3" w:rsidRDefault="000116D3" w:rsidP="000116D3">
            <w:pPr>
              <w:spacing w:before="0" w:line="240" w:lineRule="auto"/>
              <w:jc w:val="center"/>
              <w:rPr>
                <w:color w:val="000000"/>
                <w:sz w:val="20"/>
                <w:szCs w:val="20"/>
              </w:rPr>
            </w:pPr>
            <w:r w:rsidRPr="000116D3">
              <w:rPr>
                <w:color w:val="000000"/>
                <w:sz w:val="20"/>
                <w:szCs w:val="20"/>
              </w:rPr>
              <w:t>160,628.27</w:t>
            </w:r>
          </w:p>
        </w:tc>
        <w:tc>
          <w:tcPr>
            <w:tcW w:w="1418" w:type="dxa"/>
            <w:tcBorders>
              <w:top w:val="nil"/>
              <w:left w:val="nil"/>
              <w:bottom w:val="single" w:sz="4" w:space="0" w:color="auto"/>
              <w:right w:val="single" w:sz="4" w:space="0" w:color="auto"/>
            </w:tcBorders>
            <w:shd w:val="clear" w:color="auto" w:fill="auto"/>
            <w:noWrap/>
            <w:vAlign w:val="bottom"/>
            <w:hideMark/>
          </w:tcPr>
          <w:p w14:paraId="6CC45CEC" w14:textId="77777777" w:rsidR="000116D3" w:rsidRPr="000116D3" w:rsidRDefault="000116D3" w:rsidP="000116D3">
            <w:pPr>
              <w:spacing w:before="0" w:line="240" w:lineRule="auto"/>
              <w:jc w:val="center"/>
              <w:rPr>
                <w:color w:val="000000"/>
                <w:sz w:val="20"/>
                <w:szCs w:val="20"/>
              </w:rPr>
            </w:pPr>
            <w:r w:rsidRPr="000116D3">
              <w:rPr>
                <w:color w:val="000000"/>
                <w:sz w:val="20"/>
                <w:szCs w:val="20"/>
              </w:rPr>
              <w:t>53.92%</w:t>
            </w:r>
          </w:p>
        </w:tc>
      </w:tr>
      <w:tr w:rsidR="000116D3" w:rsidRPr="000116D3" w14:paraId="65D285DC" w14:textId="77777777" w:rsidTr="000116D3">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6BDC695" w14:textId="77777777" w:rsidR="000116D3" w:rsidRPr="000116D3" w:rsidRDefault="000116D3" w:rsidP="000116D3">
            <w:pPr>
              <w:spacing w:before="0" w:line="240" w:lineRule="auto"/>
              <w:jc w:val="left"/>
              <w:rPr>
                <w:color w:val="000000"/>
                <w:sz w:val="20"/>
                <w:szCs w:val="20"/>
              </w:rPr>
            </w:pPr>
            <w:r w:rsidRPr="000116D3">
              <w:rPr>
                <w:color w:val="000000"/>
                <w:sz w:val="20"/>
                <w:szCs w:val="20"/>
              </w:rPr>
              <w:t>Outcome 2</w:t>
            </w:r>
          </w:p>
        </w:tc>
        <w:tc>
          <w:tcPr>
            <w:tcW w:w="1417" w:type="dxa"/>
            <w:tcBorders>
              <w:top w:val="nil"/>
              <w:left w:val="nil"/>
              <w:bottom w:val="single" w:sz="4" w:space="0" w:color="auto"/>
              <w:right w:val="single" w:sz="4" w:space="0" w:color="auto"/>
            </w:tcBorders>
            <w:shd w:val="clear" w:color="auto" w:fill="auto"/>
            <w:noWrap/>
            <w:vAlign w:val="bottom"/>
            <w:hideMark/>
          </w:tcPr>
          <w:p w14:paraId="5977FE12" w14:textId="03F39964" w:rsidR="000116D3" w:rsidRPr="000116D3" w:rsidRDefault="000116D3" w:rsidP="000116D3">
            <w:pPr>
              <w:spacing w:before="0" w:line="240" w:lineRule="auto"/>
              <w:jc w:val="center"/>
              <w:rPr>
                <w:color w:val="000000"/>
                <w:sz w:val="20"/>
                <w:szCs w:val="20"/>
              </w:rPr>
            </w:pPr>
            <w:r w:rsidRPr="000116D3">
              <w:rPr>
                <w:color w:val="000000"/>
                <w:sz w:val="20"/>
                <w:szCs w:val="20"/>
              </w:rPr>
              <w:t>359,200</w:t>
            </w:r>
          </w:p>
        </w:tc>
        <w:tc>
          <w:tcPr>
            <w:tcW w:w="1134" w:type="dxa"/>
            <w:tcBorders>
              <w:top w:val="nil"/>
              <w:left w:val="nil"/>
              <w:bottom w:val="single" w:sz="4" w:space="0" w:color="auto"/>
              <w:right w:val="single" w:sz="4" w:space="0" w:color="auto"/>
            </w:tcBorders>
            <w:shd w:val="clear" w:color="auto" w:fill="auto"/>
            <w:noWrap/>
            <w:vAlign w:val="bottom"/>
            <w:hideMark/>
          </w:tcPr>
          <w:p w14:paraId="6B5ADE5D" w14:textId="29C58080" w:rsidR="000116D3" w:rsidRPr="000116D3" w:rsidRDefault="000116D3" w:rsidP="000116D3">
            <w:pPr>
              <w:spacing w:before="0" w:line="240" w:lineRule="auto"/>
              <w:jc w:val="center"/>
              <w:rPr>
                <w:color w:val="000000"/>
                <w:sz w:val="20"/>
                <w:szCs w:val="20"/>
              </w:rPr>
            </w:pPr>
            <w:r w:rsidRPr="000116D3">
              <w:rPr>
                <w:color w:val="000000"/>
                <w:sz w:val="20"/>
                <w:szCs w:val="20"/>
              </w:rPr>
              <w:t>110,884.68</w:t>
            </w:r>
          </w:p>
        </w:tc>
        <w:tc>
          <w:tcPr>
            <w:tcW w:w="1134" w:type="dxa"/>
            <w:tcBorders>
              <w:top w:val="nil"/>
              <w:left w:val="nil"/>
              <w:bottom w:val="single" w:sz="4" w:space="0" w:color="auto"/>
              <w:right w:val="single" w:sz="4" w:space="0" w:color="auto"/>
            </w:tcBorders>
            <w:shd w:val="clear" w:color="auto" w:fill="auto"/>
            <w:noWrap/>
            <w:vAlign w:val="bottom"/>
            <w:hideMark/>
          </w:tcPr>
          <w:p w14:paraId="18119039" w14:textId="508739E9" w:rsidR="000116D3" w:rsidRPr="000116D3" w:rsidRDefault="000116D3" w:rsidP="000116D3">
            <w:pPr>
              <w:spacing w:before="0" w:line="240" w:lineRule="auto"/>
              <w:jc w:val="center"/>
              <w:rPr>
                <w:color w:val="000000"/>
                <w:sz w:val="20"/>
                <w:szCs w:val="20"/>
              </w:rPr>
            </w:pPr>
            <w:r w:rsidRPr="000116D3">
              <w:rPr>
                <w:color w:val="000000"/>
                <w:sz w:val="20"/>
                <w:szCs w:val="20"/>
              </w:rPr>
              <w:t>57,164.60</w:t>
            </w:r>
          </w:p>
        </w:tc>
        <w:tc>
          <w:tcPr>
            <w:tcW w:w="1276" w:type="dxa"/>
            <w:tcBorders>
              <w:top w:val="nil"/>
              <w:left w:val="nil"/>
              <w:bottom w:val="single" w:sz="4" w:space="0" w:color="auto"/>
              <w:right w:val="single" w:sz="4" w:space="0" w:color="auto"/>
            </w:tcBorders>
            <w:shd w:val="clear" w:color="auto" w:fill="auto"/>
            <w:noWrap/>
            <w:vAlign w:val="bottom"/>
            <w:hideMark/>
          </w:tcPr>
          <w:p w14:paraId="74D686B0" w14:textId="279909D1" w:rsidR="000116D3" w:rsidRPr="000116D3" w:rsidRDefault="000116D3" w:rsidP="000116D3">
            <w:pPr>
              <w:spacing w:before="0" w:line="240" w:lineRule="auto"/>
              <w:jc w:val="center"/>
              <w:rPr>
                <w:color w:val="000000"/>
                <w:sz w:val="20"/>
                <w:szCs w:val="20"/>
              </w:rPr>
            </w:pPr>
            <w:r w:rsidRPr="000116D3">
              <w:rPr>
                <w:color w:val="000000"/>
                <w:sz w:val="20"/>
                <w:szCs w:val="20"/>
              </w:rPr>
              <w:t>168,049.28</w:t>
            </w:r>
          </w:p>
        </w:tc>
        <w:tc>
          <w:tcPr>
            <w:tcW w:w="1418" w:type="dxa"/>
            <w:tcBorders>
              <w:top w:val="nil"/>
              <w:left w:val="nil"/>
              <w:bottom w:val="single" w:sz="4" w:space="0" w:color="auto"/>
              <w:right w:val="single" w:sz="4" w:space="0" w:color="auto"/>
            </w:tcBorders>
            <w:shd w:val="clear" w:color="auto" w:fill="auto"/>
            <w:noWrap/>
            <w:vAlign w:val="bottom"/>
            <w:hideMark/>
          </w:tcPr>
          <w:p w14:paraId="64F9FFAD" w14:textId="77777777" w:rsidR="000116D3" w:rsidRPr="000116D3" w:rsidRDefault="000116D3" w:rsidP="000116D3">
            <w:pPr>
              <w:spacing w:before="0" w:line="240" w:lineRule="auto"/>
              <w:jc w:val="center"/>
              <w:rPr>
                <w:color w:val="000000"/>
                <w:sz w:val="20"/>
                <w:szCs w:val="20"/>
              </w:rPr>
            </w:pPr>
            <w:r w:rsidRPr="000116D3">
              <w:rPr>
                <w:color w:val="000000"/>
                <w:sz w:val="20"/>
                <w:szCs w:val="20"/>
              </w:rPr>
              <w:t>46.78%</w:t>
            </w:r>
          </w:p>
        </w:tc>
      </w:tr>
      <w:tr w:rsidR="000116D3" w:rsidRPr="000116D3" w14:paraId="69D623EE" w14:textId="77777777" w:rsidTr="000116D3">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86625FB" w14:textId="77777777" w:rsidR="000116D3" w:rsidRPr="000116D3" w:rsidRDefault="000116D3" w:rsidP="000116D3">
            <w:pPr>
              <w:spacing w:before="0" w:line="240" w:lineRule="auto"/>
              <w:jc w:val="left"/>
              <w:rPr>
                <w:color w:val="000000"/>
                <w:sz w:val="20"/>
                <w:szCs w:val="20"/>
              </w:rPr>
            </w:pPr>
            <w:r w:rsidRPr="000116D3">
              <w:rPr>
                <w:color w:val="000000"/>
                <w:sz w:val="20"/>
                <w:szCs w:val="20"/>
              </w:rPr>
              <w:t>Outcome 3</w:t>
            </w:r>
          </w:p>
        </w:tc>
        <w:tc>
          <w:tcPr>
            <w:tcW w:w="1417" w:type="dxa"/>
            <w:tcBorders>
              <w:top w:val="nil"/>
              <w:left w:val="nil"/>
              <w:bottom w:val="single" w:sz="4" w:space="0" w:color="auto"/>
              <w:right w:val="single" w:sz="4" w:space="0" w:color="auto"/>
            </w:tcBorders>
            <w:shd w:val="clear" w:color="auto" w:fill="auto"/>
            <w:noWrap/>
            <w:vAlign w:val="bottom"/>
            <w:hideMark/>
          </w:tcPr>
          <w:p w14:paraId="61CBFEF3" w14:textId="50AA34CA" w:rsidR="000116D3" w:rsidRPr="000116D3" w:rsidRDefault="000116D3" w:rsidP="000116D3">
            <w:pPr>
              <w:spacing w:before="0" w:line="240" w:lineRule="auto"/>
              <w:jc w:val="center"/>
              <w:rPr>
                <w:color w:val="000000"/>
                <w:sz w:val="20"/>
                <w:szCs w:val="20"/>
              </w:rPr>
            </w:pPr>
            <w:r w:rsidRPr="000116D3">
              <w:rPr>
                <w:color w:val="000000"/>
                <w:sz w:val="20"/>
                <w:szCs w:val="20"/>
              </w:rPr>
              <w:t>287,900</w:t>
            </w:r>
          </w:p>
        </w:tc>
        <w:tc>
          <w:tcPr>
            <w:tcW w:w="1134" w:type="dxa"/>
            <w:tcBorders>
              <w:top w:val="nil"/>
              <w:left w:val="nil"/>
              <w:bottom w:val="single" w:sz="4" w:space="0" w:color="auto"/>
              <w:right w:val="single" w:sz="4" w:space="0" w:color="auto"/>
            </w:tcBorders>
            <w:shd w:val="clear" w:color="auto" w:fill="auto"/>
            <w:noWrap/>
            <w:vAlign w:val="bottom"/>
            <w:hideMark/>
          </w:tcPr>
          <w:p w14:paraId="6A009847" w14:textId="2D6E5034" w:rsidR="000116D3" w:rsidRPr="000116D3" w:rsidRDefault="000116D3" w:rsidP="000116D3">
            <w:pPr>
              <w:spacing w:before="0" w:line="240" w:lineRule="auto"/>
              <w:jc w:val="center"/>
              <w:rPr>
                <w:color w:val="000000"/>
                <w:sz w:val="20"/>
                <w:szCs w:val="20"/>
              </w:rPr>
            </w:pPr>
            <w:r w:rsidRPr="000116D3">
              <w:rPr>
                <w:color w:val="000000"/>
                <w:sz w:val="20"/>
                <w:szCs w:val="20"/>
              </w:rPr>
              <w:t>77,039.90</w:t>
            </w:r>
          </w:p>
        </w:tc>
        <w:tc>
          <w:tcPr>
            <w:tcW w:w="1134" w:type="dxa"/>
            <w:tcBorders>
              <w:top w:val="nil"/>
              <w:left w:val="nil"/>
              <w:bottom w:val="single" w:sz="4" w:space="0" w:color="auto"/>
              <w:right w:val="single" w:sz="4" w:space="0" w:color="auto"/>
            </w:tcBorders>
            <w:shd w:val="clear" w:color="auto" w:fill="auto"/>
            <w:noWrap/>
            <w:vAlign w:val="bottom"/>
            <w:hideMark/>
          </w:tcPr>
          <w:p w14:paraId="33DEBA21" w14:textId="4D5A0ADE" w:rsidR="000116D3" w:rsidRPr="000116D3" w:rsidRDefault="000116D3" w:rsidP="000116D3">
            <w:pPr>
              <w:spacing w:before="0" w:line="240" w:lineRule="auto"/>
              <w:jc w:val="center"/>
              <w:rPr>
                <w:color w:val="000000"/>
                <w:sz w:val="20"/>
                <w:szCs w:val="20"/>
              </w:rPr>
            </w:pPr>
            <w:r w:rsidRPr="000116D3">
              <w:rPr>
                <w:color w:val="000000"/>
                <w:sz w:val="20"/>
                <w:szCs w:val="20"/>
              </w:rPr>
              <w:t>111,882.03</w:t>
            </w:r>
          </w:p>
        </w:tc>
        <w:tc>
          <w:tcPr>
            <w:tcW w:w="1276" w:type="dxa"/>
            <w:tcBorders>
              <w:top w:val="nil"/>
              <w:left w:val="nil"/>
              <w:bottom w:val="single" w:sz="4" w:space="0" w:color="auto"/>
              <w:right w:val="single" w:sz="4" w:space="0" w:color="auto"/>
            </w:tcBorders>
            <w:shd w:val="clear" w:color="auto" w:fill="auto"/>
            <w:noWrap/>
            <w:vAlign w:val="bottom"/>
            <w:hideMark/>
          </w:tcPr>
          <w:p w14:paraId="029751C5" w14:textId="7C79E353" w:rsidR="000116D3" w:rsidRPr="000116D3" w:rsidRDefault="000116D3" w:rsidP="000116D3">
            <w:pPr>
              <w:spacing w:before="0" w:line="240" w:lineRule="auto"/>
              <w:jc w:val="center"/>
              <w:rPr>
                <w:color w:val="000000"/>
                <w:sz w:val="20"/>
                <w:szCs w:val="20"/>
              </w:rPr>
            </w:pPr>
            <w:r w:rsidRPr="000116D3">
              <w:rPr>
                <w:color w:val="000000"/>
                <w:sz w:val="20"/>
                <w:szCs w:val="20"/>
              </w:rPr>
              <w:t>188,921.93</w:t>
            </w:r>
          </w:p>
        </w:tc>
        <w:tc>
          <w:tcPr>
            <w:tcW w:w="1418" w:type="dxa"/>
            <w:tcBorders>
              <w:top w:val="nil"/>
              <w:left w:val="nil"/>
              <w:bottom w:val="single" w:sz="4" w:space="0" w:color="auto"/>
              <w:right w:val="single" w:sz="4" w:space="0" w:color="auto"/>
            </w:tcBorders>
            <w:shd w:val="clear" w:color="auto" w:fill="auto"/>
            <w:noWrap/>
            <w:vAlign w:val="bottom"/>
            <w:hideMark/>
          </w:tcPr>
          <w:p w14:paraId="02289483" w14:textId="77777777" w:rsidR="000116D3" w:rsidRPr="000116D3" w:rsidRDefault="000116D3" w:rsidP="000116D3">
            <w:pPr>
              <w:spacing w:before="0" w:line="240" w:lineRule="auto"/>
              <w:jc w:val="center"/>
              <w:rPr>
                <w:color w:val="000000"/>
                <w:sz w:val="20"/>
                <w:szCs w:val="20"/>
              </w:rPr>
            </w:pPr>
            <w:r w:rsidRPr="000116D3">
              <w:rPr>
                <w:color w:val="000000"/>
                <w:sz w:val="20"/>
                <w:szCs w:val="20"/>
              </w:rPr>
              <w:t>65.62%</w:t>
            </w:r>
          </w:p>
        </w:tc>
      </w:tr>
      <w:tr w:rsidR="000116D3" w:rsidRPr="000116D3" w14:paraId="3C50ACC9" w14:textId="77777777" w:rsidTr="000116D3">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72D5718" w14:textId="77777777" w:rsidR="000116D3" w:rsidRPr="000116D3" w:rsidRDefault="000116D3" w:rsidP="000116D3">
            <w:pPr>
              <w:spacing w:before="0" w:line="240" w:lineRule="auto"/>
              <w:jc w:val="left"/>
              <w:rPr>
                <w:color w:val="000000"/>
                <w:sz w:val="20"/>
                <w:szCs w:val="20"/>
              </w:rPr>
            </w:pPr>
            <w:r w:rsidRPr="000116D3">
              <w:rPr>
                <w:color w:val="000000"/>
                <w:sz w:val="20"/>
                <w:szCs w:val="20"/>
              </w:rPr>
              <w:t>Outcome 4</w:t>
            </w:r>
          </w:p>
        </w:tc>
        <w:tc>
          <w:tcPr>
            <w:tcW w:w="1417" w:type="dxa"/>
            <w:tcBorders>
              <w:top w:val="nil"/>
              <w:left w:val="nil"/>
              <w:bottom w:val="single" w:sz="4" w:space="0" w:color="auto"/>
              <w:right w:val="single" w:sz="4" w:space="0" w:color="auto"/>
            </w:tcBorders>
            <w:shd w:val="clear" w:color="auto" w:fill="auto"/>
            <w:noWrap/>
            <w:vAlign w:val="bottom"/>
            <w:hideMark/>
          </w:tcPr>
          <w:p w14:paraId="01730CAA" w14:textId="4C2EC33E" w:rsidR="000116D3" w:rsidRPr="000116D3" w:rsidRDefault="000116D3" w:rsidP="000116D3">
            <w:pPr>
              <w:spacing w:before="0" w:line="240" w:lineRule="auto"/>
              <w:jc w:val="center"/>
              <w:rPr>
                <w:color w:val="000000"/>
                <w:sz w:val="20"/>
                <w:szCs w:val="20"/>
              </w:rPr>
            </w:pPr>
            <w:r w:rsidRPr="000116D3">
              <w:rPr>
                <w:color w:val="000000"/>
                <w:sz w:val="20"/>
                <w:szCs w:val="20"/>
              </w:rPr>
              <w:t>55,000</w:t>
            </w:r>
          </w:p>
        </w:tc>
        <w:tc>
          <w:tcPr>
            <w:tcW w:w="1134" w:type="dxa"/>
            <w:tcBorders>
              <w:top w:val="nil"/>
              <w:left w:val="nil"/>
              <w:bottom w:val="single" w:sz="4" w:space="0" w:color="auto"/>
              <w:right w:val="single" w:sz="4" w:space="0" w:color="auto"/>
            </w:tcBorders>
            <w:shd w:val="clear" w:color="auto" w:fill="auto"/>
            <w:noWrap/>
            <w:vAlign w:val="bottom"/>
            <w:hideMark/>
          </w:tcPr>
          <w:p w14:paraId="35B97A2D" w14:textId="3904EC3A" w:rsidR="000116D3" w:rsidRPr="000116D3" w:rsidRDefault="000116D3" w:rsidP="000116D3">
            <w:pPr>
              <w:spacing w:before="0" w:line="240" w:lineRule="auto"/>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14:paraId="2790CE77" w14:textId="202503FB" w:rsidR="000116D3" w:rsidRPr="000116D3" w:rsidRDefault="000116D3" w:rsidP="000116D3">
            <w:pPr>
              <w:spacing w:before="0" w:line="240" w:lineRule="auto"/>
              <w:jc w:val="center"/>
              <w:rPr>
                <w:color w:val="000000"/>
                <w:sz w:val="20"/>
                <w:szCs w:val="20"/>
              </w:rPr>
            </w:pPr>
            <w:r w:rsidRPr="000116D3">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14:paraId="794D806C" w14:textId="45BE0016" w:rsidR="000116D3" w:rsidRPr="000116D3" w:rsidRDefault="000116D3" w:rsidP="000116D3">
            <w:pPr>
              <w:spacing w:before="0" w:line="240" w:lineRule="auto"/>
              <w:jc w:val="center"/>
              <w:rPr>
                <w:color w:val="000000"/>
                <w:sz w:val="20"/>
                <w:szCs w:val="20"/>
              </w:rPr>
            </w:pPr>
            <w:r w:rsidRPr="000116D3">
              <w:rPr>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bottom"/>
            <w:hideMark/>
          </w:tcPr>
          <w:p w14:paraId="2D449D3B" w14:textId="77777777" w:rsidR="000116D3" w:rsidRPr="000116D3" w:rsidRDefault="000116D3" w:rsidP="000116D3">
            <w:pPr>
              <w:spacing w:before="0" w:line="240" w:lineRule="auto"/>
              <w:jc w:val="center"/>
              <w:rPr>
                <w:color w:val="000000"/>
                <w:sz w:val="20"/>
                <w:szCs w:val="20"/>
              </w:rPr>
            </w:pPr>
            <w:r w:rsidRPr="001B1A3F">
              <w:rPr>
                <w:color w:val="000000"/>
                <w:sz w:val="20"/>
                <w:szCs w:val="20"/>
              </w:rPr>
              <w:t>0.00%</w:t>
            </w:r>
          </w:p>
        </w:tc>
      </w:tr>
      <w:tr w:rsidR="000116D3" w:rsidRPr="000116D3" w14:paraId="4EA6505C" w14:textId="77777777" w:rsidTr="000116D3">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E017860" w14:textId="77777777" w:rsidR="000116D3" w:rsidRPr="000116D3" w:rsidRDefault="000116D3" w:rsidP="000116D3">
            <w:pPr>
              <w:spacing w:before="0" w:line="240" w:lineRule="auto"/>
              <w:jc w:val="left"/>
              <w:rPr>
                <w:color w:val="000000"/>
                <w:sz w:val="20"/>
                <w:szCs w:val="20"/>
              </w:rPr>
            </w:pPr>
            <w:r w:rsidRPr="000116D3">
              <w:rPr>
                <w:color w:val="000000"/>
                <w:sz w:val="20"/>
                <w:szCs w:val="20"/>
              </w:rPr>
              <w:t>Project Management</w:t>
            </w:r>
          </w:p>
        </w:tc>
        <w:tc>
          <w:tcPr>
            <w:tcW w:w="1417" w:type="dxa"/>
            <w:tcBorders>
              <w:top w:val="nil"/>
              <w:left w:val="nil"/>
              <w:bottom w:val="single" w:sz="4" w:space="0" w:color="auto"/>
              <w:right w:val="single" w:sz="4" w:space="0" w:color="auto"/>
            </w:tcBorders>
            <w:shd w:val="clear" w:color="auto" w:fill="auto"/>
            <w:noWrap/>
            <w:vAlign w:val="bottom"/>
            <w:hideMark/>
          </w:tcPr>
          <w:p w14:paraId="19740785" w14:textId="5E7C8520" w:rsidR="000116D3" w:rsidRPr="000116D3" w:rsidRDefault="000116D3" w:rsidP="000116D3">
            <w:pPr>
              <w:spacing w:before="0" w:line="240" w:lineRule="auto"/>
              <w:jc w:val="center"/>
              <w:rPr>
                <w:color w:val="000000"/>
                <w:sz w:val="20"/>
                <w:szCs w:val="20"/>
              </w:rPr>
            </w:pPr>
            <w:r w:rsidRPr="000116D3">
              <w:rPr>
                <w:color w:val="000000"/>
                <w:sz w:val="20"/>
                <w:szCs w:val="20"/>
              </w:rPr>
              <w:t>100,000</w:t>
            </w:r>
          </w:p>
        </w:tc>
        <w:tc>
          <w:tcPr>
            <w:tcW w:w="1134" w:type="dxa"/>
            <w:tcBorders>
              <w:top w:val="nil"/>
              <w:left w:val="nil"/>
              <w:bottom w:val="single" w:sz="4" w:space="0" w:color="auto"/>
              <w:right w:val="single" w:sz="4" w:space="0" w:color="auto"/>
            </w:tcBorders>
            <w:shd w:val="clear" w:color="auto" w:fill="auto"/>
            <w:noWrap/>
            <w:vAlign w:val="bottom"/>
            <w:hideMark/>
          </w:tcPr>
          <w:p w14:paraId="13512A8C" w14:textId="6B4AFEC0" w:rsidR="000116D3" w:rsidRPr="000116D3" w:rsidRDefault="000116D3" w:rsidP="000116D3">
            <w:pPr>
              <w:spacing w:before="0" w:line="240" w:lineRule="auto"/>
              <w:jc w:val="center"/>
              <w:rPr>
                <w:color w:val="000000"/>
                <w:sz w:val="20"/>
                <w:szCs w:val="20"/>
              </w:rPr>
            </w:pPr>
            <w:r w:rsidRPr="000116D3">
              <w:rPr>
                <w:color w:val="000000"/>
                <w:sz w:val="20"/>
                <w:szCs w:val="20"/>
              </w:rPr>
              <w:t>40,315.34</w:t>
            </w:r>
          </w:p>
        </w:tc>
        <w:tc>
          <w:tcPr>
            <w:tcW w:w="1134" w:type="dxa"/>
            <w:tcBorders>
              <w:top w:val="nil"/>
              <w:left w:val="nil"/>
              <w:bottom w:val="nil"/>
              <w:right w:val="nil"/>
            </w:tcBorders>
            <w:shd w:val="clear" w:color="auto" w:fill="auto"/>
            <w:noWrap/>
            <w:vAlign w:val="bottom"/>
            <w:hideMark/>
          </w:tcPr>
          <w:p w14:paraId="2BD9FD4D" w14:textId="77777777" w:rsidR="000116D3" w:rsidRPr="000116D3" w:rsidRDefault="000116D3" w:rsidP="000116D3">
            <w:pPr>
              <w:spacing w:before="0" w:line="240" w:lineRule="auto"/>
              <w:jc w:val="center"/>
              <w:rPr>
                <w:color w:val="000000"/>
                <w:sz w:val="20"/>
                <w:szCs w:val="20"/>
              </w:rPr>
            </w:pPr>
            <w:r w:rsidRPr="000116D3">
              <w:rPr>
                <w:color w:val="000000"/>
                <w:sz w:val="20"/>
                <w:szCs w:val="20"/>
              </w:rPr>
              <w:t>26,606.87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4D72E8A" w14:textId="45FB6FBE" w:rsidR="000116D3" w:rsidRPr="000116D3" w:rsidRDefault="000116D3" w:rsidP="000116D3">
            <w:pPr>
              <w:spacing w:before="0" w:line="240" w:lineRule="auto"/>
              <w:jc w:val="center"/>
              <w:rPr>
                <w:color w:val="000000"/>
                <w:sz w:val="20"/>
                <w:szCs w:val="20"/>
              </w:rPr>
            </w:pPr>
            <w:r w:rsidRPr="000116D3">
              <w:rPr>
                <w:color w:val="000000"/>
                <w:sz w:val="20"/>
                <w:szCs w:val="20"/>
              </w:rPr>
              <w:t>66,922.21</w:t>
            </w:r>
          </w:p>
        </w:tc>
        <w:tc>
          <w:tcPr>
            <w:tcW w:w="1418" w:type="dxa"/>
            <w:tcBorders>
              <w:top w:val="nil"/>
              <w:left w:val="nil"/>
              <w:bottom w:val="single" w:sz="4" w:space="0" w:color="auto"/>
              <w:right w:val="single" w:sz="4" w:space="0" w:color="auto"/>
            </w:tcBorders>
            <w:shd w:val="clear" w:color="auto" w:fill="auto"/>
            <w:noWrap/>
            <w:vAlign w:val="bottom"/>
            <w:hideMark/>
          </w:tcPr>
          <w:p w14:paraId="2E214D7C" w14:textId="77777777" w:rsidR="000116D3" w:rsidRPr="000116D3" w:rsidRDefault="000116D3" w:rsidP="000116D3">
            <w:pPr>
              <w:spacing w:before="0" w:line="240" w:lineRule="auto"/>
              <w:jc w:val="center"/>
              <w:rPr>
                <w:color w:val="000000"/>
                <w:sz w:val="20"/>
                <w:szCs w:val="20"/>
              </w:rPr>
            </w:pPr>
            <w:r w:rsidRPr="000116D3">
              <w:rPr>
                <w:color w:val="000000"/>
                <w:sz w:val="20"/>
                <w:szCs w:val="20"/>
              </w:rPr>
              <w:t>43.18%</w:t>
            </w:r>
          </w:p>
        </w:tc>
      </w:tr>
      <w:tr w:rsidR="000116D3" w:rsidRPr="000116D3" w14:paraId="62EBA62C" w14:textId="77777777" w:rsidTr="000116D3">
        <w:trPr>
          <w:trHeight w:val="32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D65A9BE" w14:textId="77777777" w:rsidR="000116D3" w:rsidRPr="000116D3" w:rsidRDefault="000116D3" w:rsidP="000116D3">
            <w:pPr>
              <w:spacing w:before="0" w:line="240" w:lineRule="auto"/>
              <w:jc w:val="left"/>
              <w:rPr>
                <w:b/>
                <w:bCs/>
                <w:color w:val="000000"/>
                <w:sz w:val="20"/>
                <w:szCs w:val="20"/>
              </w:rPr>
            </w:pPr>
            <w:r w:rsidRPr="000116D3">
              <w:rPr>
                <w:b/>
                <w:bCs/>
                <w:color w:val="000000"/>
                <w:sz w:val="20"/>
                <w:szCs w:val="20"/>
              </w:rPr>
              <w:t>Project Total</w:t>
            </w:r>
          </w:p>
        </w:tc>
        <w:tc>
          <w:tcPr>
            <w:tcW w:w="1417" w:type="dxa"/>
            <w:tcBorders>
              <w:top w:val="nil"/>
              <w:left w:val="nil"/>
              <w:bottom w:val="single" w:sz="4" w:space="0" w:color="auto"/>
              <w:right w:val="single" w:sz="4" w:space="0" w:color="auto"/>
            </w:tcBorders>
            <w:shd w:val="clear" w:color="auto" w:fill="auto"/>
            <w:noWrap/>
            <w:vAlign w:val="bottom"/>
            <w:hideMark/>
          </w:tcPr>
          <w:p w14:paraId="202DD370" w14:textId="7D279E92" w:rsidR="000116D3" w:rsidRPr="000116D3" w:rsidRDefault="000116D3" w:rsidP="000116D3">
            <w:pPr>
              <w:spacing w:before="0" w:line="240" w:lineRule="auto"/>
              <w:jc w:val="center"/>
              <w:rPr>
                <w:b/>
                <w:bCs/>
                <w:color w:val="000000"/>
                <w:sz w:val="20"/>
                <w:szCs w:val="20"/>
              </w:rPr>
            </w:pPr>
            <w:r w:rsidRPr="000116D3">
              <w:rPr>
                <w:b/>
                <w:bCs/>
                <w:color w:val="000000"/>
                <w:sz w:val="20"/>
                <w:szCs w:val="20"/>
              </w:rPr>
              <w:t>1,100,000</w:t>
            </w:r>
          </w:p>
        </w:tc>
        <w:tc>
          <w:tcPr>
            <w:tcW w:w="1134" w:type="dxa"/>
            <w:tcBorders>
              <w:top w:val="nil"/>
              <w:left w:val="nil"/>
              <w:bottom w:val="single" w:sz="4" w:space="0" w:color="auto"/>
              <w:right w:val="single" w:sz="4" w:space="0" w:color="auto"/>
            </w:tcBorders>
            <w:shd w:val="clear" w:color="auto" w:fill="auto"/>
            <w:noWrap/>
            <w:vAlign w:val="bottom"/>
            <w:hideMark/>
          </w:tcPr>
          <w:p w14:paraId="19153B5E" w14:textId="078A627D" w:rsidR="000116D3" w:rsidRPr="000116D3" w:rsidRDefault="000116D3" w:rsidP="000116D3">
            <w:pPr>
              <w:spacing w:before="0" w:line="240" w:lineRule="auto"/>
              <w:jc w:val="center"/>
              <w:rPr>
                <w:b/>
                <w:bCs/>
                <w:color w:val="000000"/>
                <w:sz w:val="20"/>
                <w:szCs w:val="20"/>
              </w:rPr>
            </w:pPr>
            <w:r w:rsidRPr="000116D3">
              <w:rPr>
                <w:b/>
                <w:bCs/>
                <w:color w:val="000000"/>
                <w:sz w:val="20"/>
                <w:szCs w:val="20"/>
              </w:rPr>
              <w:t>303,948.90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934A28" w14:textId="51F4D4E6" w:rsidR="000116D3" w:rsidRPr="000116D3" w:rsidRDefault="000116D3" w:rsidP="000116D3">
            <w:pPr>
              <w:spacing w:before="0" w:line="240" w:lineRule="auto"/>
              <w:jc w:val="center"/>
              <w:rPr>
                <w:b/>
                <w:bCs/>
                <w:color w:val="000000"/>
                <w:sz w:val="20"/>
                <w:szCs w:val="20"/>
              </w:rPr>
            </w:pPr>
            <w:r w:rsidRPr="000116D3">
              <w:rPr>
                <w:b/>
                <w:bCs/>
                <w:color w:val="000000"/>
                <w:sz w:val="20"/>
                <w:szCs w:val="20"/>
              </w:rPr>
              <w:t>280,572.79</w:t>
            </w:r>
          </w:p>
        </w:tc>
        <w:tc>
          <w:tcPr>
            <w:tcW w:w="1276" w:type="dxa"/>
            <w:tcBorders>
              <w:top w:val="nil"/>
              <w:left w:val="nil"/>
              <w:bottom w:val="single" w:sz="4" w:space="0" w:color="auto"/>
              <w:right w:val="single" w:sz="4" w:space="0" w:color="auto"/>
            </w:tcBorders>
            <w:shd w:val="clear" w:color="auto" w:fill="auto"/>
            <w:noWrap/>
            <w:vAlign w:val="bottom"/>
            <w:hideMark/>
          </w:tcPr>
          <w:p w14:paraId="5390C589" w14:textId="46759C59" w:rsidR="000116D3" w:rsidRPr="000116D3" w:rsidRDefault="000116D3" w:rsidP="000116D3">
            <w:pPr>
              <w:spacing w:before="0" w:line="240" w:lineRule="auto"/>
              <w:jc w:val="center"/>
              <w:rPr>
                <w:b/>
                <w:bCs/>
                <w:color w:val="000000"/>
                <w:sz w:val="20"/>
                <w:szCs w:val="20"/>
              </w:rPr>
            </w:pPr>
            <w:r w:rsidRPr="000116D3">
              <w:rPr>
                <w:b/>
                <w:bCs/>
                <w:color w:val="000000"/>
                <w:sz w:val="20"/>
                <w:szCs w:val="20"/>
              </w:rPr>
              <w:t>584,521.69</w:t>
            </w:r>
          </w:p>
        </w:tc>
        <w:tc>
          <w:tcPr>
            <w:tcW w:w="1418" w:type="dxa"/>
            <w:tcBorders>
              <w:top w:val="nil"/>
              <w:left w:val="nil"/>
              <w:bottom w:val="single" w:sz="4" w:space="0" w:color="auto"/>
              <w:right w:val="single" w:sz="4" w:space="0" w:color="auto"/>
            </w:tcBorders>
            <w:shd w:val="clear" w:color="auto" w:fill="auto"/>
            <w:noWrap/>
            <w:vAlign w:val="bottom"/>
            <w:hideMark/>
          </w:tcPr>
          <w:p w14:paraId="73F6ECE9" w14:textId="5C1C88C5" w:rsidR="000116D3" w:rsidRPr="000116D3" w:rsidRDefault="000116D3" w:rsidP="000116D3">
            <w:pPr>
              <w:spacing w:before="0" w:line="240" w:lineRule="auto"/>
              <w:jc w:val="center"/>
              <w:rPr>
                <w:color w:val="000000"/>
                <w:sz w:val="20"/>
                <w:szCs w:val="20"/>
              </w:rPr>
            </w:pPr>
            <w:r>
              <w:rPr>
                <w:color w:val="000000"/>
                <w:sz w:val="20"/>
                <w:szCs w:val="20"/>
              </w:rPr>
              <w:t>53</w:t>
            </w:r>
            <w:r w:rsidRPr="000116D3">
              <w:rPr>
                <w:color w:val="000000"/>
                <w:sz w:val="20"/>
                <w:szCs w:val="20"/>
              </w:rPr>
              <w:t>.</w:t>
            </w:r>
            <w:r>
              <w:rPr>
                <w:color w:val="000000"/>
                <w:sz w:val="20"/>
                <w:szCs w:val="20"/>
              </w:rPr>
              <w:t>14</w:t>
            </w:r>
            <w:r w:rsidRPr="000116D3">
              <w:rPr>
                <w:color w:val="000000"/>
                <w:sz w:val="20"/>
                <w:szCs w:val="20"/>
              </w:rPr>
              <w:t>%</w:t>
            </w:r>
          </w:p>
        </w:tc>
      </w:tr>
    </w:tbl>
    <w:p w14:paraId="3E03CEBC" w14:textId="6C021A10" w:rsidR="004F7CA9" w:rsidRDefault="00133B8E" w:rsidP="00570DB9">
      <w:pPr>
        <w:pStyle w:val="NoSpacing"/>
        <w:spacing w:before="240" w:line="276" w:lineRule="auto"/>
        <w:jc w:val="both"/>
        <w:rPr>
          <w:lang w:val="en-GB"/>
        </w:rPr>
      </w:pPr>
      <w:r w:rsidRPr="007155AE">
        <w:rPr>
          <w:lang w:val="en-GB"/>
        </w:rPr>
        <w:t xml:space="preserve">The data in Table </w:t>
      </w:r>
      <w:r w:rsidR="005C3474">
        <w:rPr>
          <w:lang w:val="en-GB"/>
        </w:rPr>
        <w:t>9</w:t>
      </w:r>
      <w:r w:rsidR="001C5EFC" w:rsidRPr="007155AE">
        <w:rPr>
          <w:lang w:val="en-GB"/>
        </w:rPr>
        <w:t xml:space="preserve"> </w:t>
      </w:r>
      <w:r w:rsidR="007155AE" w:rsidRPr="007155AE">
        <w:rPr>
          <w:lang w:val="en-GB"/>
        </w:rPr>
        <w:t>show</w:t>
      </w:r>
      <w:r w:rsidR="000116D3">
        <w:rPr>
          <w:lang w:val="en-GB"/>
        </w:rPr>
        <w:t xml:space="preserve">s </w:t>
      </w:r>
      <w:r w:rsidR="007155AE" w:rsidRPr="007155AE">
        <w:rPr>
          <w:lang w:val="en-GB"/>
        </w:rPr>
        <w:t xml:space="preserve">that </w:t>
      </w:r>
      <w:r w:rsidR="007155AE">
        <w:rPr>
          <w:lang w:val="en-GB"/>
        </w:rPr>
        <w:t>as of 3</w:t>
      </w:r>
      <w:r w:rsidR="00570DB9">
        <w:rPr>
          <w:lang w:val="en-GB"/>
        </w:rPr>
        <w:t>1</w:t>
      </w:r>
      <w:r w:rsidR="007155AE">
        <w:rPr>
          <w:lang w:val="en-GB"/>
        </w:rPr>
        <w:t xml:space="preserve"> </w:t>
      </w:r>
      <w:r w:rsidR="00A97C1E">
        <w:rPr>
          <w:lang w:val="en-GB"/>
        </w:rPr>
        <w:t xml:space="preserve">December </w:t>
      </w:r>
      <w:r w:rsidR="007155AE">
        <w:rPr>
          <w:lang w:val="en-GB"/>
        </w:rPr>
        <w:t>20</w:t>
      </w:r>
      <w:r w:rsidR="00A97C1E">
        <w:rPr>
          <w:lang w:val="en-GB"/>
        </w:rPr>
        <w:t>20</w:t>
      </w:r>
      <w:r w:rsidR="007155AE">
        <w:rPr>
          <w:lang w:val="en-GB"/>
        </w:rPr>
        <w:t xml:space="preserve"> the </w:t>
      </w:r>
      <w:r w:rsidR="00D8360D">
        <w:rPr>
          <w:lang w:val="en-GB"/>
        </w:rPr>
        <w:t xml:space="preserve">total disbursement of </w:t>
      </w:r>
      <w:r w:rsidR="007522DC">
        <w:rPr>
          <w:lang w:val="en-GB"/>
        </w:rPr>
        <w:t xml:space="preserve">GEF grant </w:t>
      </w:r>
      <w:r w:rsidR="00570DB9">
        <w:rPr>
          <w:lang w:val="en-GB"/>
        </w:rPr>
        <w:t>stands at</w:t>
      </w:r>
      <w:r w:rsidR="00D8360D">
        <w:rPr>
          <w:lang w:val="en-GB"/>
        </w:rPr>
        <w:t xml:space="preserve"> </w:t>
      </w:r>
      <w:r w:rsidR="00A97C1E" w:rsidRPr="00A97C1E">
        <w:rPr>
          <w:lang w:val="en-GB"/>
        </w:rPr>
        <w:t>58</w:t>
      </w:r>
      <w:r w:rsidR="000116D3">
        <w:rPr>
          <w:lang w:val="en-GB"/>
        </w:rPr>
        <w:t>4</w:t>
      </w:r>
      <w:r w:rsidR="00A97C1E" w:rsidRPr="00A97C1E">
        <w:rPr>
          <w:lang w:val="en-GB"/>
        </w:rPr>
        <w:t>,</w:t>
      </w:r>
      <w:r w:rsidR="000116D3">
        <w:rPr>
          <w:lang w:val="en-GB"/>
        </w:rPr>
        <w:t>521</w:t>
      </w:r>
      <w:r w:rsidR="00A97C1E" w:rsidRPr="00A97C1E">
        <w:rPr>
          <w:lang w:val="en-GB"/>
        </w:rPr>
        <w:t>.</w:t>
      </w:r>
      <w:r w:rsidR="000116D3">
        <w:rPr>
          <w:lang w:val="en-GB"/>
        </w:rPr>
        <w:t>69</w:t>
      </w:r>
      <w:r w:rsidR="00A97C1E" w:rsidRPr="00A97C1E">
        <w:rPr>
          <w:lang w:val="en-GB"/>
        </w:rPr>
        <w:t xml:space="preserve"> </w:t>
      </w:r>
      <w:r w:rsidR="00A97C1E">
        <w:rPr>
          <w:lang w:val="en-GB"/>
        </w:rPr>
        <w:t xml:space="preserve">US$ </w:t>
      </w:r>
      <w:r w:rsidR="00745097">
        <w:rPr>
          <w:lang w:val="en-GB"/>
        </w:rPr>
        <w:t xml:space="preserve">and </w:t>
      </w:r>
      <w:r w:rsidR="00D8360D">
        <w:rPr>
          <w:lang w:val="en-GB"/>
        </w:rPr>
        <w:t xml:space="preserve">the </w:t>
      </w:r>
      <w:r w:rsidR="007155AE">
        <w:rPr>
          <w:lang w:val="en-GB"/>
        </w:rPr>
        <w:t xml:space="preserve">rate of </w:t>
      </w:r>
      <w:r w:rsidR="00A97C1E">
        <w:rPr>
          <w:lang w:val="en-GB"/>
        </w:rPr>
        <w:t xml:space="preserve">the GEF grant </w:t>
      </w:r>
      <w:r w:rsidR="007155AE">
        <w:rPr>
          <w:lang w:val="en-GB"/>
        </w:rPr>
        <w:t xml:space="preserve">implementation </w:t>
      </w:r>
      <w:r w:rsidR="00A97C1E">
        <w:rPr>
          <w:lang w:val="en-GB"/>
        </w:rPr>
        <w:t xml:space="preserve">at </w:t>
      </w:r>
      <w:r w:rsidR="000116D3">
        <w:rPr>
          <w:lang w:val="en-GB"/>
        </w:rPr>
        <w:t>53</w:t>
      </w:r>
      <w:r w:rsidR="00A97C1E">
        <w:rPr>
          <w:lang w:val="en-GB"/>
        </w:rPr>
        <w:t>.</w:t>
      </w:r>
      <w:r w:rsidR="000116D3">
        <w:rPr>
          <w:lang w:val="en-GB"/>
        </w:rPr>
        <w:t>14</w:t>
      </w:r>
      <w:r w:rsidR="007155AE">
        <w:rPr>
          <w:lang w:val="en-GB"/>
        </w:rPr>
        <w:t xml:space="preserve">%. </w:t>
      </w:r>
      <w:r w:rsidR="004F7CA9">
        <w:rPr>
          <w:lang w:val="en-GB"/>
        </w:rPr>
        <w:t xml:space="preserve">As the project </w:t>
      </w:r>
      <w:r w:rsidR="00A97C1E">
        <w:rPr>
          <w:lang w:val="en-GB"/>
        </w:rPr>
        <w:t xml:space="preserve">is about to enter the final year of </w:t>
      </w:r>
      <w:r w:rsidR="004F7CA9">
        <w:rPr>
          <w:lang w:val="en-GB"/>
        </w:rPr>
        <w:t>the implementation period, t</w:t>
      </w:r>
      <w:r w:rsidR="007155AE">
        <w:rPr>
          <w:lang w:val="en-GB"/>
        </w:rPr>
        <w:t xml:space="preserve">he </w:t>
      </w:r>
      <w:r w:rsidR="00570DB9" w:rsidRPr="00570DB9">
        <w:rPr>
          <w:lang w:val="en-GB"/>
        </w:rPr>
        <w:t>outstanding</w:t>
      </w:r>
      <w:r w:rsidR="007155AE">
        <w:rPr>
          <w:lang w:val="en-GB"/>
        </w:rPr>
        <w:t xml:space="preserve"> balance </w:t>
      </w:r>
      <w:r w:rsidR="00D8360D">
        <w:rPr>
          <w:lang w:val="en-GB"/>
        </w:rPr>
        <w:t>of</w:t>
      </w:r>
      <w:r w:rsidR="007155AE">
        <w:rPr>
          <w:lang w:val="en-GB"/>
        </w:rPr>
        <w:t xml:space="preserve"> </w:t>
      </w:r>
      <w:r w:rsidR="005D198A">
        <w:rPr>
          <w:lang w:val="en-GB"/>
        </w:rPr>
        <w:t>51</w:t>
      </w:r>
      <w:r w:rsidR="006247EE">
        <w:rPr>
          <w:lang w:val="en-GB"/>
        </w:rPr>
        <w:t>5</w:t>
      </w:r>
      <w:r w:rsidR="005D198A">
        <w:rPr>
          <w:lang w:val="en-GB"/>
        </w:rPr>
        <w:t xml:space="preserve">, </w:t>
      </w:r>
      <w:r w:rsidR="006247EE">
        <w:rPr>
          <w:lang w:val="en-GB"/>
        </w:rPr>
        <w:t>478</w:t>
      </w:r>
      <w:r w:rsidR="005D198A">
        <w:rPr>
          <w:lang w:val="en-GB"/>
        </w:rPr>
        <w:t xml:space="preserve"> </w:t>
      </w:r>
      <w:r w:rsidR="007155AE">
        <w:rPr>
          <w:lang w:val="en-GB"/>
        </w:rPr>
        <w:t>US</w:t>
      </w:r>
      <w:r w:rsidR="00D8360D">
        <w:rPr>
          <w:lang w:val="en-GB"/>
        </w:rPr>
        <w:t xml:space="preserve">$ represents a substantial </w:t>
      </w:r>
      <w:r w:rsidR="007155AE" w:rsidRPr="007155AE">
        <w:rPr>
          <w:lang w:val="en-GB"/>
        </w:rPr>
        <w:t xml:space="preserve">budget available for the remaining </w:t>
      </w:r>
      <w:r w:rsidR="00A97C1E">
        <w:rPr>
          <w:lang w:val="en-GB"/>
        </w:rPr>
        <w:t>13</w:t>
      </w:r>
      <w:r w:rsidR="004F7CA9">
        <w:rPr>
          <w:lang w:val="en-GB"/>
        </w:rPr>
        <w:t xml:space="preserve"> months </w:t>
      </w:r>
      <w:r w:rsidR="00D8360D">
        <w:rPr>
          <w:lang w:val="en-GB"/>
        </w:rPr>
        <w:t>of the project</w:t>
      </w:r>
      <w:r w:rsidR="004F7CA9">
        <w:rPr>
          <w:lang w:val="en-GB"/>
        </w:rPr>
        <w:t xml:space="preserve"> implementation period</w:t>
      </w:r>
      <w:r w:rsidR="007155AE" w:rsidRPr="007155AE">
        <w:rPr>
          <w:lang w:val="en-GB"/>
        </w:rPr>
        <w:t>.</w:t>
      </w:r>
      <w:r w:rsidR="00D8360D">
        <w:rPr>
          <w:lang w:val="en-GB"/>
        </w:rPr>
        <w:t xml:space="preserve"> </w:t>
      </w:r>
    </w:p>
    <w:p w14:paraId="1838B265" w14:textId="77777777" w:rsidR="00D12DEE" w:rsidRDefault="004F7CA9" w:rsidP="004F7CA9">
      <w:pPr>
        <w:pStyle w:val="NoSpacing"/>
        <w:spacing w:before="120" w:line="276" w:lineRule="auto"/>
        <w:jc w:val="both"/>
        <w:rPr>
          <w:lang w:val="en-GB"/>
        </w:rPr>
      </w:pPr>
      <w:r>
        <w:rPr>
          <w:lang w:val="en-GB"/>
        </w:rPr>
        <w:t xml:space="preserve">The </w:t>
      </w:r>
      <w:r w:rsidR="0063554E">
        <w:rPr>
          <w:lang w:val="en-GB"/>
        </w:rPr>
        <w:t xml:space="preserve">rates of implementation for the individual project components reflect the achieved progress towards the end-of-project targets described above (see Tables 4-7 and related text). </w:t>
      </w:r>
    </w:p>
    <w:p w14:paraId="331ED1DF" w14:textId="76DEC303" w:rsidR="007155AE" w:rsidRDefault="00595FCB" w:rsidP="004F7CA9">
      <w:pPr>
        <w:pStyle w:val="NoSpacing"/>
        <w:spacing w:before="120" w:line="276" w:lineRule="auto"/>
        <w:jc w:val="both"/>
        <w:rPr>
          <w:lang w:val="en-GB"/>
        </w:rPr>
      </w:pPr>
      <w:r>
        <w:rPr>
          <w:lang w:val="en-GB"/>
        </w:rPr>
        <w:t>Overall, t</w:t>
      </w:r>
      <w:r w:rsidR="007155AE" w:rsidRPr="007155AE">
        <w:rPr>
          <w:lang w:val="en-GB"/>
        </w:rPr>
        <w:t xml:space="preserve">he financial data </w:t>
      </w:r>
      <w:r>
        <w:rPr>
          <w:lang w:val="en-GB"/>
        </w:rPr>
        <w:t xml:space="preserve">from Table </w:t>
      </w:r>
      <w:r w:rsidR="005C3474">
        <w:rPr>
          <w:lang w:val="en-GB"/>
        </w:rPr>
        <w:t>9</w:t>
      </w:r>
      <w:r>
        <w:rPr>
          <w:lang w:val="en-GB"/>
        </w:rPr>
        <w:t xml:space="preserve"> </w:t>
      </w:r>
      <w:r w:rsidR="00D8360D">
        <w:rPr>
          <w:lang w:val="en-GB"/>
        </w:rPr>
        <w:t xml:space="preserve">clearly </w:t>
      </w:r>
      <w:r w:rsidR="007155AE" w:rsidRPr="007155AE">
        <w:rPr>
          <w:lang w:val="en-GB"/>
        </w:rPr>
        <w:t xml:space="preserve">highlight the need to </w:t>
      </w:r>
      <w:r w:rsidR="00D12DEE">
        <w:rPr>
          <w:lang w:val="en-GB"/>
        </w:rPr>
        <w:t xml:space="preserve">accelerate </w:t>
      </w:r>
      <w:r w:rsidR="007155AE" w:rsidRPr="007155AE">
        <w:rPr>
          <w:lang w:val="en-GB"/>
        </w:rPr>
        <w:t>the implementation</w:t>
      </w:r>
      <w:r>
        <w:rPr>
          <w:lang w:val="en-GB"/>
        </w:rPr>
        <w:t xml:space="preserve"> for </w:t>
      </w:r>
      <w:r w:rsidR="007155AE" w:rsidRPr="007155AE">
        <w:rPr>
          <w:lang w:val="en-GB"/>
        </w:rPr>
        <w:t xml:space="preserve">the </w:t>
      </w:r>
      <w:r w:rsidR="00570DB9">
        <w:rPr>
          <w:lang w:val="en-GB"/>
        </w:rPr>
        <w:t>remaining</w:t>
      </w:r>
      <w:r w:rsidR="007155AE" w:rsidRPr="007155AE">
        <w:rPr>
          <w:lang w:val="en-GB"/>
        </w:rPr>
        <w:t xml:space="preserve"> </w:t>
      </w:r>
      <w:r w:rsidR="000116D3">
        <w:rPr>
          <w:lang w:val="en-GB"/>
        </w:rPr>
        <w:t xml:space="preserve">duration </w:t>
      </w:r>
      <w:r w:rsidR="007155AE" w:rsidRPr="007155AE">
        <w:rPr>
          <w:lang w:val="en-GB"/>
        </w:rPr>
        <w:t>of the project.</w:t>
      </w:r>
    </w:p>
    <w:p w14:paraId="40662E1B" w14:textId="5352C494" w:rsidR="00E900AD" w:rsidRDefault="00E900AD" w:rsidP="00D8360D">
      <w:pPr>
        <w:pStyle w:val="NoSpacing"/>
        <w:spacing w:before="120" w:line="276" w:lineRule="auto"/>
        <w:jc w:val="both"/>
        <w:rPr>
          <w:lang w:val="en-GB"/>
        </w:rPr>
      </w:pPr>
      <w:r>
        <w:rPr>
          <w:lang w:val="en-GB"/>
        </w:rPr>
        <w:t xml:space="preserve">The project </w:t>
      </w:r>
      <w:r w:rsidR="00595FCB">
        <w:rPr>
          <w:lang w:val="en-GB"/>
        </w:rPr>
        <w:t xml:space="preserve">Combined Delivery Reports (CDRs) </w:t>
      </w:r>
      <w:r>
        <w:rPr>
          <w:lang w:val="en-GB"/>
        </w:rPr>
        <w:t>indicate s</w:t>
      </w:r>
      <w:r w:rsidRPr="00E900AD">
        <w:rPr>
          <w:lang w:val="en-GB"/>
        </w:rPr>
        <w:t xml:space="preserve">trong control over the budget by the </w:t>
      </w:r>
      <w:r w:rsidR="00D12DEE">
        <w:rPr>
          <w:lang w:val="en-GB"/>
        </w:rPr>
        <w:t xml:space="preserve">PIU </w:t>
      </w:r>
      <w:r>
        <w:rPr>
          <w:lang w:val="en-GB"/>
        </w:rPr>
        <w:t xml:space="preserve">and </w:t>
      </w:r>
      <w:r w:rsidR="00CF5339">
        <w:rPr>
          <w:lang w:val="en-GB"/>
        </w:rPr>
        <w:t xml:space="preserve">that the </w:t>
      </w:r>
      <w:r w:rsidRPr="00E900AD">
        <w:rPr>
          <w:lang w:val="en-GB"/>
        </w:rPr>
        <w:t xml:space="preserve">budget revisions </w:t>
      </w:r>
      <w:r w:rsidR="00CF5339">
        <w:rPr>
          <w:lang w:val="en-GB"/>
        </w:rPr>
        <w:t xml:space="preserve">are being </w:t>
      </w:r>
      <w:r w:rsidRPr="00E900AD">
        <w:rPr>
          <w:lang w:val="en-GB"/>
        </w:rPr>
        <w:t xml:space="preserve">made to best suit </w:t>
      </w:r>
      <w:r>
        <w:rPr>
          <w:lang w:val="en-GB"/>
        </w:rPr>
        <w:t xml:space="preserve">the </w:t>
      </w:r>
      <w:r w:rsidRPr="00E900AD">
        <w:rPr>
          <w:lang w:val="en-GB"/>
        </w:rPr>
        <w:t>project needs</w:t>
      </w:r>
      <w:r>
        <w:rPr>
          <w:lang w:val="en-GB"/>
        </w:rPr>
        <w:t xml:space="preserve"> while aligning with the GEF </w:t>
      </w:r>
      <w:r w:rsidRPr="00E900AD">
        <w:rPr>
          <w:lang w:val="en-GB"/>
        </w:rPr>
        <w:t>budgeting guidelines.</w:t>
      </w:r>
    </w:p>
    <w:p w14:paraId="2B039056" w14:textId="6CA2AE32" w:rsidR="006D7645" w:rsidRDefault="006D7645" w:rsidP="00375476">
      <w:pPr>
        <w:pStyle w:val="NoSpacing"/>
        <w:spacing w:before="240" w:line="276" w:lineRule="auto"/>
        <w:jc w:val="both"/>
        <w:rPr>
          <w:lang w:val="en-GB"/>
        </w:rPr>
      </w:pPr>
      <w:r w:rsidRPr="00AE5958">
        <w:rPr>
          <w:lang w:val="en-GB"/>
        </w:rPr>
        <w:t xml:space="preserve">The </w:t>
      </w:r>
      <w:r>
        <w:rPr>
          <w:lang w:val="en-GB"/>
        </w:rPr>
        <w:t>co-f</w:t>
      </w:r>
      <w:r w:rsidRPr="00AE5958">
        <w:rPr>
          <w:lang w:val="en-GB"/>
        </w:rPr>
        <w:t>inanci</w:t>
      </w:r>
      <w:r>
        <w:rPr>
          <w:lang w:val="en-GB"/>
        </w:rPr>
        <w:t>ng</w:t>
      </w:r>
      <w:r w:rsidRPr="00AE5958">
        <w:rPr>
          <w:lang w:val="en-GB"/>
        </w:rPr>
        <w:t xml:space="preserve"> commitment </w:t>
      </w:r>
      <w:r>
        <w:rPr>
          <w:lang w:val="en-GB"/>
        </w:rPr>
        <w:t xml:space="preserve">that </w:t>
      </w:r>
      <w:r w:rsidRPr="00AE5958">
        <w:rPr>
          <w:lang w:val="en-GB"/>
        </w:rPr>
        <w:t xml:space="preserve">the </w:t>
      </w:r>
      <w:r>
        <w:rPr>
          <w:lang w:val="en-GB"/>
        </w:rPr>
        <w:t>G</w:t>
      </w:r>
      <w:r w:rsidRPr="00AE5958">
        <w:rPr>
          <w:lang w:val="en-GB"/>
        </w:rPr>
        <w:t xml:space="preserve">overnment </w:t>
      </w:r>
      <w:r w:rsidR="00E067A3">
        <w:rPr>
          <w:lang w:val="en-GB"/>
        </w:rPr>
        <w:t xml:space="preserve">and other stakeholders </w:t>
      </w:r>
      <w:r w:rsidRPr="00AE5958">
        <w:rPr>
          <w:lang w:val="en-GB"/>
        </w:rPr>
        <w:t xml:space="preserve">made </w:t>
      </w:r>
      <w:r>
        <w:rPr>
          <w:lang w:val="en-GB"/>
        </w:rPr>
        <w:t xml:space="preserve">at the project inception (confirmed by </w:t>
      </w:r>
      <w:r w:rsidRPr="00AE5958">
        <w:rPr>
          <w:lang w:val="en-GB"/>
        </w:rPr>
        <w:t xml:space="preserve">means of </w:t>
      </w:r>
      <w:r>
        <w:rPr>
          <w:lang w:val="en-GB"/>
        </w:rPr>
        <w:t xml:space="preserve">official </w:t>
      </w:r>
      <w:r w:rsidRPr="00AE5958">
        <w:rPr>
          <w:lang w:val="en-GB"/>
        </w:rPr>
        <w:t>co-financing letters</w:t>
      </w:r>
      <w:r>
        <w:rPr>
          <w:lang w:val="en-GB"/>
        </w:rPr>
        <w:t xml:space="preserve"> provided to PMU</w:t>
      </w:r>
      <w:r w:rsidRPr="00AE5958">
        <w:rPr>
          <w:lang w:val="en-GB"/>
        </w:rPr>
        <w:t xml:space="preserve">) </w:t>
      </w:r>
      <w:r>
        <w:rPr>
          <w:lang w:val="en-GB"/>
        </w:rPr>
        <w:t xml:space="preserve">is </w:t>
      </w:r>
      <w:r w:rsidRPr="00AE5958">
        <w:rPr>
          <w:lang w:val="en-GB"/>
        </w:rPr>
        <w:t xml:space="preserve">considered an important indicator to assess the country’s ownership </w:t>
      </w:r>
      <w:r>
        <w:rPr>
          <w:lang w:val="en-GB"/>
        </w:rPr>
        <w:t xml:space="preserve">of the project. </w:t>
      </w:r>
    </w:p>
    <w:p w14:paraId="42C4F481" w14:textId="22DF832D" w:rsidR="00943A1F" w:rsidRDefault="005112C8" w:rsidP="00F46DA6">
      <w:pPr>
        <w:spacing w:after="120"/>
        <w:rPr>
          <w:b/>
        </w:rPr>
      </w:pPr>
      <w:r w:rsidRPr="000B0925">
        <w:t xml:space="preserve">Table </w:t>
      </w:r>
      <w:r w:rsidR="00E067A3">
        <w:t>10</w:t>
      </w:r>
      <w:r w:rsidRPr="000B0925">
        <w:t xml:space="preserve"> below </w:t>
      </w:r>
      <w:r w:rsidR="000B0925" w:rsidRPr="000B0925">
        <w:t xml:space="preserve">summarizes data on </w:t>
      </w:r>
      <w:r w:rsidRPr="000B0925">
        <w:t>co-financ</w:t>
      </w:r>
      <w:r w:rsidR="000116D3">
        <w:t>e</w:t>
      </w:r>
      <w:r w:rsidRPr="000B0925">
        <w:t xml:space="preserve">. </w:t>
      </w:r>
    </w:p>
    <w:p w14:paraId="18E4DAB9" w14:textId="65ED1638" w:rsidR="00133B8E" w:rsidRDefault="00D12DEE" w:rsidP="000116D3">
      <w:pPr>
        <w:pStyle w:val="Caption"/>
        <w:spacing w:before="240" w:after="120"/>
        <w:rPr>
          <w:i w:val="0"/>
          <w:iCs w:val="0"/>
          <w:color w:val="auto"/>
          <w:sz w:val="24"/>
          <w:szCs w:val="24"/>
        </w:rPr>
      </w:pPr>
      <w:r w:rsidRPr="001B1A3F">
        <w:rPr>
          <w:b/>
          <w:bCs/>
          <w:i w:val="0"/>
          <w:iCs w:val="0"/>
          <w:color w:val="auto"/>
          <w:sz w:val="24"/>
          <w:szCs w:val="24"/>
        </w:rPr>
        <w:t xml:space="preserve">Table </w:t>
      </w:r>
      <w:r w:rsidR="00745097" w:rsidRPr="001B1A3F">
        <w:rPr>
          <w:b/>
          <w:bCs/>
          <w:i w:val="0"/>
          <w:iCs w:val="0"/>
          <w:color w:val="auto"/>
          <w:sz w:val="24"/>
          <w:szCs w:val="24"/>
        </w:rPr>
        <w:fldChar w:fldCharType="begin"/>
      </w:r>
      <w:r w:rsidR="00745097" w:rsidRPr="001B1A3F">
        <w:rPr>
          <w:b/>
          <w:bCs/>
          <w:i w:val="0"/>
          <w:iCs w:val="0"/>
          <w:color w:val="auto"/>
          <w:sz w:val="24"/>
          <w:szCs w:val="24"/>
        </w:rPr>
        <w:instrText xml:space="preserve"> SEQ Table \* ARABIC </w:instrText>
      </w:r>
      <w:r w:rsidR="00745097" w:rsidRPr="001B1A3F">
        <w:rPr>
          <w:b/>
          <w:bCs/>
          <w:i w:val="0"/>
          <w:iCs w:val="0"/>
          <w:color w:val="auto"/>
          <w:sz w:val="24"/>
          <w:szCs w:val="24"/>
        </w:rPr>
        <w:fldChar w:fldCharType="separate"/>
      </w:r>
      <w:r w:rsidR="004F45AC">
        <w:rPr>
          <w:b/>
          <w:bCs/>
          <w:i w:val="0"/>
          <w:iCs w:val="0"/>
          <w:noProof/>
          <w:color w:val="auto"/>
          <w:sz w:val="24"/>
          <w:szCs w:val="24"/>
        </w:rPr>
        <w:t>10</w:t>
      </w:r>
      <w:r w:rsidR="00745097" w:rsidRPr="001B1A3F">
        <w:rPr>
          <w:b/>
          <w:bCs/>
          <w:i w:val="0"/>
          <w:iCs w:val="0"/>
          <w:noProof/>
          <w:color w:val="auto"/>
          <w:sz w:val="24"/>
          <w:szCs w:val="24"/>
        </w:rPr>
        <w:fldChar w:fldCharType="end"/>
      </w:r>
      <w:r w:rsidRPr="001B1A3F">
        <w:rPr>
          <w:b/>
          <w:bCs/>
          <w:i w:val="0"/>
          <w:iCs w:val="0"/>
          <w:color w:val="auto"/>
          <w:sz w:val="24"/>
          <w:szCs w:val="24"/>
        </w:rPr>
        <w:t>:</w:t>
      </w:r>
      <w:r w:rsidRPr="000116D3">
        <w:rPr>
          <w:i w:val="0"/>
          <w:iCs w:val="0"/>
          <w:color w:val="auto"/>
          <w:sz w:val="24"/>
          <w:szCs w:val="24"/>
        </w:rPr>
        <w:t xml:space="preserve"> </w:t>
      </w:r>
      <w:r w:rsidR="00133B8E" w:rsidRPr="000116D3">
        <w:rPr>
          <w:i w:val="0"/>
          <w:iCs w:val="0"/>
          <w:color w:val="auto"/>
          <w:sz w:val="24"/>
          <w:szCs w:val="24"/>
        </w:rPr>
        <w:t>Allocation of resources for the project by funding source</w:t>
      </w:r>
      <w:r w:rsidR="00A05D50" w:rsidRPr="000116D3">
        <w:rPr>
          <w:i w:val="0"/>
          <w:iCs w:val="0"/>
          <w:color w:val="auto"/>
          <w:sz w:val="24"/>
          <w:szCs w:val="24"/>
        </w:rPr>
        <w:t xml:space="preserve"> (in US$)</w:t>
      </w:r>
    </w:p>
    <w:tbl>
      <w:tblPr>
        <w:tblW w:w="5528" w:type="dxa"/>
        <w:tblInd w:w="250" w:type="dxa"/>
        <w:tblLook w:val="04A0" w:firstRow="1" w:lastRow="0" w:firstColumn="1" w:lastColumn="0" w:noHBand="0" w:noVBand="1"/>
      </w:tblPr>
      <w:tblGrid>
        <w:gridCol w:w="2580"/>
        <w:gridCol w:w="1701"/>
        <w:gridCol w:w="1247"/>
      </w:tblGrid>
      <w:tr w:rsidR="005E5942" w:rsidRPr="005E5942" w14:paraId="42993EFF" w14:textId="77777777" w:rsidTr="003C3FF1">
        <w:trPr>
          <w:trHeight w:val="32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FA722" w14:textId="77777777" w:rsidR="005E5942" w:rsidRPr="005E5942" w:rsidRDefault="005E5942" w:rsidP="005E5942">
            <w:pPr>
              <w:spacing w:before="0" w:line="240" w:lineRule="auto"/>
              <w:jc w:val="left"/>
              <w:rPr>
                <w:color w:val="000000"/>
                <w:sz w:val="20"/>
                <w:szCs w:val="20"/>
              </w:rPr>
            </w:pPr>
            <w:r w:rsidRPr="005E5942">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8B8E5B" w14:textId="77777777" w:rsidR="005E5942" w:rsidRPr="005E5942" w:rsidRDefault="005E5942" w:rsidP="005E5942">
            <w:pPr>
              <w:spacing w:before="0" w:line="240" w:lineRule="auto"/>
              <w:jc w:val="center"/>
              <w:rPr>
                <w:b/>
                <w:bCs/>
                <w:color w:val="000000"/>
                <w:sz w:val="20"/>
                <w:szCs w:val="20"/>
              </w:rPr>
            </w:pPr>
            <w:r w:rsidRPr="005E5942">
              <w:rPr>
                <w:b/>
                <w:bCs/>
                <w:color w:val="000000"/>
                <w:sz w:val="20"/>
                <w:szCs w:val="20"/>
              </w:rPr>
              <w:t>At Inception</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46E10C14" w14:textId="77777777" w:rsidR="005E5942" w:rsidRPr="005E5942" w:rsidRDefault="005E5942" w:rsidP="005E5942">
            <w:pPr>
              <w:spacing w:before="0" w:line="240" w:lineRule="auto"/>
              <w:jc w:val="center"/>
              <w:rPr>
                <w:b/>
                <w:bCs/>
                <w:color w:val="000000"/>
                <w:sz w:val="20"/>
                <w:szCs w:val="20"/>
              </w:rPr>
            </w:pPr>
            <w:r w:rsidRPr="005E5942">
              <w:rPr>
                <w:b/>
                <w:bCs/>
                <w:color w:val="000000"/>
                <w:sz w:val="20"/>
                <w:szCs w:val="20"/>
              </w:rPr>
              <w:t>At MTR</w:t>
            </w:r>
          </w:p>
        </w:tc>
      </w:tr>
      <w:tr w:rsidR="005E5942" w:rsidRPr="005E5942" w14:paraId="47959373" w14:textId="77777777" w:rsidTr="003C3FF1">
        <w:trPr>
          <w:trHeight w:val="3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0C128D6A" w14:textId="77777777" w:rsidR="005E5942" w:rsidRPr="005E5942" w:rsidRDefault="005E5942" w:rsidP="005E5942">
            <w:pPr>
              <w:spacing w:before="0" w:line="240" w:lineRule="auto"/>
              <w:jc w:val="left"/>
              <w:rPr>
                <w:color w:val="000000"/>
                <w:sz w:val="20"/>
                <w:szCs w:val="20"/>
              </w:rPr>
            </w:pPr>
            <w:r w:rsidRPr="005E5942">
              <w:rPr>
                <w:rFonts w:cs="Arial"/>
                <w:color w:val="000000"/>
                <w:sz w:val="20"/>
                <w:szCs w:val="20"/>
                <w:lang w:val="en-US"/>
              </w:rPr>
              <w:t>UNDP (in-kind)</w:t>
            </w:r>
          </w:p>
        </w:tc>
        <w:tc>
          <w:tcPr>
            <w:tcW w:w="1701" w:type="dxa"/>
            <w:tcBorders>
              <w:top w:val="nil"/>
              <w:left w:val="nil"/>
              <w:bottom w:val="single" w:sz="4" w:space="0" w:color="auto"/>
              <w:right w:val="single" w:sz="4" w:space="0" w:color="auto"/>
            </w:tcBorders>
            <w:shd w:val="clear" w:color="auto" w:fill="auto"/>
            <w:vAlign w:val="center"/>
            <w:hideMark/>
          </w:tcPr>
          <w:p w14:paraId="3EC7C7A4" w14:textId="77777777" w:rsidR="005E5942" w:rsidRPr="005E5942" w:rsidRDefault="005E5942" w:rsidP="005E5942">
            <w:pPr>
              <w:spacing w:before="0" w:line="240" w:lineRule="auto"/>
              <w:jc w:val="center"/>
              <w:rPr>
                <w:color w:val="000000"/>
                <w:sz w:val="20"/>
                <w:szCs w:val="20"/>
              </w:rPr>
            </w:pPr>
            <w:r w:rsidRPr="005E5942">
              <w:rPr>
                <w:rFonts w:cs="Arial"/>
                <w:color w:val="000000"/>
                <w:sz w:val="20"/>
                <w:szCs w:val="20"/>
                <w:lang w:val="en-US"/>
              </w:rPr>
              <w:t>68,000</w:t>
            </w:r>
          </w:p>
        </w:tc>
        <w:tc>
          <w:tcPr>
            <w:tcW w:w="1247" w:type="dxa"/>
            <w:tcBorders>
              <w:top w:val="nil"/>
              <w:left w:val="nil"/>
              <w:bottom w:val="single" w:sz="4" w:space="0" w:color="auto"/>
              <w:right w:val="single" w:sz="4" w:space="0" w:color="auto"/>
            </w:tcBorders>
            <w:shd w:val="clear" w:color="auto" w:fill="auto"/>
            <w:noWrap/>
            <w:vAlign w:val="bottom"/>
            <w:hideMark/>
          </w:tcPr>
          <w:p w14:paraId="1142B7E5" w14:textId="06061675" w:rsidR="005E5942" w:rsidRPr="005E5942" w:rsidRDefault="005E5942" w:rsidP="005E5942">
            <w:pPr>
              <w:spacing w:before="0" w:line="240" w:lineRule="auto"/>
              <w:jc w:val="center"/>
              <w:rPr>
                <w:color w:val="000000"/>
                <w:sz w:val="20"/>
                <w:szCs w:val="20"/>
              </w:rPr>
            </w:pPr>
            <w:r w:rsidRPr="005E5942">
              <w:rPr>
                <w:color w:val="000000"/>
                <w:sz w:val="20"/>
                <w:szCs w:val="20"/>
              </w:rPr>
              <w:t> </w:t>
            </w:r>
            <w:r w:rsidR="00234241">
              <w:rPr>
                <w:color w:val="000000"/>
                <w:sz w:val="20"/>
                <w:szCs w:val="20"/>
              </w:rPr>
              <w:t>0</w:t>
            </w:r>
          </w:p>
        </w:tc>
      </w:tr>
      <w:tr w:rsidR="005E5942" w:rsidRPr="005E5942" w14:paraId="607D6FB7" w14:textId="77777777" w:rsidTr="003C3FF1">
        <w:trPr>
          <w:trHeight w:val="320"/>
        </w:trPr>
        <w:tc>
          <w:tcPr>
            <w:tcW w:w="2580" w:type="dxa"/>
            <w:tcBorders>
              <w:top w:val="nil"/>
              <w:left w:val="single" w:sz="4" w:space="0" w:color="auto"/>
              <w:bottom w:val="single" w:sz="4" w:space="0" w:color="auto"/>
              <w:right w:val="single" w:sz="4" w:space="0" w:color="auto"/>
            </w:tcBorders>
            <w:shd w:val="clear" w:color="auto" w:fill="auto"/>
            <w:vAlign w:val="center"/>
            <w:hideMark/>
          </w:tcPr>
          <w:p w14:paraId="504672A6" w14:textId="77777777" w:rsidR="005E5942" w:rsidRPr="005E5942" w:rsidRDefault="005E5942" w:rsidP="005E5942">
            <w:pPr>
              <w:spacing w:before="0" w:line="240" w:lineRule="auto"/>
              <w:jc w:val="left"/>
              <w:rPr>
                <w:color w:val="000000"/>
                <w:sz w:val="20"/>
                <w:szCs w:val="20"/>
              </w:rPr>
            </w:pPr>
            <w:r w:rsidRPr="005E5942">
              <w:rPr>
                <w:rFonts w:cs="Arial"/>
                <w:color w:val="000000"/>
                <w:sz w:val="20"/>
                <w:szCs w:val="20"/>
                <w:lang w:val="en-US"/>
              </w:rPr>
              <w:t>Government (in-kind)</w:t>
            </w:r>
          </w:p>
        </w:tc>
        <w:tc>
          <w:tcPr>
            <w:tcW w:w="1701" w:type="dxa"/>
            <w:tcBorders>
              <w:top w:val="nil"/>
              <w:left w:val="nil"/>
              <w:bottom w:val="single" w:sz="4" w:space="0" w:color="auto"/>
              <w:right w:val="single" w:sz="4" w:space="0" w:color="auto"/>
            </w:tcBorders>
            <w:shd w:val="clear" w:color="auto" w:fill="auto"/>
            <w:vAlign w:val="center"/>
            <w:hideMark/>
          </w:tcPr>
          <w:p w14:paraId="39A93C45" w14:textId="77777777" w:rsidR="005E5942" w:rsidRPr="005E5942" w:rsidRDefault="005E5942" w:rsidP="005E5942">
            <w:pPr>
              <w:spacing w:before="0" w:line="240" w:lineRule="auto"/>
              <w:jc w:val="center"/>
              <w:rPr>
                <w:color w:val="000000"/>
                <w:sz w:val="20"/>
                <w:szCs w:val="20"/>
              </w:rPr>
            </w:pPr>
            <w:r w:rsidRPr="005E5942">
              <w:rPr>
                <w:rFonts w:cs="Arial"/>
                <w:color w:val="000000"/>
                <w:sz w:val="20"/>
                <w:szCs w:val="20"/>
                <w:lang w:val="en-US"/>
              </w:rPr>
              <w:t>32,000</w:t>
            </w:r>
          </w:p>
        </w:tc>
        <w:tc>
          <w:tcPr>
            <w:tcW w:w="1247" w:type="dxa"/>
            <w:tcBorders>
              <w:top w:val="nil"/>
              <w:left w:val="nil"/>
              <w:bottom w:val="single" w:sz="4" w:space="0" w:color="auto"/>
              <w:right w:val="single" w:sz="4" w:space="0" w:color="auto"/>
            </w:tcBorders>
            <w:shd w:val="clear" w:color="auto" w:fill="auto"/>
            <w:noWrap/>
            <w:vAlign w:val="bottom"/>
            <w:hideMark/>
          </w:tcPr>
          <w:p w14:paraId="2C7A0779" w14:textId="32982D8B" w:rsidR="005E5942" w:rsidRPr="005E5942" w:rsidRDefault="005E5942" w:rsidP="005E5942">
            <w:pPr>
              <w:spacing w:before="0" w:line="240" w:lineRule="auto"/>
              <w:jc w:val="center"/>
              <w:rPr>
                <w:color w:val="000000"/>
                <w:sz w:val="20"/>
                <w:szCs w:val="20"/>
              </w:rPr>
            </w:pPr>
            <w:r w:rsidRPr="005E5942">
              <w:rPr>
                <w:color w:val="000000"/>
                <w:sz w:val="20"/>
                <w:szCs w:val="20"/>
              </w:rPr>
              <w:t> </w:t>
            </w:r>
            <w:r w:rsidR="00234241">
              <w:rPr>
                <w:color w:val="000000"/>
                <w:sz w:val="20"/>
                <w:szCs w:val="20"/>
              </w:rPr>
              <w:t>0</w:t>
            </w:r>
          </w:p>
        </w:tc>
      </w:tr>
      <w:tr w:rsidR="005E5942" w:rsidRPr="005E5942" w14:paraId="4E085198" w14:textId="77777777" w:rsidTr="003C3FF1">
        <w:trPr>
          <w:trHeight w:val="32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733B99D" w14:textId="3D29E0E0" w:rsidR="005E5942" w:rsidRPr="005E5942" w:rsidRDefault="005E5942" w:rsidP="005E5942">
            <w:pPr>
              <w:spacing w:before="0" w:line="240" w:lineRule="auto"/>
              <w:jc w:val="left"/>
              <w:rPr>
                <w:color w:val="000000"/>
                <w:sz w:val="20"/>
                <w:szCs w:val="20"/>
              </w:rPr>
            </w:pPr>
            <w:r>
              <w:rPr>
                <w:color w:val="000000"/>
                <w:sz w:val="20"/>
                <w:szCs w:val="20"/>
              </w:rPr>
              <w:t>UNDP (in-cash)</w:t>
            </w:r>
          </w:p>
        </w:tc>
        <w:tc>
          <w:tcPr>
            <w:tcW w:w="1701" w:type="dxa"/>
            <w:tcBorders>
              <w:top w:val="nil"/>
              <w:left w:val="nil"/>
              <w:bottom w:val="single" w:sz="4" w:space="0" w:color="auto"/>
              <w:right w:val="single" w:sz="4" w:space="0" w:color="auto"/>
            </w:tcBorders>
            <w:shd w:val="clear" w:color="auto" w:fill="auto"/>
            <w:noWrap/>
            <w:vAlign w:val="bottom"/>
            <w:hideMark/>
          </w:tcPr>
          <w:p w14:paraId="266498B9" w14:textId="77777777" w:rsidR="005E5942" w:rsidRPr="005E5942" w:rsidRDefault="005E5942" w:rsidP="005E5942">
            <w:pPr>
              <w:spacing w:before="0" w:line="240" w:lineRule="auto"/>
              <w:jc w:val="center"/>
              <w:rPr>
                <w:color w:val="000000"/>
                <w:sz w:val="20"/>
                <w:szCs w:val="20"/>
              </w:rPr>
            </w:pPr>
            <w:r w:rsidRPr="005E5942">
              <w:rPr>
                <w:color w:val="000000"/>
                <w:sz w:val="20"/>
                <w:szCs w:val="20"/>
              </w:rPr>
              <w:t>0</w:t>
            </w:r>
          </w:p>
        </w:tc>
        <w:tc>
          <w:tcPr>
            <w:tcW w:w="1247" w:type="dxa"/>
            <w:tcBorders>
              <w:top w:val="nil"/>
              <w:left w:val="nil"/>
              <w:bottom w:val="single" w:sz="4" w:space="0" w:color="auto"/>
              <w:right w:val="single" w:sz="4" w:space="0" w:color="auto"/>
            </w:tcBorders>
            <w:shd w:val="clear" w:color="auto" w:fill="auto"/>
            <w:noWrap/>
            <w:vAlign w:val="bottom"/>
            <w:hideMark/>
          </w:tcPr>
          <w:p w14:paraId="7C43BF21" w14:textId="77777777" w:rsidR="005E5942" w:rsidRPr="005E5942" w:rsidRDefault="005E5942" w:rsidP="005E5942">
            <w:pPr>
              <w:spacing w:before="0" w:line="240" w:lineRule="auto"/>
              <w:jc w:val="center"/>
              <w:rPr>
                <w:color w:val="000000"/>
                <w:sz w:val="20"/>
                <w:szCs w:val="20"/>
              </w:rPr>
            </w:pPr>
            <w:r w:rsidRPr="005E5942">
              <w:rPr>
                <w:color w:val="000000"/>
                <w:sz w:val="20"/>
                <w:szCs w:val="20"/>
              </w:rPr>
              <w:t>64,371.83</w:t>
            </w:r>
          </w:p>
        </w:tc>
      </w:tr>
      <w:tr w:rsidR="005E5942" w:rsidRPr="005E5942" w14:paraId="4B2C8131" w14:textId="77777777" w:rsidTr="003C3FF1">
        <w:trPr>
          <w:trHeight w:val="32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02F10C2" w14:textId="77777777" w:rsidR="005E5942" w:rsidRPr="005E5942" w:rsidRDefault="005E5942" w:rsidP="005E5942">
            <w:pPr>
              <w:spacing w:before="0" w:line="240" w:lineRule="auto"/>
              <w:jc w:val="left"/>
              <w:rPr>
                <w:b/>
                <w:bCs/>
                <w:color w:val="000000"/>
                <w:sz w:val="20"/>
                <w:szCs w:val="20"/>
              </w:rPr>
            </w:pPr>
            <w:r w:rsidRPr="005E5942">
              <w:rPr>
                <w:b/>
                <w:bCs/>
                <w:color w:val="000000"/>
                <w:sz w:val="20"/>
                <w:szCs w:val="20"/>
              </w:rPr>
              <w:t>Total co-financing</w:t>
            </w:r>
          </w:p>
        </w:tc>
        <w:tc>
          <w:tcPr>
            <w:tcW w:w="1701" w:type="dxa"/>
            <w:tcBorders>
              <w:top w:val="nil"/>
              <w:left w:val="nil"/>
              <w:bottom w:val="single" w:sz="4" w:space="0" w:color="auto"/>
              <w:right w:val="single" w:sz="4" w:space="0" w:color="auto"/>
            </w:tcBorders>
            <w:shd w:val="clear" w:color="auto" w:fill="auto"/>
            <w:noWrap/>
            <w:vAlign w:val="bottom"/>
            <w:hideMark/>
          </w:tcPr>
          <w:p w14:paraId="18A2A278" w14:textId="77777777" w:rsidR="005E5942" w:rsidRPr="005E5942" w:rsidRDefault="005E5942" w:rsidP="005E5942">
            <w:pPr>
              <w:spacing w:before="0" w:line="240" w:lineRule="auto"/>
              <w:jc w:val="center"/>
              <w:rPr>
                <w:b/>
                <w:bCs/>
                <w:color w:val="000000"/>
                <w:sz w:val="20"/>
                <w:szCs w:val="20"/>
              </w:rPr>
            </w:pPr>
            <w:r w:rsidRPr="005E5942">
              <w:rPr>
                <w:b/>
                <w:bCs/>
                <w:color w:val="000000"/>
                <w:sz w:val="20"/>
                <w:szCs w:val="20"/>
              </w:rPr>
              <w:t>100,000</w:t>
            </w:r>
          </w:p>
        </w:tc>
        <w:tc>
          <w:tcPr>
            <w:tcW w:w="1247" w:type="dxa"/>
            <w:tcBorders>
              <w:top w:val="nil"/>
              <w:left w:val="nil"/>
              <w:bottom w:val="single" w:sz="4" w:space="0" w:color="auto"/>
              <w:right w:val="single" w:sz="4" w:space="0" w:color="auto"/>
            </w:tcBorders>
            <w:shd w:val="clear" w:color="auto" w:fill="auto"/>
            <w:noWrap/>
            <w:vAlign w:val="bottom"/>
            <w:hideMark/>
          </w:tcPr>
          <w:p w14:paraId="323F8DB7" w14:textId="6280E60B" w:rsidR="005E5942" w:rsidRPr="005E5942" w:rsidRDefault="005E5942" w:rsidP="005E5942">
            <w:pPr>
              <w:spacing w:before="0" w:line="240" w:lineRule="auto"/>
              <w:jc w:val="center"/>
              <w:rPr>
                <w:b/>
                <w:bCs/>
                <w:color w:val="000000"/>
                <w:sz w:val="20"/>
                <w:szCs w:val="20"/>
              </w:rPr>
            </w:pPr>
            <w:r w:rsidRPr="005E5942">
              <w:rPr>
                <w:b/>
                <w:bCs/>
                <w:color w:val="000000"/>
                <w:sz w:val="20"/>
                <w:szCs w:val="20"/>
              </w:rPr>
              <w:t>64,372</w:t>
            </w:r>
            <w:r w:rsidR="00234241">
              <w:rPr>
                <w:b/>
                <w:bCs/>
                <w:color w:val="000000"/>
                <w:sz w:val="20"/>
                <w:szCs w:val="20"/>
              </w:rPr>
              <w:t>.83</w:t>
            </w:r>
          </w:p>
        </w:tc>
      </w:tr>
    </w:tbl>
    <w:p w14:paraId="135CB15B" w14:textId="77777777" w:rsidR="00045213" w:rsidRDefault="005E5942" w:rsidP="00045213">
      <w:r>
        <w:t xml:space="preserve">There was only in-kind co-financing pledged at the project inception by UNDP and MEP. </w:t>
      </w:r>
      <w:r w:rsidR="00045213">
        <w:t>There is no information on the extend of the in-kind contributions at the MTR stage.</w:t>
      </w:r>
    </w:p>
    <w:p w14:paraId="4A79107D" w14:textId="07D8630D" w:rsidR="00234241" w:rsidRDefault="005E5942" w:rsidP="00045213">
      <w:r>
        <w:t>A</w:t>
      </w:r>
      <w:r w:rsidRPr="005E5942">
        <w:t>s a part of UNDP’s Climate Promise initiative</w:t>
      </w:r>
      <w:r>
        <w:t xml:space="preserve">, </w:t>
      </w:r>
      <w:r w:rsidRPr="005E5942">
        <w:t>Serbia has received 65,000</w:t>
      </w:r>
      <w:r>
        <w:t xml:space="preserve"> US</w:t>
      </w:r>
      <w:r w:rsidRPr="005E5942">
        <w:t xml:space="preserve">$ for 2020 as further support to the Government in finalization of </w:t>
      </w:r>
      <w:r>
        <w:t xml:space="preserve">the </w:t>
      </w:r>
      <w:r w:rsidRPr="005E5942">
        <w:t>NDC revision</w:t>
      </w:r>
      <w:r w:rsidR="00045213">
        <w:t xml:space="preserve"> and p</w:t>
      </w:r>
      <w:r w:rsidR="00234241">
        <w:t xml:space="preserve">reparation of </w:t>
      </w:r>
      <w:r w:rsidR="00045213">
        <w:t>a c</w:t>
      </w:r>
      <w:r w:rsidR="00234241">
        <w:t>ountry</w:t>
      </w:r>
      <w:r w:rsidR="00045213">
        <w:t>-</w:t>
      </w:r>
      <w:r w:rsidR="00234241">
        <w:t xml:space="preserve">specific Climate Financing Study to improve finance mechanisms </w:t>
      </w:r>
      <w:r w:rsidR="00045213">
        <w:t xml:space="preserve">and </w:t>
      </w:r>
      <w:r w:rsidR="00234241">
        <w:t xml:space="preserve">distinguish resources for </w:t>
      </w:r>
      <w:r w:rsidR="00045213">
        <w:t xml:space="preserve">CC </w:t>
      </w:r>
      <w:r w:rsidR="00234241">
        <w:t>adaptation and mitigation.</w:t>
      </w:r>
    </w:p>
    <w:p w14:paraId="07CE310C" w14:textId="410E22A7" w:rsidR="00B708EC" w:rsidRPr="00E067A3" w:rsidRDefault="00CB70FF" w:rsidP="00B708EC">
      <w:r w:rsidRPr="00E067A3">
        <w:lastRenderedPageBreak/>
        <w:t xml:space="preserve">In addition to the Climate Promise, </w:t>
      </w:r>
      <w:r w:rsidR="00045213" w:rsidRPr="00E067A3">
        <w:t xml:space="preserve">UNDP </w:t>
      </w:r>
      <w:r w:rsidRPr="00E067A3">
        <w:t xml:space="preserve">Serbia also </w:t>
      </w:r>
      <w:r w:rsidR="00045213" w:rsidRPr="00E067A3">
        <w:t xml:space="preserve">mobilized </w:t>
      </w:r>
      <w:r w:rsidRPr="00E067A3">
        <w:t xml:space="preserve">funding </w:t>
      </w:r>
      <w:r w:rsidR="00045213" w:rsidRPr="00E067A3">
        <w:t xml:space="preserve">under the Readiness and Support Programme of </w:t>
      </w:r>
      <w:r w:rsidRPr="00E067A3">
        <w:t xml:space="preserve">the Green Climate Fund </w:t>
      </w:r>
      <w:r w:rsidR="00045213" w:rsidRPr="00E067A3">
        <w:t xml:space="preserve">(GCF). The first phase of a 3-year project is devoted to building national capacity </w:t>
      </w:r>
      <w:r w:rsidR="00EE41EF" w:rsidRPr="00E067A3">
        <w:t xml:space="preserve">for </w:t>
      </w:r>
      <w:r w:rsidR="00045213" w:rsidRPr="00E067A3">
        <w:t>address</w:t>
      </w:r>
      <w:r w:rsidR="00EE41EF" w:rsidRPr="00E067A3">
        <w:t>ing</w:t>
      </w:r>
      <w:r w:rsidR="00045213" w:rsidRPr="00E067A3">
        <w:t xml:space="preserve"> the country’s climate change vulnerabilities, particularly in the areas related to the agriculture-water management nexus, </w:t>
      </w:r>
      <w:r w:rsidR="00EE41EF" w:rsidRPr="00E067A3">
        <w:t xml:space="preserve">as well as </w:t>
      </w:r>
      <w:r w:rsidR="00045213" w:rsidRPr="00E067A3">
        <w:t>energy infrastructure, transport infrastructure and construction</w:t>
      </w:r>
      <w:r w:rsidR="00EE41EF" w:rsidRPr="00E067A3">
        <w:t xml:space="preserve"> sectors</w:t>
      </w:r>
      <w:r w:rsidR="00045213" w:rsidRPr="00E067A3">
        <w:t>. The first phase of this project started in January 2020</w:t>
      </w:r>
      <w:r w:rsidR="00EE41EF" w:rsidRPr="00E067A3">
        <w:t xml:space="preserve"> and total amount mobilized is </w:t>
      </w:r>
      <w:r w:rsidR="00EC6278" w:rsidRPr="00E067A3">
        <w:t>1,935,484 US$.</w:t>
      </w:r>
      <w:r w:rsidR="00E067A3" w:rsidRPr="00E067A3">
        <w:t xml:space="preserve"> However, the GCF project is considered as parallel financing </w:t>
      </w:r>
      <w:r w:rsidR="00E067A3">
        <w:t>and not co-financing of the CBIT project.</w:t>
      </w:r>
    </w:p>
    <w:p w14:paraId="68BC97E1" w14:textId="61D444B3" w:rsidR="004A264F" w:rsidRDefault="00884A0D" w:rsidP="00234241">
      <w:r>
        <w:t xml:space="preserve">Data displayed in Table </w:t>
      </w:r>
      <w:r w:rsidR="00E067A3">
        <w:t>10</w:t>
      </w:r>
      <w:r>
        <w:t xml:space="preserve"> indicates that the total co-financing at the MTR stage stands at </w:t>
      </w:r>
      <w:r w:rsidR="00234241">
        <w:t xml:space="preserve">64,372.83 </w:t>
      </w:r>
      <w:r>
        <w:t xml:space="preserve">US$ that is </w:t>
      </w:r>
      <w:r w:rsidR="00234241">
        <w:t>64.37</w:t>
      </w:r>
      <w:r>
        <w:t xml:space="preserve">% of the co-financing that had been pledged at the project inception. </w:t>
      </w:r>
    </w:p>
    <w:p w14:paraId="3B28A5F6" w14:textId="316FAE93" w:rsidR="00A05D50" w:rsidRDefault="00234241" w:rsidP="00A05D50">
      <w:pPr>
        <w:pStyle w:val="NoSpacing"/>
        <w:spacing w:before="120" w:line="276" w:lineRule="auto"/>
        <w:jc w:val="both"/>
        <w:rPr>
          <w:lang w:val="en-GB"/>
        </w:rPr>
      </w:pPr>
      <w:r>
        <w:rPr>
          <w:lang w:val="en-GB"/>
        </w:rPr>
        <w:t>The MTR e</w:t>
      </w:r>
      <w:r w:rsidR="000C46CD">
        <w:rPr>
          <w:lang w:val="en-GB"/>
        </w:rPr>
        <w:t>valuator</w:t>
      </w:r>
      <w:r w:rsidR="00457CD9">
        <w:rPr>
          <w:lang w:val="en-GB"/>
        </w:rPr>
        <w:t>s</w:t>
      </w:r>
      <w:r w:rsidR="000C46CD">
        <w:rPr>
          <w:lang w:val="en-GB"/>
        </w:rPr>
        <w:t xml:space="preserve"> </w:t>
      </w:r>
      <w:r w:rsidR="00BB1D3B">
        <w:rPr>
          <w:lang w:val="en-GB"/>
        </w:rPr>
        <w:t xml:space="preserve">did not find any serious issues related to the financial management of the project and </w:t>
      </w:r>
      <w:r w:rsidR="000C46CD">
        <w:rPr>
          <w:lang w:val="en-GB"/>
        </w:rPr>
        <w:t xml:space="preserve">consider </w:t>
      </w:r>
      <w:r w:rsidR="000C46CD" w:rsidRPr="000C46CD">
        <w:rPr>
          <w:lang w:val="en-GB"/>
        </w:rPr>
        <w:t>t</w:t>
      </w:r>
      <w:r w:rsidR="000C46CD" w:rsidRPr="000C46CD">
        <w:t xml:space="preserve">he current financial controls for </w:t>
      </w:r>
      <w:r w:rsidR="00BB1D3B">
        <w:t xml:space="preserve">disbursement of the GEF and UNDP funds </w:t>
      </w:r>
      <w:r w:rsidR="000C46CD" w:rsidRPr="000C46CD">
        <w:t>sufficient</w:t>
      </w:r>
      <w:r>
        <w:t>.</w:t>
      </w:r>
    </w:p>
    <w:p w14:paraId="2173ACC7" w14:textId="56542873" w:rsidR="0009410A" w:rsidRPr="00A05D50" w:rsidRDefault="000C46CD" w:rsidP="00F961E3">
      <w:pPr>
        <w:pStyle w:val="NoSpacing"/>
        <w:spacing w:before="120" w:line="276" w:lineRule="auto"/>
        <w:jc w:val="both"/>
        <w:rPr>
          <w:lang w:val="en-GB"/>
        </w:rPr>
      </w:pPr>
      <w:r w:rsidRPr="005C3474">
        <w:rPr>
          <w:b/>
          <w:bCs/>
        </w:rPr>
        <w:t xml:space="preserve">The </w:t>
      </w:r>
      <w:r w:rsidR="0009410A" w:rsidRPr="005C3474">
        <w:rPr>
          <w:b/>
          <w:bCs/>
        </w:rPr>
        <w:t xml:space="preserve">rating for </w:t>
      </w:r>
      <w:r w:rsidR="0016672B" w:rsidRPr="005C3474">
        <w:rPr>
          <w:b/>
          <w:bCs/>
        </w:rPr>
        <w:t xml:space="preserve">the </w:t>
      </w:r>
      <w:r w:rsidR="0009410A" w:rsidRPr="005C3474">
        <w:rPr>
          <w:b/>
          <w:bCs/>
        </w:rPr>
        <w:t>finance and co-f</w:t>
      </w:r>
      <w:r w:rsidR="0048426D" w:rsidRPr="005C3474">
        <w:rPr>
          <w:b/>
          <w:bCs/>
        </w:rPr>
        <w:t>inance is</w:t>
      </w:r>
      <w:r w:rsidR="0048426D" w:rsidRPr="00457CD9">
        <w:t xml:space="preserve"> </w:t>
      </w:r>
      <w:r w:rsidRPr="00457CD9">
        <w:rPr>
          <w:b/>
        </w:rPr>
        <w:t xml:space="preserve">Satisfactory </w:t>
      </w:r>
      <w:r w:rsidR="0048426D" w:rsidRPr="00457CD9">
        <w:rPr>
          <w:b/>
        </w:rPr>
        <w:t>(</w:t>
      </w:r>
      <w:r w:rsidRPr="00457CD9">
        <w:rPr>
          <w:b/>
        </w:rPr>
        <w:t>S</w:t>
      </w:r>
      <w:r w:rsidR="0009410A" w:rsidRPr="00457CD9">
        <w:rPr>
          <w:b/>
        </w:rPr>
        <w:t>).</w:t>
      </w:r>
    </w:p>
    <w:p w14:paraId="6DB82309" w14:textId="77777777" w:rsidR="009655DB" w:rsidRDefault="009655DB" w:rsidP="00BA6887">
      <w:pPr>
        <w:pStyle w:val="Heading3"/>
      </w:pPr>
      <w:bookmarkStart w:id="53" w:name="_Toc515816658"/>
      <w:bookmarkStart w:id="54" w:name="_Toc66777418"/>
      <w:r w:rsidRPr="0020547C">
        <w:t>Stakeholder engagement</w:t>
      </w:r>
      <w:bookmarkEnd w:id="53"/>
      <w:bookmarkEnd w:id="54"/>
    </w:p>
    <w:p w14:paraId="4C24FAD1" w14:textId="01C97D3B" w:rsidR="00B83AED" w:rsidRDefault="00B83AED" w:rsidP="00B71CB2">
      <w:r>
        <w:t xml:space="preserve">The original Project Document </w:t>
      </w:r>
      <w:r w:rsidR="00AE2920">
        <w:t xml:space="preserve">presents </w:t>
      </w:r>
      <w:r>
        <w:t xml:space="preserve">a stakeholder analysis through </w:t>
      </w:r>
      <w:r w:rsidR="00AE2920">
        <w:t xml:space="preserve">a table including the stakeholders’ names and </w:t>
      </w:r>
      <w:r>
        <w:t xml:space="preserve">their respective roles. However, this list is rather generic and does not </w:t>
      </w:r>
      <w:r w:rsidR="00863A76">
        <w:t xml:space="preserve">comprehend the </w:t>
      </w:r>
      <w:r>
        <w:t>differing positions of the</w:t>
      </w:r>
      <w:r w:rsidR="00863A76">
        <w:t xml:space="preserve"> identified stakeholders, namely the distinction between core (involved) and supporting </w:t>
      </w:r>
      <w:r w:rsidR="00AE2920">
        <w:t xml:space="preserve">or </w:t>
      </w:r>
      <w:r w:rsidR="00863A76">
        <w:t>peripheral stakeholders.</w:t>
      </w:r>
      <w:r>
        <w:t xml:space="preserve"> </w:t>
      </w:r>
    </w:p>
    <w:p w14:paraId="47FBDD5C" w14:textId="3397EBB1" w:rsidR="00F62319" w:rsidRDefault="00FD568C" w:rsidP="00B71CB2">
      <w:r>
        <w:t>The pri</w:t>
      </w:r>
      <w:r w:rsidR="00A73D86">
        <w:t>ncipal</w:t>
      </w:r>
      <w:r>
        <w:t xml:space="preserve"> entry point for </w:t>
      </w:r>
      <w:r w:rsidRPr="00FD568C">
        <w:t>continuous</w:t>
      </w:r>
      <w:r>
        <w:t xml:space="preserve"> engagement of stakeholders </w:t>
      </w:r>
      <w:r w:rsidR="00A73D86">
        <w:t xml:space="preserve">in the project </w:t>
      </w:r>
      <w:r>
        <w:t xml:space="preserve">has been establishment of the IMWG that </w:t>
      </w:r>
      <w:r w:rsidR="00A73D86">
        <w:t xml:space="preserve">was constituted with the intention to be based on technical expertise rather than political influence of </w:t>
      </w:r>
      <w:r w:rsidR="004F1051">
        <w:t xml:space="preserve">the </w:t>
      </w:r>
      <w:r w:rsidR="00A73D86">
        <w:t xml:space="preserve">project stakeholders. </w:t>
      </w:r>
    </w:p>
    <w:p w14:paraId="5520CEF7" w14:textId="5CEAD2DE" w:rsidR="00FD568C" w:rsidRDefault="00A73D86" w:rsidP="00B71CB2">
      <w:r>
        <w:t xml:space="preserve">The </w:t>
      </w:r>
      <w:r w:rsidR="00F62319">
        <w:t xml:space="preserve">majority of IMWG members come from various institutions of the Government but about 25% of the membership represent </w:t>
      </w:r>
      <w:r>
        <w:t xml:space="preserve">stakeholders </w:t>
      </w:r>
      <w:r w:rsidR="00F62319">
        <w:t xml:space="preserve">from major companies and NGOs. The structure of </w:t>
      </w:r>
      <w:r>
        <w:t xml:space="preserve">IMWG </w:t>
      </w:r>
      <w:r w:rsidR="00F62319">
        <w:t xml:space="preserve">membership is summarized in </w:t>
      </w:r>
      <w:r w:rsidR="00FD568C">
        <w:t xml:space="preserve">Table </w:t>
      </w:r>
      <w:r>
        <w:t>11</w:t>
      </w:r>
      <w:r w:rsidR="00FD568C">
        <w:t xml:space="preserve"> below. </w:t>
      </w:r>
    </w:p>
    <w:p w14:paraId="74ACF82E" w14:textId="77777777" w:rsidR="00927661" w:rsidRDefault="00927661">
      <w:pPr>
        <w:spacing w:before="0" w:line="240" w:lineRule="auto"/>
        <w:jc w:val="left"/>
        <w:rPr>
          <w:b/>
          <w:bCs/>
        </w:rPr>
      </w:pPr>
      <w:r>
        <w:rPr>
          <w:b/>
          <w:bCs/>
          <w:i/>
          <w:iCs/>
        </w:rPr>
        <w:br w:type="page"/>
      </w:r>
    </w:p>
    <w:p w14:paraId="635EE4E0" w14:textId="71B2D547" w:rsidR="00FD568C" w:rsidRPr="00FD568C" w:rsidRDefault="00FD568C" w:rsidP="00FD568C">
      <w:pPr>
        <w:pStyle w:val="Caption"/>
        <w:spacing w:before="240" w:after="120"/>
        <w:rPr>
          <w:i w:val="0"/>
          <w:iCs w:val="0"/>
          <w:color w:val="auto"/>
          <w:sz w:val="24"/>
          <w:szCs w:val="24"/>
        </w:rPr>
      </w:pPr>
      <w:r w:rsidRPr="00FD568C">
        <w:rPr>
          <w:b/>
          <w:bCs/>
          <w:i w:val="0"/>
          <w:iCs w:val="0"/>
          <w:color w:val="auto"/>
          <w:sz w:val="24"/>
          <w:szCs w:val="24"/>
        </w:rPr>
        <w:lastRenderedPageBreak/>
        <w:t xml:space="preserve">Table </w:t>
      </w:r>
      <w:r w:rsidRPr="00FD568C">
        <w:rPr>
          <w:b/>
          <w:bCs/>
          <w:i w:val="0"/>
          <w:iCs w:val="0"/>
          <w:color w:val="auto"/>
          <w:sz w:val="24"/>
          <w:szCs w:val="24"/>
        </w:rPr>
        <w:fldChar w:fldCharType="begin"/>
      </w:r>
      <w:r w:rsidRPr="00FD568C">
        <w:rPr>
          <w:b/>
          <w:bCs/>
          <w:i w:val="0"/>
          <w:iCs w:val="0"/>
          <w:color w:val="auto"/>
          <w:sz w:val="24"/>
          <w:szCs w:val="24"/>
        </w:rPr>
        <w:instrText xml:space="preserve"> SEQ Table \* ARABIC </w:instrText>
      </w:r>
      <w:r w:rsidRPr="00FD568C">
        <w:rPr>
          <w:b/>
          <w:bCs/>
          <w:i w:val="0"/>
          <w:iCs w:val="0"/>
          <w:color w:val="auto"/>
          <w:sz w:val="24"/>
          <w:szCs w:val="24"/>
        </w:rPr>
        <w:fldChar w:fldCharType="separate"/>
      </w:r>
      <w:r w:rsidR="004F45AC">
        <w:rPr>
          <w:b/>
          <w:bCs/>
          <w:i w:val="0"/>
          <w:iCs w:val="0"/>
          <w:noProof/>
          <w:color w:val="auto"/>
          <w:sz w:val="24"/>
          <w:szCs w:val="24"/>
        </w:rPr>
        <w:t>11</w:t>
      </w:r>
      <w:r w:rsidRPr="00FD568C">
        <w:rPr>
          <w:b/>
          <w:bCs/>
          <w:i w:val="0"/>
          <w:iCs w:val="0"/>
          <w:color w:val="auto"/>
          <w:sz w:val="24"/>
          <w:szCs w:val="24"/>
        </w:rPr>
        <w:fldChar w:fldCharType="end"/>
      </w:r>
      <w:r w:rsidRPr="00FD568C">
        <w:rPr>
          <w:b/>
          <w:bCs/>
          <w:i w:val="0"/>
          <w:iCs w:val="0"/>
          <w:color w:val="auto"/>
          <w:sz w:val="24"/>
          <w:szCs w:val="24"/>
        </w:rPr>
        <w:t>:</w:t>
      </w:r>
      <w:r w:rsidRPr="00FD568C">
        <w:rPr>
          <w:i w:val="0"/>
          <w:iCs w:val="0"/>
          <w:color w:val="auto"/>
          <w:sz w:val="24"/>
          <w:szCs w:val="24"/>
        </w:rPr>
        <w:t xml:space="preserve"> </w:t>
      </w:r>
      <w:r>
        <w:rPr>
          <w:i w:val="0"/>
          <w:iCs w:val="0"/>
          <w:color w:val="auto"/>
          <w:sz w:val="24"/>
          <w:szCs w:val="24"/>
        </w:rPr>
        <w:t>Stakeholders participating in the IMWG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557"/>
      </w:tblGrid>
      <w:tr w:rsidR="00DC469B" w:rsidRPr="005D0D5D" w14:paraId="65B26DA4" w14:textId="77777777" w:rsidTr="00F961E3">
        <w:trPr>
          <w:tblHeader/>
        </w:trPr>
        <w:tc>
          <w:tcPr>
            <w:tcW w:w="3119" w:type="dxa"/>
            <w:tcBorders>
              <w:top w:val="single" w:sz="4" w:space="0" w:color="auto"/>
              <w:left w:val="single" w:sz="4" w:space="0" w:color="auto"/>
              <w:bottom w:val="single" w:sz="4" w:space="0" w:color="auto"/>
              <w:right w:val="single" w:sz="4" w:space="0" w:color="auto"/>
            </w:tcBorders>
            <w:shd w:val="clear" w:color="auto" w:fill="B4C6E7"/>
          </w:tcPr>
          <w:p w14:paraId="49A3226F" w14:textId="344C100C" w:rsidR="00DC469B" w:rsidRPr="003B5B4E" w:rsidRDefault="00DC469B" w:rsidP="00F961E3">
            <w:pPr>
              <w:spacing w:before="20" w:line="240" w:lineRule="auto"/>
              <w:rPr>
                <w:b/>
                <w:sz w:val="20"/>
                <w:szCs w:val="20"/>
              </w:rPr>
            </w:pPr>
            <w:r w:rsidRPr="003B5B4E">
              <w:rPr>
                <w:b/>
                <w:sz w:val="20"/>
                <w:szCs w:val="20"/>
              </w:rPr>
              <w:t>Stakeholder</w:t>
            </w:r>
            <w:r>
              <w:rPr>
                <w:b/>
                <w:sz w:val="20"/>
                <w:szCs w:val="20"/>
              </w:rPr>
              <w:t xml:space="preserve"> type</w:t>
            </w:r>
          </w:p>
        </w:tc>
        <w:tc>
          <w:tcPr>
            <w:tcW w:w="5557" w:type="dxa"/>
            <w:tcBorders>
              <w:top w:val="single" w:sz="4" w:space="0" w:color="auto"/>
              <w:left w:val="single" w:sz="4" w:space="0" w:color="auto"/>
              <w:bottom w:val="single" w:sz="4" w:space="0" w:color="auto"/>
              <w:right w:val="single" w:sz="4" w:space="0" w:color="auto"/>
            </w:tcBorders>
            <w:shd w:val="clear" w:color="auto" w:fill="B4C6E7"/>
          </w:tcPr>
          <w:p w14:paraId="126CE97F" w14:textId="6433438E" w:rsidR="00DC469B" w:rsidRPr="003B5B4E" w:rsidRDefault="00DC469B" w:rsidP="00F961E3">
            <w:pPr>
              <w:spacing w:before="20" w:line="240" w:lineRule="auto"/>
              <w:rPr>
                <w:b/>
                <w:sz w:val="20"/>
                <w:szCs w:val="20"/>
              </w:rPr>
            </w:pPr>
            <w:r>
              <w:rPr>
                <w:b/>
                <w:sz w:val="20"/>
                <w:szCs w:val="20"/>
              </w:rPr>
              <w:t>Stakeholder name</w:t>
            </w:r>
          </w:p>
        </w:tc>
      </w:tr>
      <w:tr w:rsidR="00DC469B" w:rsidRPr="005D0D5D" w14:paraId="09E56417" w14:textId="77777777" w:rsidTr="00F961E3">
        <w:tc>
          <w:tcPr>
            <w:tcW w:w="3119" w:type="dxa"/>
            <w:tcBorders>
              <w:top w:val="single" w:sz="4" w:space="0" w:color="auto"/>
              <w:left w:val="single" w:sz="4" w:space="0" w:color="auto"/>
              <w:bottom w:val="single" w:sz="4" w:space="0" w:color="auto"/>
              <w:right w:val="single" w:sz="4" w:space="0" w:color="auto"/>
            </w:tcBorders>
            <w:shd w:val="clear" w:color="auto" w:fill="auto"/>
          </w:tcPr>
          <w:p w14:paraId="7946E9A3" w14:textId="58214768" w:rsidR="00DC469B" w:rsidRPr="00FD3956" w:rsidRDefault="00DC469B" w:rsidP="00F961E3">
            <w:pPr>
              <w:spacing w:before="0" w:line="240" w:lineRule="auto"/>
              <w:rPr>
                <w:sz w:val="20"/>
                <w:szCs w:val="20"/>
              </w:rPr>
            </w:pPr>
            <w:r>
              <w:rPr>
                <w:sz w:val="20"/>
                <w:szCs w:val="20"/>
              </w:rPr>
              <w:t>National Implementing Partner</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7C8DAF25" w14:textId="46ED69AB" w:rsidR="00DC469B" w:rsidRDefault="00DC469B" w:rsidP="00F961E3">
            <w:pPr>
              <w:spacing w:before="0" w:line="240" w:lineRule="auto"/>
              <w:rPr>
                <w:sz w:val="20"/>
                <w:szCs w:val="20"/>
              </w:rPr>
            </w:pPr>
            <w:r w:rsidRPr="00FD3956">
              <w:rPr>
                <w:sz w:val="20"/>
                <w:szCs w:val="20"/>
              </w:rPr>
              <w:t>Ministry of Environmental Protection</w:t>
            </w:r>
            <w:r w:rsidR="00BC1484">
              <w:rPr>
                <w:sz w:val="20"/>
                <w:szCs w:val="20"/>
              </w:rPr>
              <w:t xml:space="preserve"> (3)</w:t>
            </w:r>
          </w:p>
          <w:p w14:paraId="307E0A7A" w14:textId="156C21BB" w:rsidR="00DC469B" w:rsidRPr="00FD3956" w:rsidRDefault="0019282C" w:rsidP="00F961E3">
            <w:pPr>
              <w:spacing w:before="0" w:line="240" w:lineRule="auto"/>
              <w:rPr>
                <w:sz w:val="20"/>
                <w:szCs w:val="20"/>
              </w:rPr>
            </w:pPr>
            <w:r>
              <w:rPr>
                <w:sz w:val="20"/>
                <w:szCs w:val="20"/>
              </w:rPr>
              <w:t xml:space="preserve">Serbian </w:t>
            </w:r>
            <w:r w:rsidRPr="00500D0E">
              <w:rPr>
                <w:sz w:val="20"/>
                <w:szCs w:val="20"/>
              </w:rPr>
              <w:t xml:space="preserve">Environmental Protection Agency </w:t>
            </w:r>
            <w:r>
              <w:rPr>
                <w:sz w:val="20"/>
                <w:szCs w:val="20"/>
              </w:rPr>
              <w:t>(2)</w:t>
            </w:r>
          </w:p>
        </w:tc>
      </w:tr>
      <w:tr w:rsidR="00DC469B" w:rsidRPr="005D0D5D" w14:paraId="56973CF2" w14:textId="77777777" w:rsidTr="00F961E3">
        <w:tc>
          <w:tcPr>
            <w:tcW w:w="3119" w:type="dxa"/>
            <w:tcBorders>
              <w:top w:val="single" w:sz="4" w:space="0" w:color="auto"/>
              <w:left w:val="single" w:sz="4" w:space="0" w:color="auto"/>
              <w:bottom w:val="single" w:sz="4" w:space="0" w:color="auto"/>
              <w:right w:val="single" w:sz="4" w:space="0" w:color="auto"/>
            </w:tcBorders>
            <w:shd w:val="clear" w:color="auto" w:fill="auto"/>
          </w:tcPr>
          <w:p w14:paraId="10C9B657" w14:textId="4AE75A49" w:rsidR="00DC469B" w:rsidRPr="00262C4F" w:rsidRDefault="00DC469B" w:rsidP="00F961E3">
            <w:pPr>
              <w:spacing w:before="0" w:line="240" w:lineRule="auto"/>
              <w:rPr>
                <w:sz w:val="20"/>
                <w:szCs w:val="20"/>
              </w:rPr>
            </w:pPr>
            <w:r>
              <w:rPr>
                <w:sz w:val="20"/>
                <w:szCs w:val="20"/>
              </w:rPr>
              <w:t xml:space="preserve">Other bodies of the </w:t>
            </w:r>
            <w:r w:rsidR="0019282C">
              <w:rPr>
                <w:sz w:val="20"/>
                <w:szCs w:val="20"/>
              </w:rPr>
              <w:t>G</w:t>
            </w:r>
            <w:r w:rsidRPr="00262C4F">
              <w:rPr>
                <w:sz w:val="20"/>
                <w:szCs w:val="20"/>
              </w:rPr>
              <w:t>overnment direct</w:t>
            </w:r>
            <w:r w:rsidR="00983A07">
              <w:rPr>
                <w:sz w:val="20"/>
                <w:szCs w:val="20"/>
              </w:rPr>
              <w:t xml:space="preserve"> beneficiaries </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717E3BF6" w14:textId="2AAC2794" w:rsidR="00983A07" w:rsidRDefault="00DC469B" w:rsidP="00F961E3">
            <w:pPr>
              <w:spacing w:before="0" w:line="240" w:lineRule="auto"/>
              <w:rPr>
                <w:sz w:val="20"/>
                <w:szCs w:val="20"/>
              </w:rPr>
            </w:pPr>
            <w:r w:rsidRPr="00262C4F">
              <w:rPr>
                <w:sz w:val="20"/>
                <w:szCs w:val="20"/>
              </w:rPr>
              <w:t xml:space="preserve">Ministry of Agriculture, Forestry and Water Management </w:t>
            </w:r>
            <w:r w:rsidR="00BC1484">
              <w:rPr>
                <w:sz w:val="20"/>
                <w:szCs w:val="20"/>
              </w:rPr>
              <w:t>(</w:t>
            </w:r>
            <w:r w:rsidR="0019282C">
              <w:rPr>
                <w:sz w:val="20"/>
                <w:szCs w:val="20"/>
              </w:rPr>
              <w:t>5</w:t>
            </w:r>
            <w:r w:rsidR="00BC1484">
              <w:rPr>
                <w:sz w:val="20"/>
                <w:szCs w:val="20"/>
              </w:rPr>
              <w:t>)</w:t>
            </w:r>
          </w:p>
          <w:p w14:paraId="2CC1DD6F" w14:textId="726F19D6" w:rsidR="00DC469B" w:rsidRDefault="00DC469B" w:rsidP="00F961E3">
            <w:pPr>
              <w:spacing w:before="0" w:line="240" w:lineRule="auto"/>
              <w:rPr>
                <w:sz w:val="20"/>
                <w:szCs w:val="20"/>
              </w:rPr>
            </w:pPr>
            <w:r w:rsidRPr="00262C4F">
              <w:rPr>
                <w:sz w:val="20"/>
                <w:szCs w:val="20"/>
              </w:rPr>
              <w:t xml:space="preserve">Ministry of Mining and Energy </w:t>
            </w:r>
            <w:r w:rsidR="00BC1484">
              <w:rPr>
                <w:sz w:val="20"/>
                <w:szCs w:val="20"/>
              </w:rPr>
              <w:t>(1)</w:t>
            </w:r>
          </w:p>
          <w:p w14:paraId="27BEB01D" w14:textId="481ECC86" w:rsidR="00DC469B" w:rsidRDefault="00DC469B" w:rsidP="00F961E3">
            <w:pPr>
              <w:spacing w:before="0" w:line="240" w:lineRule="auto"/>
              <w:rPr>
                <w:sz w:val="20"/>
                <w:szCs w:val="20"/>
              </w:rPr>
            </w:pPr>
            <w:r>
              <w:rPr>
                <w:sz w:val="20"/>
                <w:szCs w:val="20"/>
              </w:rPr>
              <w:t>Ministry of Health</w:t>
            </w:r>
            <w:r w:rsidR="00BC1484">
              <w:rPr>
                <w:sz w:val="20"/>
                <w:szCs w:val="20"/>
              </w:rPr>
              <w:t xml:space="preserve"> (1)</w:t>
            </w:r>
          </w:p>
          <w:p w14:paraId="60991335" w14:textId="6413741F" w:rsidR="0019282C" w:rsidRDefault="0019282C" w:rsidP="00F961E3">
            <w:pPr>
              <w:spacing w:before="0" w:line="240" w:lineRule="auto"/>
              <w:rPr>
                <w:sz w:val="20"/>
                <w:szCs w:val="20"/>
              </w:rPr>
            </w:pPr>
            <w:r>
              <w:rPr>
                <w:sz w:val="20"/>
                <w:szCs w:val="20"/>
              </w:rPr>
              <w:t>Ministry of Finance (1)</w:t>
            </w:r>
          </w:p>
          <w:p w14:paraId="595AC724" w14:textId="0233745E" w:rsidR="0019282C" w:rsidRPr="00262C4F" w:rsidRDefault="0019282C" w:rsidP="00F961E3">
            <w:pPr>
              <w:spacing w:before="0" w:line="240" w:lineRule="auto"/>
              <w:rPr>
                <w:sz w:val="20"/>
                <w:szCs w:val="20"/>
              </w:rPr>
            </w:pPr>
            <w:r>
              <w:rPr>
                <w:sz w:val="20"/>
                <w:szCs w:val="20"/>
              </w:rPr>
              <w:t>Ministry of Public Administration and Local Self-Government (1)</w:t>
            </w:r>
          </w:p>
          <w:p w14:paraId="13DC7CB4" w14:textId="07570FCE" w:rsidR="00DC469B" w:rsidRDefault="00DC469B" w:rsidP="00F961E3">
            <w:pPr>
              <w:spacing w:before="0" w:line="240" w:lineRule="auto"/>
              <w:rPr>
                <w:sz w:val="20"/>
                <w:szCs w:val="20"/>
              </w:rPr>
            </w:pPr>
            <w:r>
              <w:rPr>
                <w:sz w:val="20"/>
                <w:szCs w:val="20"/>
              </w:rPr>
              <w:t xml:space="preserve">Public Investment Management Office </w:t>
            </w:r>
            <w:r w:rsidR="00BC1484">
              <w:rPr>
                <w:sz w:val="20"/>
                <w:szCs w:val="20"/>
              </w:rPr>
              <w:t>(2)</w:t>
            </w:r>
          </w:p>
          <w:p w14:paraId="7F5EC206" w14:textId="341C974F" w:rsidR="00DC469B" w:rsidRDefault="00DC469B" w:rsidP="00F961E3">
            <w:pPr>
              <w:spacing w:before="0" w:line="240" w:lineRule="auto"/>
              <w:rPr>
                <w:sz w:val="20"/>
                <w:szCs w:val="20"/>
              </w:rPr>
            </w:pPr>
            <w:proofErr w:type="spellStart"/>
            <w:r w:rsidRPr="00262C4F">
              <w:rPr>
                <w:sz w:val="20"/>
                <w:szCs w:val="20"/>
              </w:rPr>
              <w:t>H</w:t>
            </w:r>
            <w:r>
              <w:rPr>
                <w:sz w:val="20"/>
                <w:szCs w:val="20"/>
              </w:rPr>
              <w:t>i</w:t>
            </w:r>
            <w:r w:rsidRPr="00262C4F">
              <w:rPr>
                <w:sz w:val="20"/>
                <w:szCs w:val="20"/>
              </w:rPr>
              <w:t>dromet</w:t>
            </w:r>
            <w:proofErr w:type="spellEnd"/>
            <w:r w:rsidRPr="00262C4F">
              <w:rPr>
                <w:sz w:val="20"/>
                <w:szCs w:val="20"/>
              </w:rPr>
              <w:t xml:space="preserve"> Service of Serbi</w:t>
            </w:r>
            <w:r>
              <w:rPr>
                <w:sz w:val="20"/>
                <w:szCs w:val="20"/>
              </w:rPr>
              <w:t>a</w:t>
            </w:r>
            <w:r w:rsidR="00BC1484">
              <w:rPr>
                <w:sz w:val="20"/>
                <w:szCs w:val="20"/>
              </w:rPr>
              <w:t xml:space="preserve"> (2)</w:t>
            </w:r>
          </w:p>
          <w:p w14:paraId="2E7D8D10" w14:textId="55AB578A" w:rsidR="00DC469B" w:rsidRDefault="00DC469B" w:rsidP="00F961E3">
            <w:pPr>
              <w:spacing w:before="0" w:line="240" w:lineRule="auto"/>
              <w:rPr>
                <w:sz w:val="20"/>
                <w:szCs w:val="20"/>
              </w:rPr>
            </w:pPr>
            <w:r>
              <w:rPr>
                <w:sz w:val="20"/>
                <w:szCs w:val="20"/>
              </w:rPr>
              <w:t>Public Policy Secretariat</w:t>
            </w:r>
            <w:r w:rsidRPr="00262C4F">
              <w:rPr>
                <w:sz w:val="20"/>
                <w:szCs w:val="20"/>
              </w:rPr>
              <w:t xml:space="preserve"> </w:t>
            </w:r>
            <w:r w:rsidR="00BC1484">
              <w:rPr>
                <w:sz w:val="20"/>
                <w:szCs w:val="20"/>
              </w:rPr>
              <w:t>(2)</w:t>
            </w:r>
          </w:p>
          <w:p w14:paraId="37AF7672" w14:textId="3A0D851A" w:rsidR="00DC469B" w:rsidRDefault="00983A07" w:rsidP="00F961E3">
            <w:pPr>
              <w:spacing w:before="0" w:line="240" w:lineRule="auto"/>
              <w:rPr>
                <w:sz w:val="20"/>
                <w:szCs w:val="20"/>
              </w:rPr>
            </w:pPr>
            <w:r>
              <w:rPr>
                <w:sz w:val="20"/>
                <w:szCs w:val="20"/>
              </w:rPr>
              <w:t>National Statistical Office</w:t>
            </w:r>
            <w:r w:rsidR="00BC1484">
              <w:rPr>
                <w:sz w:val="20"/>
                <w:szCs w:val="20"/>
              </w:rPr>
              <w:t xml:space="preserve"> (8)</w:t>
            </w:r>
          </w:p>
          <w:p w14:paraId="2BD74A8A" w14:textId="7F758664" w:rsidR="00983A07" w:rsidRDefault="00983A07" w:rsidP="00F961E3">
            <w:pPr>
              <w:spacing w:before="0" w:line="240" w:lineRule="auto"/>
              <w:rPr>
                <w:sz w:val="20"/>
                <w:szCs w:val="20"/>
              </w:rPr>
            </w:pPr>
            <w:r w:rsidRPr="000575E8">
              <w:rPr>
                <w:sz w:val="20"/>
                <w:szCs w:val="20"/>
              </w:rPr>
              <w:t>Institute</w:t>
            </w:r>
            <w:r>
              <w:rPr>
                <w:sz w:val="20"/>
                <w:szCs w:val="20"/>
              </w:rPr>
              <w:t xml:space="preserve"> of </w:t>
            </w:r>
            <w:r w:rsidRPr="000575E8">
              <w:rPr>
                <w:sz w:val="20"/>
                <w:szCs w:val="20"/>
              </w:rPr>
              <w:t xml:space="preserve">Public Health </w:t>
            </w:r>
            <w:r w:rsidR="00BC1484">
              <w:rPr>
                <w:sz w:val="20"/>
                <w:szCs w:val="20"/>
              </w:rPr>
              <w:t>(4)</w:t>
            </w:r>
          </w:p>
          <w:p w14:paraId="57D72AC1" w14:textId="610C6465" w:rsidR="00983A07" w:rsidRDefault="00983A07" w:rsidP="00F961E3">
            <w:pPr>
              <w:spacing w:before="0" w:line="240" w:lineRule="auto"/>
              <w:rPr>
                <w:sz w:val="20"/>
                <w:szCs w:val="20"/>
              </w:rPr>
            </w:pPr>
            <w:r w:rsidRPr="000575E8">
              <w:rPr>
                <w:sz w:val="20"/>
                <w:szCs w:val="20"/>
              </w:rPr>
              <w:t>Institute</w:t>
            </w:r>
            <w:r>
              <w:rPr>
                <w:sz w:val="20"/>
                <w:szCs w:val="20"/>
              </w:rPr>
              <w:t xml:space="preserve"> for Nature Conservation</w:t>
            </w:r>
            <w:r w:rsidR="00BC1484">
              <w:rPr>
                <w:sz w:val="20"/>
                <w:szCs w:val="20"/>
              </w:rPr>
              <w:t xml:space="preserve"> (2)</w:t>
            </w:r>
          </w:p>
          <w:p w14:paraId="4F7A7672" w14:textId="08E05884" w:rsidR="00983A07" w:rsidRPr="00262C4F" w:rsidRDefault="00983A07" w:rsidP="00F961E3">
            <w:pPr>
              <w:spacing w:before="0" w:line="240" w:lineRule="auto"/>
              <w:rPr>
                <w:sz w:val="20"/>
                <w:szCs w:val="20"/>
              </w:rPr>
            </w:pPr>
            <w:r>
              <w:rPr>
                <w:sz w:val="20"/>
                <w:szCs w:val="20"/>
              </w:rPr>
              <w:t>Institute for Soil Science</w:t>
            </w:r>
            <w:r w:rsidR="0019282C">
              <w:rPr>
                <w:sz w:val="20"/>
                <w:szCs w:val="20"/>
              </w:rPr>
              <w:t xml:space="preserve"> (2)</w:t>
            </w:r>
          </w:p>
        </w:tc>
      </w:tr>
      <w:tr w:rsidR="00DC469B" w:rsidRPr="005D0D5D" w14:paraId="1B630F7A" w14:textId="77777777" w:rsidTr="00F961E3">
        <w:tc>
          <w:tcPr>
            <w:tcW w:w="3119" w:type="dxa"/>
            <w:tcBorders>
              <w:top w:val="single" w:sz="4" w:space="0" w:color="auto"/>
              <w:left w:val="single" w:sz="4" w:space="0" w:color="auto"/>
              <w:bottom w:val="single" w:sz="4" w:space="0" w:color="auto"/>
              <w:right w:val="single" w:sz="4" w:space="0" w:color="auto"/>
            </w:tcBorders>
            <w:shd w:val="clear" w:color="auto" w:fill="auto"/>
          </w:tcPr>
          <w:p w14:paraId="030A0388" w14:textId="23A33B6A" w:rsidR="00DC469B" w:rsidRPr="0032082E" w:rsidRDefault="00983A07" w:rsidP="00F961E3">
            <w:pPr>
              <w:spacing w:before="0" w:line="240" w:lineRule="auto"/>
              <w:rPr>
                <w:bCs/>
                <w:sz w:val="20"/>
                <w:szCs w:val="20"/>
              </w:rPr>
            </w:pPr>
            <w:r>
              <w:rPr>
                <w:bCs/>
                <w:sz w:val="20"/>
                <w:szCs w:val="20"/>
              </w:rPr>
              <w:t xml:space="preserve">Regional </w:t>
            </w:r>
            <w:r w:rsidR="00DC469B" w:rsidRPr="0032082E">
              <w:rPr>
                <w:bCs/>
                <w:sz w:val="20"/>
                <w:szCs w:val="20"/>
              </w:rPr>
              <w:t>government</w:t>
            </w:r>
            <w:r>
              <w:rPr>
                <w:bCs/>
                <w:sz w:val="20"/>
                <w:szCs w:val="20"/>
              </w:rPr>
              <w:t xml:space="preserve"> (Vojvodina)</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08D0417A" w14:textId="1D2BE759" w:rsidR="00DC469B" w:rsidRDefault="00983A07" w:rsidP="00F961E3">
            <w:pPr>
              <w:spacing w:before="0" w:line="240" w:lineRule="auto"/>
              <w:rPr>
                <w:sz w:val="20"/>
                <w:szCs w:val="20"/>
              </w:rPr>
            </w:pPr>
            <w:r>
              <w:rPr>
                <w:sz w:val="20"/>
                <w:szCs w:val="20"/>
              </w:rPr>
              <w:t>Provincial Secretariat for Energy, Construction and Traffic</w:t>
            </w:r>
            <w:r w:rsidR="00BC1484">
              <w:rPr>
                <w:sz w:val="20"/>
                <w:szCs w:val="20"/>
              </w:rPr>
              <w:t xml:space="preserve"> (2)</w:t>
            </w:r>
          </w:p>
          <w:p w14:paraId="64CDDCCC" w14:textId="63C37BD8" w:rsidR="00983A07" w:rsidRPr="00F90889" w:rsidRDefault="00983A07" w:rsidP="00F961E3">
            <w:pPr>
              <w:spacing w:before="0" w:line="240" w:lineRule="auto"/>
              <w:rPr>
                <w:sz w:val="20"/>
                <w:szCs w:val="20"/>
              </w:rPr>
            </w:pPr>
            <w:r>
              <w:rPr>
                <w:sz w:val="20"/>
                <w:szCs w:val="20"/>
              </w:rPr>
              <w:t xml:space="preserve">Provincial </w:t>
            </w:r>
            <w:r w:rsidRPr="000575E8">
              <w:rPr>
                <w:sz w:val="20"/>
                <w:szCs w:val="20"/>
              </w:rPr>
              <w:t>Institute</w:t>
            </w:r>
            <w:r>
              <w:rPr>
                <w:sz w:val="20"/>
                <w:szCs w:val="20"/>
              </w:rPr>
              <w:t xml:space="preserve"> for Nature Conservation</w:t>
            </w:r>
            <w:r w:rsidR="00BC1484">
              <w:rPr>
                <w:sz w:val="20"/>
                <w:szCs w:val="20"/>
              </w:rPr>
              <w:t xml:space="preserve"> (2)</w:t>
            </w:r>
          </w:p>
        </w:tc>
      </w:tr>
      <w:tr w:rsidR="00DC469B" w:rsidRPr="005D0D5D" w14:paraId="4F95C50C" w14:textId="77777777" w:rsidTr="00F961E3">
        <w:tc>
          <w:tcPr>
            <w:tcW w:w="3119" w:type="dxa"/>
            <w:tcBorders>
              <w:top w:val="single" w:sz="4" w:space="0" w:color="auto"/>
              <w:left w:val="single" w:sz="4" w:space="0" w:color="auto"/>
              <w:bottom w:val="single" w:sz="4" w:space="0" w:color="auto"/>
              <w:right w:val="single" w:sz="4" w:space="0" w:color="auto"/>
            </w:tcBorders>
            <w:shd w:val="clear" w:color="auto" w:fill="auto"/>
          </w:tcPr>
          <w:p w14:paraId="2B0842E0" w14:textId="15823C50" w:rsidR="00DC469B" w:rsidRPr="000575E8" w:rsidRDefault="00983A07" w:rsidP="00F961E3">
            <w:pPr>
              <w:spacing w:before="0" w:line="240" w:lineRule="auto"/>
              <w:rPr>
                <w:sz w:val="20"/>
                <w:szCs w:val="20"/>
              </w:rPr>
            </w:pPr>
            <w:r>
              <w:rPr>
                <w:sz w:val="20"/>
                <w:szCs w:val="20"/>
              </w:rPr>
              <w:t>Enterprises</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6D336FDE" w14:textId="56726B70" w:rsidR="00983A07" w:rsidRDefault="00DC469B" w:rsidP="00F961E3">
            <w:pPr>
              <w:spacing w:before="0" w:line="240" w:lineRule="auto"/>
              <w:rPr>
                <w:sz w:val="20"/>
                <w:szCs w:val="20"/>
              </w:rPr>
            </w:pPr>
            <w:r>
              <w:rPr>
                <w:sz w:val="20"/>
                <w:szCs w:val="20"/>
              </w:rPr>
              <w:t>Chamber of Commerce and Industry of Serbia</w:t>
            </w:r>
            <w:r w:rsidR="00BC1484">
              <w:rPr>
                <w:sz w:val="20"/>
                <w:szCs w:val="20"/>
              </w:rPr>
              <w:t xml:space="preserve"> (1)</w:t>
            </w:r>
          </w:p>
          <w:p w14:paraId="3505539D" w14:textId="635CF92E" w:rsidR="00983A07" w:rsidRDefault="00983A07" w:rsidP="00F961E3">
            <w:pPr>
              <w:spacing w:before="0" w:line="240" w:lineRule="auto"/>
              <w:rPr>
                <w:sz w:val="20"/>
                <w:szCs w:val="20"/>
              </w:rPr>
            </w:pPr>
            <w:r w:rsidRPr="00983A07">
              <w:rPr>
                <w:sz w:val="20"/>
                <w:szCs w:val="20"/>
              </w:rPr>
              <w:t>State Enterprise for Forest Management</w:t>
            </w:r>
            <w:r w:rsidR="00BC1484">
              <w:rPr>
                <w:sz w:val="20"/>
                <w:szCs w:val="20"/>
              </w:rPr>
              <w:t xml:space="preserve"> (2)</w:t>
            </w:r>
          </w:p>
          <w:p w14:paraId="00D0326E" w14:textId="115A1686" w:rsidR="0019282C" w:rsidRDefault="0019282C" w:rsidP="00F961E3">
            <w:pPr>
              <w:spacing w:before="0" w:line="240" w:lineRule="auto"/>
              <w:rPr>
                <w:sz w:val="20"/>
                <w:szCs w:val="20"/>
              </w:rPr>
            </w:pPr>
            <w:r>
              <w:rPr>
                <w:sz w:val="20"/>
                <w:szCs w:val="20"/>
              </w:rPr>
              <w:t>Provincial Enterprise for Forest Management (1)</w:t>
            </w:r>
          </w:p>
          <w:p w14:paraId="22CA4A27" w14:textId="466153DC" w:rsidR="00F52A75" w:rsidRDefault="00F52A75" w:rsidP="00F961E3">
            <w:pPr>
              <w:spacing w:before="0" w:line="240" w:lineRule="auto"/>
              <w:rPr>
                <w:sz w:val="20"/>
                <w:szCs w:val="20"/>
              </w:rPr>
            </w:pPr>
            <w:r w:rsidRPr="00F52A75">
              <w:rPr>
                <w:sz w:val="20"/>
                <w:szCs w:val="20"/>
              </w:rPr>
              <w:t xml:space="preserve">State Enterprise for </w:t>
            </w:r>
            <w:r>
              <w:rPr>
                <w:sz w:val="20"/>
                <w:szCs w:val="20"/>
              </w:rPr>
              <w:t xml:space="preserve">Water </w:t>
            </w:r>
            <w:r w:rsidRPr="00F52A75">
              <w:rPr>
                <w:sz w:val="20"/>
                <w:szCs w:val="20"/>
              </w:rPr>
              <w:t>Management</w:t>
            </w:r>
            <w:r w:rsidR="00BC1484">
              <w:rPr>
                <w:sz w:val="20"/>
                <w:szCs w:val="20"/>
              </w:rPr>
              <w:t xml:space="preserve"> (1)</w:t>
            </w:r>
          </w:p>
          <w:p w14:paraId="71966B2D" w14:textId="0EB5860C" w:rsidR="00F52A75" w:rsidRDefault="00F52A75" w:rsidP="00F961E3">
            <w:pPr>
              <w:spacing w:before="0" w:line="240" w:lineRule="auto"/>
              <w:rPr>
                <w:sz w:val="20"/>
                <w:szCs w:val="20"/>
              </w:rPr>
            </w:pPr>
            <w:r>
              <w:rPr>
                <w:sz w:val="20"/>
                <w:szCs w:val="20"/>
              </w:rPr>
              <w:t>Public Enterprise Roads of Serbia</w:t>
            </w:r>
            <w:r w:rsidR="00BC1484">
              <w:rPr>
                <w:sz w:val="20"/>
                <w:szCs w:val="20"/>
              </w:rPr>
              <w:t xml:space="preserve"> (3)</w:t>
            </w:r>
          </w:p>
          <w:p w14:paraId="25648113" w14:textId="40ACF617" w:rsidR="00F52A75" w:rsidRDefault="00F52A75" w:rsidP="00F961E3">
            <w:pPr>
              <w:spacing w:before="0" w:line="240" w:lineRule="auto"/>
              <w:rPr>
                <w:sz w:val="20"/>
                <w:szCs w:val="20"/>
              </w:rPr>
            </w:pPr>
            <w:r>
              <w:rPr>
                <w:sz w:val="20"/>
                <w:szCs w:val="20"/>
              </w:rPr>
              <w:t>Oil Industry of Serbia</w:t>
            </w:r>
            <w:r w:rsidR="00BC1484">
              <w:rPr>
                <w:sz w:val="20"/>
                <w:szCs w:val="20"/>
              </w:rPr>
              <w:t xml:space="preserve"> (1)</w:t>
            </w:r>
          </w:p>
          <w:p w14:paraId="6CEEB883" w14:textId="2E394416" w:rsidR="00DC469B" w:rsidRPr="00BC1484" w:rsidRDefault="00F52A75" w:rsidP="00F961E3">
            <w:pPr>
              <w:spacing w:before="0" w:line="240" w:lineRule="auto"/>
              <w:rPr>
                <w:sz w:val="20"/>
                <w:szCs w:val="20"/>
              </w:rPr>
            </w:pPr>
            <w:r w:rsidRPr="00983A07">
              <w:rPr>
                <w:sz w:val="20"/>
                <w:szCs w:val="20"/>
              </w:rPr>
              <w:t>State Enterprise</w:t>
            </w:r>
            <w:r>
              <w:rPr>
                <w:sz w:val="20"/>
                <w:szCs w:val="20"/>
              </w:rPr>
              <w:t xml:space="preserve"> </w:t>
            </w:r>
            <w:proofErr w:type="spellStart"/>
            <w:r>
              <w:rPr>
                <w:sz w:val="20"/>
                <w:szCs w:val="20"/>
              </w:rPr>
              <w:t>Elektroprivreda</w:t>
            </w:r>
            <w:proofErr w:type="spellEnd"/>
            <w:r>
              <w:rPr>
                <w:sz w:val="20"/>
                <w:szCs w:val="20"/>
              </w:rPr>
              <w:t xml:space="preserve"> </w:t>
            </w:r>
            <w:r w:rsidR="00BC1484">
              <w:rPr>
                <w:sz w:val="20"/>
                <w:szCs w:val="20"/>
              </w:rPr>
              <w:t>(3)</w:t>
            </w:r>
          </w:p>
        </w:tc>
      </w:tr>
      <w:tr w:rsidR="00DC469B" w:rsidRPr="005D0D5D" w14:paraId="13FFC7DA" w14:textId="77777777" w:rsidTr="00F961E3">
        <w:tc>
          <w:tcPr>
            <w:tcW w:w="3119" w:type="dxa"/>
            <w:tcBorders>
              <w:top w:val="single" w:sz="4" w:space="0" w:color="auto"/>
              <w:left w:val="single" w:sz="4" w:space="0" w:color="auto"/>
              <w:bottom w:val="single" w:sz="4" w:space="0" w:color="auto"/>
              <w:right w:val="single" w:sz="4" w:space="0" w:color="auto"/>
            </w:tcBorders>
            <w:shd w:val="clear" w:color="auto" w:fill="auto"/>
          </w:tcPr>
          <w:p w14:paraId="13290C1E" w14:textId="77777777" w:rsidR="00DC469B" w:rsidRPr="000575E8" w:rsidRDefault="00DC469B" w:rsidP="00F961E3">
            <w:pPr>
              <w:spacing w:before="0" w:line="240" w:lineRule="auto"/>
              <w:rPr>
                <w:sz w:val="20"/>
                <w:szCs w:val="20"/>
              </w:rPr>
            </w:pPr>
            <w:r>
              <w:rPr>
                <w:sz w:val="20"/>
                <w:szCs w:val="20"/>
              </w:rPr>
              <w:t>Civil Society Organizations (CSOs)</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1701705F" w14:textId="7DC4F627" w:rsidR="00DC469B" w:rsidRPr="000575E8" w:rsidRDefault="00DC469B" w:rsidP="00F961E3">
            <w:pPr>
              <w:spacing w:before="0" w:line="240" w:lineRule="auto"/>
              <w:rPr>
                <w:sz w:val="20"/>
                <w:szCs w:val="20"/>
              </w:rPr>
            </w:pPr>
            <w:r w:rsidRPr="000575E8">
              <w:rPr>
                <w:sz w:val="20"/>
                <w:szCs w:val="20"/>
              </w:rPr>
              <w:t>Coalition 27</w:t>
            </w:r>
            <w:r w:rsidR="00BC1484">
              <w:rPr>
                <w:sz w:val="20"/>
                <w:szCs w:val="20"/>
              </w:rPr>
              <w:t xml:space="preserve"> (3)</w:t>
            </w:r>
          </w:p>
        </w:tc>
      </w:tr>
      <w:tr w:rsidR="00DC469B" w:rsidRPr="005D0D5D" w14:paraId="0B60BFA9" w14:textId="77777777" w:rsidTr="00F961E3">
        <w:tc>
          <w:tcPr>
            <w:tcW w:w="3119" w:type="dxa"/>
            <w:tcBorders>
              <w:top w:val="single" w:sz="4" w:space="0" w:color="auto"/>
              <w:left w:val="single" w:sz="4" w:space="0" w:color="auto"/>
              <w:bottom w:val="single" w:sz="4" w:space="0" w:color="auto"/>
              <w:right w:val="single" w:sz="4" w:space="0" w:color="auto"/>
            </w:tcBorders>
            <w:shd w:val="clear" w:color="auto" w:fill="auto"/>
          </w:tcPr>
          <w:p w14:paraId="56A2AF4A" w14:textId="0E0A8470" w:rsidR="00DC469B" w:rsidRPr="00E515DF" w:rsidRDefault="00DC469B" w:rsidP="00983A07">
            <w:pPr>
              <w:spacing w:before="40" w:line="240" w:lineRule="auto"/>
              <w:rPr>
                <w:sz w:val="20"/>
                <w:szCs w:val="20"/>
              </w:rPr>
            </w:pPr>
            <w:r w:rsidRPr="00E515DF">
              <w:rPr>
                <w:sz w:val="20"/>
                <w:szCs w:val="20"/>
              </w:rPr>
              <w:t>Gender</w:t>
            </w:r>
          </w:p>
          <w:p w14:paraId="3A2B9375" w14:textId="77777777" w:rsidR="00DC469B" w:rsidRPr="003B5B4E" w:rsidRDefault="00DC469B" w:rsidP="00983A07">
            <w:pPr>
              <w:spacing w:before="40" w:line="240" w:lineRule="auto"/>
              <w:rPr>
                <w:b/>
                <w:sz w:val="20"/>
                <w:szCs w:val="20"/>
              </w:rPr>
            </w:pP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3B6AF35F" w14:textId="763E9B8A" w:rsidR="00DC469B" w:rsidRPr="003B5B4E" w:rsidRDefault="00DC469B" w:rsidP="00F961E3">
            <w:pPr>
              <w:spacing w:before="20" w:line="240" w:lineRule="auto"/>
              <w:rPr>
                <w:b/>
                <w:sz w:val="20"/>
                <w:szCs w:val="20"/>
              </w:rPr>
            </w:pPr>
            <w:r>
              <w:rPr>
                <w:sz w:val="20"/>
                <w:szCs w:val="20"/>
              </w:rPr>
              <w:t xml:space="preserve"> </w:t>
            </w:r>
            <w:r w:rsidR="00F52A75">
              <w:rPr>
                <w:sz w:val="20"/>
                <w:szCs w:val="20"/>
              </w:rPr>
              <w:t xml:space="preserve">Coordination Body for Gender Equality </w:t>
            </w:r>
            <w:r w:rsidR="00BC1484">
              <w:rPr>
                <w:sz w:val="20"/>
                <w:szCs w:val="20"/>
              </w:rPr>
              <w:t xml:space="preserve">at the </w:t>
            </w:r>
            <w:r w:rsidR="00F52A75">
              <w:rPr>
                <w:sz w:val="20"/>
                <w:szCs w:val="20"/>
              </w:rPr>
              <w:t>Ministry of Construction, Transport and Infrastructure</w:t>
            </w:r>
            <w:r w:rsidR="00BC1484">
              <w:rPr>
                <w:sz w:val="20"/>
                <w:szCs w:val="20"/>
              </w:rPr>
              <w:t xml:space="preserve"> (1)</w:t>
            </w:r>
          </w:p>
        </w:tc>
      </w:tr>
    </w:tbl>
    <w:p w14:paraId="6639A164" w14:textId="77777777" w:rsidR="005C3474" w:rsidRDefault="005C3474" w:rsidP="005C3474">
      <w:r>
        <w:t>This multi-sectoral group was created upon intensive consultations with a variety of project stakeholder institutions that were invited to decide on number and expertise of their respective members of the group. IMWG meetings are convened upon request of the NPD with variable participation depending on the topic(s) to be discussed.</w:t>
      </w:r>
    </w:p>
    <w:p w14:paraId="1DB412AD" w14:textId="7915FC53" w:rsidR="00FA3AB3" w:rsidRDefault="00A73D86" w:rsidP="00A73D86">
      <w:pPr>
        <w:spacing w:before="240"/>
      </w:pPr>
      <w:r>
        <w:t xml:space="preserve">The </w:t>
      </w:r>
      <w:r w:rsidR="00F62319">
        <w:t>IMWG</w:t>
      </w:r>
      <w:r>
        <w:t xml:space="preserve"> </w:t>
      </w:r>
      <w:r w:rsidR="00F62319">
        <w:t xml:space="preserve">serves </w:t>
      </w:r>
      <w:r w:rsidR="00CE40D6">
        <w:t>as an issue-based platform for discussion of various aspects of the EFT</w:t>
      </w:r>
      <w:r w:rsidR="00F62319">
        <w:t xml:space="preserve"> and for peer review of </w:t>
      </w:r>
      <w:r w:rsidR="005C3474">
        <w:t xml:space="preserve">various </w:t>
      </w:r>
      <w:r w:rsidR="00F62319">
        <w:t>project reports and knowledge products.</w:t>
      </w:r>
      <w:r w:rsidR="00CE40D6">
        <w:t xml:space="preserve"> </w:t>
      </w:r>
      <w:r>
        <w:t xml:space="preserve"> </w:t>
      </w:r>
      <w:r w:rsidR="00F62319">
        <w:t>Interviewed members of the IMWG expressed their satisfaction with the functionality of the group. In particular, they appreciate</w:t>
      </w:r>
      <w:r w:rsidR="00FA3AB3">
        <w:t xml:space="preserve"> IMWG meetings as </w:t>
      </w:r>
      <w:r w:rsidR="00F62319">
        <w:t>opportunit</w:t>
      </w:r>
      <w:r w:rsidR="00FA3AB3">
        <w:t>y</w:t>
      </w:r>
      <w:r w:rsidR="00F62319">
        <w:t xml:space="preserve"> to learn about broad range of issues</w:t>
      </w:r>
      <w:r w:rsidR="00FA3AB3">
        <w:t xml:space="preserve"> and work of other relevant stakeholders.</w:t>
      </w:r>
      <w:r w:rsidR="00F62319">
        <w:t xml:space="preserve">  </w:t>
      </w:r>
    </w:p>
    <w:p w14:paraId="4A8F2438" w14:textId="6EEB5706" w:rsidR="00FA3AB3" w:rsidRDefault="00FA3AB3" w:rsidP="00FA3AB3">
      <w:r>
        <w:t xml:space="preserve">The establishment of IMWG with broad membership appears to be good example of attracting </w:t>
      </w:r>
      <w:r w:rsidRPr="00FA3AB3">
        <w:t xml:space="preserve">interest and commitment from </w:t>
      </w:r>
      <w:r w:rsidR="005C3474">
        <w:t xml:space="preserve">a number of line </w:t>
      </w:r>
      <w:r w:rsidRPr="00FA3AB3">
        <w:t xml:space="preserve">ministries responsible for provision of sectoral </w:t>
      </w:r>
      <w:r>
        <w:t xml:space="preserve">data and </w:t>
      </w:r>
      <w:r w:rsidRPr="00FA3AB3">
        <w:t>information.</w:t>
      </w:r>
    </w:p>
    <w:p w14:paraId="50D337CD" w14:textId="557668A8" w:rsidR="00B71CB2" w:rsidRPr="00B71CB2" w:rsidRDefault="00CE20EA" w:rsidP="00EB2A14">
      <w:pPr>
        <w:rPr>
          <w:b/>
          <w:bCs/>
        </w:rPr>
      </w:pPr>
      <w:r>
        <w:t>Based on the above, t</w:t>
      </w:r>
      <w:r w:rsidR="00B71CB2" w:rsidRPr="00971D31">
        <w:t>he evaluator</w:t>
      </w:r>
      <w:r w:rsidR="00971D31" w:rsidRPr="00971D31">
        <w:t>s</w:t>
      </w:r>
      <w:r w:rsidR="00B71CB2" w:rsidRPr="00971D31">
        <w:t xml:space="preserve"> rate </w:t>
      </w:r>
      <w:r w:rsidR="00B71CB2" w:rsidRPr="005C3474">
        <w:rPr>
          <w:b/>
          <w:bCs/>
        </w:rPr>
        <w:t xml:space="preserve">the stakeholder </w:t>
      </w:r>
      <w:r w:rsidR="00863A76" w:rsidRPr="005C3474">
        <w:rPr>
          <w:b/>
          <w:bCs/>
        </w:rPr>
        <w:t xml:space="preserve">engagement </w:t>
      </w:r>
      <w:r w:rsidR="00B71CB2" w:rsidRPr="005C3474">
        <w:rPr>
          <w:b/>
          <w:bCs/>
        </w:rPr>
        <w:t xml:space="preserve">in the project formulation and implementation </w:t>
      </w:r>
      <w:r w:rsidR="00375E4E">
        <w:rPr>
          <w:b/>
          <w:bCs/>
        </w:rPr>
        <w:t xml:space="preserve">Highly </w:t>
      </w:r>
      <w:r w:rsidR="00B71CB2" w:rsidRPr="00B71CB2">
        <w:rPr>
          <w:b/>
          <w:bCs/>
        </w:rPr>
        <w:t>Satisfactory (S).</w:t>
      </w:r>
    </w:p>
    <w:p w14:paraId="52108D3C" w14:textId="77777777" w:rsidR="00B81494" w:rsidRDefault="009655DB" w:rsidP="00C8138D">
      <w:pPr>
        <w:pStyle w:val="Heading3"/>
      </w:pPr>
      <w:bookmarkStart w:id="55" w:name="_Toc515816659"/>
      <w:bookmarkStart w:id="56" w:name="_Toc66777419"/>
      <w:r w:rsidRPr="00D31D89">
        <w:t>Reporting</w:t>
      </w:r>
      <w:r w:rsidR="007855E4" w:rsidRPr="00D31D89">
        <w:t xml:space="preserve"> and communication</w:t>
      </w:r>
      <w:bookmarkEnd w:id="55"/>
      <w:bookmarkEnd w:id="56"/>
    </w:p>
    <w:p w14:paraId="600727DD" w14:textId="7DCBAECE" w:rsidR="00A04EFA" w:rsidRDefault="00C8138D" w:rsidP="005A1A39">
      <w:r w:rsidRPr="00D31D89">
        <w:t xml:space="preserve">Reporting during project implementation helps to identify potential issues that may endanger the project’s capacity to achieve its development objectives. Reporting also helps to make informed decisions, </w:t>
      </w:r>
      <w:r w:rsidR="00A5139E">
        <w:t xml:space="preserve">offers </w:t>
      </w:r>
      <w:r w:rsidRPr="00D31D89">
        <w:t xml:space="preserve">valuable information for project evaluation, and provides lessons </w:t>
      </w:r>
      <w:r w:rsidR="00971D31">
        <w:lastRenderedPageBreak/>
        <w:t xml:space="preserve">to be learnt </w:t>
      </w:r>
      <w:r w:rsidRPr="00D31D89">
        <w:t>for future projects.</w:t>
      </w:r>
      <w:r w:rsidR="00C9347F" w:rsidRPr="00D31D89">
        <w:t xml:space="preserve"> </w:t>
      </w:r>
      <w:r w:rsidR="005A1A39" w:rsidRPr="00D31D89">
        <w:t>E</w:t>
      </w:r>
      <w:r w:rsidR="009340A0" w:rsidRPr="00D31D89">
        <w:t>ffective and timely c</w:t>
      </w:r>
      <w:r w:rsidR="00A04EFA" w:rsidRPr="00D31D89">
        <w:t xml:space="preserve">ommunication </w:t>
      </w:r>
      <w:r w:rsidR="009340A0" w:rsidRPr="00D31D89">
        <w:t xml:space="preserve">between the </w:t>
      </w:r>
      <w:r w:rsidR="00D31D89">
        <w:t>P</w:t>
      </w:r>
      <w:r w:rsidR="00A5139E">
        <w:t>I</w:t>
      </w:r>
      <w:r w:rsidR="00D31D89">
        <w:t xml:space="preserve">U and the </w:t>
      </w:r>
      <w:r w:rsidR="004F2074">
        <w:t xml:space="preserve">core </w:t>
      </w:r>
      <w:r w:rsidR="00D31D89">
        <w:t xml:space="preserve">stakeholders </w:t>
      </w:r>
      <w:r w:rsidR="00A04EFA" w:rsidRPr="00D31D89">
        <w:t xml:space="preserve">is </w:t>
      </w:r>
      <w:r w:rsidR="00D31D89">
        <w:t xml:space="preserve">a </w:t>
      </w:r>
      <w:r w:rsidR="00A04EFA" w:rsidRPr="00D31D89">
        <w:t xml:space="preserve">key </w:t>
      </w:r>
      <w:r w:rsidR="005A1A39" w:rsidRPr="00D31D89">
        <w:t xml:space="preserve">element </w:t>
      </w:r>
      <w:r w:rsidR="00A04EFA" w:rsidRPr="00D31D89">
        <w:t>in that respect.</w:t>
      </w:r>
    </w:p>
    <w:p w14:paraId="7CB04388" w14:textId="302889D6" w:rsidR="00BB43BC" w:rsidRDefault="005A7891" w:rsidP="005A7891">
      <w:r>
        <w:t>M</w:t>
      </w:r>
      <w:r w:rsidR="00C85BFE">
        <w:t xml:space="preserve">andatory reporting towards the project Implementing Partners is discussed above under </w:t>
      </w:r>
      <w:r>
        <w:t>‘Monitoring and evaluation’. There is no information available on sharing the PIR with the Project Board as the first and only PIR was completed in July 2020 hence the PIR is about to be presented to the next PB meeting in 2021.</w:t>
      </w:r>
    </w:p>
    <w:p w14:paraId="0E344B17" w14:textId="445CE0BE" w:rsidR="005A7891" w:rsidRDefault="005A7891" w:rsidP="005A1A39">
      <w:r>
        <w:t>Lessons learned from implementation of this project will be available as result of the MTR.</w:t>
      </w:r>
    </w:p>
    <w:p w14:paraId="23171001" w14:textId="77777777" w:rsidR="00C43900" w:rsidRDefault="005A7891" w:rsidP="005A1A39">
      <w:r>
        <w:t xml:space="preserve">Internal communication about the project </w:t>
      </w:r>
      <w:r w:rsidR="003C5894">
        <w:t>between the UNDP-manned PIU and the NPD has been regular and easy due to physical location of the project office in the MEP building and the long history of cooperation between UNDP and MEP.</w:t>
      </w:r>
    </w:p>
    <w:p w14:paraId="17F87FC2" w14:textId="7B21D615" w:rsidR="00C43900" w:rsidRDefault="00C43900" w:rsidP="005A1A39">
      <w:r>
        <w:t xml:space="preserve">External communication towards the project stakeholder institutions is ensured through </w:t>
      </w:r>
      <w:r w:rsidR="00386526">
        <w:t xml:space="preserve">the </w:t>
      </w:r>
      <w:r>
        <w:t>meetings of the IMWG. This communication channel appears to be very effective as it targets the relevant key personnel in all participating stakeholder institutions</w:t>
      </w:r>
      <w:r w:rsidR="00386526">
        <w:t xml:space="preserve"> and helps the project to get </w:t>
      </w:r>
      <w:r w:rsidR="00386526" w:rsidRPr="00386526">
        <w:t>high-level political support</w:t>
      </w:r>
      <w:r w:rsidR="00386526">
        <w:t>.</w:t>
      </w:r>
    </w:p>
    <w:p w14:paraId="06BEA8CE" w14:textId="75654527" w:rsidR="00C65F36" w:rsidRDefault="00C65F36" w:rsidP="00C65F36">
      <w:r>
        <w:t xml:space="preserve">Another channel of external communication is provided through the web site </w:t>
      </w:r>
      <w:r w:rsidRPr="00C65F36">
        <w:t xml:space="preserve">of the UNDP-GEF climate change portfolio of projects </w:t>
      </w:r>
      <w:r>
        <w:t xml:space="preserve">implemented </w:t>
      </w:r>
      <w:r w:rsidRPr="00C65F36">
        <w:t xml:space="preserve">in collaboration between the UNDP and the </w:t>
      </w:r>
      <w:r>
        <w:t>MEP</w:t>
      </w:r>
      <w:r>
        <w:rPr>
          <w:rStyle w:val="FootnoteReference"/>
        </w:rPr>
        <w:footnoteReference w:id="13"/>
      </w:r>
      <w:r>
        <w:t>.</w:t>
      </w:r>
      <w:r w:rsidR="009D5ED2">
        <w:t xml:space="preserve"> However, this webpage contains only basic data about the project but no updates on project implementation progress. </w:t>
      </w:r>
    </w:p>
    <w:p w14:paraId="6CA928E5" w14:textId="7D59C68E" w:rsidR="00B93D62" w:rsidRDefault="00386526" w:rsidP="00B93D62">
      <w:r>
        <w:t xml:space="preserve">The planned communication activities in the project focus on the project stakeholders as the direct project beneficiaries. </w:t>
      </w:r>
      <w:r w:rsidR="00B93D62">
        <w:t xml:space="preserve">Lack of </w:t>
      </w:r>
      <w:r>
        <w:t>planned activities for public outreach</w:t>
      </w:r>
      <w:r w:rsidR="00B93D62">
        <w:t xml:space="preserve"> is considered as weak part of the project. In parallel with the development of </w:t>
      </w:r>
      <w:r w:rsidR="00B93D62" w:rsidRPr="00386526">
        <w:t xml:space="preserve">the transparency framework, it is important to reach out to </w:t>
      </w:r>
      <w:r w:rsidR="00B93D62">
        <w:t>the general public through multiple channels in order to</w:t>
      </w:r>
      <w:r w:rsidR="00B93D62" w:rsidRPr="007B1E24">
        <w:t xml:space="preserve"> garner support from the public</w:t>
      </w:r>
      <w:r w:rsidR="00B93D62">
        <w:t xml:space="preserve"> and ensure adequate response of the </w:t>
      </w:r>
      <w:r w:rsidR="00B93D62" w:rsidRPr="007B1E24">
        <w:t>political system to the needs of the transparency system and mobiliz</w:t>
      </w:r>
      <w:r w:rsidR="00B93D62">
        <w:t xml:space="preserve">ation of </w:t>
      </w:r>
      <w:r w:rsidR="00B93D62" w:rsidRPr="007B1E24">
        <w:t xml:space="preserve">necessary </w:t>
      </w:r>
      <w:r w:rsidR="00B93D62">
        <w:t xml:space="preserve">political and financial </w:t>
      </w:r>
      <w:r w:rsidR="00B93D62" w:rsidRPr="007B1E24">
        <w:t>support.</w:t>
      </w:r>
    </w:p>
    <w:p w14:paraId="090EBEC2" w14:textId="77777777" w:rsidR="007B1E24" w:rsidRDefault="007B1E24" w:rsidP="00F41A07">
      <w:r>
        <w:t>In reality, some level of c</w:t>
      </w:r>
      <w:r w:rsidR="00C43900">
        <w:t xml:space="preserve">ommunication towards </w:t>
      </w:r>
      <w:r>
        <w:t xml:space="preserve">the </w:t>
      </w:r>
      <w:r w:rsidR="00C43900">
        <w:t>public</w:t>
      </w:r>
      <w:r>
        <w:t xml:space="preserve"> at large</w:t>
      </w:r>
      <w:r w:rsidR="00C43900">
        <w:t xml:space="preserve"> is </w:t>
      </w:r>
      <w:r>
        <w:t xml:space="preserve">ensured </w:t>
      </w:r>
      <w:r w:rsidR="00C65F36">
        <w:t xml:space="preserve">indirectly </w:t>
      </w:r>
      <w:r w:rsidR="00C43900">
        <w:t xml:space="preserve">through participation </w:t>
      </w:r>
      <w:r w:rsidR="009D5ED2">
        <w:t xml:space="preserve">of </w:t>
      </w:r>
      <w:r w:rsidR="00C43900">
        <w:t xml:space="preserve">representatives of </w:t>
      </w:r>
      <w:r w:rsidR="00C65F36">
        <w:t xml:space="preserve">the NGO </w:t>
      </w:r>
      <w:r w:rsidR="00C43900">
        <w:t>Coalition</w:t>
      </w:r>
      <w:r w:rsidR="009D5ED2">
        <w:t xml:space="preserve"> 27 on the IMWG. The NGO </w:t>
      </w:r>
      <w:r w:rsidR="00C43900">
        <w:t xml:space="preserve">had been </w:t>
      </w:r>
      <w:r w:rsidR="00C43900" w:rsidRPr="00C43900">
        <w:t xml:space="preserve">established by civil society organizations in </w:t>
      </w:r>
      <w:r w:rsidR="00C43900">
        <w:t xml:space="preserve">Serbia </w:t>
      </w:r>
      <w:r w:rsidR="00C43900" w:rsidRPr="00C43900">
        <w:t xml:space="preserve">with the aim of </w:t>
      </w:r>
      <w:r w:rsidR="00C43900">
        <w:t xml:space="preserve">participation in </w:t>
      </w:r>
      <w:r w:rsidR="00C43900" w:rsidRPr="00C43900">
        <w:t xml:space="preserve">the process of harmonization and implementation of the </w:t>
      </w:r>
      <w:r w:rsidR="00C43900">
        <w:t xml:space="preserve">national </w:t>
      </w:r>
      <w:r w:rsidR="00C43900" w:rsidRPr="00C43900">
        <w:t xml:space="preserve">policies and regulations with the </w:t>
      </w:r>
      <w:r w:rsidR="00C43900" w:rsidRPr="009D5ED2">
        <w:rPr>
          <w:i/>
          <w:iCs/>
        </w:rPr>
        <w:t>EU acquis</w:t>
      </w:r>
      <w:r w:rsidR="00C43900" w:rsidRPr="00C43900">
        <w:t xml:space="preserve"> in the field of environment and climate change (Chapter 27 in the EU accession negotiations)</w:t>
      </w:r>
      <w:r w:rsidR="00C43900">
        <w:t xml:space="preserve">.  </w:t>
      </w:r>
      <w:r w:rsidR="00C65F36">
        <w:t xml:space="preserve">Each year the NGO produces a </w:t>
      </w:r>
      <w:r w:rsidR="00C65F36" w:rsidRPr="00C65F36">
        <w:t xml:space="preserve">Shadow Report </w:t>
      </w:r>
      <w:r w:rsidR="00C65F36">
        <w:t xml:space="preserve">as </w:t>
      </w:r>
      <w:r w:rsidR="00C65F36" w:rsidRPr="00C65F36">
        <w:t xml:space="preserve">an overview of </w:t>
      </w:r>
      <w:r w:rsidR="009D5ED2">
        <w:t xml:space="preserve">national </w:t>
      </w:r>
      <w:r w:rsidR="00C65F36" w:rsidRPr="00C65F36">
        <w:t xml:space="preserve">achievements in the areas of </w:t>
      </w:r>
      <w:r w:rsidR="009D5ED2">
        <w:t xml:space="preserve">the </w:t>
      </w:r>
      <w:r w:rsidR="00C65F36" w:rsidRPr="00C65F36">
        <w:t>Chapter 27,</w:t>
      </w:r>
      <w:r w:rsidR="009D5ED2">
        <w:t xml:space="preserve"> </w:t>
      </w:r>
      <w:r w:rsidR="00C65F36">
        <w:t>including monitoring of salient issues related to UNFCCC and PCA.</w:t>
      </w:r>
      <w:r>
        <w:t xml:space="preserve"> </w:t>
      </w:r>
    </w:p>
    <w:p w14:paraId="148A2DF6" w14:textId="6F201FBB" w:rsidR="004A5F3A" w:rsidRPr="00FF2460" w:rsidRDefault="007B1E24" w:rsidP="00F41A07">
      <w:pPr>
        <w:rPr>
          <w:b/>
        </w:rPr>
      </w:pPr>
      <w:r>
        <w:t>Overall, the r</w:t>
      </w:r>
      <w:r w:rsidR="009D5ED2">
        <w:t xml:space="preserve">eporting and communication is considered effective for this type of project </w:t>
      </w:r>
      <w:r w:rsidR="009D5ED2">
        <w:rPr>
          <w:bCs/>
        </w:rPr>
        <w:t xml:space="preserve">and therefore </w:t>
      </w:r>
      <w:r w:rsidR="005C3474" w:rsidRPr="005C3474">
        <w:rPr>
          <w:b/>
        </w:rPr>
        <w:t xml:space="preserve">the </w:t>
      </w:r>
      <w:r w:rsidR="009D5ED2" w:rsidRPr="005C3474">
        <w:rPr>
          <w:b/>
        </w:rPr>
        <w:t xml:space="preserve">rating </w:t>
      </w:r>
      <w:r w:rsidR="005C3474" w:rsidRPr="005C3474">
        <w:rPr>
          <w:b/>
        </w:rPr>
        <w:t>given is</w:t>
      </w:r>
      <w:r w:rsidR="005C3474">
        <w:rPr>
          <w:bCs/>
        </w:rPr>
        <w:t xml:space="preserve"> </w:t>
      </w:r>
      <w:r w:rsidR="00F23651" w:rsidRPr="00FF2460">
        <w:rPr>
          <w:b/>
        </w:rPr>
        <w:t>Satisfactory</w:t>
      </w:r>
      <w:r w:rsidR="00825B41" w:rsidRPr="00FF2460">
        <w:rPr>
          <w:b/>
        </w:rPr>
        <w:t xml:space="preserve"> (S)</w:t>
      </w:r>
      <w:r w:rsidR="00F23651" w:rsidRPr="00FF2460">
        <w:rPr>
          <w:b/>
        </w:rPr>
        <w:t>.</w:t>
      </w:r>
    </w:p>
    <w:p w14:paraId="141205A5" w14:textId="25E7D57F" w:rsidR="00F23651" w:rsidRPr="009D5ED2" w:rsidRDefault="00870BD6" w:rsidP="00F41A07">
      <w:r w:rsidRPr="00870BD6">
        <w:t>The o</w:t>
      </w:r>
      <w:r w:rsidR="00F23651" w:rsidRPr="00870BD6">
        <w:t>verall rating for the project implementation and adaptive management is based on aggregation of the above ratings for i</w:t>
      </w:r>
      <w:r w:rsidR="003A4D3F" w:rsidRPr="00870BD6">
        <w:t xml:space="preserve">ndividual components above. </w:t>
      </w:r>
      <w:r w:rsidR="00AA181F">
        <w:t xml:space="preserve">Two of the 7 components </w:t>
      </w:r>
      <w:r w:rsidR="003D1823">
        <w:t>received the rating Highly Satisfactory (</w:t>
      </w:r>
      <w:r w:rsidR="00AA181F">
        <w:t>HS</w:t>
      </w:r>
      <w:r w:rsidR="003D1823">
        <w:t>)</w:t>
      </w:r>
      <w:r w:rsidR="00AA181F">
        <w:t xml:space="preserve">, </w:t>
      </w:r>
      <w:r w:rsidR="003D1823">
        <w:t xml:space="preserve">four </w:t>
      </w:r>
      <w:r w:rsidR="00AA181F">
        <w:t xml:space="preserve">components are rated </w:t>
      </w:r>
      <w:r w:rsidR="003D1823">
        <w:t>Satisfactory (</w:t>
      </w:r>
      <w:r w:rsidR="00AA181F">
        <w:t>S</w:t>
      </w:r>
      <w:r w:rsidR="003D1823">
        <w:t>)</w:t>
      </w:r>
      <w:r w:rsidR="00AA181F">
        <w:t xml:space="preserve"> and one component </w:t>
      </w:r>
      <w:r w:rsidR="003C5894">
        <w:t>is</w:t>
      </w:r>
      <w:r w:rsidR="00AA181F">
        <w:t xml:space="preserve"> rated </w:t>
      </w:r>
      <w:r w:rsidR="003D1823">
        <w:t xml:space="preserve">Marginally </w:t>
      </w:r>
      <w:r w:rsidR="00375E4E">
        <w:t>S</w:t>
      </w:r>
      <w:r w:rsidR="003D1823">
        <w:t>atisfactory (</w:t>
      </w:r>
      <w:r w:rsidR="00AA181F">
        <w:t>M</w:t>
      </w:r>
      <w:r w:rsidR="00375E4E">
        <w:t>S</w:t>
      </w:r>
      <w:r w:rsidR="003D1823">
        <w:t>)</w:t>
      </w:r>
      <w:r w:rsidR="00AA181F">
        <w:t xml:space="preserve">. Therefore, the overall </w:t>
      </w:r>
      <w:r w:rsidR="003D1823">
        <w:t xml:space="preserve">aggregated </w:t>
      </w:r>
      <w:r w:rsidR="00AA181F">
        <w:t xml:space="preserve">rating of the project implementation and adaptive management is </w:t>
      </w:r>
      <w:r w:rsidR="00AA181F" w:rsidRPr="00AA181F">
        <w:rPr>
          <w:b/>
          <w:bCs/>
        </w:rPr>
        <w:t>Satisfactory (S).</w:t>
      </w:r>
    </w:p>
    <w:p w14:paraId="126F452A" w14:textId="77777777" w:rsidR="006A130F" w:rsidRDefault="006A130F" w:rsidP="006A130F">
      <w:pPr>
        <w:pStyle w:val="Heading3"/>
      </w:pPr>
      <w:bookmarkStart w:id="57" w:name="_Toc66777420"/>
      <w:r>
        <w:lastRenderedPageBreak/>
        <w:t>Mainstreaming</w:t>
      </w:r>
      <w:bookmarkEnd w:id="57"/>
    </w:p>
    <w:p w14:paraId="3242D106" w14:textId="77777777" w:rsidR="00C67DD9" w:rsidRDefault="00D53163" w:rsidP="00A10ACD">
      <w:pPr>
        <w:rPr>
          <w:sz w:val="23"/>
          <w:szCs w:val="23"/>
        </w:rPr>
      </w:pPr>
      <w:r>
        <w:rPr>
          <w:sz w:val="23"/>
          <w:szCs w:val="23"/>
        </w:rPr>
        <w:t>Serbia has a track record of work on gender aspects in DRR and CC. The 1</w:t>
      </w:r>
      <w:r w:rsidRPr="00E525B0">
        <w:rPr>
          <w:sz w:val="23"/>
          <w:szCs w:val="23"/>
          <w:vertAlign w:val="superscript"/>
        </w:rPr>
        <w:t>st</w:t>
      </w:r>
      <w:r>
        <w:rPr>
          <w:sz w:val="23"/>
          <w:szCs w:val="23"/>
        </w:rPr>
        <w:t xml:space="preserve"> study on Gender and Climate </w:t>
      </w:r>
      <w:r w:rsidR="00C67DD9">
        <w:rPr>
          <w:sz w:val="23"/>
          <w:szCs w:val="23"/>
        </w:rPr>
        <w:t>C</w:t>
      </w:r>
      <w:r>
        <w:rPr>
          <w:sz w:val="23"/>
          <w:szCs w:val="23"/>
        </w:rPr>
        <w:t xml:space="preserve">hange dates back to 2015 </w:t>
      </w:r>
      <w:r w:rsidR="00C67DD9">
        <w:rPr>
          <w:sz w:val="23"/>
          <w:szCs w:val="23"/>
        </w:rPr>
        <w:t xml:space="preserve">and since then </w:t>
      </w:r>
      <w:r w:rsidR="00C67DD9" w:rsidRPr="00C67DD9">
        <w:rPr>
          <w:sz w:val="23"/>
          <w:szCs w:val="23"/>
        </w:rPr>
        <w:t xml:space="preserve">lot of efforts and resources </w:t>
      </w:r>
      <w:r w:rsidR="00C67DD9">
        <w:rPr>
          <w:sz w:val="23"/>
          <w:szCs w:val="23"/>
        </w:rPr>
        <w:t xml:space="preserve">were allocated </w:t>
      </w:r>
      <w:r w:rsidR="00C67DD9" w:rsidRPr="00C67DD9">
        <w:rPr>
          <w:sz w:val="23"/>
          <w:szCs w:val="23"/>
        </w:rPr>
        <w:t xml:space="preserve">to capacity building </w:t>
      </w:r>
      <w:r w:rsidR="00C67DD9">
        <w:rPr>
          <w:sz w:val="23"/>
          <w:szCs w:val="23"/>
        </w:rPr>
        <w:t xml:space="preserve">events that </w:t>
      </w:r>
      <w:r w:rsidR="00C67DD9" w:rsidRPr="00C67DD9">
        <w:rPr>
          <w:sz w:val="23"/>
          <w:szCs w:val="23"/>
        </w:rPr>
        <w:t>helped the country to understand a gender integration process more comprehensively.</w:t>
      </w:r>
      <w:r w:rsidR="00C67DD9">
        <w:rPr>
          <w:sz w:val="23"/>
          <w:szCs w:val="23"/>
        </w:rPr>
        <w:t xml:space="preserve"> A </w:t>
      </w:r>
      <w:r>
        <w:rPr>
          <w:sz w:val="23"/>
          <w:szCs w:val="23"/>
        </w:rPr>
        <w:t xml:space="preserve">Training Handbook was compiled in 2018. </w:t>
      </w:r>
    </w:p>
    <w:p w14:paraId="35ED5744" w14:textId="70AE41FA" w:rsidR="00D53163" w:rsidRDefault="00D53163" w:rsidP="00A10ACD">
      <w:pPr>
        <w:rPr>
          <w:sz w:val="23"/>
          <w:szCs w:val="23"/>
        </w:rPr>
      </w:pPr>
      <w:r>
        <w:rPr>
          <w:sz w:val="23"/>
          <w:szCs w:val="23"/>
        </w:rPr>
        <w:t xml:space="preserve">Gender agendas </w:t>
      </w:r>
      <w:r w:rsidR="00C67DD9">
        <w:rPr>
          <w:sz w:val="23"/>
          <w:szCs w:val="23"/>
        </w:rPr>
        <w:t xml:space="preserve">in Serbia </w:t>
      </w:r>
      <w:r>
        <w:rPr>
          <w:sz w:val="23"/>
          <w:szCs w:val="23"/>
        </w:rPr>
        <w:t xml:space="preserve">fall under the </w:t>
      </w:r>
      <w:r w:rsidRPr="00D53163">
        <w:rPr>
          <w:sz w:val="23"/>
          <w:szCs w:val="23"/>
        </w:rPr>
        <w:t>Coordination Body</w:t>
      </w:r>
      <w:r>
        <w:rPr>
          <w:sz w:val="23"/>
          <w:szCs w:val="23"/>
        </w:rPr>
        <w:t xml:space="preserve"> for </w:t>
      </w:r>
      <w:r w:rsidRPr="00D53163">
        <w:rPr>
          <w:sz w:val="23"/>
          <w:szCs w:val="23"/>
        </w:rPr>
        <w:t xml:space="preserve">Gender Equality </w:t>
      </w:r>
      <w:r>
        <w:rPr>
          <w:sz w:val="23"/>
          <w:szCs w:val="23"/>
        </w:rPr>
        <w:t xml:space="preserve">that </w:t>
      </w:r>
      <w:r w:rsidRPr="00D53163">
        <w:rPr>
          <w:sz w:val="23"/>
          <w:szCs w:val="23"/>
        </w:rPr>
        <w:t xml:space="preserve">is </w:t>
      </w:r>
      <w:r>
        <w:rPr>
          <w:sz w:val="23"/>
          <w:szCs w:val="23"/>
        </w:rPr>
        <w:t xml:space="preserve">an institutional </w:t>
      </w:r>
      <w:r w:rsidRPr="00D53163">
        <w:rPr>
          <w:sz w:val="23"/>
          <w:szCs w:val="23"/>
        </w:rPr>
        <w:t xml:space="preserve">coordination mechanism </w:t>
      </w:r>
      <w:r w:rsidR="00C67DD9">
        <w:rPr>
          <w:sz w:val="23"/>
          <w:szCs w:val="23"/>
        </w:rPr>
        <w:t xml:space="preserve">(at the level of the Government) </w:t>
      </w:r>
      <w:r w:rsidRPr="00D53163">
        <w:rPr>
          <w:sz w:val="23"/>
          <w:szCs w:val="23"/>
        </w:rPr>
        <w:t xml:space="preserve">for gender equality issues </w:t>
      </w:r>
      <w:r w:rsidR="00C67DD9">
        <w:rPr>
          <w:sz w:val="23"/>
          <w:szCs w:val="23"/>
        </w:rPr>
        <w:t xml:space="preserve">that is </w:t>
      </w:r>
      <w:r w:rsidRPr="00D53163">
        <w:rPr>
          <w:sz w:val="23"/>
          <w:szCs w:val="23"/>
        </w:rPr>
        <w:t>mandate</w:t>
      </w:r>
      <w:r>
        <w:rPr>
          <w:sz w:val="23"/>
          <w:szCs w:val="23"/>
        </w:rPr>
        <w:t>d</w:t>
      </w:r>
      <w:r w:rsidRPr="00D53163">
        <w:rPr>
          <w:sz w:val="23"/>
          <w:szCs w:val="23"/>
        </w:rPr>
        <w:t xml:space="preserve"> to coordinate the work of state administration bodies and other institutions in order to improve gender equality</w:t>
      </w:r>
      <w:r w:rsidR="00C67DD9">
        <w:rPr>
          <w:sz w:val="23"/>
          <w:szCs w:val="23"/>
        </w:rPr>
        <w:t xml:space="preserve">. It also </w:t>
      </w:r>
      <w:r w:rsidRPr="00E525B0">
        <w:rPr>
          <w:sz w:val="23"/>
          <w:szCs w:val="23"/>
        </w:rPr>
        <w:t>considers the mainstreaming of gender into environment and climate change agenda</w:t>
      </w:r>
      <w:r>
        <w:rPr>
          <w:sz w:val="23"/>
          <w:szCs w:val="23"/>
        </w:rPr>
        <w:t>s. The gender</w:t>
      </w:r>
      <w:r w:rsidR="00C67DD9">
        <w:rPr>
          <w:sz w:val="23"/>
          <w:szCs w:val="23"/>
        </w:rPr>
        <w:t>-</w:t>
      </w:r>
      <w:r>
        <w:rPr>
          <w:sz w:val="23"/>
          <w:szCs w:val="23"/>
        </w:rPr>
        <w:t xml:space="preserve">related </w:t>
      </w:r>
      <w:r w:rsidR="00C67DD9">
        <w:rPr>
          <w:sz w:val="23"/>
          <w:szCs w:val="23"/>
        </w:rPr>
        <w:t xml:space="preserve">policy interventions </w:t>
      </w:r>
      <w:r>
        <w:rPr>
          <w:sz w:val="23"/>
          <w:szCs w:val="23"/>
        </w:rPr>
        <w:t>so far culminated with appointment of the</w:t>
      </w:r>
      <w:r w:rsidRPr="00E525B0">
        <w:rPr>
          <w:sz w:val="23"/>
          <w:szCs w:val="23"/>
        </w:rPr>
        <w:t xml:space="preserve"> UNFCCC gender focal point in February 2020. </w:t>
      </w:r>
    </w:p>
    <w:p w14:paraId="447DDDE4" w14:textId="6EE3D849" w:rsidR="0016672B" w:rsidRDefault="00A10ACD" w:rsidP="00A10ACD">
      <w:r>
        <w:t>Under Component 4, the CBIT project aspire</w:t>
      </w:r>
      <w:r w:rsidR="007E5747">
        <w:t>s</w:t>
      </w:r>
      <w:r>
        <w:t xml:space="preserve"> </w:t>
      </w:r>
      <w:r w:rsidR="0053110F">
        <w:t xml:space="preserve">for </w:t>
      </w:r>
      <w:r>
        <w:t>contribut</w:t>
      </w:r>
      <w:r w:rsidR="0053110F">
        <w:t>ion</w:t>
      </w:r>
      <w:r>
        <w:t xml:space="preserve"> to gender mainstreaming in reporting on </w:t>
      </w:r>
      <w:r w:rsidR="007E5747">
        <w:t xml:space="preserve">climate change </w:t>
      </w:r>
      <w:r w:rsidR="0053110F">
        <w:t xml:space="preserve">and </w:t>
      </w:r>
      <w:r w:rsidR="007E5747">
        <w:t xml:space="preserve">for </w:t>
      </w:r>
      <w:r>
        <w:t xml:space="preserve">strengthening the ability of Serbia to participate actively in addressing the global environmental threat of climate change in </w:t>
      </w:r>
      <w:r w:rsidR="0053110F">
        <w:t xml:space="preserve">a </w:t>
      </w:r>
      <w:r>
        <w:t>gender responsive manner.</w:t>
      </w:r>
    </w:p>
    <w:p w14:paraId="12297171" w14:textId="57C61FC9" w:rsidR="007E5747" w:rsidRDefault="007E5747" w:rsidP="007E5747">
      <w:r>
        <w:t xml:space="preserve">In order to achieve this objective, the project supported design of a gender mainstreamed monitoring framework on climate change through a report </w:t>
      </w:r>
      <w:r w:rsidR="00AA7890">
        <w:t xml:space="preserve">prepared by two national consultants </w:t>
      </w:r>
      <w:r>
        <w:t>that identified key dimensions, indicators and data sources for further gender mainstreaming into design and monitoring of CC climate change policies</w:t>
      </w:r>
      <w:r w:rsidR="00AA7890">
        <w:rPr>
          <w:rStyle w:val="FootnoteReference"/>
        </w:rPr>
        <w:footnoteReference w:id="14"/>
      </w:r>
      <w:r>
        <w:t>.</w:t>
      </w:r>
    </w:p>
    <w:p w14:paraId="5E978568" w14:textId="5E46216D" w:rsidR="008668AC" w:rsidRDefault="008668AC" w:rsidP="008668AC">
      <w:r>
        <w:t>The inception phase of establishment of the monitoring framework identified seven key areas for establishment of relation between climate change and gender equality, namely access to resources, participation in decision making in general and particularly in climate change policies, in the economy, employment, but also consumption and household livelihoods, in relation to education and health and in the area of knowledge, attitudes and inclinations towards different types of behaviours that might impact the environment.</w:t>
      </w:r>
    </w:p>
    <w:p w14:paraId="46145D1A" w14:textId="53239A7B" w:rsidR="008668AC" w:rsidRDefault="008668AC" w:rsidP="008668AC">
      <w:r>
        <w:t>The proposed monitoring framework provides guidelines on mainstreaming the gender perspective as a cross-sectoral issue not only in climate change policies but in other relevant policy areas and provides recommendations for further advancement of gender mainstreaming in monitoring climate change and policy making.</w:t>
      </w:r>
    </w:p>
    <w:p w14:paraId="17EA3654" w14:textId="32844435" w:rsidR="00C67DD9" w:rsidRDefault="00C67DD9" w:rsidP="008668AC">
      <w:r>
        <w:t>During the implementation so far, the PIU made a concerted effort for ensuring and recording women's involvement in the project, namely participation of women in capacity building events. The statistics about the participants in the training component at the MTR stage show a very good gender balance of the trainees.</w:t>
      </w:r>
    </w:p>
    <w:p w14:paraId="3D2C1F72" w14:textId="42B02760" w:rsidR="00CF15B5" w:rsidRDefault="00CF15B5" w:rsidP="008668AC">
      <w:pPr>
        <w:rPr>
          <w:sz w:val="23"/>
          <w:szCs w:val="23"/>
        </w:rPr>
      </w:pPr>
      <w:r>
        <w:t xml:space="preserve">Representatives of the CBIT project actively participated in the </w:t>
      </w:r>
      <w:r>
        <w:rPr>
          <w:sz w:val="23"/>
          <w:szCs w:val="23"/>
        </w:rPr>
        <w:t xml:space="preserve">gender-focused network in the </w:t>
      </w:r>
      <w:r w:rsidR="006E4805">
        <w:rPr>
          <w:sz w:val="23"/>
          <w:szCs w:val="23"/>
        </w:rPr>
        <w:t xml:space="preserve">Western </w:t>
      </w:r>
      <w:r>
        <w:rPr>
          <w:sz w:val="23"/>
          <w:szCs w:val="23"/>
        </w:rPr>
        <w:t>Balkan</w:t>
      </w:r>
      <w:r w:rsidR="006E4805">
        <w:rPr>
          <w:sz w:val="23"/>
          <w:szCs w:val="23"/>
        </w:rPr>
        <w:t>s</w:t>
      </w:r>
      <w:r>
        <w:rPr>
          <w:sz w:val="23"/>
          <w:szCs w:val="23"/>
        </w:rPr>
        <w:t xml:space="preserve"> and Lebanon supported by the </w:t>
      </w:r>
      <w:r w:rsidR="00C67DD9">
        <w:rPr>
          <w:sz w:val="23"/>
          <w:szCs w:val="23"/>
        </w:rPr>
        <w:t>GSP</w:t>
      </w:r>
      <w:r w:rsidR="00D26152">
        <w:rPr>
          <w:sz w:val="23"/>
          <w:szCs w:val="23"/>
        </w:rPr>
        <w:t xml:space="preserve">. </w:t>
      </w:r>
      <w:r>
        <w:rPr>
          <w:sz w:val="23"/>
          <w:szCs w:val="23"/>
        </w:rPr>
        <w:t xml:space="preserve"> </w:t>
      </w:r>
      <w:r w:rsidR="006E4805">
        <w:rPr>
          <w:sz w:val="23"/>
          <w:szCs w:val="23"/>
        </w:rPr>
        <w:t xml:space="preserve">In the workshop organized in February 2020, the participants exchanged information on status of gender </w:t>
      </w:r>
      <w:r w:rsidR="006E4805" w:rsidRPr="006E4805">
        <w:rPr>
          <w:sz w:val="23"/>
          <w:szCs w:val="23"/>
        </w:rPr>
        <w:t xml:space="preserve">mainstreaming into </w:t>
      </w:r>
      <w:r w:rsidR="006E4805">
        <w:rPr>
          <w:sz w:val="23"/>
          <w:szCs w:val="23"/>
        </w:rPr>
        <w:t xml:space="preserve">their respective </w:t>
      </w:r>
      <w:r w:rsidR="006E4805" w:rsidRPr="006E4805">
        <w:rPr>
          <w:sz w:val="23"/>
          <w:szCs w:val="23"/>
        </w:rPr>
        <w:t xml:space="preserve">climate change projects and </w:t>
      </w:r>
      <w:r w:rsidR="006E4805">
        <w:rPr>
          <w:sz w:val="23"/>
          <w:szCs w:val="23"/>
        </w:rPr>
        <w:t xml:space="preserve">discussed approaches for inclusion of </w:t>
      </w:r>
      <w:r w:rsidR="006E4805" w:rsidRPr="006E4805">
        <w:rPr>
          <w:sz w:val="23"/>
          <w:szCs w:val="23"/>
        </w:rPr>
        <w:t xml:space="preserve">gender aspects </w:t>
      </w:r>
      <w:r w:rsidR="006E4805">
        <w:rPr>
          <w:sz w:val="23"/>
          <w:szCs w:val="23"/>
        </w:rPr>
        <w:t xml:space="preserve">for reporting under </w:t>
      </w:r>
      <w:r w:rsidR="006E4805" w:rsidRPr="006E4805">
        <w:rPr>
          <w:sz w:val="23"/>
          <w:szCs w:val="23"/>
        </w:rPr>
        <w:t>UNFCCC (NCs</w:t>
      </w:r>
      <w:r w:rsidR="006E4805">
        <w:rPr>
          <w:sz w:val="23"/>
          <w:szCs w:val="23"/>
        </w:rPr>
        <w:t xml:space="preserve"> and </w:t>
      </w:r>
      <w:r w:rsidR="006E4805" w:rsidRPr="006E4805">
        <w:rPr>
          <w:sz w:val="23"/>
          <w:szCs w:val="23"/>
        </w:rPr>
        <w:t>BURs).</w:t>
      </w:r>
    </w:p>
    <w:p w14:paraId="43288E4B" w14:textId="3E6E2FD0" w:rsidR="00E525B0" w:rsidRDefault="00E525B0" w:rsidP="008668AC">
      <w:pPr>
        <w:rPr>
          <w:sz w:val="23"/>
          <w:szCs w:val="23"/>
        </w:rPr>
      </w:pPr>
      <w:r>
        <w:rPr>
          <w:sz w:val="23"/>
          <w:szCs w:val="23"/>
        </w:rPr>
        <w:lastRenderedPageBreak/>
        <w:t>A virtual b</w:t>
      </w:r>
      <w:r w:rsidRPr="00E525B0">
        <w:rPr>
          <w:sz w:val="23"/>
          <w:szCs w:val="23"/>
        </w:rPr>
        <w:t xml:space="preserve">ilateral </w:t>
      </w:r>
      <w:r>
        <w:rPr>
          <w:sz w:val="23"/>
          <w:szCs w:val="23"/>
        </w:rPr>
        <w:t>c</w:t>
      </w:r>
      <w:r w:rsidRPr="00E525B0">
        <w:rPr>
          <w:sz w:val="23"/>
          <w:szCs w:val="23"/>
        </w:rPr>
        <w:t xml:space="preserve">onsultation on </w:t>
      </w:r>
      <w:r>
        <w:rPr>
          <w:sz w:val="23"/>
          <w:szCs w:val="23"/>
        </w:rPr>
        <w:t>m</w:t>
      </w:r>
      <w:r w:rsidRPr="00E525B0">
        <w:rPr>
          <w:sz w:val="23"/>
          <w:szCs w:val="23"/>
        </w:rPr>
        <w:t xml:space="preserve">ainstreaming </w:t>
      </w:r>
      <w:r>
        <w:rPr>
          <w:sz w:val="23"/>
          <w:szCs w:val="23"/>
        </w:rPr>
        <w:t>g</w:t>
      </w:r>
      <w:r w:rsidRPr="00E525B0">
        <w:rPr>
          <w:sz w:val="23"/>
          <w:szCs w:val="23"/>
        </w:rPr>
        <w:t>ender into</w:t>
      </w:r>
      <w:r>
        <w:rPr>
          <w:sz w:val="23"/>
          <w:szCs w:val="23"/>
        </w:rPr>
        <w:t xml:space="preserve"> CC was organized </w:t>
      </w:r>
      <w:r w:rsidR="00C67DD9">
        <w:rPr>
          <w:sz w:val="23"/>
          <w:szCs w:val="23"/>
        </w:rPr>
        <w:t xml:space="preserve">in August 2020 </w:t>
      </w:r>
      <w:r>
        <w:rPr>
          <w:sz w:val="23"/>
          <w:szCs w:val="23"/>
        </w:rPr>
        <w:t>for s</w:t>
      </w:r>
      <w:r w:rsidRPr="00E525B0">
        <w:rPr>
          <w:sz w:val="23"/>
          <w:szCs w:val="23"/>
        </w:rPr>
        <w:t xml:space="preserve">haring </w:t>
      </w:r>
      <w:r>
        <w:rPr>
          <w:sz w:val="23"/>
          <w:szCs w:val="23"/>
        </w:rPr>
        <w:t xml:space="preserve">the Serbian </w:t>
      </w:r>
      <w:r w:rsidR="00C67DD9">
        <w:rPr>
          <w:sz w:val="23"/>
          <w:szCs w:val="23"/>
        </w:rPr>
        <w:t>e</w:t>
      </w:r>
      <w:r w:rsidRPr="00E525B0">
        <w:rPr>
          <w:sz w:val="23"/>
          <w:szCs w:val="23"/>
        </w:rPr>
        <w:t>xperience</w:t>
      </w:r>
      <w:r w:rsidR="00C67DD9">
        <w:rPr>
          <w:sz w:val="23"/>
          <w:szCs w:val="23"/>
        </w:rPr>
        <w:t xml:space="preserve"> on gender in CC </w:t>
      </w:r>
      <w:r>
        <w:rPr>
          <w:sz w:val="23"/>
          <w:szCs w:val="23"/>
        </w:rPr>
        <w:t xml:space="preserve">with </w:t>
      </w:r>
      <w:r w:rsidRPr="00E525B0">
        <w:rPr>
          <w:sz w:val="23"/>
          <w:szCs w:val="23"/>
        </w:rPr>
        <w:t>Kazakhstan</w:t>
      </w:r>
      <w:r w:rsidR="00C67DD9">
        <w:rPr>
          <w:sz w:val="23"/>
          <w:szCs w:val="23"/>
        </w:rPr>
        <w:t xml:space="preserve">. The Serbian participants presented lessons learned from the country’s experience from </w:t>
      </w:r>
      <w:r w:rsidR="00C67DD9" w:rsidRPr="00C67DD9">
        <w:rPr>
          <w:sz w:val="23"/>
          <w:szCs w:val="23"/>
        </w:rPr>
        <w:t xml:space="preserve">accelerated gender mainstreaming process into </w:t>
      </w:r>
      <w:r w:rsidR="00C67DD9">
        <w:rPr>
          <w:sz w:val="23"/>
          <w:szCs w:val="23"/>
        </w:rPr>
        <w:t xml:space="preserve">climate </w:t>
      </w:r>
      <w:r w:rsidR="00C67DD9" w:rsidRPr="00C67DD9">
        <w:rPr>
          <w:sz w:val="23"/>
          <w:szCs w:val="23"/>
        </w:rPr>
        <w:t>policy through “learning by doing”</w:t>
      </w:r>
      <w:r w:rsidR="00C67DD9">
        <w:rPr>
          <w:sz w:val="23"/>
          <w:szCs w:val="23"/>
        </w:rPr>
        <w:t>.</w:t>
      </w:r>
    </w:p>
    <w:p w14:paraId="3A223DF1" w14:textId="77777777" w:rsidR="009655DB" w:rsidRPr="00D83C59" w:rsidRDefault="009655DB" w:rsidP="008A2614">
      <w:pPr>
        <w:pStyle w:val="Heading2"/>
      </w:pPr>
      <w:bookmarkStart w:id="58" w:name="_Toc515816660"/>
      <w:bookmarkStart w:id="59" w:name="_Toc66777421"/>
      <w:r w:rsidRPr="00D83C59">
        <w:t>Sustainability</w:t>
      </w:r>
      <w:bookmarkEnd w:id="58"/>
      <w:bookmarkEnd w:id="59"/>
    </w:p>
    <w:p w14:paraId="4EAF0843" w14:textId="15583A51" w:rsidR="00B51840" w:rsidRDefault="00EF5829" w:rsidP="00B51840">
      <w:r>
        <w:t>S</w:t>
      </w:r>
      <w:r w:rsidR="00B51840" w:rsidRPr="00B51840">
        <w:t>ustainability</w:t>
      </w:r>
      <w:r w:rsidR="006A130F">
        <w:t xml:space="preserve"> </w:t>
      </w:r>
      <w:r w:rsidR="00C70A25">
        <w:t>is defined as c</w:t>
      </w:r>
      <w:r w:rsidR="00B51840" w:rsidRPr="00B51840">
        <w:t xml:space="preserve">ontinuation of benefits from an intervention after </w:t>
      </w:r>
      <w:r w:rsidR="00AA4281">
        <w:t xml:space="preserve">a </w:t>
      </w:r>
      <w:r w:rsidR="00B51840" w:rsidRPr="00B51840">
        <w:t>development assistance has been completed</w:t>
      </w:r>
      <w:r w:rsidR="00C70A25">
        <w:t xml:space="preserve">. </w:t>
      </w:r>
      <w:r w:rsidR="00B51840">
        <w:t>T</w:t>
      </w:r>
      <w:r w:rsidR="00B51840" w:rsidRPr="00B51840">
        <w:t xml:space="preserve">he important aspect </w:t>
      </w:r>
      <w:r w:rsidR="00C70A25">
        <w:t xml:space="preserve">here </w:t>
      </w:r>
      <w:r w:rsidR="00B51840" w:rsidRPr="00B51840">
        <w:t xml:space="preserve">is the sustainability of results, not necessarily sustainability of </w:t>
      </w:r>
      <w:r w:rsidR="00AE2920">
        <w:t xml:space="preserve">the </w:t>
      </w:r>
      <w:r w:rsidR="00B51840" w:rsidRPr="00B51840">
        <w:t xml:space="preserve">activities that </w:t>
      </w:r>
      <w:r w:rsidR="00AE2920">
        <w:t xml:space="preserve">had </w:t>
      </w:r>
      <w:r w:rsidR="00B51840" w:rsidRPr="00B51840">
        <w:t xml:space="preserve">produced </w:t>
      </w:r>
      <w:r w:rsidR="00C70A25">
        <w:t xml:space="preserve">the </w:t>
      </w:r>
      <w:r w:rsidR="00B51840" w:rsidRPr="00B51840">
        <w:t xml:space="preserve">results. </w:t>
      </w:r>
      <w:r w:rsidR="00AE2920">
        <w:t>The a</w:t>
      </w:r>
      <w:r w:rsidR="00C70A25">
        <w:t xml:space="preserve">ssessment of sustainability </w:t>
      </w:r>
      <w:r w:rsidR="00C70A25" w:rsidRPr="00B51840">
        <w:t xml:space="preserve">requires </w:t>
      </w:r>
      <w:r w:rsidR="00C70A25">
        <w:t>evaluation of</w:t>
      </w:r>
      <w:r w:rsidR="00C70A25" w:rsidRPr="00B51840">
        <w:t xml:space="preserve"> risks that may affect t</w:t>
      </w:r>
      <w:r w:rsidR="00C70A25">
        <w:t>he contin</w:t>
      </w:r>
      <w:r w:rsidR="00AA4281">
        <w:t>ued use</w:t>
      </w:r>
      <w:r w:rsidR="00C70A25">
        <w:t xml:space="preserve"> of the project</w:t>
      </w:r>
      <w:r w:rsidR="00C70A25" w:rsidRPr="00B51840">
        <w:t xml:space="preserve"> </w:t>
      </w:r>
      <w:r w:rsidR="00AE2920">
        <w:t>results</w:t>
      </w:r>
      <w:r w:rsidR="00C70A25" w:rsidRPr="00B51840">
        <w:t>.</w:t>
      </w:r>
    </w:p>
    <w:p w14:paraId="52499E98" w14:textId="77777777" w:rsidR="009655DB" w:rsidRDefault="009655DB" w:rsidP="00BA6887">
      <w:pPr>
        <w:pStyle w:val="Heading3"/>
      </w:pPr>
      <w:bookmarkStart w:id="60" w:name="_Toc515816661"/>
      <w:bookmarkStart w:id="61" w:name="_Toc66777422"/>
      <w:r w:rsidRPr="00A65B20">
        <w:t>Financial sustainability</w:t>
      </w:r>
      <w:bookmarkEnd w:id="60"/>
      <w:bookmarkEnd w:id="61"/>
    </w:p>
    <w:p w14:paraId="7BC8AE43" w14:textId="01E57113" w:rsidR="00A43C20" w:rsidRDefault="00A43C20" w:rsidP="00A43C20">
      <w:r>
        <w:t xml:space="preserve">Over recent years, preparation of GHG inventories and CC reporting </w:t>
      </w:r>
      <w:r w:rsidR="00C37121">
        <w:t>in Serbia ha</w:t>
      </w:r>
      <w:r>
        <w:t>ve</w:t>
      </w:r>
      <w:r w:rsidR="00C37121">
        <w:t xml:space="preserve"> been mainly dependent on </w:t>
      </w:r>
      <w:r w:rsidR="00A10ACD">
        <w:t>donor financing</w:t>
      </w:r>
      <w:r>
        <w:t xml:space="preserve">. </w:t>
      </w:r>
      <w:proofErr w:type="gramStart"/>
      <w:r w:rsidR="00CC0D5F">
        <w:t>A m</w:t>
      </w:r>
      <w:r w:rsidR="001E1CDE">
        <w:t>ajority of</w:t>
      </w:r>
      <w:proofErr w:type="gramEnd"/>
      <w:r w:rsidR="001E1CDE">
        <w:t xml:space="preserve"> fund</w:t>
      </w:r>
      <w:r w:rsidR="00CC0D5F">
        <w:t>s</w:t>
      </w:r>
      <w:r w:rsidR="001E1CDE">
        <w:t xml:space="preserve"> has been provided through three projects</w:t>
      </w:r>
      <w:r w:rsidR="00A75777">
        <w:t xml:space="preserve"> funded by the EU IPA II instrument with </w:t>
      </w:r>
      <w:r w:rsidR="00CC0D5F">
        <w:t xml:space="preserve">additional </w:t>
      </w:r>
      <w:r w:rsidR="00A75777">
        <w:t xml:space="preserve">contributions from other sources (e.g. GEF CBIT initiative). </w:t>
      </w:r>
      <w:r>
        <w:t xml:space="preserve">It is expected that the continued operation of the MRV system will depend on </w:t>
      </w:r>
      <w:r w:rsidR="00A10ACD">
        <w:t xml:space="preserve">availability of donor </w:t>
      </w:r>
      <w:r>
        <w:t>financing.</w:t>
      </w:r>
      <w:r w:rsidR="00A10ACD">
        <w:t xml:space="preserve"> </w:t>
      </w:r>
    </w:p>
    <w:p w14:paraId="0733AD02" w14:textId="033A867B" w:rsidR="00A75777" w:rsidRDefault="00A75777" w:rsidP="00A43C20">
      <w:r>
        <w:t>Enviro</w:t>
      </w:r>
      <w:r w:rsidR="00CA38B1">
        <w:t xml:space="preserve">nment and Climate Action </w:t>
      </w:r>
      <w:r>
        <w:t xml:space="preserve">was one of </w:t>
      </w:r>
      <w:r w:rsidR="00A10ACD">
        <w:t xml:space="preserve">the </w:t>
      </w:r>
      <w:r w:rsidR="00CA38B1">
        <w:t xml:space="preserve">priority sectors during the IPA II period (2014-2020) and remains amongst the priority sectors also for the </w:t>
      </w:r>
      <w:r w:rsidR="00CC0D5F">
        <w:t xml:space="preserve">current </w:t>
      </w:r>
      <w:r w:rsidR="00CA38B1">
        <w:t xml:space="preserve">IPA III period (2021-2027). </w:t>
      </w:r>
      <w:r w:rsidR="00BE043B">
        <w:t xml:space="preserve">It is reasonable to expect that the Government will allocate necessary co-financing resources if necessary. </w:t>
      </w:r>
      <w:r w:rsidR="00CA38B1">
        <w:t xml:space="preserve">Therefore, it is expected that </w:t>
      </w:r>
      <w:r w:rsidR="00A43C20">
        <w:t xml:space="preserve">both the UN multilateral funding as well as the </w:t>
      </w:r>
      <w:r w:rsidR="00CC0D5F">
        <w:t xml:space="preserve">EU funding will continue to be </w:t>
      </w:r>
      <w:r w:rsidR="00CA38B1">
        <w:t>available</w:t>
      </w:r>
      <w:r w:rsidR="00CC0D5F">
        <w:t xml:space="preserve"> </w:t>
      </w:r>
      <w:r w:rsidR="00A43C20">
        <w:t xml:space="preserve">for maintenance and eventual further upgrade of the MRV system </w:t>
      </w:r>
      <w:r w:rsidR="00CC0D5F">
        <w:t xml:space="preserve">until Serbia </w:t>
      </w:r>
      <w:r w:rsidR="00A43C20">
        <w:t xml:space="preserve">joins </w:t>
      </w:r>
      <w:r w:rsidR="00CC0D5F">
        <w:t>the EU.</w:t>
      </w:r>
      <w:r w:rsidR="00CA38B1">
        <w:t xml:space="preserve"> </w:t>
      </w:r>
    </w:p>
    <w:p w14:paraId="7745D9D2" w14:textId="4730CF43" w:rsidR="006C2BD5" w:rsidRDefault="005F3DB7" w:rsidP="006C2BD5">
      <w:r>
        <w:t>Enhanced compliance with the new requirements</w:t>
      </w:r>
      <w:r w:rsidR="006C2BD5">
        <w:t xml:space="preserve"> </w:t>
      </w:r>
      <w:r>
        <w:t xml:space="preserve">for transparency in reporting to </w:t>
      </w:r>
      <w:r w:rsidR="006C2BD5">
        <w:t>UNFCCC</w:t>
      </w:r>
      <w:r>
        <w:t xml:space="preserve"> </w:t>
      </w:r>
      <w:r w:rsidR="00251434">
        <w:t xml:space="preserve">that is </w:t>
      </w:r>
      <w:r>
        <w:t xml:space="preserve">expected as a result of the project will </w:t>
      </w:r>
      <w:r w:rsidR="00251434">
        <w:t xml:space="preserve">facilitate </w:t>
      </w:r>
      <w:r w:rsidR="00CB70FF">
        <w:t xml:space="preserve">future </w:t>
      </w:r>
      <w:r>
        <w:t xml:space="preserve">access to </w:t>
      </w:r>
      <w:r w:rsidR="00251434">
        <w:t xml:space="preserve">bilateral and multilateral </w:t>
      </w:r>
      <w:r w:rsidR="006C2BD5">
        <w:t>climate financing</w:t>
      </w:r>
      <w:r>
        <w:t xml:space="preserve"> </w:t>
      </w:r>
      <w:r w:rsidR="00251434">
        <w:t>sources.</w:t>
      </w:r>
    </w:p>
    <w:p w14:paraId="1B871786" w14:textId="300341AE" w:rsidR="00AE694E" w:rsidRDefault="00AE694E" w:rsidP="005E3313">
      <w:r>
        <w:t xml:space="preserve">Financial sustainability of the project is rated </w:t>
      </w:r>
      <w:r w:rsidR="00CC0D5F">
        <w:rPr>
          <w:b/>
          <w:bCs/>
        </w:rPr>
        <w:t xml:space="preserve">Likely </w:t>
      </w:r>
      <w:r w:rsidRPr="00AE694E">
        <w:rPr>
          <w:b/>
          <w:bCs/>
        </w:rPr>
        <w:t>(</w:t>
      </w:r>
      <w:r w:rsidR="006C76CC">
        <w:rPr>
          <w:b/>
          <w:bCs/>
        </w:rPr>
        <w:t>L</w:t>
      </w:r>
      <w:r w:rsidRPr="00AE694E">
        <w:rPr>
          <w:b/>
          <w:bCs/>
        </w:rPr>
        <w:t>)</w:t>
      </w:r>
      <w:r>
        <w:rPr>
          <w:b/>
          <w:bCs/>
        </w:rPr>
        <w:t>.</w:t>
      </w:r>
    </w:p>
    <w:p w14:paraId="5AF50F57" w14:textId="1361D070" w:rsidR="00CC0D5F" w:rsidRDefault="00CC0D5F" w:rsidP="00CC0D5F">
      <w:pPr>
        <w:pStyle w:val="Heading3"/>
      </w:pPr>
      <w:bookmarkStart w:id="62" w:name="_Toc515816663"/>
      <w:bookmarkStart w:id="63" w:name="_Toc66777423"/>
      <w:bookmarkStart w:id="64" w:name="_Toc515816662"/>
      <w:r w:rsidRPr="00D83C59">
        <w:t>Institutional framework and governance sustainability</w:t>
      </w:r>
      <w:bookmarkEnd w:id="62"/>
      <w:bookmarkEnd w:id="63"/>
    </w:p>
    <w:p w14:paraId="6587FC5B" w14:textId="29571959" w:rsidR="006C76CC" w:rsidRDefault="00CC0D5F" w:rsidP="00CC0D5F">
      <w:pPr>
        <w:rPr>
          <w:lang w:eastAsia="x-none"/>
        </w:rPr>
      </w:pPr>
      <w:r>
        <w:rPr>
          <w:lang w:eastAsia="x-none"/>
        </w:rPr>
        <w:t xml:space="preserve">The existing </w:t>
      </w:r>
      <w:r w:rsidR="00BE043B">
        <w:rPr>
          <w:lang w:eastAsia="x-none"/>
        </w:rPr>
        <w:t xml:space="preserve">institutional framework </w:t>
      </w:r>
      <w:r w:rsidRPr="00CC0D5F">
        <w:rPr>
          <w:lang w:eastAsia="x-none"/>
        </w:rPr>
        <w:t xml:space="preserve">for tracking GHG emissions and </w:t>
      </w:r>
      <w:r w:rsidR="00BE043B">
        <w:rPr>
          <w:lang w:eastAsia="x-none"/>
        </w:rPr>
        <w:t xml:space="preserve">CC </w:t>
      </w:r>
      <w:r w:rsidRPr="00CC0D5F">
        <w:rPr>
          <w:lang w:eastAsia="x-none"/>
        </w:rPr>
        <w:t>mitigation actions</w:t>
      </w:r>
      <w:r>
        <w:rPr>
          <w:lang w:eastAsia="x-none"/>
        </w:rPr>
        <w:t xml:space="preserve"> has been relatively strong in Serbia as a result of</w:t>
      </w:r>
      <w:r w:rsidR="00BE043B">
        <w:rPr>
          <w:lang w:eastAsia="x-none"/>
        </w:rPr>
        <w:t xml:space="preserve"> </w:t>
      </w:r>
      <w:r w:rsidR="006C76CC">
        <w:rPr>
          <w:lang w:eastAsia="x-none"/>
        </w:rPr>
        <w:t xml:space="preserve">the fact that the CBIT project could build upon achievements of the previous </w:t>
      </w:r>
      <w:r w:rsidR="00BE043B">
        <w:rPr>
          <w:lang w:eastAsia="x-none"/>
        </w:rPr>
        <w:t xml:space="preserve">support through two EU-funded projects. </w:t>
      </w:r>
      <w:r w:rsidR="00A43C20">
        <w:rPr>
          <w:lang w:eastAsia="x-none"/>
        </w:rPr>
        <w:t xml:space="preserve">There is a need </w:t>
      </w:r>
      <w:r w:rsidR="00BE043B" w:rsidRPr="00BE043B">
        <w:rPr>
          <w:lang w:eastAsia="x-none"/>
        </w:rPr>
        <w:t xml:space="preserve">to further </w:t>
      </w:r>
      <w:r w:rsidR="006C76CC">
        <w:rPr>
          <w:lang w:eastAsia="x-none"/>
        </w:rPr>
        <w:t xml:space="preserve">strengthen </w:t>
      </w:r>
      <w:r w:rsidR="00BE043B">
        <w:rPr>
          <w:lang w:eastAsia="x-none"/>
        </w:rPr>
        <w:t xml:space="preserve">the CC </w:t>
      </w:r>
      <w:r w:rsidR="00BE043B" w:rsidRPr="00BE043B">
        <w:rPr>
          <w:lang w:eastAsia="x-none"/>
        </w:rPr>
        <w:t xml:space="preserve">adaptation </w:t>
      </w:r>
      <w:r w:rsidR="00A43C20">
        <w:rPr>
          <w:lang w:eastAsia="x-none"/>
        </w:rPr>
        <w:t xml:space="preserve">part </w:t>
      </w:r>
      <w:r w:rsidR="00BE043B" w:rsidRPr="00BE043B">
        <w:rPr>
          <w:lang w:eastAsia="x-none"/>
        </w:rPr>
        <w:t xml:space="preserve">and </w:t>
      </w:r>
      <w:r w:rsidR="00A43C20">
        <w:rPr>
          <w:lang w:eastAsia="x-none"/>
        </w:rPr>
        <w:t xml:space="preserve">also </w:t>
      </w:r>
      <w:r w:rsidR="00BE043B" w:rsidRPr="00BE043B">
        <w:rPr>
          <w:lang w:eastAsia="x-none"/>
        </w:rPr>
        <w:t>make stronger links with the disaster risk assessments and management</w:t>
      </w:r>
      <w:r w:rsidR="00BE043B">
        <w:rPr>
          <w:lang w:eastAsia="x-none"/>
        </w:rPr>
        <w:t xml:space="preserve">. </w:t>
      </w:r>
      <w:r>
        <w:rPr>
          <w:lang w:eastAsia="x-none"/>
        </w:rPr>
        <w:t xml:space="preserve"> </w:t>
      </w:r>
    </w:p>
    <w:p w14:paraId="3EE71E1C" w14:textId="4797BA47" w:rsidR="00E63672" w:rsidRDefault="006C76CC" w:rsidP="00E63672">
      <w:pPr>
        <w:rPr>
          <w:lang w:eastAsia="x-none"/>
        </w:rPr>
      </w:pPr>
      <w:r>
        <w:rPr>
          <w:lang w:eastAsia="x-none"/>
        </w:rPr>
        <w:t xml:space="preserve">Harmonization of Serbia’s legislation with </w:t>
      </w:r>
      <w:r w:rsidRPr="006C76CC">
        <w:rPr>
          <w:i/>
          <w:iCs/>
          <w:lang w:eastAsia="x-none"/>
        </w:rPr>
        <w:t>EU acquis</w:t>
      </w:r>
      <w:r>
        <w:rPr>
          <w:lang w:eastAsia="x-none"/>
        </w:rPr>
        <w:t xml:space="preserve"> will be t</w:t>
      </w:r>
      <w:r w:rsidR="00BE043B">
        <w:rPr>
          <w:lang w:eastAsia="x-none"/>
        </w:rPr>
        <w:t xml:space="preserve">he main driver for </w:t>
      </w:r>
      <w:r>
        <w:rPr>
          <w:lang w:eastAsia="x-none"/>
        </w:rPr>
        <w:t xml:space="preserve">development of relevant </w:t>
      </w:r>
      <w:r w:rsidR="00A43C20">
        <w:rPr>
          <w:lang w:eastAsia="x-none"/>
        </w:rPr>
        <w:t xml:space="preserve">CC </w:t>
      </w:r>
      <w:r>
        <w:rPr>
          <w:lang w:eastAsia="x-none"/>
        </w:rPr>
        <w:t xml:space="preserve">institutional and governance frameworks for the years to come. </w:t>
      </w:r>
      <w:r w:rsidR="00E63672">
        <w:rPr>
          <w:lang w:eastAsia="x-none"/>
        </w:rPr>
        <w:t xml:space="preserve">Also, the advanced process of revision of the Climate Change Law indicates strong commitment of the Government to the CC </w:t>
      </w:r>
      <w:r w:rsidR="00405956">
        <w:rPr>
          <w:lang w:eastAsia="x-none"/>
        </w:rPr>
        <w:t>agenda.</w:t>
      </w:r>
    </w:p>
    <w:p w14:paraId="7BD82702" w14:textId="7E4E8B7D" w:rsidR="00CC0D5F" w:rsidRDefault="006C76CC" w:rsidP="00CC0D5F">
      <w:pPr>
        <w:rPr>
          <w:lang w:eastAsia="x-none"/>
        </w:rPr>
      </w:pPr>
      <w:r>
        <w:rPr>
          <w:lang w:eastAsia="x-none"/>
        </w:rPr>
        <w:t xml:space="preserve">Therefore, it is expected that the national institutional and governance frameworks for CC will </w:t>
      </w:r>
      <w:r w:rsidR="00A43C20">
        <w:rPr>
          <w:lang w:eastAsia="x-none"/>
        </w:rPr>
        <w:t xml:space="preserve">be sustained and even strengthened </w:t>
      </w:r>
      <w:r>
        <w:rPr>
          <w:lang w:eastAsia="x-none"/>
        </w:rPr>
        <w:t xml:space="preserve">during the process of Serbia’s accession to EU. </w:t>
      </w:r>
      <w:r>
        <w:rPr>
          <w:lang w:eastAsia="x-none"/>
        </w:rPr>
        <w:lastRenderedPageBreak/>
        <w:t xml:space="preserve">However, the human resources </w:t>
      </w:r>
      <w:r w:rsidR="00E63672">
        <w:rPr>
          <w:lang w:eastAsia="x-none"/>
        </w:rPr>
        <w:t xml:space="preserve">part of the institutions has been </w:t>
      </w:r>
      <w:r>
        <w:rPr>
          <w:lang w:eastAsia="x-none"/>
        </w:rPr>
        <w:t>fragile due to relatively high staff turnover in relevant institutions of the Government.</w:t>
      </w:r>
      <w:r w:rsidR="00177B1A">
        <w:rPr>
          <w:lang w:eastAsia="x-none"/>
        </w:rPr>
        <w:t xml:space="preserve"> </w:t>
      </w:r>
    </w:p>
    <w:p w14:paraId="364F1432" w14:textId="566AB7B9" w:rsidR="00CC0D5F" w:rsidRPr="009A35C7" w:rsidRDefault="00CC0D5F" w:rsidP="00CC0D5F">
      <w:pPr>
        <w:pStyle w:val="NoSpacing"/>
        <w:spacing w:before="120" w:line="276" w:lineRule="auto"/>
        <w:jc w:val="both"/>
      </w:pPr>
      <w:r>
        <w:t xml:space="preserve">Institutional and governance sustainability of the project is rated </w:t>
      </w:r>
      <w:r w:rsidR="006C76CC">
        <w:rPr>
          <w:b/>
          <w:bCs/>
        </w:rPr>
        <w:t xml:space="preserve">Likely </w:t>
      </w:r>
      <w:r w:rsidRPr="00AE694E">
        <w:rPr>
          <w:b/>
          <w:bCs/>
        </w:rPr>
        <w:t>(</w:t>
      </w:r>
      <w:r w:rsidR="006C76CC">
        <w:rPr>
          <w:b/>
          <w:bCs/>
        </w:rPr>
        <w:t>L</w:t>
      </w:r>
      <w:r w:rsidRPr="00AE694E">
        <w:rPr>
          <w:b/>
          <w:bCs/>
        </w:rPr>
        <w:t>)</w:t>
      </w:r>
      <w:r>
        <w:rPr>
          <w:b/>
          <w:bCs/>
        </w:rPr>
        <w:t>.</w:t>
      </w:r>
    </w:p>
    <w:p w14:paraId="289E39C9" w14:textId="7C58FC89" w:rsidR="009655DB" w:rsidRDefault="009655DB" w:rsidP="00BA6887">
      <w:pPr>
        <w:pStyle w:val="Heading3"/>
      </w:pPr>
      <w:bookmarkStart w:id="65" w:name="_Toc66777424"/>
      <w:r w:rsidRPr="009A35C7">
        <w:t>Socio-economic sustainability</w:t>
      </w:r>
      <w:bookmarkEnd w:id="64"/>
      <w:bookmarkEnd w:id="65"/>
    </w:p>
    <w:p w14:paraId="6783F1C7" w14:textId="1C03F3EB" w:rsidR="00E63672" w:rsidRDefault="00E63672" w:rsidP="009A35C7">
      <w:pPr>
        <w:pStyle w:val="NoSpacing"/>
        <w:spacing w:before="120" w:line="276" w:lineRule="auto"/>
        <w:jc w:val="both"/>
      </w:pPr>
      <w:r>
        <w:t>There are no major social and/or political risks to sustainability of the project results as Serbia remains fully devoted to the process of EU accession and the commitment to and ownership of the MRV system by relevant stakeholders has been stable over the recent years.</w:t>
      </w:r>
      <w:r w:rsidR="00BF1A7E">
        <w:t xml:space="preserve"> It is not expected that political preferences would change</w:t>
      </w:r>
      <w:r w:rsidR="00F60E9C">
        <w:t xml:space="preserve"> in the near or medium-term future.</w:t>
      </w:r>
    </w:p>
    <w:p w14:paraId="3DF4103C" w14:textId="4FB412B2" w:rsidR="00F60E9C" w:rsidRDefault="00F60E9C" w:rsidP="009A35C7">
      <w:pPr>
        <w:pStyle w:val="NoSpacing"/>
        <w:spacing w:before="120" w:line="276" w:lineRule="auto"/>
        <w:jc w:val="both"/>
      </w:pPr>
      <w:r>
        <w:t xml:space="preserve">A </w:t>
      </w:r>
      <w:r w:rsidRPr="00F60E9C">
        <w:t>Study on the Socio-economic Aspects of Climate Change in Serbia</w:t>
      </w:r>
      <w:r>
        <w:t xml:space="preserve"> </w:t>
      </w:r>
      <w:r w:rsidR="00D66B5A">
        <w:t xml:space="preserve">was prepared under the CBIT project by two national consultants. </w:t>
      </w:r>
      <w:r w:rsidR="00D66B5A" w:rsidRPr="00D66B5A">
        <w:t xml:space="preserve">Analyses in this study confirm that transformation into a carbon-neutral and climate-adapted society, as well as all other processes, could </w:t>
      </w:r>
      <w:r w:rsidR="00D66B5A">
        <w:t xml:space="preserve">have negative effects on </w:t>
      </w:r>
      <w:r w:rsidR="00D66B5A" w:rsidRPr="00D66B5A">
        <w:t xml:space="preserve">vulnerable social groups that </w:t>
      </w:r>
      <w:r w:rsidR="00D66B5A">
        <w:t xml:space="preserve">will </w:t>
      </w:r>
      <w:r w:rsidR="00D66B5A" w:rsidRPr="00D66B5A">
        <w:t>require special care</w:t>
      </w:r>
      <w:r w:rsidR="00D66B5A">
        <w:t xml:space="preserve">. The study also highlighted a need </w:t>
      </w:r>
      <w:r w:rsidR="00D66B5A" w:rsidRPr="00D66B5A">
        <w:t xml:space="preserve">for </w:t>
      </w:r>
      <w:r w:rsidR="00D66B5A">
        <w:t xml:space="preserve">adaptation of the national </w:t>
      </w:r>
      <w:r w:rsidR="00D66B5A" w:rsidRPr="00D66B5A">
        <w:t xml:space="preserve">education system </w:t>
      </w:r>
      <w:r w:rsidR="00D66B5A">
        <w:t xml:space="preserve">in order </w:t>
      </w:r>
      <w:r w:rsidR="00D66B5A" w:rsidRPr="00D66B5A">
        <w:t xml:space="preserve">to </w:t>
      </w:r>
      <w:r w:rsidR="00D66B5A">
        <w:t xml:space="preserve">keep pace with </w:t>
      </w:r>
      <w:r w:rsidR="00D66B5A" w:rsidRPr="00D66B5A">
        <w:t>new practices, technologies and sectors</w:t>
      </w:r>
      <w:r w:rsidR="00D66B5A">
        <w:t xml:space="preserve"> related to CC mitigation and adaptation efforts</w:t>
      </w:r>
      <w:r w:rsidR="00D66B5A" w:rsidRPr="00D66B5A">
        <w:t>.</w:t>
      </w:r>
    </w:p>
    <w:p w14:paraId="337C1398" w14:textId="77777777" w:rsidR="008205B8" w:rsidRDefault="00D66B5A" w:rsidP="009A35C7">
      <w:pPr>
        <w:pStyle w:val="NoSpacing"/>
        <w:spacing w:before="120" w:line="276" w:lineRule="auto"/>
        <w:jc w:val="both"/>
      </w:pPr>
      <w:r>
        <w:t xml:space="preserve">The above study identifies root causes of potential negative effects and is therefore a base upon which effective solutions addressing the negative socio-economic effects could be developed. </w:t>
      </w:r>
    </w:p>
    <w:p w14:paraId="13DB9A43" w14:textId="3BB54ADE" w:rsidR="00AE694E" w:rsidRPr="00D66B5A" w:rsidRDefault="008205B8" w:rsidP="009A35C7">
      <w:pPr>
        <w:pStyle w:val="NoSpacing"/>
        <w:spacing w:before="120" w:line="276" w:lineRule="auto"/>
        <w:jc w:val="both"/>
      </w:pPr>
      <w:r>
        <w:t>Based on the above, s</w:t>
      </w:r>
      <w:r w:rsidR="00AE694E">
        <w:t xml:space="preserve">ocio-economic sustainability of the project is rated </w:t>
      </w:r>
      <w:r w:rsidR="00E63672">
        <w:rPr>
          <w:b/>
          <w:bCs/>
        </w:rPr>
        <w:t xml:space="preserve">Likely </w:t>
      </w:r>
      <w:r w:rsidR="00AE694E" w:rsidRPr="00AE694E">
        <w:rPr>
          <w:b/>
          <w:bCs/>
        </w:rPr>
        <w:t>(</w:t>
      </w:r>
      <w:r w:rsidR="00E63672">
        <w:rPr>
          <w:b/>
          <w:bCs/>
        </w:rPr>
        <w:t>L</w:t>
      </w:r>
      <w:r w:rsidR="00AE694E" w:rsidRPr="00AE694E">
        <w:rPr>
          <w:b/>
          <w:bCs/>
        </w:rPr>
        <w:t>)</w:t>
      </w:r>
      <w:r w:rsidR="00AE694E">
        <w:rPr>
          <w:b/>
          <w:bCs/>
        </w:rPr>
        <w:t>.</w:t>
      </w:r>
    </w:p>
    <w:p w14:paraId="04406678" w14:textId="77777777" w:rsidR="00D550FE" w:rsidRPr="00F20082" w:rsidRDefault="00940384" w:rsidP="00BA6887">
      <w:pPr>
        <w:pStyle w:val="Heading3"/>
      </w:pPr>
      <w:bookmarkStart w:id="66" w:name="_Toc515816664"/>
      <w:bookmarkStart w:id="67" w:name="_Toc66777425"/>
      <w:r w:rsidRPr="00F20082">
        <w:t>E</w:t>
      </w:r>
      <w:r w:rsidR="009655DB" w:rsidRPr="00F20082">
        <w:t>nvironmental sustainability</w:t>
      </w:r>
      <w:bookmarkEnd w:id="66"/>
      <w:bookmarkEnd w:id="67"/>
    </w:p>
    <w:p w14:paraId="5C299701" w14:textId="6754B21F" w:rsidR="00E63672" w:rsidRDefault="00E63672" w:rsidP="00D173EF">
      <w:r>
        <w:t xml:space="preserve">Climate change has been high on the political and societal agendas </w:t>
      </w:r>
      <w:r w:rsidR="00B66025">
        <w:t xml:space="preserve">for long term </w:t>
      </w:r>
      <w:r w:rsidR="008205B8">
        <w:t>documented by the country’s firm commitment to fulfil the obligations under the UNFCCC and thew PCA. T</w:t>
      </w:r>
      <w:r>
        <w:t>here are no environmental factors that could undermine the project results</w:t>
      </w:r>
      <w:r w:rsidR="00177B1A">
        <w:t xml:space="preserve"> in the foreseeable future.</w:t>
      </w:r>
      <w:r>
        <w:t xml:space="preserve"> </w:t>
      </w:r>
    </w:p>
    <w:p w14:paraId="2E896E6E" w14:textId="4381AE06" w:rsidR="00AE7EB7" w:rsidRDefault="009952CA" w:rsidP="00AE7EB7">
      <w:r>
        <w:t xml:space="preserve">Environmental sustainability of the project is rated </w:t>
      </w:r>
      <w:r w:rsidR="00177B1A">
        <w:rPr>
          <w:b/>
          <w:bCs/>
        </w:rPr>
        <w:t xml:space="preserve">Likely </w:t>
      </w:r>
      <w:r w:rsidRPr="00AE694E">
        <w:rPr>
          <w:b/>
          <w:bCs/>
        </w:rPr>
        <w:t>(</w:t>
      </w:r>
      <w:r w:rsidR="00177B1A">
        <w:rPr>
          <w:b/>
          <w:bCs/>
        </w:rPr>
        <w:t>L</w:t>
      </w:r>
      <w:r w:rsidRPr="00AE694E">
        <w:rPr>
          <w:b/>
          <w:bCs/>
        </w:rPr>
        <w:t>)</w:t>
      </w:r>
      <w:r>
        <w:rPr>
          <w:b/>
          <w:bCs/>
        </w:rPr>
        <w:t>.</w:t>
      </w:r>
    </w:p>
    <w:p w14:paraId="695E35B2" w14:textId="77777777" w:rsidR="00AE7EB7" w:rsidRPr="00B131FD" w:rsidRDefault="00AE7EB7" w:rsidP="00B131FD">
      <w:pPr>
        <w:sectPr w:rsidR="00AE7EB7" w:rsidRPr="00B131FD" w:rsidSect="00184B7A">
          <w:pgSz w:w="11900" w:h="16840"/>
          <w:pgMar w:top="1440" w:right="1440" w:bottom="1440" w:left="1440" w:header="708" w:footer="708" w:gutter="0"/>
          <w:cols w:space="708"/>
          <w:docGrid w:linePitch="360"/>
        </w:sectPr>
      </w:pPr>
    </w:p>
    <w:p w14:paraId="5E3ECF4B" w14:textId="77777777" w:rsidR="009655DB" w:rsidRDefault="009655DB" w:rsidP="00580CB8">
      <w:pPr>
        <w:pStyle w:val="Heading1"/>
        <w:rPr>
          <w:i/>
          <w:iCs/>
        </w:rPr>
      </w:pPr>
      <w:bookmarkStart w:id="68" w:name="_Toc515816665"/>
      <w:bookmarkStart w:id="69" w:name="_Toc66777426"/>
      <w:r w:rsidRPr="00D83C59">
        <w:lastRenderedPageBreak/>
        <w:t>Conclusions and Recommendations</w:t>
      </w:r>
      <w:bookmarkEnd w:id="68"/>
      <w:bookmarkEnd w:id="69"/>
    </w:p>
    <w:p w14:paraId="2AA36416" w14:textId="77777777" w:rsidR="00717DD9" w:rsidRPr="00B81BE2" w:rsidRDefault="00717DD9" w:rsidP="00717DD9">
      <w:r w:rsidRPr="00B81BE2">
        <w:t xml:space="preserve">Based on the previous section of </w:t>
      </w:r>
      <w:r>
        <w:t xml:space="preserve">the </w:t>
      </w:r>
      <w:r w:rsidRPr="00B81BE2">
        <w:t>fact</w:t>
      </w:r>
      <w:r>
        <w:t xml:space="preserve"> findings,</w:t>
      </w:r>
      <w:r w:rsidRPr="00B81BE2">
        <w:t xml:space="preserve"> this section synthesizes and interprets</w:t>
      </w:r>
      <w:r>
        <w:t xml:space="preserve"> </w:t>
      </w:r>
      <w:r w:rsidRPr="00B81BE2">
        <w:t xml:space="preserve">the findings into conclusions that make judgments supported by one or more specific findings. Recommendations are then specific actions the </w:t>
      </w:r>
      <w:r w:rsidR="000C504B">
        <w:t>MTR</w:t>
      </w:r>
      <w:r w:rsidRPr="00B81BE2">
        <w:t xml:space="preserve"> team proposes to be taken by various project stakeholders that are based on the findings and conclusions. </w:t>
      </w:r>
    </w:p>
    <w:p w14:paraId="6D86C338" w14:textId="09C64ED0" w:rsidR="00C9787C" w:rsidRDefault="00717DD9" w:rsidP="00C9787C">
      <w:r w:rsidRPr="00B81BE2">
        <w:t>In order to better link the conclusion/recommendation pairs to the evaluative evidence, a concise finding statement is presented first and then followed by the relevant</w:t>
      </w:r>
      <w:r>
        <w:t xml:space="preserve"> </w:t>
      </w:r>
      <w:r w:rsidRPr="00B81BE2">
        <w:t>conclusion and recommendation.</w:t>
      </w:r>
    </w:p>
    <w:p w14:paraId="7F8D6576" w14:textId="1DB4DF18" w:rsidR="00E46289" w:rsidRPr="002C5EC1" w:rsidRDefault="002C5EC1" w:rsidP="00C07A11">
      <w:pPr>
        <w:pStyle w:val="Caption"/>
        <w:spacing w:before="240" w:after="120" w:line="276" w:lineRule="auto"/>
        <w:rPr>
          <w:b/>
          <w:bCs/>
          <w:i w:val="0"/>
          <w:iCs w:val="0"/>
          <w:color w:val="auto"/>
          <w:sz w:val="24"/>
          <w:szCs w:val="24"/>
          <w:u w:val="single"/>
        </w:rPr>
      </w:pPr>
      <w:r w:rsidRPr="002C5EC1">
        <w:rPr>
          <w:i w:val="0"/>
          <w:iCs w:val="0"/>
          <w:color w:val="auto"/>
          <w:sz w:val="24"/>
          <w:szCs w:val="24"/>
          <w:u w:val="single"/>
        </w:rPr>
        <w:t xml:space="preserve">Conclusion </w:t>
      </w:r>
      <w:r w:rsidRPr="002C5EC1">
        <w:rPr>
          <w:i w:val="0"/>
          <w:iCs w:val="0"/>
          <w:color w:val="auto"/>
          <w:sz w:val="24"/>
          <w:szCs w:val="24"/>
          <w:u w:val="single"/>
        </w:rPr>
        <w:fldChar w:fldCharType="begin"/>
      </w:r>
      <w:r w:rsidRPr="002C5EC1">
        <w:rPr>
          <w:i w:val="0"/>
          <w:iCs w:val="0"/>
          <w:color w:val="auto"/>
          <w:sz w:val="24"/>
          <w:szCs w:val="24"/>
          <w:u w:val="single"/>
        </w:rPr>
        <w:instrText xml:space="preserve"> SEQ Conclusion \* ARABIC </w:instrText>
      </w:r>
      <w:r w:rsidRPr="002C5EC1">
        <w:rPr>
          <w:i w:val="0"/>
          <w:iCs w:val="0"/>
          <w:color w:val="auto"/>
          <w:sz w:val="24"/>
          <w:szCs w:val="24"/>
          <w:u w:val="single"/>
        </w:rPr>
        <w:fldChar w:fldCharType="separate"/>
      </w:r>
      <w:r w:rsidR="004F45AC">
        <w:rPr>
          <w:i w:val="0"/>
          <w:iCs w:val="0"/>
          <w:noProof/>
          <w:color w:val="auto"/>
          <w:sz w:val="24"/>
          <w:szCs w:val="24"/>
          <w:u w:val="single"/>
        </w:rPr>
        <w:t>1</w:t>
      </w:r>
      <w:r w:rsidRPr="002C5EC1">
        <w:rPr>
          <w:i w:val="0"/>
          <w:iCs w:val="0"/>
          <w:color w:val="auto"/>
          <w:sz w:val="24"/>
          <w:szCs w:val="24"/>
          <w:u w:val="single"/>
        </w:rPr>
        <w:fldChar w:fldCharType="end"/>
      </w:r>
      <w:r w:rsidRPr="002C5EC1">
        <w:rPr>
          <w:i w:val="0"/>
          <w:iCs w:val="0"/>
          <w:color w:val="auto"/>
          <w:sz w:val="24"/>
          <w:szCs w:val="24"/>
          <w:u w:val="single"/>
        </w:rPr>
        <w:t>:</w:t>
      </w:r>
      <w:r>
        <w:rPr>
          <w:i w:val="0"/>
          <w:iCs w:val="0"/>
          <w:color w:val="auto"/>
          <w:sz w:val="24"/>
          <w:szCs w:val="24"/>
        </w:rPr>
        <w:t xml:space="preserve"> </w:t>
      </w:r>
      <w:r w:rsidR="00644CA3" w:rsidRPr="002C5EC1">
        <w:rPr>
          <w:i w:val="0"/>
          <w:iCs w:val="0"/>
          <w:color w:val="auto"/>
          <w:sz w:val="24"/>
          <w:szCs w:val="24"/>
        </w:rPr>
        <w:t xml:space="preserve">Insufficiencies in the </w:t>
      </w:r>
      <w:r w:rsidR="00E46289" w:rsidRPr="002C5EC1">
        <w:rPr>
          <w:i w:val="0"/>
          <w:iCs w:val="0"/>
          <w:color w:val="auto"/>
          <w:sz w:val="24"/>
          <w:szCs w:val="24"/>
        </w:rPr>
        <w:t>project</w:t>
      </w:r>
      <w:r w:rsidR="00644CA3" w:rsidRPr="002C5EC1">
        <w:rPr>
          <w:i w:val="0"/>
          <w:iCs w:val="0"/>
          <w:color w:val="auto"/>
          <w:sz w:val="24"/>
          <w:szCs w:val="24"/>
        </w:rPr>
        <w:t xml:space="preserve"> results</w:t>
      </w:r>
      <w:r w:rsidR="006D5D87" w:rsidRPr="002C5EC1">
        <w:rPr>
          <w:i w:val="0"/>
          <w:iCs w:val="0"/>
          <w:color w:val="auto"/>
          <w:sz w:val="24"/>
          <w:szCs w:val="24"/>
        </w:rPr>
        <w:t xml:space="preserve"> framework</w:t>
      </w:r>
      <w:r w:rsidR="00644CA3" w:rsidRPr="002C5EC1">
        <w:rPr>
          <w:i w:val="0"/>
          <w:iCs w:val="0"/>
          <w:color w:val="auto"/>
          <w:sz w:val="24"/>
          <w:szCs w:val="24"/>
        </w:rPr>
        <w:t>, in particular poorly defined indicators and their target values,</w:t>
      </w:r>
      <w:r w:rsidR="00E46289" w:rsidRPr="002C5EC1">
        <w:rPr>
          <w:i w:val="0"/>
          <w:iCs w:val="0"/>
          <w:color w:val="auto"/>
          <w:sz w:val="24"/>
          <w:szCs w:val="24"/>
        </w:rPr>
        <w:t xml:space="preserve"> are not conducive to operational monitoring of progress towards achievement of the Outcomes and Objectives. </w:t>
      </w:r>
    </w:p>
    <w:p w14:paraId="69BC1BF5" w14:textId="3D7658A4" w:rsidR="00644CA3" w:rsidRPr="002C5EC1" w:rsidRDefault="002C5EC1" w:rsidP="00C07A11">
      <w:pPr>
        <w:pStyle w:val="Caption"/>
        <w:spacing w:line="276" w:lineRule="auto"/>
        <w:ind w:left="709"/>
        <w:rPr>
          <w:color w:val="auto"/>
          <w:sz w:val="24"/>
          <w:szCs w:val="24"/>
        </w:rPr>
      </w:pPr>
      <w:r w:rsidRPr="002C5EC1">
        <w:rPr>
          <w:color w:val="auto"/>
          <w:sz w:val="24"/>
          <w:szCs w:val="24"/>
          <w:u w:val="single"/>
        </w:rPr>
        <w:t xml:space="preserve">Recommendation </w:t>
      </w:r>
      <w:r w:rsidRPr="002C5EC1">
        <w:rPr>
          <w:color w:val="auto"/>
          <w:sz w:val="24"/>
          <w:szCs w:val="24"/>
          <w:u w:val="single"/>
        </w:rPr>
        <w:fldChar w:fldCharType="begin"/>
      </w:r>
      <w:r w:rsidRPr="002C5EC1">
        <w:rPr>
          <w:color w:val="auto"/>
          <w:sz w:val="24"/>
          <w:szCs w:val="24"/>
          <w:u w:val="single"/>
        </w:rPr>
        <w:instrText xml:space="preserve"> SEQ Recommendation \* ARABIC </w:instrText>
      </w:r>
      <w:r w:rsidRPr="002C5EC1">
        <w:rPr>
          <w:color w:val="auto"/>
          <w:sz w:val="24"/>
          <w:szCs w:val="24"/>
          <w:u w:val="single"/>
        </w:rPr>
        <w:fldChar w:fldCharType="separate"/>
      </w:r>
      <w:r w:rsidR="004F45AC">
        <w:rPr>
          <w:noProof/>
          <w:color w:val="auto"/>
          <w:sz w:val="24"/>
          <w:szCs w:val="24"/>
          <w:u w:val="single"/>
        </w:rPr>
        <w:t>1</w:t>
      </w:r>
      <w:r w:rsidRPr="002C5EC1">
        <w:rPr>
          <w:color w:val="auto"/>
          <w:sz w:val="24"/>
          <w:szCs w:val="24"/>
          <w:u w:val="single"/>
        </w:rPr>
        <w:fldChar w:fldCharType="end"/>
      </w:r>
      <w:r w:rsidRPr="002C5EC1">
        <w:rPr>
          <w:color w:val="auto"/>
          <w:sz w:val="24"/>
          <w:szCs w:val="24"/>
          <w:u w:val="single"/>
        </w:rPr>
        <w:t>:</w:t>
      </w:r>
      <w:r w:rsidRPr="002C5EC1">
        <w:rPr>
          <w:color w:val="auto"/>
          <w:sz w:val="24"/>
          <w:szCs w:val="24"/>
        </w:rPr>
        <w:t xml:space="preserve"> </w:t>
      </w:r>
      <w:r w:rsidR="00C475A7" w:rsidRPr="00C475A7">
        <w:rPr>
          <w:color w:val="auto"/>
          <w:sz w:val="24"/>
          <w:szCs w:val="24"/>
        </w:rPr>
        <w:t xml:space="preserve">The Project </w:t>
      </w:r>
      <w:r w:rsidR="003A7551">
        <w:rPr>
          <w:color w:val="auto"/>
          <w:sz w:val="24"/>
          <w:szCs w:val="24"/>
        </w:rPr>
        <w:t xml:space="preserve">Management </w:t>
      </w:r>
      <w:r w:rsidR="00C475A7" w:rsidRPr="00C475A7">
        <w:rPr>
          <w:color w:val="auto"/>
          <w:sz w:val="24"/>
          <w:szCs w:val="24"/>
        </w:rPr>
        <w:t>Unit should undertake revision of the project results framework in order to have measurable indicators and realistic end-of-project target values. The revised logframe should be put for approval by the Project Board.</w:t>
      </w:r>
    </w:p>
    <w:p w14:paraId="1C5B3833" w14:textId="79F6645B" w:rsidR="00644CA3" w:rsidRPr="00C07A11" w:rsidRDefault="00C07A11" w:rsidP="00C07A11">
      <w:pPr>
        <w:pStyle w:val="Caption"/>
        <w:spacing w:before="240" w:after="120" w:line="276" w:lineRule="auto"/>
        <w:rPr>
          <w:i w:val="0"/>
          <w:iCs w:val="0"/>
          <w:color w:val="auto"/>
          <w:sz w:val="24"/>
          <w:szCs w:val="24"/>
        </w:rPr>
      </w:pPr>
      <w:r w:rsidRPr="00C07A11">
        <w:rPr>
          <w:i w:val="0"/>
          <w:iCs w:val="0"/>
          <w:color w:val="auto"/>
          <w:sz w:val="24"/>
          <w:szCs w:val="24"/>
          <w:u w:val="single"/>
        </w:rPr>
        <w:t xml:space="preserve">Conclusion </w:t>
      </w:r>
      <w:r w:rsidRPr="00C07A11">
        <w:rPr>
          <w:i w:val="0"/>
          <w:iCs w:val="0"/>
          <w:color w:val="auto"/>
          <w:sz w:val="24"/>
          <w:szCs w:val="24"/>
          <w:u w:val="single"/>
        </w:rPr>
        <w:fldChar w:fldCharType="begin"/>
      </w:r>
      <w:r w:rsidRPr="00C07A11">
        <w:rPr>
          <w:i w:val="0"/>
          <w:iCs w:val="0"/>
          <w:color w:val="auto"/>
          <w:sz w:val="24"/>
          <w:szCs w:val="24"/>
          <w:u w:val="single"/>
        </w:rPr>
        <w:instrText xml:space="preserve"> SEQ Conclusion \* ARABIC </w:instrText>
      </w:r>
      <w:r w:rsidRPr="00C07A11">
        <w:rPr>
          <w:i w:val="0"/>
          <w:iCs w:val="0"/>
          <w:color w:val="auto"/>
          <w:sz w:val="24"/>
          <w:szCs w:val="24"/>
          <w:u w:val="single"/>
        </w:rPr>
        <w:fldChar w:fldCharType="separate"/>
      </w:r>
      <w:r w:rsidR="004F45AC">
        <w:rPr>
          <w:i w:val="0"/>
          <w:iCs w:val="0"/>
          <w:noProof/>
          <w:color w:val="auto"/>
          <w:sz w:val="24"/>
          <w:szCs w:val="24"/>
          <w:u w:val="single"/>
        </w:rPr>
        <w:t>2</w:t>
      </w:r>
      <w:r w:rsidRPr="00C07A11">
        <w:rPr>
          <w:i w:val="0"/>
          <w:iCs w:val="0"/>
          <w:color w:val="auto"/>
          <w:sz w:val="24"/>
          <w:szCs w:val="24"/>
          <w:u w:val="single"/>
        </w:rPr>
        <w:fldChar w:fldCharType="end"/>
      </w:r>
      <w:r w:rsidRPr="00C07A11">
        <w:rPr>
          <w:i w:val="0"/>
          <w:iCs w:val="0"/>
          <w:color w:val="auto"/>
          <w:sz w:val="24"/>
          <w:szCs w:val="24"/>
          <w:u w:val="single"/>
        </w:rPr>
        <w:t>:</w:t>
      </w:r>
      <w:r w:rsidRPr="00C07A11">
        <w:rPr>
          <w:i w:val="0"/>
          <w:iCs w:val="0"/>
          <w:color w:val="auto"/>
          <w:sz w:val="24"/>
          <w:szCs w:val="24"/>
        </w:rPr>
        <w:t xml:space="preserve"> </w:t>
      </w:r>
      <w:r w:rsidR="00644CA3" w:rsidRPr="00C07A11">
        <w:rPr>
          <w:i w:val="0"/>
          <w:iCs w:val="0"/>
          <w:color w:val="auto"/>
          <w:sz w:val="24"/>
          <w:szCs w:val="24"/>
        </w:rPr>
        <w:t xml:space="preserve">Absence of representatives of the Government on mandatory reporting of the project progress does not allow to obtain important </w:t>
      </w:r>
      <w:r w:rsidR="009A233E" w:rsidRPr="00C07A11">
        <w:rPr>
          <w:i w:val="0"/>
          <w:iCs w:val="0"/>
          <w:color w:val="auto"/>
          <w:sz w:val="24"/>
          <w:szCs w:val="24"/>
        </w:rPr>
        <w:t>insight of the Implementing Partner</w:t>
      </w:r>
      <w:r w:rsidR="006D5D87" w:rsidRPr="00C07A11">
        <w:rPr>
          <w:i w:val="0"/>
          <w:iCs w:val="0"/>
          <w:color w:val="auto"/>
          <w:sz w:val="24"/>
          <w:szCs w:val="24"/>
        </w:rPr>
        <w:t>.</w:t>
      </w:r>
      <w:r w:rsidR="009A233E" w:rsidRPr="00C07A11">
        <w:rPr>
          <w:i w:val="0"/>
          <w:iCs w:val="0"/>
          <w:color w:val="auto"/>
          <w:sz w:val="24"/>
          <w:szCs w:val="24"/>
        </w:rPr>
        <w:t xml:space="preserve"> </w:t>
      </w:r>
    </w:p>
    <w:p w14:paraId="3C66A12F" w14:textId="0F65EAD5" w:rsidR="00C9787C" w:rsidRPr="00C475A7" w:rsidRDefault="00C07A11" w:rsidP="00C07A11">
      <w:pPr>
        <w:pStyle w:val="Caption"/>
        <w:spacing w:line="276" w:lineRule="auto"/>
        <w:ind w:left="709"/>
        <w:rPr>
          <w:i w:val="0"/>
          <w:iCs w:val="0"/>
          <w:color w:val="auto"/>
          <w:sz w:val="24"/>
          <w:szCs w:val="24"/>
        </w:rPr>
      </w:pPr>
      <w:r w:rsidRPr="00C07A11">
        <w:rPr>
          <w:color w:val="auto"/>
          <w:sz w:val="24"/>
          <w:szCs w:val="24"/>
          <w:u w:val="single"/>
        </w:rPr>
        <w:t xml:space="preserve">Recommendation </w:t>
      </w:r>
      <w:r w:rsidRPr="00C07A11">
        <w:rPr>
          <w:color w:val="auto"/>
          <w:sz w:val="24"/>
          <w:szCs w:val="24"/>
          <w:u w:val="single"/>
        </w:rPr>
        <w:fldChar w:fldCharType="begin"/>
      </w:r>
      <w:r w:rsidRPr="00C07A11">
        <w:rPr>
          <w:color w:val="auto"/>
          <w:sz w:val="24"/>
          <w:szCs w:val="24"/>
          <w:u w:val="single"/>
        </w:rPr>
        <w:instrText xml:space="preserve"> SEQ Recommendation \* ARABIC </w:instrText>
      </w:r>
      <w:r w:rsidRPr="00C07A11">
        <w:rPr>
          <w:color w:val="auto"/>
          <w:sz w:val="24"/>
          <w:szCs w:val="24"/>
          <w:u w:val="single"/>
        </w:rPr>
        <w:fldChar w:fldCharType="separate"/>
      </w:r>
      <w:r w:rsidR="004F45AC">
        <w:rPr>
          <w:noProof/>
          <w:color w:val="auto"/>
          <w:sz w:val="24"/>
          <w:szCs w:val="24"/>
          <w:u w:val="single"/>
        </w:rPr>
        <w:t>2</w:t>
      </w:r>
      <w:r w:rsidRPr="00C07A11">
        <w:rPr>
          <w:color w:val="auto"/>
          <w:sz w:val="24"/>
          <w:szCs w:val="24"/>
          <w:u w:val="single"/>
        </w:rPr>
        <w:fldChar w:fldCharType="end"/>
      </w:r>
      <w:r w:rsidRPr="00C07A11">
        <w:rPr>
          <w:color w:val="auto"/>
          <w:sz w:val="24"/>
          <w:szCs w:val="24"/>
          <w:u w:val="single"/>
        </w:rPr>
        <w:t>:</w:t>
      </w:r>
      <w:r w:rsidR="00C475A7" w:rsidRPr="00C475A7">
        <w:t xml:space="preserve"> </w:t>
      </w:r>
      <w:r w:rsidR="00C475A7" w:rsidRPr="00C475A7">
        <w:rPr>
          <w:color w:val="auto"/>
          <w:sz w:val="24"/>
          <w:szCs w:val="24"/>
        </w:rPr>
        <w:t xml:space="preserve">The Project </w:t>
      </w:r>
      <w:r w:rsidR="003A7551">
        <w:rPr>
          <w:color w:val="auto"/>
          <w:sz w:val="24"/>
          <w:szCs w:val="24"/>
        </w:rPr>
        <w:t>Management</w:t>
      </w:r>
      <w:r w:rsidR="003A7551" w:rsidRPr="00C475A7">
        <w:rPr>
          <w:color w:val="auto"/>
          <w:sz w:val="24"/>
          <w:szCs w:val="24"/>
        </w:rPr>
        <w:t xml:space="preserve"> </w:t>
      </w:r>
      <w:r w:rsidR="00C475A7" w:rsidRPr="00C475A7">
        <w:rPr>
          <w:color w:val="auto"/>
          <w:sz w:val="24"/>
          <w:szCs w:val="24"/>
        </w:rPr>
        <w:t>Unit should ensure that the next PIR includes justification of rating of progress towards the Project Development Objective from the Government Implementing Partner and the GEF OFP.</w:t>
      </w:r>
    </w:p>
    <w:p w14:paraId="322EDD25" w14:textId="6B7BE048" w:rsidR="009A233E" w:rsidRPr="00DF4C75" w:rsidRDefault="00DF4C75" w:rsidP="00DF4C75">
      <w:pPr>
        <w:pStyle w:val="Caption"/>
        <w:spacing w:before="240" w:after="120" w:line="276" w:lineRule="auto"/>
        <w:rPr>
          <w:i w:val="0"/>
          <w:iCs w:val="0"/>
          <w:color w:val="auto"/>
          <w:sz w:val="24"/>
          <w:szCs w:val="24"/>
        </w:rPr>
      </w:pPr>
      <w:r w:rsidRPr="00DF4C75">
        <w:rPr>
          <w:i w:val="0"/>
          <w:iCs w:val="0"/>
          <w:color w:val="auto"/>
          <w:sz w:val="24"/>
          <w:szCs w:val="24"/>
          <w:u w:val="single"/>
        </w:rPr>
        <w:t xml:space="preserve">Conclusion </w:t>
      </w:r>
      <w:r w:rsidRPr="00DF4C75">
        <w:rPr>
          <w:i w:val="0"/>
          <w:iCs w:val="0"/>
          <w:color w:val="auto"/>
          <w:sz w:val="24"/>
          <w:szCs w:val="24"/>
          <w:u w:val="single"/>
        </w:rPr>
        <w:fldChar w:fldCharType="begin"/>
      </w:r>
      <w:r w:rsidRPr="00DF4C75">
        <w:rPr>
          <w:i w:val="0"/>
          <w:iCs w:val="0"/>
          <w:color w:val="auto"/>
          <w:sz w:val="24"/>
          <w:szCs w:val="24"/>
          <w:u w:val="single"/>
        </w:rPr>
        <w:instrText xml:space="preserve"> SEQ Conclusion \* ARABIC </w:instrText>
      </w:r>
      <w:r w:rsidRPr="00DF4C75">
        <w:rPr>
          <w:i w:val="0"/>
          <w:iCs w:val="0"/>
          <w:color w:val="auto"/>
          <w:sz w:val="24"/>
          <w:szCs w:val="24"/>
          <w:u w:val="single"/>
        </w:rPr>
        <w:fldChar w:fldCharType="separate"/>
      </w:r>
      <w:r w:rsidR="004F45AC">
        <w:rPr>
          <w:i w:val="0"/>
          <w:iCs w:val="0"/>
          <w:noProof/>
          <w:color w:val="auto"/>
          <w:sz w:val="24"/>
          <w:szCs w:val="24"/>
          <w:u w:val="single"/>
        </w:rPr>
        <w:t>3</w:t>
      </w:r>
      <w:r w:rsidRPr="00DF4C75">
        <w:rPr>
          <w:i w:val="0"/>
          <w:iCs w:val="0"/>
          <w:color w:val="auto"/>
          <w:sz w:val="24"/>
          <w:szCs w:val="24"/>
          <w:u w:val="single"/>
        </w:rPr>
        <w:fldChar w:fldCharType="end"/>
      </w:r>
      <w:r w:rsidRPr="00DF4C75">
        <w:rPr>
          <w:i w:val="0"/>
          <w:iCs w:val="0"/>
          <w:color w:val="auto"/>
          <w:sz w:val="24"/>
          <w:szCs w:val="24"/>
          <w:u w:val="single"/>
        </w:rPr>
        <w:t>:</w:t>
      </w:r>
      <w:r w:rsidRPr="00DF4C75">
        <w:rPr>
          <w:i w:val="0"/>
          <w:iCs w:val="0"/>
          <w:color w:val="auto"/>
          <w:sz w:val="24"/>
          <w:szCs w:val="24"/>
        </w:rPr>
        <w:t xml:space="preserve"> </w:t>
      </w:r>
      <w:r w:rsidR="004F1051" w:rsidRPr="00DF4C75">
        <w:rPr>
          <w:i w:val="0"/>
          <w:iCs w:val="0"/>
          <w:color w:val="auto"/>
          <w:sz w:val="24"/>
          <w:szCs w:val="24"/>
        </w:rPr>
        <w:t>The progress in capacity building is measured by p</w:t>
      </w:r>
      <w:r w:rsidR="00817AE9" w:rsidRPr="00DF4C75">
        <w:rPr>
          <w:i w:val="0"/>
          <w:iCs w:val="0"/>
          <w:color w:val="auto"/>
          <w:sz w:val="24"/>
          <w:szCs w:val="24"/>
        </w:rPr>
        <w:t xml:space="preserve">rocess indicators </w:t>
      </w:r>
      <w:r w:rsidR="004F1051" w:rsidRPr="00DF4C75">
        <w:rPr>
          <w:i w:val="0"/>
          <w:iCs w:val="0"/>
          <w:color w:val="auto"/>
          <w:sz w:val="24"/>
          <w:szCs w:val="24"/>
        </w:rPr>
        <w:t xml:space="preserve">(e.g. number of people trained). Such indicators </w:t>
      </w:r>
      <w:r w:rsidR="00817AE9" w:rsidRPr="00DF4C75">
        <w:rPr>
          <w:i w:val="0"/>
          <w:iCs w:val="0"/>
          <w:color w:val="auto"/>
          <w:sz w:val="24"/>
          <w:szCs w:val="24"/>
        </w:rPr>
        <w:t>do not measure success of the capacity building</w:t>
      </w:r>
      <w:r w:rsidR="001B487A" w:rsidRPr="00DF4C75">
        <w:rPr>
          <w:i w:val="0"/>
          <w:iCs w:val="0"/>
          <w:color w:val="auto"/>
          <w:sz w:val="24"/>
          <w:szCs w:val="24"/>
        </w:rPr>
        <w:t xml:space="preserve"> activities that is important for achievemen</w:t>
      </w:r>
      <w:r w:rsidR="004F1051" w:rsidRPr="00DF4C75">
        <w:rPr>
          <w:i w:val="0"/>
          <w:iCs w:val="0"/>
          <w:color w:val="auto"/>
          <w:sz w:val="24"/>
          <w:szCs w:val="24"/>
        </w:rPr>
        <w:t>t of the project Outcomes.</w:t>
      </w:r>
      <w:r w:rsidR="001B487A" w:rsidRPr="00DF4C75">
        <w:rPr>
          <w:i w:val="0"/>
          <w:iCs w:val="0"/>
          <w:color w:val="auto"/>
          <w:sz w:val="24"/>
          <w:szCs w:val="24"/>
        </w:rPr>
        <w:t xml:space="preserve"> </w:t>
      </w:r>
      <w:r w:rsidR="0012149D">
        <w:rPr>
          <w:i w:val="0"/>
          <w:iCs w:val="0"/>
          <w:color w:val="auto"/>
          <w:sz w:val="24"/>
          <w:szCs w:val="24"/>
        </w:rPr>
        <w:t>Furthermore, there are no explicit links of the trainings to individual project Outcomes.</w:t>
      </w:r>
    </w:p>
    <w:p w14:paraId="31B70076" w14:textId="6D9FEFAB" w:rsidR="00817AE9" w:rsidRPr="00DF4C75" w:rsidRDefault="00DF4C75" w:rsidP="00DF4C75">
      <w:pPr>
        <w:pStyle w:val="Caption"/>
        <w:spacing w:before="120" w:after="0" w:line="276" w:lineRule="auto"/>
        <w:ind w:left="709"/>
        <w:rPr>
          <w:color w:val="auto"/>
          <w:sz w:val="24"/>
          <w:szCs w:val="24"/>
        </w:rPr>
      </w:pPr>
      <w:r w:rsidRPr="00DF4C75">
        <w:rPr>
          <w:color w:val="auto"/>
          <w:sz w:val="24"/>
          <w:szCs w:val="24"/>
          <w:u w:val="single"/>
        </w:rPr>
        <w:t xml:space="preserve">Recommendation </w:t>
      </w:r>
      <w:r w:rsidRPr="00DF4C75">
        <w:rPr>
          <w:color w:val="auto"/>
          <w:sz w:val="24"/>
          <w:szCs w:val="24"/>
          <w:u w:val="single"/>
        </w:rPr>
        <w:fldChar w:fldCharType="begin"/>
      </w:r>
      <w:r w:rsidRPr="00DF4C75">
        <w:rPr>
          <w:color w:val="auto"/>
          <w:sz w:val="24"/>
          <w:szCs w:val="24"/>
          <w:u w:val="single"/>
        </w:rPr>
        <w:instrText xml:space="preserve"> SEQ Recommendation \* ARABIC </w:instrText>
      </w:r>
      <w:r w:rsidRPr="00DF4C75">
        <w:rPr>
          <w:color w:val="auto"/>
          <w:sz w:val="24"/>
          <w:szCs w:val="24"/>
          <w:u w:val="single"/>
        </w:rPr>
        <w:fldChar w:fldCharType="separate"/>
      </w:r>
      <w:r w:rsidR="004F45AC">
        <w:rPr>
          <w:noProof/>
          <w:color w:val="auto"/>
          <w:sz w:val="24"/>
          <w:szCs w:val="24"/>
          <w:u w:val="single"/>
        </w:rPr>
        <w:t>3</w:t>
      </w:r>
      <w:r w:rsidRPr="00DF4C75">
        <w:rPr>
          <w:color w:val="auto"/>
          <w:sz w:val="24"/>
          <w:szCs w:val="24"/>
          <w:u w:val="single"/>
        </w:rPr>
        <w:fldChar w:fldCharType="end"/>
      </w:r>
      <w:r w:rsidRPr="00DF4C75">
        <w:rPr>
          <w:color w:val="auto"/>
          <w:sz w:val="24"/>
          <w:szCs w:val="24"/>
          <w:u w:val="single"/>
        </w:rPr>
        <w:t>:</w:t>
      </w:r>
      <w:r w:rsidRPr="00DF4C75">
        <w:rPr>
          <w:color w:val="auto"/>
          <w:sz w:val="24"/>
          <w:szCs w:val="24"/>
        </w:rPr>
        <w:t xml:space="preserve"> </w:t>
      </w:r>
      <w:r w:rsidR="003D44AD" w:rsidRPr="003D44AD">
        <w:rPr>
          <w:color w:val="auto"/>
          <w:sz w:val="24"/>
          <w:szCs w:val="24"/>
        </w:rPr>
        <w:t xml:space="preserve">The Project </w:t>
      </w:r>
      <w:r w:rsidR="003A7551">
        <w:rPr>
          <w:color w:val="auto"/>
          <w:sz w:val="24"/>
          <w:szCs w:val="24"/>
        </w:rPr>
        <w:t>Management</w:t>
      </w:r>
      <w:r w:rsidR="003A7551" w:rsidRPr="003D44AD">
        <w:rPr>
          <w:color w:val="auto"/>
          <w:sz w:val="24"/>
          <w:szCs w:val="24"/>
        </w:rPr>
        <w:t xml:space="preserve"> </w:t>
      </w:r>
      <w:r w:rsidR="003D44AD" w:rsidRPr="003D44AD">
        <w:rPr>
          <w:color w:val="auto"/>
          <w:sz w:val="24"/>
          <w:szCs w:val="24"/>
        </w:rPr>
        <w:t xml:space="preserve">Unit should ensure that information is recorded on relation of the trainings to the project Outcomes and </w:t>
      </w:r>
      <w:r w:rsidR="007C31F2">
        <w:rPr>
          <w:color w:val="auto"/>
          <w:sz w:val="24"/>
          <w:szCs w:val="24"/>
        </w:rPr>
        <w:t xml:space="preserve">data from </w:t>
      </w:r>
      <w:r w:rsidR="003D44AD" w:rsidRPr="003D44AD">
        <w:rPr>
          <w:color w:val="auto"/>
          <w:sz w:val="24"/>
          <w:szCs w:val="24"/>
        </w:rPr>
        <w:t>evaluation of training activities is collected and included in the project implementation report</w:t>
      </w:r>
      <w:r w:rsidR="00D341A9">
        <w:rPr>
          <w:color w:val="auto"/>
          <w:sz w:val="24"/>
          <w:szCs w:val="24"/>
        </w:rPr>
        <w:t>s</w:t>
      </w:r>
      <w:r w:rsidR="00FB27B8">
        <w:rPr>
          <w:color w:val="auto"/>
          <w:sz w:val="24"/>
          <w:szCs w:val="24"/>
        </w:rPr>
        <w:t>.</w:t>
      </w:r>
    </w:p>
    <w:p w14:paraId="17D58357" w14:textId="64B2941C" w:rsidR="00B23017" w:rsidRDefault="00B23017" w:rsidP="00B23017">
      <w:pPr>
        <w:pStyle w:val="Caption"/>
        <w:spacing w:before="240" w:after="120" w:line="276" w:lineRule="auto"/>
        <w:rPr>
          <w:i w:val="0"/>
          <w:iCs w:val="0"/>
          <w:color w:val="auto"/>
          <w:sz w:val="24"/>
          <w:szCs w:val="24"/>
        </w:rPr>
      </w:pPr>
      <w:r w:rsidRPr="00B23017">
        <w:rPr>
          <w:i w:val="0"/>
          <w:iCs w:val="0"/>
          <w:color w:val="auto"/>
          <w:sz w:val="24"/>
          <w:szCs w:val="24"/>
          <w:u w:val="single"/>
        </w:rPr>
        <w:t xml:space="preserve">Conclusion </w:t>
      </w:r>
      <w:r w:rsidRPr="00B23017">
        <w:rPr>
          <w:i w:val="0"/>
          <w:iCs w:val="0"/>
          <w:color w:val="auto"/>
          <w:sz w:val="24"/>
          <w:szCs w:val="24"/>
          <w:u w:val="single"/>
        </w:rPr>
        <w:fldChar w:fldCharType="begin"/>
      </w:r>
      <w:r w:rsidRPr="00B23017">
        <w:rPr>
          <w:i w:val="0"/>
          <w:iCs w:val="0"/>
          <w:color w:val="auto"/>
          <w:sz w:val="24"/>
          <w:szCs w:val="24"/>
          <w:u w:val="single"/>
        </w:rPr>
        <w:instrText xml:space="preserve"> SEQ Conclusion \* ARABIC </w:instrText>
      </w:r>
      <w:r w:rsidRPr="00B23017">
        <w:rPr>
          <w:i w:val="0"/>
          <w:iCs w:val="0"/>
          <w:color w:val="auto"/>
          <w:sz w:val="24"/>
          <w:szCs w:val="24"/>
          <w:u w:val="single"/>
        </w:rPr>
        <w:fldChar w:fldCharType="separate"/>
      </w:r>
      <w:r w:rsidR="004F45AC">
        <w:rPr>
          <w:i w:val="0"/>
          <w:iCs w:val="0"/>
          <w:noProof/>
          <w:color w:val="auto"/>
          <w:sz w:val="24"/>
          <w:szCs w:val="24"/>
          <w:u w:val="single"/>
        </w:rPr>
        <w:t>4</w:t>
      </w:r>
      <w:r w:rsidRPr="00B23017">
        <w:rPr>
          <w:i w:val="0"/>
          <w:iCs w:val="0"/>
          <w:color w:val="auto"/>
          <w:sz w:val="24"/>
          <w:szCs w:val="24"/>
          <w:u w:val="single"/>
        </w:rPr>
        <w:fldChar w:fldCharType="end"/>
      </w:r>
      <w:r w:rsidRPr="00B23017">
        <w:rPr>
          <w:i w:val="0"/>
          <w:iCs w:val="0"/>
          <w:color w:val="auto"/>
          <w:sz w:val="24"/>
          <w:szCs w:val="24"/>
          <w:u w:val="single"/>
        </w:rPr>
        <w:t>:</w:t>
      </w:r>
      <w:r>
        <w:rPr>
          <w:i w:val="0"/>
          <w:iCs w:val="0"/>
          <w:color w:val="auto"/>
          <w:sz w:val="24"/>
          <w:szCs w:val="24"/>
        </w:rPr>
        <w:t xml:space="preserve"> G</w:t>
      </w:r>
      <w:r w:rsidRPr="00E612F6">
        <w:rPr>
          <w:i w:val="0"/>
          <w:iCs w:val="0"/>
          <w:color w:val="auto"/>
          <w:sz w:val="24"/>
          <w:szCs w:val="24"/>
        </w:rPr>
        <w:t>overnmental institutions using the MRV system are short-staffed in terms of personnel associated with the data collection and reporting</w:t>
      </w:r>
      <w:r>
        <w:rPr>
          <w:i w:val="0"/>
          <w:iCs w:val="0"/>
          <w:color w:val="auto"/>
          <w:sz w:val="24"/>
          <w:szCs w:val="24"/>
        </w:rPr>
        <w:t xml:space="preserve"> for transparency.</w:t>
      </w:r>
    </w:p>
    <w:p w14:paraId="5309904C" w14:textId="4FBED62E" w:rsidR="00906F02" w:rsidRPr="00E612F6" w:rsidRDefault="00906F02" w:rsidP="00906F02">
      <w:pPr>
        <w:pStyle w:val="Caption"/>
        <w:spacing w:before="120" w:after="0" w:line="276" w:lineRule="auto"/>
        <w:ind w:left="709"/>
        <w:rPr>
          <w:i w:val="0"/>
          <w:iCs w:val="0"/>
          <w:color w:val="auto"/>
          <w:sz w:val="24"/>
          <w:szCs w:val="24"/>
        </w:rPr>
      </w:pPr>
      <w:r w:rsidRPr="00906F02">
        <w:rPr>
          <w:color w:val="auto"/>
          <w:sz w:val="24"/>
          <w:szCs w:val="24"/>
          <w:u w:val="single"/>
        </w:rPr>
        <w:t xml:space="preserve">Recommendation </w:t>
      </w:r>
      <w:r w:rsidRPr="00906F02">
        <w:rPr>
          <w:color w:val="auto"/>
          <w:sz w:val="24"/>
          <w:szCs w:val="24"/>
          <w:u w:val="single"/>
        </w:rPr>
        <w:fldChar w:fldCharType="begin"/>
      </w:r>
      <w:r w:rsidRPr="00906F02">
        <w:rPr>
          <w:color w:val="auto"/>
          <w:sz w:val="24"/>
          <w:szCs w:val="24"/>
          <w:u w:val="single"/>
        </w:rPr>
        <w:instrText xml:space="preserve"> SEQ Recommendation \* ARABIC </w:instrText>
      </w:r>
      <w:r w:rsidRPr="00906F02">
        <w:rPr>
          <w:color w:val="auto"/>
          <w:sz w:val="24"/>
          <w:szCs w:val="24"/>
          <w:u w:val="single"/>
        </w:rPr>
        <w:fldChar w:fldCharType="separate"/>
      </w:r>
      <w:r w:rsidR="004F45AC">
        <w:rPr>
          <w:noProof/>
          <w:color w:val="auto"/>
          <w:sz w:val="24"/>
          <w:szCs w:val="24"/>
          <w:u w:val="single"/>
        </w:rPr>
        <w:t>4</w:t>
      </w:r>
      <w:r w:rsidRPr="00906F02">
        <w:rPr>
          <w:color w:val="auto"/>
          <w:sz w:val="24"/>
          <w:szCs w:val="24"/>
          <w:u w:val="single"/>
        </w:rPr>
        <w:fldChar w:fldCharType="end"/>
      </w:r>
      <w:r w:rsidRPr="00906F02">
        <w:rPr>
          <w:color w:val="auto"/>
          <w:sz w:val="24"/>
          <w:szCs w:val="24"/>
          <w:u w:val="single"/>
        </w:rPr>
        <w:t>:</w:t>
      </w:r>
      <w:r w:rsidR="003D44AD">
        <w:rPr>
          <w:color w:val="auto"/>
          <w:sz w:val="24"/>
          <w:szCs w:val="24"/>
        </w:rPr>
        <w:t xml:space="preserve"> </w:t>
      </w:r>
      <w:r w:rsidR="003D44AD" w:rsidRPr="003D44AD">
        <w:rPr>
          <w:color w:val="auto"/>
          <w:sz w:val="24"/>
          <w:szCs w:val="24"/>
        </w:rPr>
        <w:t>The Government should ensure adequate manpower dedicated exclusively to MRV activities and consider mechanisms for addressing staff shortages such as outsourcing certain tasks to organizations outside the Government. Such organizations could include a university, a research institute, or a consulting company, selected on the basis of technical competency and expertise for compilation and reporting of CC data and information</w:t>
      </w:r>
      <w:r w:rsidRPr="00E612F6">
        <w:rPr>
          <w:color w:val="auto"/>
          <w:sz w:val="24"/>
          <w:szCs w:val="24"/>
        </w:rPr>
        <w:t>.</w:t>
      </w:r>
    </w:p>
    <w:p w14:paraId="5C340B64" w14:textId="77777777" w:rsidR="00B23017" w:rsidRPr="00B23017" w:rsidRDefault="00B23017" w:rsidP="00B23017"/>
    <w:p w14:paraId="52440DE2" w14:textId="77777777" w:rsidR="00B23017" w:rsidRDefault="00B23017" w:rsidP="00EE0AD6">
      <w:pPr>
        <w:pStyle w:val="Caption"/>
        <w:spacing w:before="240" w:after="120" w:line="276" w:lineRule="auto"/>
        <w:rPr>
          <w:i w:val="0"/>
          <w:iCs w:val="0"/>
          <w:color w:val="auto"/>
          <w:sz w:val="24"/>
          <w:szCs w:val="24"/>
          <w:u w:val="single"/>
        </w:rPr>
      </w:pPr>
    </w:p>
    <w:p w14:paraId="44B67E34" w14:textId="6FB55E59" w:rsidR="00817AE9" w:rsidRPr="00EE0AD6" w:rsidRDefault="00EE0AD6" w:rsidP="00EE0AD6">
      <w:pPr>
        <w:pStyle w:val="Caption"/>
        <w:spacing w:before="240" w:after="120" w:line="276" w:lineRule="auto"/>
        <w:rPr>
          <w:i w:val="0"/>
          <w:iCs w:val="0"/>
          <w:sz w:val="24"/>
          <w:szCs w:val="24"/>
        </w:rPr>
      </w:pPr>
      <w:r w:rsidRPr="00EE0AD6">
        <w:rPr>
          <w:i w:val="0"/>
          <w:iCs w:val="0"/>
          <w:color w:val="auto"/>
          <w:sz w:val="24"/>
          <w:szCs w:val="24"/>
          <w:u w:val="single"/>
        </w:rPr>
        <w:t xml:space="preserve">Conclusion </w:t>
      </w:r>
      <w:r w:rsidRPr="00EE0AD6">
        <w:rPr>
          <w:i w:val="0"/>
          <w:iCs w:val="0"/>
          <w:color w:val="auto"/>
          <w:sz w:val="24"/>
          <w:szCs w:val="24"/>
          <w:u w:val="single"/>
        </w:rPr>
        <w:fldChar w:fldCharType="begin"/>
      </w:r>
      <w:r w:rsidRPr="00EE0AD6">
        <w:rPr>
          <w:i w:val="0"/>
          <w:iCs w:val="0"/>
          <w:color w:val="auto"/>
          <w:sz w:val="24"/>
          <w:szCs w:val="24"/>
          <w:u w:val="single"/>
        </w:rPr>
        <w:instrText xml:space="preserve"> SEQ Conclusion \* ARABIC </w:instrText>
      </w:r>
      <w:r w:rsidRPr="00EE0AD6">
        <w:rPr>
          <w:i w:val="0"/>
          <w:iCs w:val="0"/>
          <w:color w:val="auto"/>
          <w:sz w:val="24"/>
          <w:szCs w:val="24"/>
          <w:u w:val="single"/>
        </w:rPr>
        <w:fldChar w:fldCharType="separate"/>
      </w:r>
      <w:r w:rsidR="004F45AC">
        <w:rPr>
          <w:i w:val="0"/>
          <w:iCs w:val="0"/>
          <w:noProof/>
          <w:color w:val="auto"/>
          <w:sz w:val="24"/>
          <w:szCs w:val="24"/>
          <w:u w:val="single"/>
        </w:rPr>
        <w:t>5</w:t>
      </w:r>
      <w:r w:rsidRPr="00EE0AD6">
        <w:rPr>
          <w:i w:val="0"/>
          <w:iCs w:val="0"/>
          <w:color w:val="auto"/>
          <w:sz w:val="24"/>
          <w:szCs w:val="24"/>
          <w:u w:val="single"/>
        </w:rPr>
        <w:fldChar w:fldCharType="end"/>
      </w:r>
      <w:r w:rsidRPr="00EE0AD6">
        <w:rPr>
          <w:i w:val="0"/>
          <w:iCs w:val="0"/>
          <w:color w:val="auto"/>
          <w:sz w:val="24"/>
          <w:szCs w:val="24"/>
          <w:u w:val="single"/>
        </w:rPr>
        <w:t>:</w:t>
      </w:r>
      <w:r>
        <w:rPr>
          <w:i w:val="0"/>
          <w:iCs w:val="0"/>
          <w:color w:val="auto"/>
          <w:sz w:val="24"/>
          <w:szCs w:val="24"/>
        </w:rPr>
        <w:t xml:space="preserve"> </w:t>
      </w:r>
      <w:r w:rsidR="0069624C" w:rsidRPr="00EE0AD6">
        <w:rPr>
          <w:i w:val="0"/>
          <w:iCs w:val="0"/>
          <w:color w:val="auto"/>
          <w:sz w:val="24"/>
          <w:szCs w:val="24"/>
        </w:rPr>
        <w:t xml:space="preserve">Retention of the knowledge and expertise required for regular data collection and reporting is critical for </w:t>
      </w:r>
      <w:r w:rsidRPr="00EE0AD6">
        <w:rPr>
          <w:i w:val="0"/>
          <w:iCs w:val="0"/>
          <w:color w:val="auto"/>
          <w:sz w:val="24"/>
          <w:szCs w:val="24"/>
        </w:rPr>
        <w:t xml:space="preserve">sustainability of the </w:t>
      </w:r>
      <w:r w:rsidR="0069624C" w:rsidRPr="00EE0AD6">
        <w:rPr>
          <w:i w:val="0"/>
          <w:iCs w:val="0"/>
          <w:color w:val="auto"/>
          <w:sz w:val="24"/>
          <w:szCs w:val="24"/>
        </w:rPr>
        <w:t xml:space="preserve">MRV system. </w:t>
      </w:r>
      <w:r w:rsidR="004F1051" w:rsidRPr="00EE0AD6">
        <w:rPr>
          <w:i w:val="0"/>
          <w:iCs w:val="0"/>
          <w:color w:val="auto"/>
          <w:sz w:val="24"/>
          <w:szCs w:val="24"/>
        </w:rPr>
        <w:t xml:space="preserve">Because of </w:t>
      </w:r>
      <w:r w:rsidR="006D5D87" w:rsidRPr="00EE0AD6">
        <w:rPr>
          <w:i w:val="0"/>
          <w:iCs w:val="0"/>
          <w:color w:val="auto"/>
          <w:sz w:val="24"/>
          <w:szCs w:val="24"/>
        </w:rPr>
        <w:t xml:space="preserve">relatively high staff turnover in governmental institutions, the risk </w:t>
      </w:r>
      <w:r w:rsidR="00316A95" w:rsidRPr="00EE0AD6">
        <w:rPr>
          <w:i w:val="0"/>
          <w:iCs w:val="0"/>
          <w:color w:val="auto"/>
          <w:sz w:val="24"/>
          <w:szCs w:val="24"/>
        </w:rPr>
        <w:t>of loss of knowledge and expertise in the area of MRV is relatively high.</w:t>
      </w:r>
      <w:r w:rsidR="00316A95" w:rsidRPr="00EE0AD6">
        <w:rPr>
          <w:i w:val="0"/>
          <w:iCs w:val="0"/>
          <w:sz w:val="24"/>
          <w:szCs w:val="24"/>
        </w:rPr>
        <w:t xml:space="preserve"> </w:t>
      </w:r>
    </w:p>
    <w:p w14:paraId="487644C4" w14:textId="39D461AB" w:rsidR="00A7679B" w:rsidRPr="00EE0AD6" w:rsidRDefault="00EE0AD6" w:rsidP="00EE0AD6">
      <w:pPr>
        <w:pStyle w:val="Caption"/>
        <w:spacing w:before="120" w:after="0" w:line="276" w:lineRule="auto"/>
        <w:ind w:left="709"/>
        <w:rPr>
          <w:i w:val="0"/>
          <w:iCs w:val="0"/>
          <w:color w:val="auto"/>
          <w:sz w:val="24"/>
          <w:szCs w:val="24"/>
        </w:rPr>
      </w:pPr>
      <w:r w:rsidRPr="00EE0AD6">
        <w:rPr>
          <w:color w:val="auto"/>
          <w:sz w:val="24"/>
          <w:szCs w:val="24"/>
          <w:u w:val="single"/>
        </w:rPr>
        <w:t xml:space="preserve">Recommendation </w:t>
      </w:r>
      <w:r w:rsidRPr="00EE0AD6">
        <w:rPr>
          <w:color w:val="auto"/>
          <w:sz w:val="24"/>
          <w:szCs w:val="24"/>
          <w:u w:val="single"/>
        </w:rPr>
        <w:fldChar w:fldCharType="begin"/>
      </w:r>
      <w:r w:rsidRPr="00EE0AD6">
        <w:rPr>
          <w:color w:val="auto"/>
          <w:sz w:val="24"/>
          <w:szCs w:val="24"/>
          <w:u w:val="single"/>
        </w:rPr>
        <w:instrText xml:space="preserve"> SEQ Recommendation \* ARABIC </w:instrText>
      </w:r>
      <w:r w:rsidRPr="00EE0AD6">
        <w:rPr>
          <w:color w:val="auto"/>
          <w:sz w:val="24"/>
          <w:szCs w:val="24"/>
          <w:u w:val="single"/>
        </w:rPr>
        <w:fldChar w:fldCharType="separate"/>
      </w:r>
      <w:r w:rsidR="004F45AC">
        <w:rPr>
          <w:noProof/>
          <w:color w:val="auto"/>
          <w:sz w:val="24"/>
          <w:szCs w:val="24"/>
          <w:u w:val="single"/>
        </w:rPr>
        <w:t>5</w:t>
      </w:r>
      <w:r w:rsidRPr="00EE0AD6">
        <w:rPr>
          <w:color w:val="auto"/>
          <w:sz w:val="24"/>
          <w:szCs w:val="24"/>
          <w:u w:val="single"/>
        </w:rPr>
        <w:fldChar w:fldCharType="end"/>
      </w:r>
      <w:r w:rsidRPr="00EE0AD6">
        <w:rPr>
          <w:color w:val="auto"/>
          <w:sz w:val="24"/>
          <w:szCs w:val="24"/>
          <w:u w:val="single"/>
        </w:rPr>
        <w:t>:</w:t>
      </w:r>
      <w:r w:rsidRPr="00EE0AD6">
        <w:rPr>
          <w:color w:val="auto"/>
          <w:sz w:val="24"/>
          <w:szCs w:val="24"/>
        </w:rPr>
        <w:t xml:space="preserve"> </w:t>
      </w:r>
      <w:r w:rsidR="003D44AD" w:rsidRPr="003D44AD">
        <w:rPr>
          <w:color w:val="auto"/>
          <w:sz w:val="24"/>
          <w:szCs w:val="24"/>
        </w:rPr>
        <w:t>The project Implementing Partners should consider options for building resilience against staff turnover and minimization of its negative effects on MRV activities. Mechanisms for retention of institutional memory include thorough succession planning and systematic involvement of junior staff in training and support activities (as opposed to one-off training activities)</w:t>
      </w:r>
      <w:r w:rsidR="003D44AD">
        <w:rPr>
          <w:color w:val="auto"/>
          <w:sz w:val="24"/>
          <w:szCs w:val="24"/>
        </w:rPr>
        <w:t>.</w:t>
      </w:r>
    </w:p>
    <w:p w14:paraId="0090FD87" w14:textId="0418B98A" w:rsidR="00D5182B" w:rsidRDefault="00906F02" w:rsidP="00D5182B">
      <w:pPr>
        <w:pStyle w:val="Caption"/>
        <w:spacing w:before="240" w:after="120" w:line="276" w:lineRule="auto"/>
        <w:rPr>
          <w:i w:val="0"/>
          <w:iCs w:val="0"/>
          <w:color w:val="auto"/>
          <w:sz w:val="24"/>
          <w:szCs w:val="24"/>
        </w:rPr>
      </w:pPr>
      <w:r w:rsidRPr="00906F02">
        <w:rPr>
          <w:i w:val="0"/>
          <w:iCs w:val="0"/>
          <w:color w:val="auto"/>
          <w:sz w:val="24"/>
          <w:szCs w:val="24"/>
          <w:u w:val="single"/>
        </w:rPr>
        <w:t xml:space="preserve">Conclusion </w:t>
      </w:r>
      <w:r w:rsidRPr="00906F02">
        <w:rPr>
          <w:i w:val="0"/>
          <w:iCs w:val="0"/>
          <w:color w:val="auto"/>
          <w:sz w:val="24"/>
          <w:szCs w:val="24"/>
          <w:u w:val="single"/>
        </w:rPr>
        <w:fldChar w:fldCharType="begin"/>
      </w:r>
      <w:r w:rsidRPr="00906F02">
        <w:rPr>
          <w:i w:val="0"/>
          <w:iCs w:val="0"/>
          <w:color w:val="auto"/>
          <w:sz w:val="24"/>
          <w:szCs w:val="24"/>
          <w:u w:val="single"/>
        </w:rPr>
        <w:instrText xml:space="preserve"> SEQ Conclusion \* ARABIC </w:instrText>
      </w:r>
      <w:r w:rsidRPr="00906F02">
        <w:rPr>
          <w:i w:val="0"/>
          <w:iCs w:val="0"/>
          <w:color w:val="auto"/>
          <w:sz w:val="24"/>
          <w:szCs w:val="24"/>
          <w:u w:val="single"/>
        </w:rPr>
        <w:fldChar w:fldCharType="separate"/>
      </w:r>
      <w:r w:rsidR="004F45AC">
        <w:rPr>
          <w:i w:val="0"/>
          <w:iCs w:val="0"/>
          <w:noProof/>
          <w:color w:val="auto"/>
          <w:sz w:val="24"/>
          <w:szCs w:val="24"/>
          <w:u w:val="single"/>
        </w:rPr>
        <w:t>6</w:t>
      </w:r>
      <w:r w:rsidRPr="00906F02">
        <w:rPr>
          <w:i w:val="0"/>
          <w:iCs w:val="0"/>
          <w:color w:val="auto"/>
          <w:sz w:val="24"/>
          <w:szCs w:val="24"/>
          <w:u w:val="single"/>
        </w:rPr>
        <w:fldChar w:fldCharType="end"/>
      </w:r>
      <w:r w:rsidRPr="00906F02">
        <w:rPr>
          <w:i w:val="0"/>
          <w:iCs w:val="0"/>
          <w:color w:val="auto"/>
          <w:sz w:val="24"/>
          <w:szCs w:val="24"/>
          <w:u w:val="single"/>
        </w:rPr>
        <w:t>:</w:t>
      </w:r>
      <w:r w:rsidRPr="00906F02">
        <w:rPr>
          <w:i w:val="0"/>
          <w:iCs w:val="0"/>
          <w:color w:val="auto"/>
          <w:sz w:val="24"/>
          <w:szCs w:val="24"/>
        </w:rPr>
        <w:t xml:space="preserve"> </w:t>
      </w:r>
      <w:r w:rsidR="00D5182B">
        <w:rPr>
          <w:i w:val="0"/>
          <w:iCs w:val="0"/>
          <w:color w:val="auto"/>
          <w:sz w:val="24"/>
          <w:szCs w:val="24"/>
        </w:rPr>
        <w:t>The continued s</w:t>
      </w:r>
      <w:r w:rsidR="002C5EC1" w:rsidRPr="00906F02">
        <w:rPr>
          <w:i w:val="0"/>
          <w:iCs w:val="0"/>
          <w:color w:val="auto"/>
          <w:sz w:val="24"/>
          <w:szCs w:val="24"/>
        </w:rPr>
        <w:t xml:space="preserve">upport provided to Serbia under several projects </w:t>
      </w:r>
      <w:r w:rsidR="00D5182B">
        <w:rPr>
          <w:i w:val="0"/>
          <w:iCs w:val="0"/>
          <w:color w:val="auto"/>
          <w:sz w:val="24"/>
          <w:szCs w:val="24"/>
        </w:rPr>
        <w:t xml:space="preserve">related to the </w:t>
      </w:r>
      <w:r w:rsidR="002C5EC1" w:rsidRPr="00906F02">
        <w:rPr>
          <w:i w:val="0"/>
          <w:iCs w:val="0"/>
          <w:color w:val="auto"/>
          <w:sz w:val="24"/>
          <w:szCs w:val="24"/>
        </w:rPr>
        <w:t xml:space="preserve">MRV system development </w:t>
      </w:r>
      <w:r w:rsidR="006E16F5">
        <w:rPr>
          <w:i w:val="0"/>
          <w:iCs w:val="0"/>
          <w:color w:val="auto"/>
          <w:sz w:val="24"/>
          <w:szCs w:val="24"/>
        </w:rPr>
        <w:t xml:space="preserve">creates </w:t>
      </w:r>
      <w:r w:rsidR="002C5EC1" w:rsidRPr="00906F02">
        <w:rPr>
          <w:i w:val="0"/>
          <w:iCs w:val="0"/>
          <w:color w:val="auto"/>
          <w:sz w:val="24"/>
          <w:szCs w:val="24"/>
        </w:rPr>
        <w:t xml:space="preserve">opportunity for </w:t>
      </w:r>
      <w:r w:rsidR="006E16F5">
        <w:rPr>
          <w:i w:val="0"/>
          <w:iCs w:val="0"/>
          <w:color w:val="auto"/>
          <w:sz w:val="24"/>
          <w:szCs w:val="24"/>
        </w:rPr>
        <w:t xml:space="preserve">gradual </w:t>
      </w:r>
      <w:r w:rsidR="00D5182B" w:rsidRPr="00D5182B">
        <w:rPr>
          <w:i w:val="0"/>
          <w:iCs w:val="0"/>
          <w:color w:val="auto"/>
          <w:sz w:val="24"/>
          <w:szCs w:val="24"/>
        </w:rPr>
        <w:t>reduc</w:t>
      </w:r>
      <w:r w:rsidR="00D5182B">
        <w:rPr>
          <w:i w:val="0"/>
          <w:iCs w:val="0"/>
          <w:color w:val="auto"/>
          <w:sz w:val="24"/>
          <w:szCs w:val="24"/>
        </w:rPr>
        <w:t>tion of</w:t>
      </w:r>
      <w:r w:rsidR="00D5182B" w:rsidRPr="00D5182B">
        <w:rPr>
          <w:i w:val="0"/>
          <w:iCs w:val="0"/>
          <w:color w:val="auto"/>
          <w:sz w:val="24"/>
          <w:szCs w:val="24"/>
        </w:rPr>
        <w:t xml:space="preserve"> reliance on </w:t>
      </w:r>
      <w:r w:rsidR="006E16F5">
        <w:rPr>
          <w:i w:val="0"/>
          <w:iCs w:val="0"/>
          <w:color w:val="auto"/>
          <w:sz w:val="24"/>
          <w:szCs w:val="24"/>
        </w:rPr>
        <w:t xml:space="preserve">international </w:t>
      </w:r>
      <w:r w:rsidR="00D5182B" w:rsidRPr="00D5182B">
        <w:rPr>
          <w:i w:val="0"/>
          <w:iCs w:val="0"/>
          <w:color w:val="auto"/>
          <w:sz w:val="24"/>
          <w:szCs w:val="24"/>
        </w:rPr>
        <w:t>consultants</w:t>
      </w:r>
      <w:r w:rsidR="006E16F5">
        <w:rPr>
          <w:i w:val="0"/>
          <w:iCs w:val="0"/>
          <w:color w:val="auto"/>
          <w:sz w:val="24"/>
          <w:szCs w:val="24"/>
        </w:rPr>
        <w:t xml:space="preserve"> in the future</w:t>
      </w:r>
      <w:r w:rsidR="00D5182B">
        <w:rPr>
          <w:i w:val="0"/>
          <w:iCs w:val="0"/>
          <w:color w:val="auto"/>
          <w:sz w:val="24"/>
          <w:szCs w:val="24"/>
        </w:rPr>
        <w:t>.</w:t>
      </w:r>
    </w:p>
    <w:p w14:paraId="6E4159AE" w14:textId="08711BFE" w:rsidR="0039415D" w:rsidRPr="00906F02" w:rsidRDefault="00906F02" w:rsidP="00BD5B23">
      <w:pPr>
        <w:pStyle w:val="Caption"/>
        <w:spacing w:before="240" w:after="120" w:line="276" w:lineRule="auto"/>
        <w:ind w:left="709"/>
        <w:rPr>
          <w:color w:val="auto"/>
          <w:sz w:val="24"/>
          <w:szCs w:val="24"/>
        </w:rPr>
      </w:pPr>
      <w:r w:rsidRPr="00906F02">
        <w:rPr>
          <w:color w:val="auto"/>
          <w:sz w:val="24"/>
          <w:szCs w:val="24"/>
          <w:u w:val="single"/>
        </w:rPr>
        <w:t xml:space="preserve">Recommendation </w:t>
      </w:r>
      <w:r w:rsidRPr="00906F02">
        <w:rPr>
          <w:color w:val="auto"/>
          <w:sz w:val="24"/>
          <w:szCs w:val="24"/>
          <w:u w:val="single"/>
        </w:rPr>
        <w:fldChar w:fldCharType="begin"/>
      </w:r>
      <w:r w:rsidRPr="00906F02">
        <w:rPr>
          <w:color w:val="auto"/>
          <w:sz w:val="24"/>
          <w:szCs w:val="24"/>
          <w:u w:val="single"/>
        </w:rPr>
        <w:instrText xml:space="preserve"> SEQ Recommendation \* ARABIC </w:instrText>
      </w:r>
      <w:r w:rsidRPr="00906F02">
        <w:rPr>
          <w:color w:val="auto"/>
          <w:sz w:val="24"/>
          <w:szCs w:val="24"/>
          <w:u w:val="single"/>
        </w:rPr>
        <w:fldChar w:fldCharType="separate"/>
      </w:r>
      <w:r w:rsidR="004F45AC">
        <w:rPr>
          <w:noProof/>
          <w:color w:val="auto"/>
          <w:sz w:val="24"/>
          <w:szCs w:val="24"/>
          <w:u w:val="single"/>
        </w:rPr>
        <w:t>6</w:t>
      </w:r>
      <w:r w:rsidRPr="00906F02">
        <w:rPr>
          <w:color w:val="auto"/>
          <w:sz w:val="24"/>
          <w:szCs w:val="24"/>
          <w:u w:val="single"/>
        </w:rPr>
        <w:fldChar w:fldCharType="end"/>
      </w:r>
      <w:r w:rsidRPr="00906F02">
        <w:rPr>
          <w:color w:val="auto"/>
          <w:sz w:val="24"/>
          <w:szCs w:val="24"/>
          <w:u w:val="single"/>
        </w:rPr>
        <w:t>:</w:t>
      </w:r>
      <w:r w:rsidR="003D44AD">
        <w:rPr>
          <w:color w:val="auto"/>
          <w:sz w:val="24"/>
          <w:szCs w:val="24"/>
        </w:rPr>
        <w:t xml:space="preserve"> </w:t>
      </w:r>
      <w:r w:rsidR="003D44AD" w:rsidRPr="003D44AD">
        <w:rPr>
          <w:color w:val="auto"/>
          <w:sz w:val="24"/>
          <w:szCs w:val="24"/>
        </w:rPr>
        <w:t>UNDP CO in cooperation with the Government should consider approach for ensuring sustainable building of national institutional capacity and expertise for transparency work through gradual reduction of independence from external support</w:t>
      </w:r>
      <w:r w:rsidR="00D5182B">
        <w:rPr>
          <w:color w:val="auto"/>
          <w:sz w:val="24"/>
          <w:szCs w:val="24"/>
        </w:rPr>
        <w:t>.</w:t>
      </w:r>
      <w:r w:rsidR="00061EB3" w:rsidRPr="00906F02">
        <w:rPr>
          <w:color w:val="auto"/>
          <w:sz w:val="24"/>
          <w:szCs w:val="24"/>
        </w:rPr>
        <w:t xml:space="preserve"> </w:t>
      </w:r>
    </w:p>
    <w:p w14:paraId="1454819E" w14:textId="0E4BBC34" w:rsidR="00290DF8" w:rsidRDefault="00290DF8" w:rsidP="00290DF8">
      <w:pPr>
        <w:pStyle w:val="Caption"/>
        <w:spacing w:before="240" w:after="120" w:line="276" w:lineRule="auto"/>
        <w:rPr>
          <w:i w:val="0"/>
          <w:iCs w:val="0"/>
          <w:color w:val="auto"/>
          <w:sz w:val="24"/>
          <w:szCs w:val="24"/>
        </w:rPr>
      </w:pPr>
      <w:r w:rsidRPr="00290DF8">
        <w:rPr>
          <w:i w:val="0"/>
          <w:iCs w:val="0"/>
          <w:color w:val="auto"/>
          <w:sz w:val="24"/>
          <w:szCs w:val="24"/>
          <w:u w:val="single"/>
        </w:rPr>
        <w:t xml:space="preserve">Conclusion </w:t>
      </w:r>
      <w:r w:rsidRPr="00290DF8">
        <w:rPr>
          <w:i w:val="0"/>
          <w:iCs w:val="0"/>
          <w:color w:val="auto"/>
          <w:sz w:val="24"/>
          <w:szCs w:val="24"/>
          <w:u w:val="single"/>
        </w:rPr>
        <w:fldChar w:fldCharType="begin"/>
      </w:r>
      <w:r w:rsidRPr="00290DF8">
        <w:rPr>
          <w:i w:val="0"/>
          <w:iCs w:val="0"/>
          <w:color w:val="auto"/>
          <w:sz w:val="24"/>
          <w:szCs w:val="24"/>
          <w:u w:val="single"/>
        </w:rPr>
        <w:instrText xml:space="preserve"> SEQ Conclusion \* ARABIC </w:instrText>
      </w:r>
      <w:r w:rsidRPr="00290DF8">
        <w:rPr>
          <w:i w:val="0"/>
          <w:iCs w:val="0"/>
          <w:color w:val="auto"/>
          <w:sz w:val="24"/>
          <w:szCs w:val="24"/>
          <w:u w:val="single"/>
        </w:rPr>
        <w:fldChar w:fldCharType="separate"/>
      </w:r>
      <w:r w:rsidR="004F45AC">
        <w:rPr>
          <w:i w:val="0"/>
          <w:iCs w:val="0"/>
          <w:noProof/>
          <w:color w:val="auto"/>
          <w:sz w:val="24"/>
          <w:szCs w:val="24"/>
          <w:u w:val="single"/>
        </w:rPr>
        <w:t>7</w:t>
      </w:r>
      <w:r w:rsidRPr="00290DF8">
        <w:rPr>
          <w:i w:val="0"/>
          <w:iCs w:val="0"/>
          <w:color w:val="auto"/>
          <w:sz w:val="24"/>
          <w:szCs w:val="24"/>
          <w:u w:val="single"/>
        </w:rPr>
        <w:fldChar w:fldCharType="end"/>
      </w:r>
      <w:r w:rsidRPr="00290DF8">
        <w:rPr>
          <w:i w:val="0"/>
          <w:iCs w:val="0"/>
          <w:color w:val="auto"/>
          <w:sz w:val="24"/>
          <w:szCs w:val="24"/>
          <w:u w:val="single"/>
        </w:rPr>
        <w:t>:</w:t>
      </w:r>
      <w:r w:rsidRPr="00290DF8">
        <w:rPr>
          <w:i w:val="0"/>
          <w:iCs w:val="0"/>
          <w:color w:val="auto"/>
          <w:sz w:val="24"/>
          <w:szCs w:val="24"/>
        </w:rPr>
        <w:t xml:space="preserve"> Long-term training as opposed to one-off </w:t>
      </w:r>
      <w:r w:rsidR="00603CE6">
        <w:rPr>
          <w:i w:val="0"/>
          <w:iCs w:val="0"/>
          <w:color w:val="auto"/>
          <w:sz w:val="24"/>
          <w:szCs w:val="24"/>
        </w:rPr>
        <w:t xml:space="preserve">project-related </w:t>
      </w:r>
      <w:r w:rsidRPr="00290DF8">
        <w:rPr>
          <w:i w:val="0"/>
          <w:iCs w:val="0"/>
          <w:color w:val="auto"/>
          <w:sz w:val="24"/>
          <w:szCs w:val="24"/>
        </w:rPr>
        <w:t>training activities</w:t>
      </w:r>
      <w:r w:rsidR="00603CE6">
        <w:rPr>
          <w:i w:val="0"/>
          <w:iCs w:val="0"/>
          <w:color w:val="auto"/>
          <w:sz w:val="24"/>
          <w:szCs w:val="24"/>
        </w:rPr>
        <w:t xml:space="preserve"> </w:t>
      </w:r>
      <w:r w:rsidR="00A23E14" w:rsidRPr="00A23E14">
        <w:rPr>
          <w:i w:val="0"/>
          <w:iCs w:val="0"/>
          <w:color w:val="auto"/>
          <w:sz w:val="24"/>
          <w:szCs w:val="24"/>
        </w:rPr>
        <w:t>more cost-effective</w:t>
      </w:r>
      <w:r w:rsidR="00A23E14">
        <w:rPr>
          <w:i w:val="0"/>
          <w:iCs w:val="0"/>
          <w:color w:val="auto"/>
          <w:sz w:val="24"/>
          <w:szCs w:val="24"/>
        </w:rPr>
        <w:t xml:space="preserve"> </w:t>
      </w:r>
      <w:r w:rsidR="00603CE6">
        <w:rPr>
          <w:i w:val="0"/>
          <w:iCs w:val="0"/>
          <w:color w:val="auto"/>
          <w:sz w:val="24"/>
          <w:szCs w:val="24"/>
        </w:rPr>
        <w:t>a</w:t>
      </w:r>
      <w:r w:rsidR="00603CE6" w:rsidRPr="00603CE6">
        <w:rPr>
          <w:i w:val="0"/>
          <w:iCs w:val="0"/>
          <w:color w:val="auto"/>
          <w:sz w:val="24"/>
          <w:szCs w:val="24"/>
        </w:rPr>
        <w:t xml:space="preserve">llows </w:t>
      </w:r>
      <w:r w:rsidR="00603CE6">
        <w:rPr>
          <w:i w:val="0"/>
          <w:iCs w:val="0"/>
          <w:color w:val="auto"/>
          <w:sz w:val="24"/>
          <w:szCs w:val="24"/>
        </w:rPr>
        <w:t xml:space="preserve">for </w:t>
      </w:r>
      <w:r w:rsidR="00603CE6" w:rsidRPr="00603CE6">
        <w:rPr>
          <w:i w:val="0"/>
          <w:iCs w:val="0"/>
          <w:color w:val="auto"/>
          <w:sz w:val="24"/>
          <w:szCs w:val="24"/>
        </w:rPr>
        <w:t xml:space="preserve">coordination of different training </w:t>
      </w:r>
      <w:r w:rsidR="00603CE6">
        <w:rPr>
          <w:i w:val="0"/>
          <w:iCs w:val="0"/>
          <w:color w:val="auto"/>
          <w:sz w:val="24"/>
          <w:szCs w:val="24"/>
        </w:rPr>
        <w:t xml:space="preserve">activities on the same topic and </w:t>
      </w:r>
      <w:r w:rsidR="00603CE6" w:rsidRPr="00603CE6">
        <w:rPr>
          <w:i w:val="0"/>
          <w:iCs w:val="0"/>
          <w:color w:val="auto"/>
          <w:sz w:val="24"/>
          <w:szCs w:val="24"/>
        </w:rPr>
        <w:t>reduc</w:t>
      </w:r>
      <w:r w:rsidR="00603CE6">
        <w:rPr>
          <w:i w:val="0"/>
          <w:iCs w:val="0"/>
          <w:color w:val="auto"/>
          <w:sz w:val="24"/>
          <w:szCs w:val="24"/>
        </w:rPr>
        <w:t>e</w:t>
      </w:r>
      <w:r w:rsidR="00603CE6" w:rsidRPr="00603CE6">
        <w:rPr>
          <w:i w:val="0"/>
          <w:iCs w:val="0"/>
          <w:color w:val="auto"/>
          <w:sz w:val="24"/>
          <w:szCs w:val="24"/>
        </w:rPr>
        <w:t xml:space="preserve"> duplication</w:t>
      </w:r>
      <w:r w:rsidR="00603CE6">
        <w:rPr>
          <w:i w:val="0"/>
          <w:iCs w:val="0"/>
          <w:color w:val="auto"/>
          <w:sz w:val="24"/>
          <w:szCs w:val="24"/>
        </w:rPr>
        <w:t>.</w:t>
      </w:r>
    </w:p>
    <w:p w14:paraId="0ED502E5" w14:textId="5D1A4D20" w:rsidR="00290DF8" w:rsidRDefault="00290DF8" w:rsidP="00290DF8">
      <w:pPr>
        <w:pStyle w:val="Caption"/>
        <w:spacing w:before="120" w:after="0" w:line="276" w:lineRule="auto"/>
        <w:ind w:left="709"/>
        <w:rPr>
          <w:color w:val="auto"/>
          <w:sz w:val="24"/>
          <w:szCs w:val="24"/>
        </w:rPr>
      </w:pPr>
      <w:r w:rsidRPr="00290DF8">
        <w:rPr>
          <w:color w:val="auto"/>
          <w:sz w:val="24"/>
          <w:szCs w:val="24"/>
        </w:rPr>
        <w:t xml:space="preserve">Recommendation </w:t>
      </w:r>
      <w:r w:rsidRPr="00290DF8">
        <w:rPr>
          <w:color w:val="auto"/>
          <w:sz w:val="24"/>
          <w:szCs w:val="24"/>
        </w:rPr>
        <w:fldChar w:fldCharType="begin"/>
      </w:r>
      <w:r w:rsidRPr="00290DF8">
        <w:rPr>
          <w:color w:val="auto"/>
          <w:sz w:val="24"/>
          <w:szCs w:val="24"/>
        </w:rPr>
        <w:instrText xml:space="preserve"> SEQ Recommendation \* ARABIC </w:instrText>
      </w:r>
      <w:r w:rsidRPr="00290DF8">
        <w:rPr>
          <w:color w:val="auto"/>
          <w:sz w:val="24"/>
          <w:szCs w:val="24"/>
        </w:rPr>
        <w:fldChar w:fldCharType="separate"/>
      </w:r>
      <w:r w:rsidR="004F45AC">
        <w:rPr>
          <w:noProof/>
          <w:color w:val="auto"/>
          <w:sz w:val="24"/>
          <w:szCs w:val="24"/>
        </w:rPr>
        <w:t>7</w:t>
      </w:r>
      <w:r w:rsidRPr="00290DF8">
        <w:rPr>
          <w:color w:val="auto"/>
          <w:sz w:val="24"/>
          <w:szCs w:val="24"/>
        </w:rPr>
        <w:fldChar w:fldCharType="end"/>
      </w:r>
      <w:r w:rsidRPr="00290DF8">
        <w:rPr>
          <w:color w:val="auto"/>
          <w:sz w:val="24"/>
          <w:szCs w:val="24"/>
        </w:rPr>
        <w:t>:</w:t>
      </w:r>
      <w:r w:rsidR="003D44AD">
        <w:rPr>
          <w:color w:val="auto"/>
          <w:sz w:val="24"/>
          <w:szCs w:val="24"/>
        </w:rPr>
        <w:t xml:space="preserve"> </w:t>
      </w:r>
      <w:r w:rsidR="003D44AD" w:rsidRPr="003D44AD">
        <w:rPr>
          <w:color w:val="auto"/>
          <w:sz w:val="24"/>
          <w:szCs w:val="24"/>
        </w:rPr>
        <w:t>UNDP</w:t>
      </w:r>
      <w:r w:rsidR="003D44AD">
        <w:rPr>
          <w:color w:val="auto"/>
          <w:sz w:val="24"/>
          <w:szCs w:val="24"/>
        </w:rPr>
        <w:t xml:space="preserve"> CO</w:t>
      </w:r>
      <w:r w:rsidR="003D44AD" w:rsidRPr="003D44AD">
        <w:rPr>
          <w:color w:val="auto"/>
          <w:sz w:val="24"/>
          <w:szCs w:val="24"/>
        </w:rPr>
        <w:t xml:space="preserve"> in cooperation with the Government should consider approaches for longer-term institutionalization of MVR-related training with increased involvement of academia and domestic training institutes</w:t>
      </w:r>
      <w:r w:rsidR="00A23E14">
        <w:rPr>
          <w:color w:val="auto"/>
          <w:sz w:val="24"/>
          <w:szCs w:val="24"/>
        </w:rPr>
        <w:t>.</w:t>
      </w:r>
    </w:p>
    <w:p w14:paraId="675994F5" w14:textId="745C5A15" w:rsidR="004B2758" w:rsidRPr="00B3659D" w:rsidRDefault="004B2758" w:rsidP="003A5AC7">
      <w:pPr>
        <w:spacing w:before="240"/>
      </w:pPr>
      <w:r w:rsidRPr="00EC5EDB">
        <w:rPr>
          <w:u w:val="single"/>
        </w:rPr>
        <w:t xml:space="preserve">Conclusion </w:t>
      </w:r>
      <w:r w:rsidRPr="00EC5EDB">
        <w:rPr>
          <w:u w:val="single"/>
        </w:rPr>
        <w:fldChar w:fldCharType="begin"/>
      </w:r>
      <w:r w:rsidRPr="00EC5EDB">
        <w:rPr>
          <w:u w:val="single"/>
        </w:rPr>
        <w:instrText xml:space="preserve"> SEQ Conclusion \* ARABIC </w:instrText>
      </w:r>
      <w:r w:rsidRPr="00EC5EDB">
        <w:rPr>
          <w:u w:val="single"/>
        </w:rPr>
        <w:fldChar w:fldCharType="separate"/>
      </w:r>
      <w:r w:rsidR="004F45AC">
        <w:rPr>
          <w:noProof/>
          <w:u w:val="single"/>
        </w:rPr>
        <w:t>8</w:t>
      </w:r>
      <w:r w:rsidRPr="00EC5EDB">
        <w:rPr>
          <w:u w:val="single"/>
        </w:rPr>
        <w:fldChar w:fldCharType="end"/>
      </w:r>
      <w:r w:rsidRPr="00EC5EDB">
        <w:rPr>
          <w:u w:val="single"/>
        </w:rPr>
        <w:t>:</w:t>
      </w:r>
      <w:r w:rsidRPr="00EC5EDB">
        <w:t xml:space="preserve"> </w:t>
      </w:r>
      <w:r w:rsidR="004B599B">
        <w:t>Availability and quality of climate data is critical for</w:t>
      </w:r>
      <w:r w:rsidR="004B599B" w:rsidRPr="004B599B">
        <w:t xml:space="preserve"> advanc</w:t>
      </w:r>
      <w:r w:rsidR="004B599B">
        <w:t xml:space="preserve">ing </w:t>
      </w:r>
      <w:r w:rsidR="004B599B" w:rsidRPr="004B599B">
        <w:t>medium and long-term adaptation planning</w:t>
      </w:r>
      <w:r w:rsidR="004B599B">
        <w:t xml:space="preserve">. </w:t>
      </w:r>
      <w:r w:rsidR="003A5AC7">
        <w:t>A</w:t>
      </w:r>
      <w:r w:rsidR="001B1A3F">
        <w:t>wareness of the issue of climate change is often lacking on the part of policy makers</w:t>
      </w:r>
      <w:r w:rsidR="003A5AC7">
        <w:t xml:space="preserve"> </w:t>
      </w:r>
      <w:r w:rsidR="001B1A3F">
        <w:t>and data</w:t>
      </w:r>
      <w:r w:rsidR="003A5AC7">
        <w:t xml:space="preserve"> owners</w:t>
      </w:r>
      <w:r w:rsidR="001B1A3F">
        <w:t>, the result being that the implications of the various parts of NCs fail to be understood and do not translate to action.</w:t>
      </w:r>
      <w:r w:rsidR="003A5AC7">
        <w:t xml:space="preserve"> </w:t>
      </w:r>
    </w:p>
    <w:p w14:paraId="4B115E0E" w14:textId="1F4CCB3D" w:rsidR="00B3659D" w:rsidRPr="00B3659D" w:rsidRDefault="00B3659D" w:rsidP="00B3659D">
      <w:pPr>
        <w:pStyle w:val="Caption"/>
        <w:spacing w:before="120" w:after="0" w:line="276" w:lineRule="auto"/>
        <w:ind w:left="709"/>
        <w:rPr>
          <w:color w:val="auto"/>
          <w:sz w:val="24"/>
          <w:szCs w:val="24"/>
        </w:rPr>
      </w:pPr>
      <w:r w:rsidRPr="00B3659D">
        <w:rPr>
          <w:color w:val="auto"/>
          <w:sz w:val="24"/>
          <w:szCs w:val="24"/>
          <w:u w:val="single"/>
        </w:rPr>
        <w:t xml:space="preserve">Recommendation </w:t>
      </w:r>
      <w:r w:rsidRPr="00B3659D">
        <w:rPr>
          <w:color w:val="auto"/>
          <w:sz w:val="24"/>
          <w:szCs w:val="24"/>
          <w:u w:val="single"/>
        </w:rPr>
        <w:fldChar w:fldCharType="begin"/>
      </w:r>
      <w:r w:rsidRPr="00B3659D">
        <w:rPr>
          <w:color w:val="auto"/>
          <w:sz w:val="24"/>
          <w:szCs w:val="24"/>
          <w:u w:val="single"/>
        </w:rPr>
        <w:instrText xml:space="preserve"> SEQ Recommendation \* ARABIC </w:instrText>
      </w:r>
      <w:r w:rsidRPr="00B3659D">
        <w:rPr>
          <w:color w:val="auto"/>
          <w:sz w:val="24"/>
          <w:szCs w:val="24"/>
          <w:u w:val="single"/>
        </w:rPr>
        <w:fldChar w:fldCharType="separate"/>
      </w:r>
      <w:r w:rsidR="004F45AC">
        <w:rPr>
          <w:noProof/>
          <w:color w:val="auto"/>
          <w:sz w:val="24"/>
          <w:szCs w:val="24"/>
          <w:u w:val="single"/>
        </w:rPr>
        <w:t>8</w:t>
      </w:r>
      <w:r w:rsidRPr="00B3659D">
        <w:rPr>
          <w:color w:val="auto"/>
          <w:sz w:val="24"/>
          <w:szCs w:val="24"/>
          <w:u w:val="single"/>
        </w:rPr>
        <w:fldChar w:fldCharType="end"/>
      </w:r>
      <w:r w:rsidRPr="00B3659D">
        <w:rPr>
          <w:color w:val="auto"/>
          <w:sz w:val="24"/>
          <w:szCs w:val="24"/>
          <w:u w:val="single"/>
        </w:rPr>
        <w:t>:</w:t>
      </w:r>
      <w:r w:rsidR="003D44AD">
        <w:rPr>
          <w:color w:val="auto"/>
          <w:sz w:val="24"/>
          <w:szCs w:val="24"/>
        </w:rPr>
        <w:t xml:space="preserve"> The Project </w:t>
      </w:r>
      <w:r w:rsidR="003A7551">
        <w:rPr>
          <w:color w:val="auto"/>
          <w:sz w:val="24"/>
          <w:szCs w:val="24"/>
        </w:rPr>
        <w:t xml:space="preserve">Management </w:t>
      </w:r>
      <w:r w:rsidR="003D44AD">
        <w:rPr>
          <w:color w:val="auto"/>
          <w:sz w:val="24"/>
          <w:szCs w:val="24"/>
        </w:rPr>
        <w:t xml:space="preserve">Unit should ensure that </w:t>
      </w:r>
      <w:r w:rsidR="003D44AD" w:rsidRPr="003D44AD">
        <w:rPr>
          <w:color w:val="auto"/>
          <w:sz w:val="24"/>
          <w:szCs w:val="24"/>
        </w:rPr>
        <w:t>training on use of MRV include</w:t>
      </w:r>
      <w:r w:rsidR="003D44AD">
        <w:rPr>
          <w:color w:val="auto"/>
          <w:sz w:val="24"/>
          <w:szCs w:val="24"/>
        </w:rPr>
        <w:t>s</w:t>
      </w:r>
      <w:r w:rsidR="003D44AD" w:rsidRPr="003D44AD">
        <w:rPr>
          <w:color w:val="auto"/>
          <w:sz w:val="24"/>
          <w:szCs w:val="24"/>
        </w:rPr>
        <w:t xml:space="preserve"> training of policy-makers’ technical experts on ways of information exchange between technical experts and policy-makers</w:t>
      </w:r>
      <w:r w:rsidRPr="00B3659D">
        <w:rPr>
          <w:color w:val="auto"/>
          <w:sz w:val="24"/>
          <w:szCs w:val="24"/>
        </w:rPr>
        <w:t xml:space="preserve">.  </w:t>
      </w:r>
    </w:p>
    <w:p w14:paraId="6B856587" w14:textId="61AD832E" w:rsidR="00C8595F" w:rsidRPr="00C8595F" w:rsidRDefault="00C8595F" w:rsidP="00C8595F">
      <w:pPr>
        <w:pStyle w:val="Caption"/>
        <w:spacing w:before="240" w:after="120" w:line="276" w:lineRule="auto"/>
        <w:rPr>
          <w:i w:val="0"/>
          <w:iCs w:val="0"/>
          <w:color w:val="auto"/>
          <w:sz w:val="24"/>
          <w:szCs w:val="24"/>
        </w:rPr>
      </w:pPr>
      <w:r w:rsidRPr="00C8595F">
        <w:rPr>
          <w:i w:val="0"/>
          <w:iCs w:val="0"/>
          <w:color w:val="auto"/>
          <w:sz w:val="24"/>
          <w:szCs w:val="24"/>
          <w:u w:val="single"/>
        </w:rPr>
        <w:t xml:space="preserve">Conclusion </w:t>
      </w:r>
      <w:r w:rsidRPr="00C8595F">
        <w:rPr>
          <w:i w:val="0"/>
          <w:iCs w:val="0"/>
          <w:color w:val="auto"/>
          <w:sz w:val="24"/>
          <w:szCs w:val="24"/>
          <w:u w:val="single"/>
        </w:rPr>
        <w:fldChar w:fldCharType="begin"/>
      </w:r>
      <w:r w:rsidRPr="00C8595F">
        <w:rPr>
          <w:i w:val="0"/>
          <w:iCs w:val="0"/>
          <w:color w:val="auto"/>
          <w:sz w:val="24"/>
          <w:szCs w:val="24"/>
          <w:u w:val="single"/>
        </w:rPr>
        <w:instrText xml:space="preserve"> SEQ Conclusion \* ARABIC </w:instrText>
      </w:r>
      <w:r w:rsidRPr="00C8595F">
        <w:rPr>
          <w:i w:val="0"/>
          <w:iCs w:val="0"/>
          <w:color w:val="auto"/>
          <w:sz w:val="24"/>
          <w:szCs w:val="24"/>
          <w:u w:val="single"/>
        </w:rPr>
        <w:fldChar w:fldCharType="separate"/>
      </w:r>
      <w:r w:rsidR="004F45AC">
        <w:rPr>
          <w:i w:val="0"/>
          <w:iCs w:val="0"/>
          <w:noProof/>
          <w:color w:val="auto"/>
          <w:sz w:val="24"/>
          <w:szCs w:val="24"/>
          <w:u w:val="single"/>
        </w:rPr>
        <w:t>9</w:t>
      </w:r>
      <w:r w:rsidRPr="00C8595F">
        <w:rPr>
          <w:i w:val="0"/>
          <w:iCs w:val="0"/>
          <w:color w:val="auto"/>
          <w:sz w:val="24"/>
          <w:szCs w:val="24"/>
          <w:u w:val="single"/>
        </w:rPr>
        <w:fldChar w:fldCharType="end"/>
      </w:r>
      <w:r w:rsidRPr="00C8595F">
        <w:rPr>
          <w:i w:val="0"/>
          <w:iCs w:val="0"/>
          <w:color w:val="auto"/>
          <w:sz w:val="24"/>
          <w:szCs w:val="24"/>
          <w:u w:val="single"/>
        </w:rPr>
        <w:t>:</w:t>
      </w:r>
      <w:r w:rsidRPr="00C8595F">
        <w:rPr>
          <w:i w:val="0"/>
          <w:iCs w:val="0"/>
          <w:color w:val="auto"/>
          <w:sz w:val="24"/>
          <w:szCs w:val="24"/>
        </w:rPr>
        <w:t xml:space="preserve"> </w:t>
      </w:r>
      <w:r w:rsidR="009038CE">
        <w:rPr>
          <w:i w:val="0"/>
          <w:iCs w:val="0"/>
          <w:color w:val="auto"/>
          <w:sz w:val="24"/>
          <w:szCs w:val="24"/>
        </w:rPr>
        <w:t xml:space="preserve">Building capacities of </w:t>
      </w:r>
      <w:r w:rsidR="00685AFA">
        <w:rPr>
          <w:i w:val="0"/>
          <w:iCs w:val="0"/>
          <w:color w:val="auto"/>
          <w:sz w:val="24"/>
          <w:szCs w:val="24"/>
        </w:rPr>
        <w:t xml:space="preserve">local governments on </w:t>
      </w:r>
      <w:r w:rsidRPr="00C8595F">
        <w:rPr>
          <w:i w:val="0"/>
          <w:iCs w:val="0"/>
          <w:color w:val="auto"/>
          <w:sz w:val="24"/>
          <w:szCs w:val="24"/>
        </w:rPr>
        <w:t xml:space="preserve">adaptation </w:t>
      </w:r>
      <w:r w:rsidR="004B2758">
        <w:rPr>
          <w:i w:val="0"/>
          <w:iCs w:val="0"/>
          <w:color w:val="auto"/>
          <w:sz w:val="24"/>
          <w:szCs w:val="24"/>
        </w:rPr>
        <w:t>and v</w:t>
      </w:r>
      <w:r w:rsidR="004B2758" w:rsidRPr="00C8595F">
        <w:rPr>
          <w:i w:val="0"/>
          <w:iCs w:val="0"/>
          <w:color w:val="auto"/>
          <w:sz w:val="24"/>
          <w:szCs w:val="24"/>
        </w:rPr>
        <w:t>ulnerability</w:t>
      </w:r>
      <w:r w:rsidR="004B2758">
        <w:rPr>
          <w:i w:val="0"/>
          <w:iCs w:val="0"/>
          <w:color w:val="auto"/>
          <w:sz w:val="24"/>
          <w:szCs w:val="24"/>
        </w:rPr>
        <w:t xml:space="preserve"> is an effective </w:t>
      </w:r>
      <w:r w:rsidR="009038CE">
        <w:rPr>
          <w:i w:val="0"/>
          <w:iCs w:val="0"/>
          <w:color w:val="auto"/>
          <w:sz w:val="24"/>
          <w:szCs w:val="24"/>
        </w:rPr>
        <w:t xml:space="preserve">tool </w:t>
      </w:r>
      <w:r w:rsidR="004B2758">
        <w:rPr>
          <w:i w:val="0"/>
          <w:iCs w:val="0"/>
          <w:color w:val="auto"/>
          <w:sz w:val="24"/>
          <w:szCs w:val="24"/>
        </w:rPr>
        <w:t xml:space="preserve">for </w:t>
      </w:r>
      <w:r w:rsidR="00685AFA">
        <w:rPr>
          <w:i w:val="0"/>
          <w:iCs w:val="0"/>
          <w:color w:val="auto"/>
          <w:sz w:val="24"/>
          <w:szCs w:val="24"/>
        </w:rPr>
        <w:t>awareness</w:t>
      </w:r>
      <w:r w:rsidR="004B2758">
        <w:rPr>
          <w:i w:val="0"/>
          <w:iCs w:val="0"/>
          <w:color w:val="auto"/>
          <w:sz w:val="24"/>
          <w:szCs w:val="24"/>
        </w:rPr>
        <w:t>-raising about impacts of climate change in local communities.</w:t>
      </w:r>
    </w:p>
    <w:p w14:paraId="3CEBA5BF" w14:textId="62F1E654" w:rsidR="00C8595F" w:rsidRPr="00C8595F" w:rsidRDefault="00C8595F" w:rsidP="00C8595F">
      <w:pPr>
        <w:pStyle w:val="Caption"/>
        <w:spacing w:before="120" w:after="0"/>
        <w:ind w:left="709"/>
        <w:rPr>
          <w:color w:val="auto"/>
          <w:sz w:val="24"/>
          <w:szCs w:val="24"/>
        </w:rPr>
      </w:pPr>
      <w:r w:rsidRPr="00BD5B23">
        <w:rPr>
          <w:color w:val="auto"/>
          <w:sz w:val="24"/>
          <w:szCs w:val="24"/>
          <w:u w:val="single"/>
        </w:rPr>
        <w:t xml:space="preserve">Recommendation </w:t>
      </w:r>
      <w:r w:rsidRPr="00BD5B23">
        <w:rPr>
          <w:color w:val="auto"/>
          <w:sz w:val="24"/>
          <w:szCs w:val="24"/>
          <w:u w:val="single"/>
        </w:rPr>
        <w:fldChar w:fldCharType="begin"/>
      </w:r>
      <w:r w:rsidRPr="00BD5B23">
        <w:rPr>
          <w:color w:val="auto"/>
          <w:sz w:val="24"/>
          <w:szCs w:val="24"/>
          <w:u w:val="single"/>
        </w:rPr>
        <w:instrText xml:space="preserve"> SEQ Recommendation \* ARABIC </w:instrText>
      </w:r>
      <w:r w:rsidRPr="00BD5B23">
        <w:rPr>
          <w:color w:val="auto"/>
          <w:sz w:val="24"/>
          <w:szCs w:val="24"/>
          <w:u w:val="single"/>
        </w:rPr>
        <w:fldChar w:fldCharType="separate"/>
      </w:r>
      <w:r w:rsidR="004F45AC">
        <w:rPr>
          <w:noProof/>
          <w:color w:val="auto"/>
          <w:sz w:val="24"/>
          <w:szCs w:val="24"/>
          <w:u w:val="single"/>
        </w:rPr>
        <w:t>9</w:t>
      </w:r>
      <w:r w:rsidRPr="00BD5B23">
        <w:rPr>
          <w:color w:val="auto"/>
          <w:sz w:val="24"/>
          <w:szCs w:val="24"/>
          <w:u w:val="single"/>
        </w:rPr>
        <w:fldChar w:fldCharType="end"/>
      </w:r>
      <w:r w:rsidRPr="00BD5B23">
        <w:rPr>
          <w:color w:val="auto"/>
          <w:sz w:val="24"/>
          <w:szCs w:val="24"/>
          <w:u w:val="single"/>
        </w:rPr>
        <w:t>:</w:t>
      </w:r>
      <w:r w:rsidR="003D44AD">
        <w:rPr>
          <w:color w:val="auto"/>
          <w:sz w:val="24"/>
          <w:szCs w:val="24"/>
        </w:rPr>
        <w:t xml:space="preserve"> </w:t>
      </w:r>
      <w:r w:rsidR="003D44AD" w:rsidRPr="003D44AD">
        <w:rPr>
          <w:color w:val="auto"/>
          <w:sz w:val="24"/>
          <w:szCs w:val="24"/>
        </w:rPr>
        <w:t>The P</w:t>
      </w:r>
      <w:r w:rsidR="003D44AD">
        <w:rPr>
          <w:color w:val="auto"/>
          <w:sz w:val="24"/>
          <w:szCs w:val="24"/>
        </w:rPr>
        <w:t xml:space="preserve">roject </w:t>
      </w:r>
      <w:r w:rsidR="003A7551">
        <w:rPr>
          <w:color w:val="auto"/>
          <w:sz w:val="24"/>
          <w:szCs w:val="24"/>
        </w:rPr>
        <w:t>Management</w:t>
      </w:r>
      <w:r w:rsidR="003A7551" w:rsidRPr="003D44AD">
        <w:rPr>
          <w:color w:val="auto"/>
          <w:sz w:val="24"/>
          <w:szCs w:val="24"/>
        </w:rPr>
        <w:t xml:space="preserve"> </w:t>
      </w:r>
      <w:r w:rsidR="003D44AD" w:rsidRPr="003D44AD">
        <w:rPr>
          <w:color w:val="auto"/>
          <w:sz w:val="24"/>
          <w:szCs w:val="24"/>
        </w:rPr>
        <w:t>U</w:t>
      </w:r>
      <w:r w:rsidR="003D44AD">
        <w:rPr>
          <w:color w:val="auto"/>
          <w:sz w:val="24"/>
          <w:szCs w:val="24"/>
        </w:rPr>
        <w:t>nit</w:t>
      </w:r>
      <w:r w:rsidR="003D44AD" w:rsidRPr="003D44AD">
        <w:rPr>
          <w:color w:val="auto"/>
          <w:sz w:val="24"/>
          <w:szCs w:val="24"/>
        </w:rPr>
        <w:t xml:space="preserve"> should consider increased delivery of trainings for local governments on adaptation and vulnerability assessment</w:t>
      </w:r>
      <w:r w:rsidR="004B2758">
        <w:rPr>
          <w:color w:val="auto"/>
          <w:sz w:val="24"/>
          <w:szCs w:val="24"/>
        </w:rPr>
        <w:t>.</w:t>
      </w:r>
    </w:p>
    <w:p w14:paraId="6090B668" w14:textId="6FF760C0" w:rsidR="00B93D62" w:rsidRPr="00906F02" w:rsidRDefault="00906F02" w:rsidP="00906F02">
      <w:pPr>
        <w:pStyle w:val="Caption"/>
        <w:spacing w:before="240" w:after="120" w:line="276" w:lineRule="auto"/>
        <w:rPr>
          <w:i w:val="0"/>
          <w:iCs w:val="0"/>
          <w:color w:val="auto"/>
          <w:sz w:val="24"/>
          <w:szCs w:val="24"/>
        </w:rPr>
      </w:pPr>
      <w:r w:rsidRPr="00906F02">
        <w:rPr>
          <w:i w:val="0"/>
          <w:iCs w:val="0"/>
          <w:color w:val="auto"/>
          <w:sz w:val="24"/>
          <w:szCs w:val="24"/>
          <w:u w:val="single"/>
        </w:rPr>
        <w:t xml:space="preserve">Conclusion </w:t>
      </w:r>
      <w:r w:rsidRPr="00906F02">
        <w:rPr>
          <w:i w:val="0"/>
          <w:iCs w:val="0"/>
          <w:color w:val="auto"/>
          <w:sz w:val="24"/>
          <w:szCs w:val="24"/>
          <w:u w:val="single"/>
        </w:rPr>
        <w:fldChar w:fldCharType="begin"/>
      </w:r>
      <w:r w:rsidRPr="00906F02">
        <w:rPr>
          <w:i w:val="0"/>
          <w:iCs w:val="0"/>
          <w:color w:val="auto"/>
          <w:sz w:val="24"/>
          <w:szCs w:val="24"/>
          <w:u w:val="single"/>
        </w:rPr>
        <w:instrText xml:space="preserve"> SEQ Conclusion \* ARABIC </w:instrText>
      </w:r>
      <w:r w:rsidRPr="00906F02">
        <w:rPr>
          <w:i w:val="0"/>
          <w:iCs w:val="0"/>
          <w:color w:val="auto"/>
          <w:sz w:val="24"/>
          <w:szCs w:val="24"/>
          <w:u w:val="single"/>
        </w:rPr>
        <w:fldChar w:fldCharType="separate"/>
      </w:r>
      <w:r w:rsidR="004F45AC">
        <w:rPr>
          <w:i w:val="0"/>
          <w:iCs w:val="0"/>
          <w:noProof/>
          <w:color w:val="auto"/>
          <w:sz w:val="24"/>
          <w:szCs w:val="24"/>
          <w:u w:val="single"/>
        </w:rPr>
        <w:t>10</w:t>
      </w:r>
      <w:r w:rsidRPr="00906F02">
        <w:rPr>
          <w:i w:val="0"/>
          <w:iCs w:val="0"/>
          <w:color w:val="auto"/>
          <w:sz w:val="24"/>
          <w:szCs w:val="24"/>
          <w:u w:val="single"/>
        </w:rPr>
        <w:fldChar w:fldCharType="end"/>
      </w:r>
      <w:r>
        <w:rPr>
          <w:i w:val="0"/>
          <w:iCs w:val="0"/>
          <w:color w:val="auto"/>
          <w:sz w:val="24"/>
          <w:szCs w:val="24"/>
          <w:u w:val="single"/>
        </w:rPr>
        <w:t>:</w:t>
      </w:r>
      <w:r>
        <w:rPr>
          <w:i w:val="0"/>
          <w:iCs w:val="0"/>
          <w:color w:val="auto"/>
          <w:sz w:val="24"/>
          <w:szCs w:val="24"/>
        </w:rPr>
        <w:t xml:space="preserve"> </w:t>
      </w:r>
      <w:r w:rsidR="00B93D62" w:rsidRPr="00906F02">
        <w:rPr>
          <w:i w:val="0"/>
          <w:iCs w:val="0"/>
          <w:color w:val="auto"/>
          <w:sz w:val="24"/>
          <w:szCs w:val="24"/>
        </w:rPr>
        <w:t>P</w:t>
      </w:r>
      <w:r w:rsidR="008333CA" w:rsidRPr="00906F02">
        <w:rPr>
          <w:i w:val="0"/>
          <w:iCs w:val="0"/>
          <w:color w:val="auto"/>
          <w:sz w:val="24"/>
          <w:szCs w:val="24"/>
        </w:rPr>
        <w:t xml:space="preserve">ublic awareness about CC mitigation and adaptation </w:t>
      </w:r>
      <w:r w:rsidR="00B93D62" w:rsidRPr="00906F02">
        <w:rPr>
          <w:i w:val="0"/>
          <w:iCs w:val="0"/>
          <w:color w:val="auto"/>
          <w:sz w:val="24"/>
          <w:szCs w:val="24"/>
        </w:rPr>
        <w:t xml:space="preserve">helps to raise the profile of the work on a transparency system and is therefore an important element contributing to sustainability </w:t>
      </w:r>
      <w:r w:rsidR="008333CA" w:rsidRPr="00906F02">
        <w:rPr>
          <w:i w:val="0"/>
          <w:iCs w:val="0"/>
          <w:color w:val="auto"/>
          <w:sz w:val="24"/>
          <w:szCs w:val="24"/>
        </w:rPr>
        <w:t xml:space="preserve">of the </w:t>
      </w:r>
      <w:r w:rsidR="00DE571B" w:rsidRPr="00906F02">
        <w:rPr>
          <w:i w:val="0"/>
          <w:iCs w:val="0"/>
          <w:color w:val="auto"/>
          <w:sz w:val="24"/>
          <w:szCs w:val="24"/>
        </w:rPr>
        <w:t>project results</w:t>
      </w:r>
      <w:r w:rsidR="00B93D62" w:rsidRPr="00906F02">
        <w:rPr>
          <w:i w:val="0"/>
          <w:iCs w:val="0"/>
          <w:color w:val="auto"/>
          <w:sz w:val="24"/>
          <w:szCs w:val="24"/>
        </w:rPr>
        <w:t>.</w:t>
      </w:r>
    </w:p>
    <w:p w14:paraId="6497A4F1" w14:textId="532AE7C9" w:rsidR="008333CA" w:rsidRPr="00906F02" w:rsidRDefault="00906F02" w:rsidP="00906F02">
      <w:pPr>
        <w:pStyle w:val="Caption"/>
        <w:spacing w:before="120" w:after="0" w:line="276" w:lineRule="auto"/>
        <w:ind w:left="709"/>
        <w:rPr>
          <w:color w:val="auto"/>
          <w:sz w:val="24"/>
          <w:szCs w:val="24"/>
        </w:rPr>
      </w:pPr>
      <w:r w:rsidRPr="00906F02">
        <w:rPr>
          <w:color w:val="auto"/>
          <w:sz w:val="24"/>
          <w:szCs w:val="24"/>
          <w:u w:val="single"/>
        </w:rPr>
        <w:lastRenderedPageBreak/>
        <w:t xml:space="preserve">Recommendation </w:t>
      </w:r>
      <w:r w:rsidRPr="00906F02">
        <w:rPr>
          <w:color w:val="auto"/>
          <w:sz w:val="24"/>
          <w:szCs w:val="24"/>
          <w:u w:val="single"/>
        </w:rPr>
        <w:fldChar w:fldCharType="begin"/>
      </w:r>
      <w:r w:rsidRPr="00906F02">
        <w:rPr>
          <w:color w:val="auto"/>
          <w:sz w:val="24"/>
          <w:szCs w:val="24"/>
          <w:u w:val="single"/>
        </w:rPr>
        <w:instrText xml:space="preserve"> SEQ Recommendation \* ARABIC </w:instrText>
      </w:r>
      <w:r w:rsidRPr="00906F02">
        <w:rPr>
          <w:color w:val="auto"/>
          <w:sz w:val="24"/>
          <w:szCs w:val="24"/>
          <w:u w:val="single"/>
        </w:rPr>
        <w:fldChar w:fldCharType="separate"/>
      </w:r>
      <w:r w:rsidR="004F45AC">
        <w:rPr>
          <w:noProof/>
          <w:color w:val="auto"/>
          <w:sz w:val="24"/>
          <w:szCs w:val="24"/>
          <w:u w:val="single"/>
        </w:rPr>
        <w:t>10</w:t>
      </w:r>
      <w:r w:rsidRPr="00906F02">
        <w:rPr>
          <w:color w:val="auto"/>
          <w:sz w:val="24"/>
          <w:szCs w:val="24"/>
          <w:u w:val="single"/>
        </w:rPr>
        <w:fldChar w:fldCharType="end"/>
      </w:r>
      <w:r>
        <w:rPr>
          <w:color w:val="auto"/>
          <w:sz w:val="24"/>
          <w:szCs w:val="24"/>
          <w:u w:val="single"/>
        </w:rPr>
        <w:t>:</w:t>
      </w:r>
      <w:r w:rsidR="003D44AD">
        <w:rPr>
          <w:color w:val="auto"/>
          <w:sz w:val="24"/>
          <w:szCs w:val="24"/>
        </w:rPr>
        <w:t xml:space="preserve"> </w:t>
      </w:r>
      <w:r w:rsidR="003D44AD" w:rsidRPr="003D44AD">
        <w:rPr>
          <w:color w:val="auto"/>
          <w:sz w:val="24"/>
          <w:szCs w:val="24"/>
        </w:rPr>
        <w:t>The project Implementing Partners should consider use of unspent project budget allocated under Outcome 4 for development and implementation of communication and public outreach activities aiming at businesses and general public</w:t>
      </w:r>
      <w:r w:rsidR="00603CE6">
        <w:rPr>
          <w:rFonts w:eastAsia="Calibri"/>
          <w:color w:val="auto"/>
          <w:sz w:val="24"/>
          <w:szCs w:val="24"/>
        </w:rPr>
        <w:t xml:space="preserve">. </w:t>
      </w:r>
    </w:p>
    <w:p w14:paraId="358A809E" w14:textId="401AD80C" w:rsidR="0062392D" w:rsidRDefault="00FE0B3F" w:rsidP="003D44AD">
      <w:pPr>
        <w:pStyle w:val="Heading2"/>
      </w:pPr>
      <w:bookmarkStart w:id="70" w:name="_Toc66777427"/>
      <w:r>
        <w:t>Good practices and l</w:t>
      </w:r>
      <w:r w:rsidR="004F1051">
        <w:t>essons learned</w:t>
      </w:r>
      <w:bookmarkEnd w:id="70"/>
    </w:p>
    <w:p w14:paraId="007F3405" w14:textId="25997BFB" w:rsidR="004F1051" w:rsidRDefault="004F1051" w:rsidP="008A6C31">
      <w:pPr>
        <w:spacing w:before="240"/>
        <w:rPr>
          <w:rFonts w:cs="CamingoDos Pro"/>
          <w:color w:val="000000"/>
        </w:rPr>
      </w:pPr>
      <w:r w:rsidRPr="00690ED3">
        <w:rPr>
          <w:rFonts w:cs="CamingoDos Pro"/>
          <w:color w:val="000000"/>
        </w:rPr>
        <w:t xml:space="preserve">The </w:t>
      </w:r>
      <w:r w:rsidR="00953C07">
        <w:rPr>
          <w:rFonts w:cs="CamingoDos Pro"/>
          <w:color w:val="000000"/>
        </w:rPr>
        <w:t xml:space="preserve">IMWG </w:t>
      </w:r>
      <w:r w:rsidRPr="00690ED3">
        <w:rPr>
          <w:rFonts w:cs="CamingoDos Pro"/>
          <w:color w:val="000000"/>
        </w:rPr>
        <w:t xml:space="preserve">has successfully </w:t>
      </w:r>
      <w:r w:rsidR="00BA72F7">
        <w:rPr>
          <w:rFonts w:cs="CamingoDos Pro"/>
          <w:color w:val="000000"/>
        </w:rPr>
        <w:t xml:space="preserve">brought together </w:t>
      </w:r>
      <w:r w:rsidRPr="00690ED3">
        <w:rPr>
          <w:rFonts w:cs="CamingoDos Pro"/>
          <w:color w:val="000000"/>
        </w:rPr>
        <w:t xml:space="preserve">experts from a range of </w:t>
      </w:r>
      <w:r w:rsidR="00953C07">
        <w:rPr>
          <w:rFonts w:cs="CamingoDos Pro"/>
          <w:color w:val="000000"/>
        </w:rPr>
        <w:t xml:space="preserve">line </w:t>
      </w:r>
      <w:r w:rsidRPr="00690ED3">
        <w:rPr>
          <w:rFonts w:cs="CamingoDos Pro"/>
          <w:color w:val="000000"/>
        </w:rPr>
        <w:t xml:space="preserve">ministries </w:t>
      </w:r>
      <w:r w:rsidR="00953C07">
        <w:rPr>
          <w:rFonts w:cs="CamingoDos Pro"/>
          <w:color w:val="000000"/>
        </w:rPr>
        <w:t>and other relevant stakeholder institutions</w:t>
      </w:r>
      <w:r w:rsidR="004B657C">
        <w:rPr>
          <w:rFonts w:cs="CamingoDos Pro"/>
          <w:color w:val="000000"/>
        </w:rPr>
        <w:t>. Apart from its function as a technical support to the narrow Project Board, t</w:t>
      </w:r>
      <w:r w:rsidR="004B657C" w:rsidRPr="00690ED3">
        <w:rPr>
          <w:rFonts w:cs="CamingoDos Pro"/>
          <w:color w:val="000000"/>
        </w:rPr>
        <w:t xml:space="preserve">he </w:t>
      </w:r>
      <w:r w:rsidR="004B657C">
        <w:rPr>
          <w:rFonts w:cs="CamingoDos Pro"/>
          <w:color w:val="000000"/>
        </w:rPr>
        <w:t xml:space="preserve">IMWG serves as a platform for discussion </w:t>
      </w:r>
      <w:r w:rsidR="00D73717">
        <w:rPr>
          <w:rFonts w:cs="CamingoDos Pro"/>
          <w:color w:val="000000"/>
        </w:rPr>
        <w:t xml:space="preserve">enabling </w:t>
      </w:r>
      <w:r w:rsidR="004B657C">
        <w:rPr>
          <w:rFonts w:cs="CamingoDos Pro"/>
          <w:color w:val="000000"/>
        </w:rPr>
        <w:t xml:space="preserve">to learn about standpoints and interests of a variety of national and few provincial stakeholders </w:t>
      </w:r>
      <w:r w:rsidR="00D73717">
        <w:rPr>
          <w:rFonts w:cs="CamingoDos Pro"/>
          <w:color w:val="000000"/>
        </w:rPr>
        <w:t xml:space="preserve">related </w:t>
      </w:r>
      <w:r w:rsidR="004B657C">
        <w:rPr>
          <w:rFonts w:cs="CamingoDos Pro"/>
          <w:color w:val="000000"/>
        </w:rPr>
        <w:t>to Serbia’s obligations under the UNFCCC and the PCA. Th</w:t>
      </w:r>
      <w:r w:rsidR="00D73717">
        <w:rPr>
          <w:rFonts w:cs="CamingoDos Pro"/>
          <w:color w:val="000000"/>
        </w:rPr>
        <w:t xml:space="preserve">e positive effect of the IMWG </w:t>
      </w:r>
      <w:r w:rsidR="00953C07">
        <w:rPr>
          <w:rFonts w:cs="CamingoDos Pro"/>
          <w:color w:val="000000"/>
        </w:rPr>
        <w:t xml:space="preserve">confirms the importance of </w:t>
      </w:r>
      <w:r w:rsidRPr="00690ED3">
        <w:rPr>
          <w:rFonts w:cs="CamingoDos Pro"/>
          <w:color w:val="000000"/>
        </w:rPr>
        <w:t>intersectoral cooperation</w:t>
      </w:r>
      <w:r w:rsidR="00953C07">
        <w:rPr>
          <w:rFonts w:cs="CamingoDos Pro"/>
          <w:color w:val="000000"/>
        </w:rPr>
        <w:t xml:space="preserve"> for addressing complex issues such as CC adaptation and mitigation</w:t>
      </w:r>
      <w:r w:rsidRPr="00690ED3">
        <w:rPr>
          <w:rFonts w:cs="CamingoDos Pro"/>
          <w:color w:val="000000"/>
        </w:rPr>
        <w:t>.</w:t>
      </w:r>
      <w:r w:rsidR="00257331">
        <w:rPr>
          <w:rFonts w:cs="CamingoDos Pro"/>
          <w:color w:val="000000"/>
        </w:rPr>
        <w:t xml:space="preserve"> </w:t>
      </w:r>
      <w:r w:rsidR="00953C07">
        <w:rPr>
          <w:rFonts w:cs="CamingoDos Pro"/>
          <w:color w:val="000000"/>
        </w:rPr>
        <w:t xml:space="preserve">Through the creation of the </w:t>
      </w:r>
      <w:r w:rsidR="00257331">
        <w:rPr>
          <w:rFonts w:cs="CamingoDos Pro"/>
          <w:color w:val="000000"/>
        </w:rPr>
        <w:t xml:space="preserve">IMWG, </w:t>
      </w:r>
      <w:r w:rsidR="00257331" w:rsidRPr="00257331">
        <w:rPr>
          <w:rFonts w:cs="CamingoDos Pro"/>
          <w:color w:val="000000"/>
        </w:rPr>
        <w:t xml:space="preserve">the project </w:t>
      </w:r>
      <w:r w:rsidR="00953C07">
        <w:rPr>
          <w:rFonts w:cs="CamingoDos Pro"/>
          <w:color w:val="000000"/>
        </w:rPr>
        <w:t xml:space="preserve">fostered </w:t>
      </w:r>
      <w:r w:rsidR="00BA72F7">
        <w:rPr>
          <w:rFonts w:cs="CamingoDos Pro"/>
          <w:color w:val="000000"/>
        </w:rPr>
        <w:t>development of c</w:t>
      </w:r>
      <w:r w:rsidR="00BA72F7" w:rsidRPr="00BA72F7">
        <w:rPr>
          <w:rFonts w:cs="CamingoDos Pro"/>
          <w:color w:val="000000"/>
        </w:rPr>
        <w:t xml:space="preserve">loser and more transparent collaboration </w:t>
      </w:r>
      <w:r w:rsidR="00BA72F7">
        <w:rPr>
          <w:rFonts w:cs="CamingoDos Pro"/>
          <w:color w:val="000000"/>
        </w:rPr>
        <w:t xml:space="preserve">on </w:t>
      </w:r>
      <w:r w:rsidR="00257331">
        <w:rPr>
          <w:rFonts w:cs="CamingoDos Pro"/>
          <w:color w:val="000000"/>
        </w:rPr>
        <w:t xml:space="preserve">CC matters </w:t>
      </w:r>
      <w:r w:rsidR="00257331" w:rsidRPr="00257331">
        <w:rPr>
          <w:rFonts w:cs="CamingoDos Pro"/>
          <w:color w:val="000000"/>
        </w:rPr>
        <w:t>and related policy development</w:t>
      </w:r>
      <w:r w:rsidR="00953C07">
        <w:rPr>
          <w:rFonts w:cs="CamingoDos Pro"/>
          <w:color w:val="000000"/>
        </w:rPr>
        <w:t xml:space="preserve"> in Serbia</w:t>
      </w:r>
      <w:r w:rsidR="00257331">
        <w:rPr>
          <w:rFonts w:cs="CamingoDos Pro"/>
          <w:color w:val="000000"/>
        </w:rPr>
        <w:t>.</w:t>
      </w:r>
    </w:p>
    <w:p w14:paraId="647F0F7D" w14:textId="6A661CB9" w:rsidR="00BA72F7" w:rsidRDefault="00BA72F7" w:rsidP="00BA72F7">
      <w:pPr>
        <w:rPr>
          <w:rFonts w:cs="CamingoDos Pro"/>
          <w:color w:val="000000"/>
        </w:rPr>
      </w:pPr>
      <w:r>
        <w:rPr>
          <w:rFonts w:cs="CamingoDos Pro"/>
          <w:color w:val="000000"/>
        </w:rPr>
        <w:t xml:space="preserve">Two experts from SEPA </w:t>
      </w:r>
      <w:r w:rsidRPr="00BA72F7">
        <w:rPr>
          <w:rFonts w:cs="CamingoDos Pro"/>
          <w:color w:val="000000"/>
        </w:rPr>
        <w:t xml:space="preserve">enrolled </w:t>
      </w:r>
      <w:r>
        <w:rPr>
          <w:rFonts w:cs="CamingoDos Pro"/>
          <w:color w:val="000000"/>
        </w:rPr>
        <w:t xml:space="preserve">to special distance learning </w:t>
      </w:r>
      <w:r w:rsidR="00D73717">
        <w:rPr>
          <w:rFonts w:cs="CamingoDos Pro"/>
          <w:color w:val="000000"/>
        </w:rPr>
        <w:t>courses</w:t>
      </w:r>
      <w:r w:rsidRPr="00BA72F7">
        <w:rPr>
          <w:rFonts w:cs="CamingoDos Pro"/>
          <w:color w:val="000000"/>
        </w:rPr>
        <w:t xml:space="preserve"> </w:t>
      </w:r>
      <w:r w:rsidR="00FE0B3F">
        <w:rPr>
          <w:rFonts w:cs="CamingoDos Pro"/>
          <w:color w:val="000000"/>
        </w:rPr>
        <w:t xml:space="preserve">organized by the </w:t>
      </w:r>
      <w:r w:rsidRPr="00BA72F7">
        <w:rPr>
          <w:rFonts w:cs="CamingoDos Pro"/>
          <w:color w:val="000000"/>
        </w:rPr>
        <w:t>GHG Management Institute</w:t>
      </w:r>
      <w:r w:rsidR="00FE0B3F">
        <w:rPr>
          <w:rFonts w:cs="CamingoDos Pro"/>
          <w:color w:val="000000"/>
        </w:rPr>
        <w:t xml:space="preserve">. </w:t>
      </w:r>
      <w:r>
        <w:rPr>
          <w:rFonts w:cs="CamingoDos Pro"/>
          <w:color w:val="000000"/>
        </w:rPr>
        <w:t>T</w:t>
      </w:r>
      <w:r w:rsidRPr="00BA72F7">
        <w:rPr>
          <w:rFonts w:cs="CamingoDos Pro"/>
          <w:color w:val="000000"/>
        </w:rPr>
        <w:t>h</w:t>
      </w:r>
      <w:r>
        <w:rPr>
          <w:rFonts w:cs="CamingoDos Pro"/>
          <w:color w:val="000000"/>
        </w:rPr>
        <w:t xml:space="preserve">e </w:t>
      </w:r>
      <w:r w:rsidR="00FE0B3F">
        <w:rPr>
          <w:rFonts w:cs="CamingoDos Pro"/>
          <w:color w:val="000000"/>
        </w:rPr>
        <w:t xml:space="preserve">access to training </w:t>
      </w:r>
      <w:r w:rsidR="004662B2">
        <w:rPr>
          <w:rFonts w:cs="CamingoDos Pro"/>
          <w:color w:val="000000"/>
        </w:rPr>
        <w:t xml:space="preserve">on preparation of GHG inventories in 2019 was facilitated </w:t>
      </w:r>
      <w:r w:rsidR="001C695C">
        <w:rPr>
          <w:rFonts w:cs="CamingoDos Pro"/>
          <w:color w:val="000000"/>
        </w:rPr>
        <w:t xml:space="preserve">under the </w:t>
      </w:r>
      <w:r w:rsidR="004662B2" w:rsidRPr="004662B2">
        <w:rPr>
          <w:rFonts w:cs="CamingoDos Pro"/>
          <w:color w:val="000000"/>
        </w:rPr>
        <w:t xml:space="preserve">UNFCCC assistance </w:t>
      </w:r>
      <w:r w:rsidR="007C31F2">
        <w:rPr>
          <w:rFonts w:cs="CamingoDos Pro"/>
          <w:color w:val="000000"/>
        </w:rPr>
        <w:t xml:space="preserve">programme </w:t>
      </w:r>
      <w:r w:rsidR="004662B2" w:rsidRPr="004662B2">
        <w:rPr>
          <w:rFonts w:cs="CamingoDos Pro"/>
          <w:color w:val="000000"/>
        </w:rPr>
        <w:t>for developing countries</w:t>
      </w:r>
      <w:r w:rsidR="007C31F2">
        <w:rPr>
          <w:rFonts w:cs="CamingoDos Pro"/>
          <w:color w:val="000000"/>
        </w:rPr>
        <w:t>. I</w:t>
      </w:r>
      <w:r w:rsidR="004662B2">
        <w:rPr>
          <w:rFonts w:cs="CamingoDos Pro"/>
          <w:color w:val="000000"/>
        </w:rPr>
        <w:t>n 2020</w:t>
      </w:r>
      <w:r w:rsidR="007C31F2">
        <w:rPr>
          <w:rFonts w:cs="CamingoDos Pro"/>
          <w:color w:val="000000"/>
        </w:rPr>
        <w:t xml:space="preserve">, this training </w:t>
      </w:r>
      <w:r w:rsidR="00831A3D">
        <w:rPr>
          <w:rFonts w:cs="CamingoDos Pro"/>
          <w:color w:val="000000"/>
        </w:rPr>
        <w:t xml:space="preserve">was </w:t>
      </w:r>
      <w:r w:rsidR="001C695C">
        <w:rPr>
          <w:rFonts w:cs="CamingoDos Pro"/>
          <w:color w:val="000000"/>
        </w:rPr>
        <w:t xml:space="preserve">part of </w:t>
      </w:r>
      <w:r w:rsidR="004662B2" w:rsidRPr="004662B2">
        <w:rPr>
          <w:rFonts w:cs="CamingoDos Pro"/>
          <w:color w:val="000000"/>
        </w:rPr>
        <w:t xml:space="preserve">the UNDP CO and GSP support for </w:t>
      </w:r>
      <w:r w:rsidR="001C695C">
        <w:rPr>
          <w:rFonts w:cs="CamingoDos Pro"/>
          <w:color w:val="000000"/>
        </w:rPr>
        <w:t xml:space="preserve">national experts from </w:t>
      </w:r>
      <w:r w:rsidR="004662B2" w:rsidRPr="004662B2">
        <w:rPr>
          <w:rFonts w:cs="CamingoDos Pro"/>
          <w:color w:val="000000"/>
        </w:rPr>
        <w:t xml:space="preserve">SEPA and </w:t>
      </w:r>
      <w:r w:rsidR="004662B2">
        <w:rPr>
          <w:rFonts w:cs="CamingoDos Pro"/>
          <w:color w:val="000000"/>
        </w:rPr>
        <w:t xml:space="preserve">the </w:t>
      </w:r>
      <w:r w:rsidR="004662B2" w:rsidRPr="004662B2">
        <w:rPr>
          <w:rFonts w:cs="CamingoDos Pro"/>
          <w:color w:val="000000"/>
        </w:rPr>
        <w:t xml:space="preserve">Statistical </w:t>
      </w:r>
      <w:r w:rsidR="004662B2">
        <w:rPr>
          <w:rFonts w:cs="CamingoDos Pro"/>
          <w:color w:val="000000"/>
        </w:rPr>
        <w:t>O</w:t>
      </w:r>
      <w:r w:rsidR="004662B2" w:rsidRPr="004662B2">
        <w:rPr>
          <w:rFonts w:cs="CamingoDos Pro"/>
          <w:color w:val="000000"/>
        </w:rPr>
        <w:t>ffice.</w:t>
      </w:r>
      <w:r w:rsidR="004662B2">
        <w:rPr>
          <w:rFonts w:cs="CamingoDos Pro"/>
          <w:color w:val="000000"/>
        </w:rPr>
        <w:t xml:space="preserve"> </w:t>
      </w:r>
      <w:r w:rsidR="00FE0B3F">
        <w:rPr>
          <w:rFonts w:cs="CamingoDos Pro"/>
          <w:color w:val="000000"/>
        </w:rPr>
        <w:t xml:space="preserve">This is another example of good practice as the parallel UNFCCC funding ensured generation of more in-depth knowledge on </w:t>
      </w:r>
      <w:r w:rsidR="00FE0B3F" w:rsidRPr="00FE0B3F">
        <w:rPr>
          <w:rFonts w:cs="CamingoDos Pro"/>
          <w:color w:val="000000"/>
        </w:rPr>
        <w:t xml:space="preserve">critical </w:t>
      </w:r>
      <w:r w:rsidR="00FE0B3F">
        <w:rPr>
          <w:rFonts w:cs="CamingoDos Pro"/>
          <w:color w:val="000000"/>
        </w:rPr>
        <w:t xml:space="preserve">issues related to </w:t>
      </w:r>
      <w:r w:rsidR="00FE0B3F" w:rsidRPr="00FE0B3F">
        <w:rPr>
          <w:rFonts w:cs="CamingoDos Pro"/>
          <w:color w:val="000000"/>
        </w:rPr>
        <w:t>GHG measurement, reporting, and verification (MRV) issues.</w:t>
      </w:r>
      <w:r w:rsidR="00FE0B3F">
        <w:rPr>
          <w:rFonts w:cs="CamingoDos Pro"/>
          <w:color w:val="000000"/>
        </w:rPr>
        <w:t xml:space="preserve"> Following successful completion of </w:t>
      </w:r>
      <w:r w:rsidR="00FE0B3F" w:rsidRPr="00BA72F7">
        <w:rPr>
          <w:rFonts w:cs="CamingoDos Pro"/>
          <w:color w:val="000000"/>
        </w:rPr>
        <w:t>proficiency exams</w:t>
      </w:r>
      <w:r w:rsidR="00FE0B3F">
        <w:rPr>
          <w:rFonts w:cs="CamingoDos Pro"/>
          <w:color w:val="000000"/>
        </w:rPr>
        <w:t xml:space="preserve">, the two experts </w:t>
      </w:r>
      <w:r w:rsidR="00025E6D">
        <w:rPr>
          <w:rFonts w:cs="CamingoDos Pro"/>
          <w:color w:val="000000"/>
        </w:rPr>
        <w:t>were added to the UNFCCC r</w:t>
      </w:r>
      <w:r w:rsidR="00025E6D" w:rsidRPr="00953C07">
        <w:rPr>
          <w:rFonts w:cs="CamingoDos Pro"/>
          <w:color w:val="000000"/>
        </w:rPr>
        <w:t>oster of experts for GHG Inventories</w:t>
      </w:r>
      <w:r w:rsidR="00025E6D">
        <w:rPr>
          <w:rFonts w:cs="CamingoDos Pro"/>
          <w:color w:val="000000"/>
        </w:rPr>
        <w:t xml:space="preserve">. This initiative also </w:t>
      </w:r>
      <w:r w:rsidR="00FE0B3F">
        <w:rPr>
          <w:rFonts w:cs="CamingoDos Pro"/>
          <w:color w:val="000000"/>
        </w:rPr>
        <w:t>helps to stabilize the key experts</w:t>
      </w:r>
      <w:r w:rsidR="00025E6D">
        <w:rPr>
          <w:rFonts w:cs="CamingoDos Pro"/>
          <w:color w:val="000000"/>
        </w:rPr>
        <w:t xml:space="preserve"> and contribute to building of resilience against loss of knowledge and institutional memory in key national institutions.</w:t>
      </w:r>
      <w:r w:rsidR="00FE0B3F">
        <w:rPr>
          <w:rFonts w:cs="CamingoDos Pro"/>
          <w:color w:val="000000"/>
        </w:rPr>
        <w:t xml:space="preserve"> </w:t>
      </w:r>
    </w:p>
    <w:p w14:paraId="1DABFB77" w14:textId="25B3F42F" w:rsidR="003D792B" w:rsidRPr="00906968" w:rsidRDefault="00D73717" w:rsidP="00906968">
      <w:pPr>
        <w:rPr>
          <w:rFonts w:cs="CamingoDos Pro"/>
          <w:color w:val="000000"/>
        </w:rPr>
      </w:pPr>
      <w:r>
        <w:rPr>
          <w:rFonts w:cs="CamingoDos Pro"/>
          <w:color w:val="000000"/>
        </w:rPr>
        <w:t xml:space="preserve">The project further advanced the previous efforts on </w:t>
      </w:r>
      <w:r w:rsidRPr="00D73717">
        <w:rPr>
          <w:rFonts w:cs="CamingoDos Pro"/>
          <w:color w:val="000000"/>
        </w:rPr>
        <w:t xml:space="preserve">gender mainstreaming in monitoring climate change and policy making </w:t>
      </w:r>
      <w:r>
        <w:rPr>
          <w:rFonts w:cs="CamingoDos Pro"/>
          <w:color w:val="000000"/>
        </w:rPr>
        <w:t xml:space="preserve">and </w:t>
      </w:r>
      <w:r w:rsidR="003F4559">
        <w:rPr>
          <w:rFonts w:cs="CamingoDos Pro"/>
          <w:color w:val="000000"/>
        </w:rPr>
        <w:t xml:space="preserve">has certainly contributed to the appointment of the national UNFCCC Gender Focal Point. The significance of this appointment is not only in </w:t>
      </w:r>
      <w:r w:rsidRPr="00D73717">
        <w:rPr>
          <w:rFonts w:cs="CamingoDos Pro"/>
          <w:color w:val="000000"/>
        </w:rPr>
        <w:t>address</w:t>
      </w:r>
      <w:r w:rsidR="003F4559">
        <w:rPr>
          <w:rFonts w:cs="CamingoDos Pro"/>
          <w:color w:val="000000"/>
        </w:rPr>
        <w:t>ing</w:t>
      </w:r>
      <w:r>
        <w:rPr>
          <w:rFonts w:cs="CamingoDos Pro"/>
          <w:color w:val="000000"/>
        </w:rPr>
        <w:t xml:space="preserve"> </w:t>
      </w:r>
      <w:r w:rsidRPr="00D73717">
        <w:rPr>
          <w:rFonts w:cs="CamingoDos Pro"/>
          <w:color w:val="000000"/>
        </w:rPr>
        <w:t>climate change mitigation and adaptation in gender responsible ways</w:t>
      </w:r>
      <w:r w:rsidR="003F4559">
        <w:rPr>
          <w:rFonts w:cs="CamingoDos Pro"/>
          <w:color w:val="000000"/>
        </w:rPr>
        <w:t xml:space="preserve"> but also as another contribution towards improvement of the socio-economic status of women in Serbia.</w:t>
      </w:r>
    </w:p>
    <w:p w14:paraId="071F886C" w14:textId="5FC13D99" w:rsidR="003D792B" w:rsidRDefault="003D792B" w:rsidP="004B599B">
      <w:pPr>
        <w:autoSpaceDE w:val="0"/>
        <w:autoSpaceDN w:val="0"/>
        <w:adjustRightInd w:val="0"/>
        <w:spacing w:before="0" w:line="240" w:lineRule="auto"/>
        <w:jc w:val="left"/>
        <w:rPr>
          <w:rFonts w:eastAsia="Calibri"/>
        </w:rPr>
      </w:pPr>
    </w:p>
    <w:p w14:paraId="2B9298A1" w14:textId="77777777" w:rsidR="00BB3E4A" w:rsidRPr="00BB3E4A" w:rsidRDefault="00BB3E4A" w:rsidP="00BB3E4A">
      <w:pPr>
        <w:rPr>
          <w:bCs/>
        </w:rPr>
      </w:pPr>
    </w:p>
    <w:p w14:paraId="3D4DF69B" w14:textId="77777777" w:rsidR="000204D6" w:rsidRPr="000204D6" w:rsidRDefault="000204D6" w:rsidP="005D0622">
      <w:pPr>
        <w:rPr>
          <w:b/>
        </w:rPr>
        <w:sectPr w:rsidR="000204D6" w:rsidRPr="000204D6" w:rsidSect="00B50C45">
          <w:pgSz w:w="11900" w:h="16840"/>
          <w:pgMar w:top="1417" w:right="1417" w:bottom="1417" w:left="1417" w:header="708" w:footer="708" w:gutter="0"/>
          <w:cols w:space="708"/>
          <w:titlePg/>
          <w:docGrid w:linePitch="360"/>
        </w:sectPr>
      </w:pPr>
    </w:p>
    <w:p w14:paraId="222D28DF" w14:textId="77777777" w:rsidR="003D4ACE" w:rsidRPr="003D4ACE" w:rsidRDefault="003D4ACE" w:rsidP="00676BB9">
      <w:pPr>
        <w:pStyle w:val="Heading2"/>
      </w:pPr>
    </w:p>
    <w:sectPr w:rsidR="003D4ACE" w:rsidRPr="003D4ACE" w:rsidSect="00676BB9">
      <w:footerReference w:type="default" r:id="rId16"/>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92B68" w14:textId="77777777" w:rsidR="00714358" w:rsidRDefault="00714358" w:rsidP="00AF7F5E">
      <w:pPr>
        <w:spacing w:before="0"/>
      </w:pPr>
      <w:r>
        <w:separator/>
      </w:r>
    </w:p>
  </w:endnote>
  <w:endnote w:type="continuationSeparator" w:id="0">
    <w:p w14:paraId="54DA9C48" w14:textId="77777777" w:rsidR="00714358" w:rsidRDefault="00714358" w:rsidP="00AF7F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悀㞥匴"/>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ingoDos Pro">
    <w:altName w:val="CamingoDos Pro"/>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C8EA" w14:textId="77777777" w:rsidR="009246E5" w:rsidRDefault="009246E5" w:rsidP="00543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2B699AA" w14:textId="77777777" w:rsidR="009246E5" w:rsidRDefault="009246E5" w:rsidP="00B671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B24F" w14:textId="77777777" w:rsidR="009246E5" w:rsidRDefault="009246E5" w:rsidP="00A93CC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40F71" w14:textId="77777777" w:rsidR="009246E5" w:rsidRDefault="009246E5" w:rsidP="0055022C">
    <w:pPr>
      <w:pStyle w:val="Footer"/>
      <w:framePr w:wrap="none" w:vAnchor="text" w:hAnchor="page" w:x="1429" w:y="-228"/>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14:paraId="591117E3" w14:textId="77777777" w:rsidR="009246E5" w:rsidRDefault="009246E5" w:rsidP="0055022C">
    <w:pPr>
      <w:pStyle w:val="Footer"/>
      <w:framePr w:wrap="none" w:vAnchor="text" w:hAnchor="page" w:x="1429" w:y="-228"/>
      <w:ind w:right="360"/>
      <w:rPr>
        <w:rStyle w:val="PageNumber"/>
      </w:rPr>
    </w:pPr>
  </w:p>
  <w:p w14:paraId="7FCE39A3" w14:textId="77777777" w:rsidR="009246E5" w:rsidRDefault="009246E5" w:rsidP="00AF7F5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8DB1" w14:textId="77777777" w:rsidR="009246E5" w:rsidRDefault="009246E5" w:rsidP="00017585">
    <w:pPr>
      <w:pStyle w:val="Footer"/>
      <w:framePr w:wrap="none" w:vAnchor="text" w:hAnchor="margin" w:xAlign="right" w:y="1"/>
      <w:rPr>
        <w:rStyle w:val="PageNumber"/>
      </w:rPr>
    </w:pPr>
    <w:r w:rsidRPr="004C447F">
      <w:rPr>
        <w:rStyle w:val="PageNumber"/>
      </w:rPr>
      <w:fldChar w:fldCharType="begin"/>
    </w:r>
    <w:r w:rsidRPr="004C447F">
      <w:rPr>
        <w:rStyle w:val="PageNumber"/>
      </w:rPr>
      <w:instrText xml:space="preserve"> PAGE </w:instrText>
    </w:r>
    <w:r w:rsidRPr="004C447F">
      <w:rPr>
        <w:rStyle w:val="PageNumber"/>
      </w:rPr>
      <w:fldChar w:fldCharType="separate"/>
    </w:r>
    <w:r>
      <w:rPr>
        <w:rStyle w:val="PageNumber"/>
        <w:noProof/>
      </w:rPr>
      <w:t>36</w:t>
    </w:r>
    <w:r w:rsidRPr="004C447F">
      <w:rPr>
        <w:rStyle w:val="PageNumber"/>
      </w:rPr>
      <w:fldChar w:fldCharType="end"/>
    </w:r>
  </w:p>
  <w:p w14:paraId="6CF77E17" w14:textId="77777777" w:rsidR="009246E5" w:rsidRDefault="009246E5" w:rsidP="00AF7F5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53CA" w14:textId="77777777" w:rsidR="009246E5" w:rsidRPr="002A6A8D" w:rsidRDefault="009246E5" w:rsidP="00795008">
    <w:pPr>
      <w:pStyle w:val="Footer"/>
      <w:framePr w:wrap="none" w:vAnchor="text" w:hAnchor="margin" w:xAlign="right" w:y="1"/>
      <w:jc w:val="right"/>
      <w:rPr>
        <w:rStyle w:val="PageNumber"/>
        <w:sz w:val="18"/>
        <w:szCs w:val="18"/>
      </w:rPr>
    </w:pPr>
    <w:r w:rsidRPr="002A6A8D">
      <w:rPr>
        <w:rStyle w:val="PageNumber"/>
        <w:sz w:val="18"/>
        <w:szCs w:val="18"/>
      </w:rPr>
      <w:t>A-</w:t>
    </w:r>
    <w:r w:rsidRPr="002A6A8D">
      <w:rPr>
        <w:rStyle w:val="PageNumber"/>
        <w:sz w:val="18"/>
        <w:szCs w:val="18"/>
      </w:rPr>
      <w:fldChar w:fldCharType="begin"/>
    </w:r>
    <w:r w:rsidRPr="002A6A8D">
      <w:rPr>
        <w:rStyle w:val="PageNumber"/>
        <w:sz w:val="18"/>
        <w:szCs w:val="18"/>
      </w:rPr>
      <w:instrText xml:space="preserve"> PAGE </w:instrText>
    </w:r>
    <w:r w:rsidRPr="002A6A8D">
      <w:rPr>
        <w:rStyle w:val="PageNumber"/>
        <w:sz w:val="18"/>
        <w:szCs w:val="18"/>
      </w:rPr>
      <w:fldChar w:fldCharType="separate"/>
    </w:r>
    <w:r>
      <w:rPr>
        <w:rStyle w:val="PageNumber"/>
        <w:noProof/>
        <w:sz w:val="18"/>
        <w:szCs w:val="18"/>
      </w:rPr>
      <w:t>26</w:t>
    </w:r>
    <w:r w:rsidRPr="002A6A8D">
      <w:rPr>
        <w:rStyle w:val="PageNumber"/>
        <w:sz w:val="18"/>
        <w:szCs w:val="18"/>
      </w:rPr>
      <w:fldChar w:fldCharType="end"/>
    </w:r>
  </w:p>
  <w:p w14:paraId="191F34C4" w14:textId="77777777" w:rsidR="009246E5" w:rsidRPr="002A6A8D" w:rsidRDefault="009246E5" w:rsidP="00795008">
    <w:pPr>
      <w:pStyle w:val="Footer"/>
      <w:framePr w:wrap="none" w:vAnchor="text" w:hAnchor="margin" w:xAlign="right" w:y="1"/>
      <w:ind w:right="360"/>
      <w:rPr>
        <w:rStyle w:val="PageNumber"/>
        <w:sz w:val="18"/>
        <w:szCs w:val="18"/>
      </w:rPr>
    </w:pPr>
  </w:p>
  <w:p w14:paraId="5D380883" w14:textId="77777777" w:rsidR="009246E5" w:rsidRPr="002A6A8D" w:rsidRDefault="009246E5" w:rsidP="00AF7F5E">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F0F8B" w14:textId="77777777" w:rsidR="00714358" w:rsidRDefault="00714358" w:rsidP="00AF7F5E">
      <w:pPr>
        <w:spacing w:before="0"/>
      </w:pPr>
      <w:r>
        <w:separator/>
      </w:r>
    </w:p>
  </w:footnote>
  <w:footnote w:type="continuationSeparator" w:id="0">
    <w:p w14:paraId="30C10C18" w14:textId="77777777" w:rsidR="00714358" w:rsidRDefault="00714358" w:rsidP="00AF7F5E">
      <w:pPr>
        <w:spacing w:before="0"/>
      </w:pPr>
      <w:r>
        <w:continuationSeparator/>
      </w:r>
    </w:p>
  </w:footnote>
  <w:footnote w:id="1">
    <w:p w14:paraId="7E6E1A64" w14:textId="77777777" w:rsidR="009246E5" w:rsidRPr="003072F5" w:rsidRDefault="009246E5" w:rsidP="00080993">
      <w:pPr>
        <w:pStyle w:val="FootnoteText"/>
        <w:rPr>
          <w:sz w:val="16"/>
          <w:szCs w:val="16"/>
        </w:rPr>
      </w:pPr>
      <w:r w:rsidRPr="003072F5">
        <w:rPr>
          <w:rStyle w:val="FootnoteReference"/>
          <w:sz w:val="16"/>
          <w:szCs w:val="16"/>
        </w:rPr>
        <w:footnoteRef/>
      </w:r>
      <w:r w:rsidRPr="003072F5">
        <w:rPr>
          <w:sz w:val="16"/>
          <w:szCs w:val="16"/>
        </w:rPr>
        <w:t xml:space="preserve"> MTR rating scores are </w:t>
      </w:r>
      <w:r>
        <w:rPr>
          <w:sz w:val="16"/>
          <w:szCs w:val="16"/>
        </w:rPr>
        <w:t xml:space="preserve">explained </w:t>
      </w:r>
      <w:r w:rsidRPr="003072F5">
        <w:rPr>
          <w:sz w:val="16"/>
          <w:szCs w:val="16"/>
        </w:rPr>
        <w:t xml:space="preserve">in Annex </w:t>
      </w:r>
      <w:r>
        <w:rPr>
          <w:sz w:val="16"/>
          <w:szCs w:val="16"/>
        </w:rPr>
        <w:t>6</w:t>
      </w:r>
    </w:p>
  </w:footnote>
  <w:footnote w:id="2">
    <w:p w14:paraId="60F76A1C" w14:textId="77777777" w:rsidR="009246E5" w:rsidRPr="009B0284" w:rsidRDefault="009246E5" w:rsidP="00080993">
      <w:pPr>
        <w:pStyle w:val="FootnoteText"/>
        <w:rPr>
          <w:sz w:val="16"/>
          <w:szCs w:val="16"/>
          <w:lang w:val="sk-SK"/>
        </w:rPr>
      </w:pPr>
      <w:r>
        <w:rPr>
          <w:rStyle w:val="FootnoteReference"/>
        </w:rPr>
        <w:footnoteRef/>
      </w:r>
      <w:r>
        <w:t xml:space="preserve"> </w:t>
      </w:r>
      <w:r>
        <w:rPr>
          <w:sz w:val="16"/>
          <w:szCs w:val="16"/>
        </w:rPr>
        <w:t>Details on the achievement are given in the respective sections Progress towards results, Project implementation and Adaptive management and Sustainability</w:t>
      </w:r>
    </w:p>
  </w:footnote>
  <w:footnote w:id="3">
    <w:p w14:paraId="0EAE90B6" w14:textId="77777777" w:rsidR="009246E5" w:rsidRPr="00E8592E" w:rsidRDefault="009246E5" w:rsidP="00E8592E">
      <w:pPr>
        <w:pStyle w:val="FootnoteText"/>
        <w:rPr>
          <w:sz w:val="16"/>
          <w:szCs w:val="16"/>
        </w:rPr>
      </w:pPr>
      <w:r w:rsidRPr="00E8592E">
        <w:rPr>
          <w:rStyle w:val="FootnoteReference"/>
          <w:sz w:val="16"/>
          <w:szCs w:val="16"/>
        </w:rPr>
        <w:footnoteRef/>
      </w:r>
      <w:r w:rsidRPr="00E8592E">
        <w:rPr>
          <w:sz w:val="16"/>
          <w:szCs w:val="16"/>
        </w:rPr>
        <w:t xml:space="preserve"> </w:t>
      </w:r>
      <w:r>
        <w:rPr>
          <w:sz w:val="16"/>
          <w:szCs w:val="16"/>
        </w:rPr>
        <w:t xml:space="preserve"> </w:t>
      </w:r>
      <w:r w:rsidRPr="00E8592E">
        <w:rPr>
          <w:sz w:val="16"/>
          <w:szCs w:val="16"/>
        </w:rPr>
        <w:t>Guidance for Conducting Midterm Reviews of UNDP-supported, GEF-financed Projects UNDP-GEF, 2014</w:t>
      </w:r>
    </w:p>
    <w:p w14:paraId="59F2561B" w14:textId="77777777" w:rsidR="009246E5" w:rsidRPr="00E8592E" w:rsidRDefault="009246E5" w:rsidP="00E8592E">
      <w:pPr>
        <w:pStyle w:val="FootnoteText"/>
        <w:rPr>
          <w:sz w:val="16"/>
          <w:szCs w:val="16"/>
        </w:rPr>
      </w:pPr>
      <w:r w:rsidRPr="00E8592E">
        <w:rPr>
          <w:sz w:val="16"/>
          <w:szCs w:val="16"/>
        </w:rPr>
        <w:t xml:space="preserve">   The GEF Monitoring and Evaluation Policy, GEF Evaluation Office, 2010</w:t>
      </w:r>
    </w:p>
    <w:p w14:paraId="40DE284B" w14:textId="77777777" w:rsidR="009246E5" w:rsidRPr="00E8592E" w:rsidRDefault="009246E5" w:rsidP="00E8592E">
      <w:pPr>
        <w:pStyle w:val="FootnoteText"/>
        <w:rPr>
          <w:sz w:val="16"/>
          <w:szCs w:val="16"/>
          <w:lang w:val="sk-SK"/>
        </w:rPr>
      </w:pPr>
      <w:r w:rsidRPr="00E8592E">
        <w:rPr>
          <w:sz w:val="16"/>
          <w:szCs w:val="16"/>
        </w:rPr>
        <w:t xml:space="preserve">   UNDP Evaluation Guidelines, UNDP, 2019</w:t>
      </w:r>
    </w:p>
  </w:footnote>
  <w:footnote w:id="4">
    <w:p w14:paraId="19FB8192" w14:textId="75A55F7A" w:rsidR="009246E5" w:rsidRPr="00EB4A77" w:rsidRDefault="009246E5">
      <w:pPr>
        <w:pStyle w:val="FootnoteText"/>
        <w:rPr>
          <w:sz w:val="16"/>
          <w:szCs w:val="16"/>
          <w:lang w:val="sk-SK"/>
        </w:rPr>
      </w:pPr>
      <w:r w:rsidRPr="00EB4A77">
        <w:rPr>
          <w:rStyle w:val="FootnoteReference"/>
          <w:sz w:val="16"/>
          <w:szCs w:val="16"/>
        </w:rPr>
        <w:footnoteRef/>
      </w:r>
      <w:r w:rsidRPr="00EB4A77">
        <w:rPr>
          <w:sz w:val="16"/>
          <w:szCs w:val="16"/>
        </w:rPr>
        <w:t xml:space="preserve"> Ministry of Agriculture and Environmental Protection</w:t>
      </w:r>
      <w:r>
        <w:rPr>
          <w:sz w:val="16"/>
          <w:szCs w:val="16"/>
        </w:rPr>
        <w:t xml:space="preserve"> was split into Ministry of Environmental Protection and Ministry of Agriculture, Forestry and Water Economy as a result of Government reorganization in June 2017 </w:t>
      </w:r>
    </w:p>
  </w:footnote>
  <w:footnote w:id="5">
    <w:p w14:paraId="5A8DF84D" w14:textId="58B470C5" w:rsidR="009246E5" w:rsidRPr="00E70436" w:rsidRDefault="009246E5">
      <w:pPr>
        <w:pStyle w:val="FootnoteText"/>
        <w:rPr>
          <w:sz w:val="16"/>
          <w:szCs w:val="16"/>
          <w:lang w:val="sk-SK"/>
        </w:rPr>
      </w:pPr>
      <w:r w:rsidRPr="00E70436">
        <w:rPr>
          <w:rStyle w:val="FootnoteReference"/>
          <w:sz w:val="16"/>
          <w:szCs w:val="16"/>
        </w:rPr>
        <w:footnoteRef/>
      </w:r>
      <w:r w:rsidRPr="00E70436">
        <w:rPr>
          <w:sz w:val="16"/>
          <w:szCs w:val="16"/>
        </w:rPr>
        <w:t xml:space="preserve"> Second Biennial Update Report and Third National Communication for the Republic of Serbia under the UNFCCC</w:t>
      </w:r>
      <w:r>
        <w:rPr>
          <w:sz w:val="16"/>
          <w:szCs w:val="16"/>
        </w:rPr>
        <w:t>, GEF Project ID 9733</w:t>
      </w:r>
    </w:p>
  </w:footnote>
  <w:footnote w:id="6">
    <w:p w14:paraId="4C7FE13E" w14:textId="3367C483" w:rsidR="009246E5" w:rsidRPr="00E70436" w:rsidRDefault="009246E5">
      <w:pPr>
        <w:pStyle w:val="FootnoteText"/>
        <w:rPr>
          <w:sz w:val="16"/>
          <w:szCs w:val="16"/>
          <w:lang w:val="sk-SK"/>
        </w:rPr>
      </w:pPr>
      <w:r w:rsidRPr="00E70436">
        <w:rPr>
          <w:rStyle w:val="FootnoteReference"/>
          <w:sz w:val="16"/>
          <w:szCs w:val="16"/>
        </w:rPr>
        <w:footnoteRef/>
      </w:r>
      <w:r w:rsidRPr="00E70436">
        <w:rPr>
          <w:sz w:val="16"/>
          <w:szCs w:val="16"/>
        </w:rPr>
        <w:t xml:space="preserve"> Programming Directions </w:t>
      </w:r>
      <w:r>
        <w:rPr>
          <w:sz w:val="16"/>
          <w:szCs w:val="16"/>
        </w:rPr>
        <w:t>f</w:t>
      </w:r>
      <w:r w:rsidRPr="00E70436">
        <w:rPr>
          <w:sz w:val="16"/>
          <w:szCs w:val="16"/>
        </w:rPr>
        <w:t xml:space="preserve">or </w:t>
      </w:r>
      <w:r>
        <w:rPr>
          <w:sz w:val="16"/>
          <w:szCs w:val="16"/>
        </w:rPr>
        <w:t>t</w:t>
      </w:r>
      <w:r w:rsidRPr="00E70436">
        <w:rPr>
          <w:sz w:val="16"/>
          <w:szCs w:val="16"/>
        </w:rPr>
        <w:t xml:space="preserve">he Capacity-Building Initiative </w:t>
      </w:r>
      <w:r>
        <w:rPr>
          <w:sz w:val="16"/>
          <w:szCs w:val="16"/>
        </w:rPr>
        <w:t>f</w:t>
      </w:r>
      <w:r w:rsidRPr="00E70436">
        <w:rPr>
          <w:sz w:val="16"/>
          <w:szCs w:val="16"/>
        </w:rPr>
        <w:t>or Transparency</w:t>
      </w:r>
      <w:r>
        <w:rPr>
          <w:sz w:val="16"/>
          <w:szCs w:val="16"/>
        </w:rPr>
        <w:t xml:space="preserve">, </w:t>
      </w:r>
      <w:r w:rsidRPr="00E70436">
        <w:rPr>
          <w:sz w:val="16"/>
          <w:szCs w:val="16"/>
        </w:rPr>
        <w:t>GEF/C.50/06</w:t>
      </w:r>
    </w:p>
  </w:footnote>
  <w:footnote w:id="7">
    <w:p w14:paraId="61F07CBB" w14:textId="1B98C7C1" w:rsidR="009246E5" w:rsidRPr="00A92B65" w:rsidRDefault="009246E5" w:rsidP="00A36207">
      <w:pPr>
        <w:pStyle w:val="FootnoteText"/>
        <w:rPr>
          <w:sz w:val="16"/>
          <w:szCs w:val="16"/>
          <w:lang w:val="sk-SK"/>
        </w:rPr>
      </w:pPr>
      <w:r w:rsidRPr="00A92B65">
        <w:rPr>
          <w:rStyle w:val="FootnoteReference"/>
          <w:sz w:val="16"/>
          <w:szCs w:val="16"/>
        </w:rPr>
        <w:footnoteRef/>
      </w:r>
      <w:r w:rsidRPr="00A92B65">
        <w:rPr>
          <w:sz w:val="16"/>
          <w:szCs w:val="16"/>
        </w:rPr>
        <w:t xml:space="preserve"> </w:t>
      </w:r>
      <w:r>
        <w:rPr>
          <w:sz w:val="16"/>
          <w:szCs w:val="16"/>
        </w:rPr>
        <w:t>The indicator assessment key: Green = Achieved, Yellow = On target to be achieved, Red = Not on target to be achieved</w:t>
      </w:r>
    </w:p>
  </w:footnote>
  <w:footnote w:id="8">
    <w:p w14:paraId="661AB918" w14:textId="77777777" w:rsidR="009246E5" w:rsidRPr="006362B1" w:rsidRDefault="009246E5" w:rsidP="00C42FCD">
      <w:pPr>
        <w:pStyle w:val="FootnoteText"/>
        <w:rPr>
          <w:sz w:val="16"/>
          <w:szCs w:val="16"/>
          <w:lang w:val="sk-SK"/>
        </w:rPr>
      </w:pPr>
      <w:r w:rsidRPr="006362B1">
        <w:rPr>
          <w:rStyle w:val="FootnoteReference"/>
          <w:sz w:val="16"/>
          <w:szCs w:val="16"/>
        </w:rPr>
        <w:footnoteRef/>
      </w:r>
      <w:r w:rsidRPr="006362B1">
        <w:rPr>
          <w:sz w:val="16"/>
          <w:szCs w:val="16"/>
        </w:rPr>
        <w:t xml:space="preserve"> Advancing Medium and Long-Term Adaptation Planning in the Republic of Serbia</w:t>
      </w:r>
      <w:r>
        <w:rPr>
          <w:sz w:val="16"/>
          <w:szCs w:val="16"/>
        </w:rPr>
        <w:t>, UNDP-GCF, 2019</w:t>
      </w:r>
    </w:p>
  </w:footnote>
  <w:footnote w:id="9">
    <w:p w14:paraId="23901543" w14:textId="43148F84" w:rsidR="009246E5" w:rsidRPr="004876E8" w:rsidRDefault="009246E5">
      <w:pPr>
        <w:pStyle w:val="FootnoteText"/>
        <w:rPr>
          <w:sz w:val="16"/>
          <w:szCs w:val="16"/>
          <w:lang w:val="sk-SK"/>
        </w:rPr>
      </w:pPr>
      <w:r w:rsidRPr="004876E8">
        <w:rPr>
          <w:rStyle w:val="FootnoteReference"/>
          <w:sz w:val="16"/>
          <w:szCs w:val="16"/>
        </w:rPr>
        <w:footnoteRef/>
      </w:r>
      <w:r w:rsidRPr="004876E8">
        <w:rPr>
          <w:sz w:val="16"/>
          <w:szCs w:val="16"/>
        </w:rPr>
        <w:t xml:space="preserve"> Rubric based on CBIT tracking tool (10-point scale)</w:t>
      </w:r>
    </w:p>
  </w:footnote>
  <w:footnote w:id="10">
    <w:p w14:paraId="6099E06C" w14:textId="286E1634" w:rsidR="009246E5" w:rsidRPr="004876E8" w:rsidRDefault="009246E5">
      <w:pPr>
        <w:pStyle w:val="FootnoteText"/>
        <w:rPr>
          <w:sz w:val="16"/>
          <w:szCs w:val="16"/>
          <w:lang w:val="sk-SK"/>
        </w:rPr>
      </w:pPr>
      <w:r w:rsidRPr="004876E8">
        <w:rPr>
          <w:rStyle w:val="FootnoteReference"/>
          <w:sz w:val="16"/>
          <w:szCs w:val="16"/>
        </w:rPr>
        <w:footnoteRef/>
      </w:r>
      <w:r w:rsidRPr="004876E8">
        <w:rPr>
          <w:sz w:val="16"/>
          <w:szCs w:val="16"/>
        </w:rPr>
        <w:t xml:space="preserve"> Rubric based on CBIT tracking tool (4-point scale)</w:t>
      </w:r>
    </w:p>
  </w:footnote>
  <w:footnote w:id="11">
    <w:p w14:paraId="65797065" w14:textId="57F298CE" w:rsidR="009246E5" w:rsidRPr="0010682F" w:rsidRDefault="009246E5" w:rsidP="0010682F">
      <w:pPr>
        <w:pStyle w:val="FootnoteText"/>
        <w:rPr>
          <w:sz w:val="16"/>
          <w:szCs w:val="16"/>
        </w:rPr>
      </w:pPr>
      <w:r w:rsidRPr="0010682F">
        <w:rPr>
          <w:rStyle w:val="FootnoteReference"/>
          <w:sz w:val="16"/>
          <w:szCs w:val="16"/>
        </w:rPr>
        <w:footnoteRef/>
      </w:r>
      <w:r w:rsidRPr="0010682F">
        <w:rPr>
          <w:sz w:val="16"/>
          <w:szCs w:val="16"/>
        </w:rPr>
        <w:t xml:space="preserve"> UNDP launched </w:t>
      </w:r>
      <w:r>
        <w:rPr>
          <w:sz w:val="16"/>
          <w:szCs w:val="16"/>
        </w:rPr>
        <w:t xml:space="preserve">its </w:t>
      </w:r>
      <w:r w:rsidRPr="0010682F">
        <w:rPr>
          <w:sz w:val="16"/>
          <w:szCs w:val="16"/>
        </w:rPr>
        <w:t>Climate Promise at the UN Climate Action Summit in September 2019</w:t>
      </w:r>
      <w:r>
        <w:rPr>
          <w:sz w:val="16"/>
          <w:szCs w:val="16"/>
        </w:rPr>
        <w:t xml:space="preserve"> to provide support to over 100 countries</w:t>
      </w:r>
      <w:r w:rsidRPr="0010682F">
        <w:rPr>
          <w:sz w:val="16"/>
          <w:szCs w:val="16"/>
        </w:rPr>
        <w:t>.</w:t>
      </w:r>
    </w:p>
  </w:footnote>
  <w:footnote w:id="12">
    <w:p w14:paraId="377745FC" w14:textId="2FF0730A" w:rsidR="009246E5" w:rsidRPr="009A6BAA" w:rsidRDefault="009246E5">
      <w:pPr>
        <w:pStyle w:val="FootnoteText"/>
        <w:rPr>
          <w:sz w:val="16"/>
          <w:szCs w:val="16"/>
          <w:lang w:val="sk-SK"/>
        </w:rPr>
      </w:pPr>
      <w:r w:rsidRPr="009A6BAA">
        <w:rPr>
          <w:rStyle w:val="FootnoteReference"/>
          <w:sz w:val="16"/>
          <w:szCs w:val="16"/>
        </w:rPr>
        <w:footnoteRef/>
      </w:r>
      <w:r w:rsidRPr="009A6BAA">
        <w:rPr>
          <w:sz w:val="16"/>
          <w:szCs w:val="16"/>
        </w:rPr>
        <w:t xml:space="preserve"> </w:t>
      </w:r>
      <w:r>
        <w:rPr>
          <w:sz w:val="16"/>
          <w:szCs w:val="16"/>
        </w:rPr>
        <w:t>Independent Country Programme Evaluation for the Republic of Serbia, UNDP IEO, 2020, p. 19</w:t>
      </w:r>
    </w:p>
  </w:footnote>
  <w:footnote w:id="13">
    <w:p w14:paraId="694B7E3E" w14:textId="4699CB00" w:rsidR="009246E5" w:rsidRPr="00C65F36" w:rsidRDefault="009246E5">
      <w:pPr>
        <w:pStyle w:val="FootnoteText"/>
        <w:rPr>
          <w:sz w:val="16"/>
          <w:szCs w:val="16"/>
          <w:lang w:val="sk-SK"/>
        </w:rPr>
      </w:pPr>
      <w:r w:rsidRPr="00C65F36">
        <w:rPr>
          <w:rStyle w:val="FootnoteReference"/>
          <w:sz w:val="16"/>
          <w:szCs w:val="16"/>
        </w:rPr>
        <w:footnoteRef/>
      </w:r>
      <w:r w:rsidRPr="00C65F36">
        <w:rPr>
          <w:sz w:val="16"/>
          <w:szCs w:val="16"/>
        </w:rPr>
        <w:t xml:space="preserve"> www.klimatskepromene.rs</w:t>
      </w:r>
    </w:p>
  </w:footnote>
  <w:footnote w:id="14">
    <w:p w14:paraId="66BE4ED0" w14:textId="6493263E" w:rsidR="009246E5" w:rsidRPr="00AA7890" w:rsidRDefault="009246E5" w:rsidP="00AA7890">
      <w:pPr>
        <w:pStyle w:val="FootnoteText"/>
        <w:rPr>
          <w:sz w:val="16"/>
          <w:szCs w:val="16"/>
        </w:rPr>
      </w:pPr>
      <w:r w:rsidRPr="00AA7890">
        <w:rPr>
          <w:rStyle w:val="FootnoteReference"/>
          <w:sz w:val="16"/>
          <w:szCs w:val="16"/>
        </w:rPr>
        <w:footnoteRef/>
      </w:r>
      <w:r w:rsidRPr="00AA7890">
        <w:rPr>
          <w:sz w:val="16"/>
          <w:szCs w:val="16"/>
        </w:rPr>
        <w:t xml:space="preserve"> Gender Sensitive Data </w:t>
      </w:r>
      <w:r>
        <w:rPr>
          <w:sz w:val="16"/>
          <w:szCs w:val="16"/>
        </w:rPr>
        <w:t>a</w:t>
      </w:r>
      <w:r w:rsidRPr="00AA7890">
        <w:rPr>
          <w:sz w:val="16"/>
          <w:szCs w:val="16"/>
        </w:rPr>
        <w:t xml:space="preserve">nd Indicators </w:t>
      </w:r>
      <w:r>
        <w:rPr>
          <w:sz w:val="16"/>
          <w:szCs w:val="16"/>
        </w:rPr>
        <w:t>f</w:t>
      </w:r>
      <w:r w:rsidRPr="00AA7890">
        <w:rPr>
          <w:sz w:val="16"/>
          <w:szCs w:val="16"/>
        </w:rPr>
        <w:t>or Project:</w:t>
      </w:r>
      <w:r>
        <w:rPr>
          <w:sz w:val="16"/>
          <w:szCs w:val="16"/>
        </w:rPr>
        <w:t xml:space="preserve"> </w:t>
      </w:r>
      <w:r w:rsidRPr="00AA7890">
        <w:rPr>
          <w:sz w:val="16"/>
          <w:szCs w:val="16"/>
        </w:rPr>
        <w:t xml:space="preserve">Establishing Transparency Framework </w:t>
      </w:r>
      <w:r>
        <w:rPr>
          <w:sz w:val="16"/>
          <w:szCs w:val="16"/>
        </w:rPr>
        <w:t>f</w:t>
      </w:r>
      <w:r w:rsidRPr="00AA7890">
        <w:rPr>
          <w:sz w:val="16"/>
          <w:szCs w:val="16"/>
        </w:rPr>
        <w:t xml:space="preserve">or </w:t>
      </w:r>
      <w:r>
        <w:rPr>
          <w:sz w:val="16"/>
          <w:szCs w:val="16"/>
        </w:rPr>
        <w:t>t</w:t>
      </w:r>
      <w:r w:rsidRPr="00AA7890">
        <w:rPr>
          <w:sz w:val="16"/>
          <w:szCs w:val="16"/>
        </w:rPr>
        <w:t>he Republic</w:t>
      </w:r>
      <w:r>
        <w:rPr>
          <w:sz w:val="16"/>
          <w:szCs w:val="16"/>
        </w:rPr>
        <w:t xml:space="preserve"> o</w:t>
      </w:r>
      <w:r w:rsidRPr="00AA7890">
        <w:rPr>
          <w:sz w:val="16"/>
          <w:szCs w:val="16"/>
        </w:rPr>
        <w:t>f Serbia</w:t>
      </w:r>
      <w:r>
        <w:rPr>
          <w:sz w:val="16"/>
          <w:szCs w:val="16"/>
        </w:rPr>
        <w:t xml:space="preserve">, CBIT project,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5878"/>
    <w:multiLevelType w:val="hybridMultilevel"/>
    <w:tmpl w:val="BB289506"/>
    <w:lvl w:ilvl="0" w:tplc="A2B2FEC4">
      <w:start w:val="1"/>
      <w:numFmt w:val="bullet"/>
      <w:lvlText w:val=""/>
      <w:lvlJc w:val="left"/>
    </w:lvl>
    <w:lvl w:ilvl="1" w:tplc="603E9D24">
      <w:numFmt w:val="decimal"/>
      <w:lvlText w:val=""/>
      <w:lvlJc w:val="left"/>
    </w:lvl>
    <w:lvl w:ilvl="2" w:tplc="016C0BA4">
      <w:numFmt w:val="decimal"/>
      <w:lvlText w:val=""/>
      <w:lvlJc w:val="left"/>
    </w:lvl>
    <w:lvl w:ilvl="3" w:tplc="08B6A9E6">
      <w:numFmt w:val="decimal"/>
      <w:lvlText w:val=""/>
      <w:lvlJc w:val="left"/>
    </w:lvl>
    <w:lvl w:ilvl="4" w:tplc="6F4C3A26">
      <w:numFmt w:val="decimal"/>
      <w:lvlText w:val=""/>
      <w:lvlJc w:val="left"/>
    </w:lvl>
    <w:lvl w:ilvl="5" w:tplc="1FE0493C">
      <w:numFmt w:val="decimal"/>
      <w:lvlText w:val=""/>
      <w:lvlJc w:val="left"/>
    </w:lvl>
    <w:lvl w:ilvl="6" w:tplc="0E58AD92">
      <w:numFmt w:val="decimal"/>
      <w:lvlText w:val=""/>
      <w:lvlJc w:val="left"/>
    </w:lvl>
    <w:lvl w:ilvl="7" w:tplc="52FC18A6">
      <w:numFmt w:val="decimal"/>
      <w:lvlText w:val=""/>
      <w:lvlJc w:val="left"/>
    </w:lvl>
    <w:lvl w:ilvl="8" w:tplc="DA86C0C2">
      <w:numFmt w:val="decimal"/>
      <w:lvlText w:val=""/>
      <w:lvlJc w:val="left"/>
    </w:lvl>
  </w:abstractNum>
  <w:abstractNum w:abstractNumId="1" w15:restartNumberingAfterBreak="0">
    <w:nsid w:val="0000798B"/>
    <w:multiLevelType w:val="hybridMultilevel"/>
    <w:tmpl w:val="B76C3552"/>
    <w:lvl w:ilvl="0" w:tplc="0876E034">
      <w:start w:val="1"/>
      <w:numFmt w:val="lowerLetter"/>
      <w:lvlText w:val="%1)"/>
      <w:lvlJc w:val="left"/>
    </w:lvl>
    <w:lvl w:ilvl="1" w:tplc="B4628048">
      <w:numFmt w:val="decimal"/>
      <w:lvlText w:val=""/>
      <w:lvlJc w:val="left"/>
    </w:lvl>
    <w:lvl w:ilvl="2" w:tplc="AF280184">
      <w:numFmt w:val="decimal"/>
      <w:lvlText w:val=""/>
      <w:lvlJc w:val="left"/>
    </w:lvl>
    <w:lvl w:ilvl="3" w:tplc="9756494E">
      <w:numFmt w:val="decimal"/>
      <w:lvlText w:val=""/>
      <w:lvlJc w:val="left"/>
    </w:lvl>
    <w:lvl w:ilvl="4" w:tplc="82325D3C">
      <w:numFmt w:val="decimal"/>
      <w:lvlText w:val=""/>
      <w:lvlJc w:val="left"/>
    </w:lvl>
    <w:lvl w:ilvl="5" w:tplc="600646BA">
      <w:numFmt w:val="decimal"/>
      <w:lvlText w:val=""/>
      <w:lvlJc w:val="left"/>
    </w:lvl>
    <w:lvl w:ilvl="6" w:tplc="E44AAB72">
      <w:numFmt w:val="decimal"/>
      <w:lvlText w:val=""/>
      <w:lvlJc w:val="left"/>
    </w:lvl>
    <w:lvl w:ilvl="7" w:tplc="E654B1EE">
      <w:numFmt w:val="decimal"/>
      <w:lvlText w:val=""/>
      <w:lvlJc w:val="left"/>
    </w:lvl>
    <w:lvl w:ilvl="8" w:tplc="8006CEE4">
      <w:numFmt w:val="decimal"/>
      <w:lvlText w:val=""/>
      <w:lvlJc w:val="left"/>
    </w:lvl>
  </w:abstractNum>
  <w:abstractNum w:abstractNumId="2" w15:restartNumberingAfterBreak="0">
    <w:nsid w:val="0820560E"/>
    <w:multiLevelType w:val="hybridMultilevel"/>
    <w:tmpl w:val="050628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606C4E"/>
    <w:multiLevelType w:val="hybridMultilevel"/>
    <w:tmpl w:val="E33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73453"/>
    <w:multiLevelType w:val="hybridMultilevel"/>
    <w:tmpl w:val="1C069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87A4A"/>
    <w:multiLevelType w:val="multilevel"/>
    <w:tmpl w:val="143203BC"/>
    <w:lvl w:ilvl="0">
      <w:start w:val="1"/>
      <w:numFmt w:val="decimal"/>
      <w:lvlText w:val="%1."/>
      <w:lvlJc w:val="left"/>
      <w:pPr>
        <w:ind w:left="432" w:hanging="432"/>
      </w:pPr>
      <w:rPr>
        <w:rFonts w:ascii="Times New Roman Bold" w:hAnsi="Times New Roman Bold" w:hint="default"/>
        <w:b/>
        <w:i w:val="0"/>
        <w:color w:val="2F5496"/>
        <w:sz w:val="28"/>
      </w:rPr>
    </w:lvl>
    <w:lvl w:ilvl="1">
      <w:start w:val="1"/>
      <w:numFmt w:val="decimal"/>
      <w:lvlText w:val="%1.%2."/>
      <w:lvlJc w:val="left"/>
      <w:pPr>
        <w:ind w:left="576" w:hanging="576"/>
      </w:pPr>
      <w:rPr>
        <w:rFonts w:ascii="Times New Roman Bold" w:hAnsi="Times New Roman Bold" w:hint="default"/>
        <w:b/>
        <w:i w:val="0"/>
        <w:color w:val="2F5496"/>
        <w:sz w:val="26"/>
      </w:rPr>
    </w:lvl>
    <w:lvl w:ilvl="2">
      <w:start w:val="1"/>
      <w:numFmt w:val="decimal"/>
      <w:lvlText w:val="%1.%2.%3."/>
      <w:lvlJc w:val="left"/>
      <w:pPr>
        <w:ind w:left="720" w:hanging="720"/>
      </w:pPr>
      <w:rPr>
        <w:rFonts w:hint="default"/>
        <w:color w:val="2F5496"/>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36A0B68"/>
    <w:multiLevelType w:val="hybridMultilevel"/>
    <w:tmpl w:val="A736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11152"/>
    <w:multiLevelType w:val="hybridMultilevel"/>
    <w:tmpl w:val="7402E3DA"/>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8" w15:restartNumberingAfterBreak="0">
    <w:nsid w:val="176B2472"/>
    <w:multiLevelType w:val="hybridMultilevel"/>
    <w:tmpl w:val="70DC2F66"/>
    <w:lvl w:ilvl="0" w:tplc="041B001B">
      <w:start w:val="1"/>
      <w:numFmt w:val="lowerRoman"/>
      <w:lvlText w:val="%1."/>
      <w:lvlJc w:val="right"/>
      <w:pPr>
        <w:ind w:left="-120" w:hanging="360"/>
      </w:p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9" w15:restartNumberingAfterBreak="0">
    <w:nsid w:val="1A0579F9"/>
    <w:multiLevelType w:val="multilevel"/>
    <w:tmpl w:val="1C786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1D230A"/>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F5B32"/>
    <w:multiLevelType w:val="hybridMultilevel"/>
    <w:tmpl w:val="15B88A5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9850A9"/>
    <w:multiLevelType w:val="hybridMultilevel"/>
    <w:tmpl w:val="257E9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F5743B"/>
    <w:multiLevelType w:val="multilevel"/>
    <w:tmpl w:val="790E76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FF2757"/>
    <w:multiLevelType w:val="hybridMultilevel"/>
    <w:tmpl w:val="4662A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87B37"/>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C25368"/>
    <w:multiLevelType w:val="hybridMultilevel"/>
    <w:tmpl w:val="3BC0B97C"/>
    <w:lvl w:ilvl="0" w:tplc="B0DC6334">
      <w:numFmt w:val="bullet"/>
      <w:lvlText w:val="•"/>
      <w:lvlJc w:val="left"/>
      <w:pPr>
        <w:ind w:left="420" w:hanging="420"/>
      </w:pPr>
      <w:rPr>
        <w:rFonts w:ascii="Arial Narrow" w:eastAsia="Arial Narrow" w:hAnsi="Arial Narrow" w:cs="Arial Narro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4D088E"/>
    <w:multiLevelType w:val="hybridMultilevel"/>
    <w:tmpl w:val="A036B938"/>
    <w:lvl w:ilvl="0" w:tplc="08342F72">
      <w:start w:val="1"/>
      <w:numFmt w:val="decimal"/>
      <w:lvlText w:val="%1."/>
      <w:lvlJc w:val="left"/>
      <w:pPr>
        <w:ind w:left="303" w:hanging="36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21" w15:restartNumberingAfterBreak="0">
    <w:nsid w:val="40F535C0"/>
    <w:multiLevelType w:val="hybridMultilevel"/>
    <w:tmpl w:val="D31E9C66"/>
    <w:lvl w:ilvl="0" w:tplc="041B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7F6F64"/>
    <w:multiLevelType w:val="hybridMultilevel"/>
    <w:tmpl w:val="463E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B2698"/>
    <w:multiLevelType w:val="hybridMultilevel"/>
    <w:tmpl w:val="9B1C2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D135F"/>
    <w:multiLevelType w:val="hybridMultilevel"/>
    <w:tmpl w:val="88DA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923AB"/>
    <w:multiLevelType w:val="hybridMultilevel"/>
    <w:tmpl w:val="0A70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84AFE"/>
    <w:multiLevelType w:val="multilevel"/>
    <w:tmpl w:val="557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349C2"/>
    <w:multiLevelType w:val="hybridMultilevel"/>
    <w:tmpl w:val="A57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130E1C"/>
    <w:multiLevelType w:val="hybridMultilevel"/>
    <w:tmpl w:val="EB8885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B984C2C"/>
    <w:multiLevelType w:val="hybridMultilevel"/>
    <w:tmpl w:val="CB7E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806DB3"/>
    <w:multiLevelType w:val="hybridMultilevel"/>
    <w:tmpl w:val="6A6E7C64"/>
    <w:lvl w:ilvl="0" w:tplc="813A0908">
      <w:start w:val="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B55C3A"/>
    <w:multiLevelType w:val="hybridMultilevel"/>
    <w:tmpl w:val="A9465E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E7B7A80"/>
    <w:multiLevelType w:val="multilevel"/>
    <w:tmpl w:val="BA7EE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843448"/>
    <w:multiLevelType w:val="hybridMultilevel"/>
    <w:tmpl w:val="ED4C13DA"/>
    <w:lvl w:ilvl="0" w:tplc="41CC80D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4F5670"/>
    <w:multiLevelType w:val="hybridMultilevel"/>
    <w:tmpl w:val="B6124D6A"/>
    <w:lvl w:ilvl="0" w:tplc="41CC80D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397025"/>
    <w:multiLevelType w:val="hybridMultilevel"/>
    <w:tmpl w:val="F0F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24B8E"/>
    <w:multiLevelType w:val="hybridMultilevel"/>
    <w:tmpl w:val="73F4EB1E"/>
    <w:lvl w:ilvl="0" w:tplc="81808638">
      <w:start w:val="5"/>
      <w:numFmt w:val="bullet"/>
      <w:lvlText w:val="-"/>
      <w:lvlJc w:val="left"/>
      <w:pPr>
        <w:ind w:left="360" w:hanging="360"/>
      </w:pPr>
      <w:rPr>
        <w:rFonts w:ascii="Arial Narrow" w:eastAsia="Arial Narrow" w:hAnsi="Arial Narrow" w:cs="Arial Narro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986860"/>
    <w:multiLevelType w:val="hybridMultilevel"/>
    <w:tmpl w:val="C008A984"/>
    <w:lvl w:ilvl="0" w:tplc="F58A30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9555D5"/>
    <w:multiLevelType w:val="hybridMultilevel"/>
    <w:tmpl w:val="27FA0072"/>
    <w:lvl w:ilvl="0" w:tplc="EC2E40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893DF6"/>
    <w:multiLevelType w:val="hybridMultilevel"/>
    <w:tmpl w:val="BA722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8420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D4175A0"/>
    <w:multiLevelType w:val="hybridMultilevel"/>
    <w:tmpl w:val="88209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8F7861"/>
    <w:multiLevelType w:val="hybridMultilevel"/>
    <w:tmpl w:val="062C0C2A"/>
    <w:lvl w:ilvl="0" w:tplc="B0DC6334">
      <w:numFmt w:val="bullet"/>
      <w:lvlText w:val="•"/>
      <w:lvlJc w:val="left"/>
      <w:pPr>
        <w:ind w:left="420" w:hanging="420"/>
      </w:pPr>
      <w:rPr>
        <w:rFonts w:ascii="Arial Narrow" w:eastAsia="Arial Narrow" w:hAnsi="Arial Narrow" w:cs="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3"/>
  </w:num>
  <w:num w:numId="4">
    <w:abstractNumId w:val="14"/>
  </w:num>
  <w:num w:numId="5">
    <w:abstractNumId w:val="32"/>
  </w:num>
  <w:num w:numId="6">
    <w:abstractNumId w:val="24"/>
  </w:num>
  <w:num w:numId="7">
    <w:abstractNumId w:val="7"/>
  </w:num>
  <w:num w:numId="8">
    <w:abstractNumId w:val="27"/>
  </w:num>
  <w:num w:numId="9">
    <w:abstractNumId w:val="6"/>
  </w:num>
  <w:num w:numId="10">
    <w:abstractNumId w:val="31"/>
  </w:num>
  <w:num w:numId="11">
    <w:abstractNumId w:val="28"/>
  </w:num>
  <w:num w:numId="12">
    <w:abstractNumId w:val="30"/>
  </w:num>
  <w:num w:numId="13">
    <w:abstractNumId w:val="35"/>
  </w:num>
  <w:num w:numId="14">
    <w:abstractNumId w:val="37"/>
  </w:num>
  <w:num w:numId="15">
    <w:abstractNumId w:val="12"/>
  </w:num>
  <w:num w:numId="16">
    <w:abstractNumId w:val="11"/>
  </w:num>
  <w:num w:numId="17">
    <w:abstractNumId w:val="34"/>
  </w:num>
  <w:num w:numId="18">
    <w:abstractNumId w:val="13"/>
  </w:num>
  <w:num w:numId="19">
    <w:abstractNumId w:val="45"/>
  </w:num>
  <w:num w:numId="20">
    <w:abstractNumId w:val="22"/>
  </w:num>
  <w:num w:numId="21">
    <w:abstractNumId w:val="2"/>
  </w:num>
  <w:num w:numId="22">
    <w:abstractNumId w:val="39"/>
  </w:num>
  <w:num w:numId="23">
    <w:abstractNumId w:val="46"/>
  </w:num>
  <w:num w:numId="24">
    <w:abstractNumId w:val="43"/>
  </w:num>
  <w:num w:numId="25">
    <w:abstractNumId w:val="38"/>
  </w:num>
  <w:num w:numId="26">
    <w:abstractNumId w:val="23"/>
  </w:num>
  <w:num w:numId="27">
    <w:abstractNumId w:val="25"/>
  </w:num>
  <w:num w:numId="28">
    <w:abstractNumId w:val="36"/>
  </w:num>
  <w:num w:numId="29">
    <w:abstractNumId w:val="10"/>
  </w:num>
  <w:num w:numId="30">
    <w:abstractNumId w:val="8"/>
  </w:num>
  <w:num w:numId="31">
    <w:abstractNumId w:val="33"/>
  </w:num>
  <w:num w:numId="32">
    <w:abstractNumId w:val="16"/>
  </w:num>
  <w:num w:numId="33">
    <w:abstractNumId w:val="9"/>
  </w:num>
  <w:num w:numId="34">
    <w:abstractNumId w:val="20"/>
  </w:num>
  <w:num w:numId="35">
    <w:abstractNumId w:val="44"/>
  </w:num>
  <w:num w:numId="36">
    <w:abstractNumId w:val="17"/>
  </w:num>
  <w:num w:numId="37">
    <w:abstractNumId w:val="4"/>
  </w:num>
  <w:num w:numId="38">
    <w:abstractNumId w:val="15"/>
  </w:num>
  <w:num w:numId="39">
    <w:abstractNumId w:val="26"/>
  </w:num>
  <w:num w:numId="40">
    <w:abstractNumId w:val="40"/>
  </w:num>
  <w:num w:numId="41">
    <w:abstractNumId w:val="18"/>
  </w:num>
  <w:num w:numId="42">
    <w:abstractNumId w:val="0"/>
  </w:num>
  <w:num w:numId="43">
    <w:abstractNumId w:val="19"/>
  </w:num>
  <w:num w:numId="44">
    <w:abstractNumId w:val="21"/>
  </w:num>
  <w:num w:numId="45">
    <w:abstractNumId w:val="48"/>
  </w:num>
  <w:num w:numId="46">
    <w:abstractNumId w:val="41"/>
  </w:num>
  <w:num w:numId="47">
    <w:abstractNumId w:val="1"/>
  </w:num>
  <w:num w:numId="48">
    <w:abstractNumId w:val="42"/>
  </w:num>
  <w:num w:numId="49">
    <w:abstractNumId w:val="4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5DB"/>
    <w:rsid w:val="00000B2E"/>
    <w:rsid w:val="00001426"/>
    <w:rsid w:val="00001864"/>
    <w:rsid w:val="00002268"/>
    <w:rsid w:val="00004256"/>
    <w:rsid w:val="000046FE"/>
    <w:rsid w:val="00004E51"/>
    <w:rsid w:val="00007B5B"/>
    <w:rsid w:val="00007CF9"/>
    <w:rsid w:val="00010F8C"/>
    <w:rsid w:val="000116D3"/>
    <w:rsid w:val="000123AB"/>
    <w:rsid w:val="000126E0"/>
    <w:rsid w:val="00012EE6"/>
    <w:rsid w:val="00013373"/>
    <w:rsid w:val="0001345E"/>
    <w:rsid w:val="000143D9"/>
    <w:rsid w:val="000147BE"/>
    <w:rsid w:val="00015C6D"/>
    <w:rsid w:val="000164F5"/>
    <w:rsid w:val="00016D12"/>
    <w:rsid w:val="00016D46"/>
    <w:rsid w:val="00017417"/>
    <w:rsid w:val="00017585"/>
    <w:rsid w:val="00017B70"/>
    <w:rsid w:val="00017F36"/>
    <w:rsid w:val="000201F2"/>
    <w:rsid w:val="000204D6"/>
    <w:rsid w:val="000210D8"/>
    <w:rsid w:val="00021441"/>
    <w:rsid w:val="000219F4"/>
    <w:rsid w:val="00022F53"/>
    <w:rsid w:val="00023828"/>
    <w:rsid w:val="0002494D"/>
    <w:rsid w:val="00025E6D"/>
    <w:rsid w:val="00027EB5"/>
    <w:rsid w:val="0003252E"/>
    <w:rsid w:val="00032EC9"/>
    <w:rsid w:val="000343DB"/>
    <w:rsid w:val="000345D7"/>
    <w:rsid w:val="000347EB"/>
    <w:rsid w:val="000348EB"/>
    <w:rsid w:val="00034E08"/>
    <w:rsid w:val="0003598D"/>
    <w:rsid w:val="000367FD"/>
    <w:rsid w:val="00037FD5"/>
    <w:rsid w:val="0004025A"/>
    <w:rsid w:val="00041252"/>
    <w:rsid w:val="0004149A"/>
    <w:rsid w:val="00041AF8"/>
    <w:rsid w:val="00042098"/>
    <w:rsid w:val="000425E5"/>
    <w:rsid w:val="00045213"/>
    <w:rsid w:val="00047616"/>
    <w:rsid w:val="00047A34"/>
    <w:rsid w:val="00050648"/>
    <w:rsid w:val="000509C8"/>
    <w:rsid w:val="00053986"/>
    <w:rsid w:val="00054553"/>
    <w:rsid w:val="000600A3"/>
    <w:rsid w:val="0006132C"/>
    <w:rsid w:val="00061EB3"/>
    <w:rsid w:val="000622A3"/>
    <w:rsid w:val="000627C9"/>
    <w:rsid w:val="00062937"/>
    <w:rsid w:val="00063988"/>
    <w:rsid w:val="00065097"/>
    <w:rsid w:val="000662A1"/>
    <w:rsid w:val="00067703"/>
    <w:rsid w:val="000714DA"/>
    <w:rsid w:val="000721F7"/>
    <w:rsid w:val="0007229F"/>
    <w:rsid w:val="00072FB5"/>
    <w:rsid w:val="000740BF"/>
    <w:rsid w:val="0007514B"/>
    <w:rsid w:val="0007555D"/>
    <w:rsid w:val="00075AC5"/>
    <w:rsid w:val="000767B1"/>
    <w:rsid w:val="00076877"/>
    <w:rsid w:val="00076C88"/>
    <w:rsid w:val="0007778B"/>
    <w:rsid w:val="00077DE2"/>
    <w:rsid w:val="00080993"/>
    <w:rsid w:val="00082584"/>
    <w:rsid w:val="000829C4"/>
    <w:rsid w:val="00084394"/>
    <w:rsid w:val="00085199"/>
    <w:rsid w:val="000858C5"/>
    <w:rsid w:val="00085936"/>
    <w:rsid w:val="00085F13"/>
    <w:rsid w:val="00085FB9"/>
    <w:rsid w:val="0008683F"/>
    <w:rsid w:val="0008725D"/>
    <w:rsid w:val="0008752E"/>
    <w:rsid w:val="000878B4"/>
    <w:rsid w:val="000929F3"/>
    <w:rsid w:val="0009410A"/>
    <w:rsid w:val="00094A88"/>
    <w:rsid w:val="0009604F"/>
    <w:rsid w:val="00096463"/>
    <w:rsid w:val="000976C0"/>
    <w:rsid w:val="000978F8"/>
    <w:rsid w:val="0009798F"/>
    <w:rsid w:val="00097EC0"/>
    <w:rsid w:val="000A2473"/>
    <w:rsid w:val="000A2B4D"/>
    <w:rsid w:val="000A58D5"/>
    <w:rsid w:val="000A648E"/>
    <w:rsid w:val="000A7E2B"/>
    <w:rsid w:val="000A7FC6"/>
    <w:rsid w:val="000B017F"/>
    <w:rsid w:val="000B039E"/>
    <w:rsid w:val="000B0925"/>
    <w:rsid w:val="000B1297"/>
    <w:rsid w:val="000B30EA"/>
    <w:rsid w:val="000B34B3"/>
    <w:rsid w:val="000B6189"/>
    <w:rsid w:val="000B6B94"/>
    <w:rsid w:val="000B7182"/>
    <w:rsid w:val="000C0504"/>
    <w:rsid w:val="000C05BB"/>
    <w:rsid w:val="000C2C81"/>
    <w:rsid w:val="000C2FE5"/>
    <w:rsid w:val="000C33B6"/>
    <w:rsid w:val="000C353C"/>
    <w:rsid w:val="000C3A0C"/>
    <w:rsid w:val="000C46CD"/>
    <w:rsid w:val="000C504B"/>
    <w:rsid w:val="000C54AE"/>
    <w:rsid w:val="000C568C"/>
    <w:rsid w:val="000C5C73"/>
    <w:rsid w:val="000C729E"/>
    <w:rsid w:val="000D18FC"/>
    <w:rsid w:val="000D1E64"/>
    <w:rsid w:val="000D312B"/>
    <w:rsid w:val="000D32A6"/>
    <w:rsid w:val="000D3B9D"/>
    <w:rsid w:val="000D3C06"/>
    <w:rsid w:val="000D5633"/>
    <w:rsid w:val="000E1C1B"/>
    <w:rsid w:val="000E221E"/>
    <w:rsid w:val="000E24EB"/>
    <w:rsid w:val="000E25D4"/>
    <w:rsid w:val="000E2977"/>
    <w:rsid w:val="000E3A0B"/>
    <w:rsid w:val="000E4F7B"/>
    <w:rsid w:val="000E5A2B"/>
    <w:rsid w:val="000E653C"/>
    <w:rsid w:val="000E66E6"/>
    <w:rsid w:val="000E7E6E"/>
    <w:rsid w:val="000F09A0"/>
    <w:rsid w:val="000F2262"/>
    <w:rsid w:val="000F2A91"/>
    <w:rsid w:val="000F36BC"/>
    <w:rsid w:val="000F582C"/>
    <w:rsid w:val="000F5ECC"/>
    <w:rsid w:val="000F7361"/>
    <w:rsid w:val="0010083B"/>
    <w:rsid w:val="001024AC"/>
    <w:rsid w:val="00103834"/>
    <w:rsid w:val="00105A1C"/>
    <w:rsid w:val="0010682F"/>
    <w:rsid w:val="00112C18"/>
    <w:rsid w:val="00113324"/>
    <w:rsid w:val="00113EA3"/>
    <w:rsid w:val="00113EBF"/>
    <w:rsid w:val="00113F58"/>
    <w:rsid w:val="0011556E"/>
    <w:rsid w:val="00115A14"/>
    <w:rsid w:val="00117324"/>
    <w:rsid w:val="0012133B"/>
    <w:rsid w:val="0012149D"/>
    <w:rsid w:val="00121EAC"/>
    <w:rsid w:val="00121F80"/>
    <w:rsid w:val="00122649"/>
    <w:rsid w:val="00122830"/>
    <w:rsid w:val="00123309"/>
    <w:rsid w:val="00123337"/>
    <w:rsid w:val="001237AD"/>
    <w:rsid w:val="001238B8"/>
    <w:rsid w:val="0012462F"/>
    <w:rsid w:val="001255DF"/>
    <w:rsid w:val="00125F04"/>
    <w:rsid w:val="00127837"/>
    <w:rsid w:val="00127A4C"/>
    <w:rsid w:val="00127F1C"/>
    <w:rsid w:val="00131264"/>
    <w:rsid w:val="0013174D"/>
    <w:rsid w:val="001324B8"/>
    <w:rsid w:val="00132F4C"/>
    <w:rsid w:val="00133B8E"/>
    <w:rsid w:val="00136C68"/>
    <w:rsid w:val="001373A4"/>
    <w:rsid w:val="00137825"/>
    <w:rsid w:val="00137AB0"/>
    <w:rsid w:val="00137ECF"/>
    <w:rsid w:val="00143435"/>
    <w:rsid w:val="00144B15"/>
    <w:rsid w:val="001456BB"/>
    <w:rsid w:val="001462C5"/>
    <w:rsid w:val="00146606"/>
    <w:rsid w:val="00147097"/>
    <w:rsid w:val="00147804"/>
    <w:rsid w:val="00150D4F"/>
    <w:rsid w:val="00152972"/>
    <w:rsid w:val="0015485A"/>
    <w:rsid w:val="001568D0"/>
    <w:rsid w:val="001576E1"/>
    <w:rsid w:val="001614CB"/>
    <w:rsid w:val="00161AB7"/>
    <w:rsid w:val="0016201B"/>
    <w:rsid w:val="00162F0A"/>
    <w:rsid w:val="00164B48"/>
    <w:rsid w:val="00164C9F"/>
    <w:rsid w:val="0016569B"/>
    <w:rsid w:val="0016672B"/>
    <w:rsid w:val="00167385"/>
    <w:rsid w:val="00167917"/>
    <w:rsid w:val="00172742"/>
    <w:rsid w:val="00172BB5"/>
    <w:rsid w:val="00172CD3"/>
    <w:rsid w:val="0017337D"/>
    <w:rsid w:val="00173474"/>
    <w:rsid w:val="00176B71"/>
    <w:rsid w:val="00177B19"/>
    <w:rsid w:val="00177B1A"/>
    <w:rsid w:val="00177C90"/>
    <w:rsid w:val="0018196E"/>
    <w:rsid w:val="00182FA6"/>
    <w:rsid w:val="0018342E"/>
    <w:rsid w:val="0018361F"/>
    <w:rsid w:val="00183D52"/>
    <w:rsid w:val="00183EB8"/>
    <w:rsid w:val="00184B7A"/>
    <w:rsid w:val="00185201"/>
    <w:rsid w:val="001879C9"/>
    <w:rsid w:val="00191227"/>
    <w:rsid w:val="001925DB"/>
    <w:rsid w:val="0019282C"/>
    <w:rsid w:val="00192934"/>
    <w:rsid w:val="001954CE"/>
    <w:rsid w:val="00195A82"/>
    <w:rsid w:val="00195E92"/>
    <w:rsid w:val="0019646B"/>
    <w:rsid w:val="00197F61"/>
    <w:rsid w:val="001A05FB"/>
    <w:rsid w:val="001A0C7B"/>
    <w:rsid w:val="001A2241"/>
    <w:rsid w:val="001A274B"/>
    <w:rsid w:val="001A2988"/>
    <w:rsid w:val="001A45FD"/>
    <w:rsid w:val="001A4B44"/>
    <w:rsid w:val="001A4CEB"/>
    <w:rsid w:val="001A6968"/>
    <w:rsid w:val="001B1273"/>
    <w:rsid w:val="001B14A1"/>
    <w:rsid w:val="001B1A3F"/>
    <w:rsid w:val="001B4713"/>
    <w:rsid w:val="001B487A"/>
    <w:rsid w:val="001B4950"/>
    <w:rsid w:val="001B4E8C"/>
    <w:rsid w:val="001B6733"/>
    <w:rsid w:val="001B73C8"/>
    <w:rsid w:val="001C0083"/>
    <w:rsid w:val="001C0DE4"/>
    <w:rsid w:val="001C1AC7"/>
    <w:rsid w:val="001C2CA6"/>
    <w:rsid w:val="001C3075"/>
    <w:rsid w:val="001C3439"/>
    <w:rsid w:val="001C35DD"/>
    <w:rsid w:val="001C3807"/>
    <w:rsid w:val="001C42CA"/>
    <w:rsid w:val="001C44FE"/>
    <w:rsid w:val="001C4C91"/>
    <w:rsid w:val="001C5EFC"/>
    <w:rsid w:val="001C695C"/>
    <w:rsid w:val="001C69FE"/>
    <w:rsid w:val="001C7030"/>
    <w:rsid w:val="001D1E8E"/>
    <w:rsid w:val="001D40E4"/>
    <w:rsid w:val="001D46E1"/>
    <w:rsid w:val="001D6D97"/>
    <w:rsid w:val="001D75E1"/>
    <w:rsid w:val="001D77BD"/>
    <w:rsid w:val="001D7DC6"/>
    <w:rsid w:val="001E0464"/>
    <w:rsid w:val="001E085D"/>
    <w:rsid w:val="001E13B2"/>
    <w:rsid w:val="001E17CA"/>
    <w:rsid w:val="001E17D7"/>
    <w:rsid w:val="001E1A50"/>
    <w:rsid w:val="001E1CDE"/>
    <w:rsid w:val="001E1E2E"/>
    <w:rsid w:val="001E21C6"/>
    <w:rsid w:val="001E2CAC"/>
    <w:rsid w:val="001E341E"/>
    <w:rsid w:val="001E394A"/>
    <w:rsid w:val="001E449C"/>
    <w:rsid w:val="001E4DB9"/>
    <w:rsid w:val="001F10BE"/>
    <w:rsid w:val="001F1514"/>
    <w:rsid w:val="001F1FF1"/>
    <w:rsid w:val="001F3155"/>
    <w:rsid w:val="001F33BE"/>
    <w:rsid w:val="001F3FCF"/>
    <w:rsid w:val="001F49ED"/>
    <w:rsid w:val="001F6B6B"/>
    <w:rsid w:val="001F6E72"/>
    <w:rsid w:val="002022A5"/>
    <w:rsid w:val="00202C90"/>
    <w:rsid w:val="00203855"/>
    <w:rsid w:val="00203DCC"/>
    <w:rsid w:val="00204B76"/>
    <w:rsid w:val="002053BA"/>
    <w:rsid w:val="0020547C"/>
    <w:rsid w:val="00205DFD"/>
    <w:rsid w:val="002121DE"/>
    <w:rsid w:val="00213138"/>
    <w:rsid w:val="0021493B"/>
    <w:rsid w:val="002160BB"/>
    <w:rsid w:val="00216EAA"/>
    <w:rsid w:val="002175E6"/>
    <w:rsid w:val="00217ACD"/>
    <w:rsid w:val="002200C1"/>
    <w:rsid w:val="00220B61"/>
    <w:rsid w:val="00223571"/>
    <w:rsid w:val="00223FDF"/>
    <w:rsid w:val="00224FF0"/>
    <w:rsid w:val="002250F7"/>
    <w:rsid w:val="00226EE9"/>
    <w:rsid w:val="00227ED6"/>
    <w:rsid w:val="00232A1C"/>
    <w:rsid w:val="00233913"/>
    <w:rsid w:val="00234241"/>
    <w:rsid w:val="002343FC"/>
    <w:rsid w:val="00234B2F"/>
    <w:rsid w:val="00234CFA"/>
    <w:rsid w:val="0023580F"/>
    <w:rsid w:val="00235B96"/>
    <w:rsid w:val="00236589"/>
    <w:rsid w:val="00236AF9"/>
    <w:rsid w:val="002374DE"/>
    <w:rsid w:val="00240140"/>
    <w:rsid w:val="00241198"/>
    <w:rsid w:val="00241CA6"/>
    <w:rsid w:val="0024258E"/>
    <w:rsid w:val="00242EA0"/>
    <w:rsid w:val="0024327F"/>
    <w:rsid w:val="00244208"/>
    <w:rsid w:val="00244BC4"/>
    <w:rsid w:val="00245077"/>
    <w:rsid w:val="00245F61"/>
    <w:rsid w:val="00245F8A"/>
    <w:rsid w:val="00247B85"/>
    <w:rsid w:val="00251434"/>
    <w:rsid w:val="00252FA9"/>
    <w:rsid w:val="00253EC0"/>
    <w:rsid w:val="00257331"/>
    <w:rsid w:val="002573A8"/>
    <w:rsid w:val="002575ED"/>
    <w:rsid w:val="002613D4"/>
    <w:rsid w:val="00261A0D"/>
    <w:rsid w:val="00261B8A"/>
    <w:rsid w:val="00261C4A"/>
    <w:rsid w:val="00262DF4"/>
    <w:rsid w:val="00263EF8"/>
    <w:rsid w:val="00264200"/>
    <w:rsid w:val="00264A5D"/>
    <w:rsid w:val="00265818"/>
    <w:rsid w:val="002660CA"/>
    <w:rsid w:val="00266414"/>
    <w:rsid w:val="00266567"/>
    <w:rsid w:val="00266D16"/>
    <w:rsid w:val="00267D7C"/>
    <w:rsid w:val="00270069"/>
    <w:rsid w:val="00270A2D"/>
    <w:rsid w:val="00270BFB"/>
    <w:rsid w:val="00271DAE"/>
    <w:rsid w:val="00272CF5"/>
    <w:rsid w:val="002735C1"/>
    <w:rsid w:val="002761B7"/>
    <w:rsid w:val="00277BE9"/>
    <w:rsid w:val="00277E13"/>
    <w:rsid w:val="00280129"/>
    <w:rsid w:val="00280810"/>
    <w:rsid w:val="00280C0E"/>
    <w:rsid w:val="00280D3C"/>
    <w:rsid w:val="00281876"/>
    <w:rsid w:val="0028389A"/>
    <w:rsid w:val="00284330"/>
    <w:rsid w:val="002850A7"/>
    <w:rsid w:val="002858A4"/>
    <w:rsid w:val="00285C5B"/>
    <w:rsid w:val="00285F9E"/>
    <w:rsid w:val="00286815"/>
    <w:rsid w:val="0028686F"/>
    <w:rsid w:val="002868F4"/>
    <w:rsid w:val="002871AA"/>
    <w:rsid w:val="00290DF8"/>
    <w:rsid w:val="0029529A"/>
    <w:rsid w:val="002954DD"/>
    <w:rsid w:val="00295F6F"/>
    <w:rsid w:val="00296A9E"/>
    <w:rsid w:val="002A1E15"/>
    <w:rsid w:val="002A3390"/>
    <w:rsid w:val="002A60C6"/>
    <w:rsid w:val="002A6889"/>
    <w:rsid w:val="002A6A8D"/>
    <w:rsid w:val="002B0914"/>
    <w:rsid w:val="002B1C81"/>
    <w:rsid w:val="002B23F0"/>
    <w:rsid w:val="002B27FA"/>
    <w:rsid w:val="002B2B28"/>
    <w:rsid w:val="002B4477"/>
    <w:rsid w:val="002B60D6"/>
    <w:rsid w:val="002B6649"/>
    <w:rsid w:val="002B796B"/>
    <w:rsid w:val="002B7B9E"/>
    <w:rsid w:val="002C06DF"/>
    <w:rsid w:val="002C1C52"/>
    <w:rsid w:val="002C1F01"/>
    <w:rsid w:val="002C3309"/>
    <w:rsid w:val="002C440C"/>
    <w:rsid w:val="002C5235"/>
    <w:rsid w:val="002C5EC1"/>
    <w:rsid w:val="002C6F28"/>
    <w:rsid w:val="002D0B25"/>
    <w:rsid w:val="002D0BB0"/>
    <w:rsid w:val="002D1AD2"/>
    <w:rsid w:val="002D2807"/>
    <w:rsid w:val="002D38B7"/>
    <w:rsid w:val="002D3929"/>
    <w:rsid w:val="002D48FD"/>
    <w:rsid w:val="002D57A7"/>
    <w:rsid w:val="002D6354"/>
    <w:rsid w:val="002D667F"/>
    <w:rsid w:val="002D711D"/>
    <w:rsid w:val="002D7285"/>
    <w:rsid w:val="002E143C"/>
    <w:rsid w:val="002E2791"/>
    <w:rsid w:val="002E2D7C"/>
    <w:rsid w:val="002E2FD2"/>
    <w:rsid w:val="002E3893"/>
    <w:rsid w:val="002E4053"/>
    <w:rsid w:val="002E595F"/>
    <w:rsid w:val="002E6531"/>
    <w:rsid w:val="002E6EC4"/>
    <w:rsid w:val="002E7E09"/>
    <w:rsid w:val="002F1BC4"/>
    <w:rsid w:val="002F255C"/>
    <w:rsid w:val="002F3504"/>
    <w:rsid w:val="002F3E84"/>
    <w:rsid w:val="002F3FB1"/>
    <w:rsid w:val="002F5AF0"/>
    <w:rsid w:val="002F7182"/>
    <w:rsid w:val="002F75E6"/>
    <w:rsid w:val="002F7A93"/>
    <w:rsid w:val="0030052C"/>
    <w:rsid w:val="003009E0"/>
    <w:rsid w:val="00303172"/>
    <w:rsid w:val="00304EB8"/>
    <w:rsid w:val="003069C1"/>
    <w:rsid w:val="003071B2"/>
    <w:rsid w:val="003072F5"/>
    <w:rsid w:val="00307455"/>
    <w:rsid w:val="00307DC2"/>
    <w:rsid w:val="00307E46"/>
    <w:rsid w:val="00311548"/>
    <w:rsid w:val="00311D02"/>
    <w:rsid w:val="003121ED"/>
    <w:rsid w:val="00312897"/>
    <w:rsid w:val="00314696"/>
    <w:rsid w:val="0031487E"/>
    <w:rsid w:val="00314980"/>
    <w:rsid w:val="00315666"/>
    <w:rsid w:val="0031588E"/>
    <w:rsid w:val="00315A36"/>
    <w:rsid w:val="00315CC8"/>
    <w:rsid w:val="00316A95"/>
    <w:rsid w:val="00316CDE"/>
    <w:rsid w:val="00316FD0"/>
    <w:rsid w:val="00321CDD"/>
    <w:rsid w:val="00323665"/>
    <w:rsid w:val="003241A9"/>
    <w:rsid w:val="0032585A"/>
    <w:rsid w:val="00326688"/>
    <w:rsid w:val="003270E5"/>
    <w:rsid w:val="003271C5"/>
    <w:rsid w:val="00327B8F"/>
    <w:rsid w:val="00327BB2"/>
    <w:rsid w:val="003306AB"/>
    <w:rsid w:val="003321EC"/>
    <w:rsid w:val="00332B84"/>
    <w:rsid w:val="00332EC3"/>
    <w:rsid w:val="00335E89"/>
    <w:rsid w:val="00336510"/>
    <w:rsid w:val="003377FA"/>
    <w:rsid w:val="00337B84"/>
    <w:rsid w:val="003414E3"/>
    <w:rsid w:val="003421F2"/>
    <w:rsid w:val="003427B4"/>
    <w:rsid w:val="00346305"/>
    <w:rsid w:val="00346A12"/>
    <w:rsid w:val="00346FF1"/>
    <w:rsid w:val="003478C3"/>
    <w:rsid w:val="003510DA"/>
    <w:rsid w:val="00351EB9"/>
    <w:rsid w:val="003527F5"/>
    <w:rsid w:val="00353183"/>
    <w:rsid w:val="00353D68"/>
    <w:rsid w:val="00353F3C"/>
    <w:rsid w:val="00356CC7"/>
    <w:rsid w:val="00357CFE"/>
    <w:rsid w:val="00362D08"/>
    <w:rsid w:val="00363332"/>
    <w:rsid w:val="0036356F"/>
    <w:rsid w:val="003656CE"/>
    <w:rsid w:val="0036663F"/>
    <w:rsid w:val="00366D61"/>
    <w:rsid w:val="00367090"/>
    <w:rsid w:val="003707A1"/>
    <w:rsid w:val="00370CA3"/>
    <w:rsid w:val="00371BBF"/>
    <w:rsid w:val="003749FF"/>
    <w:rsid w:val="00375476"/>
    <w:rsid w:val="003759BE"/>
    <w:rsid w:val="00375CC6"/>
    <w:rsid w:val="00375E4E"/>
    <w:rsid w:val="00376366"/>
    <w:rsid w:val="00377B15"/>
    <w:rsid w:val="00381213"/>
    <w:rsid w:val="00381FBD"/>
    <w:rsid w:val="00382135"/>
    <w:rsid w:val="00382698"/>
    <w:rsid w:val="003830A7"/>
    <w:rsid w:val="00383B49"/>
    <w:rsid w:val="003845F6"/>
    <w:rsid w:val="003853A5"/>
    <w:rsid w:val="00386526"/>
    <w:rsid w:val="00386B8B"/>
    <w:rsid w:val="00386D99"/>
    <w:rsid w:val="00387E0E"/>
    <w:rsid w:val="003917EC"/>
    <w:rsid w:val="003921FA"/>
    <w:rsid w:val="0039232C"/>
    <w:rsid w:val="00393920"/>
    <w:rsid w:val="00393D4E"/>
    <w:rsid w:val="00393DAB"/>
    <w:rsid w:val="0039415D"/>
    <w:rsid w:val="00394992"/>
    <w:rsid w:val="00394DAB"/>
    <w:rsid w:val="00395442"/>
    <w:rsid w:val="00395E34"/>
    <w:rsid w:val="003A00BE"/>
    <w:rsid w:val="003A09FD"/>
    <w:rsid w:val="003A15DD"/>
    <w:rsid w:val="003A393A"/>
    <w:rsid w:val="003A3F9B"/>
    <w:rsid w:val="003A4730"/>
    <w:rsid w:val="003A48A6"/>
    <w:rsid w:val="003A4D3F"/>
    <w:rsid w:val="003A4FF8"/>
    <w:rsid w:val="003A55E3"/>
    <w:rsid w:val="003A5AC7"/>
    <w:rsid w:val="003A5C71"/>
    <w:rsid w:val="003A7551"/>
    <w:rsid w:val="003A7E78"/>
    <w:rsid w:val="003B01BE"/>
    <w:rsid w:val="003B196C"/>
    <w:rsid w:val="003B3816"/>
    <w:rsid w:val="003B4403"/>
    <w:rsid w:val="003B47EC"/>
    <w:rsid w:val="003B4913"/>
    <w:rsid w:val="003B4E96"/>
    <w:rsid w:val="003B4EED"/>
    <w:rsid w:val="003B764A"/>
    <w:rsid w:val="003C05E4"/>
    <w:rsid w:val="003C23A4"/>
    <w:rsid w:val="003C240A"/>
    <w:rsid w:val="003C2E76"/>
    <w:rsid w:val="003C3FF1"/>
    <w:rsid w:val="003C5894"/>
    <w:rsid w:val="003C657E"/>
    <w:rsid w:val="003D042D"/>
    <w:rsid w:val="003D07A9"/>
    <w:rsid w:val="003D1347"/>
    <w:rsid w:val="003D1823"/>
    <w:rsid w:val="003D44AD"/>
    <w:rsid w:val="003D4ACE"/>
    <w:rsid w:val="003D4D55"/>
    <w:rsid w:val="003D4E77"/>
    <w:rsid w:val="003D542A"/>
    <w:rsid w:val="003D5D11"/>
    <w:rsid w:val="003D6089"/>
    <w:rsid w:val="003D6435"/>
    <w:rsid w:val="003D6448"/>
    <w:rsid w:val="003D68F4"/>
    <w:rsid w:val="003D792B"/>
    <w:rsid w:val="003E1D42"/>
    <w:rsid w:val="003E24B4"/>
    <w:rsid w:val="003E2E20"/>
    <w:rsid w:val="003E3B87"/>
    <w:rsid w:val="003E50FF"/>
    <w:rsid w:val="003E67C7"/>
    <w:rsid w:val="003E6C3A"/>
    <w:rsid w:val="003F09D7"/>
    <w:rsid w:val="003F203C"/>
    <w:rsid w:val="003F2B98"/>
    <w:rsid w:val="003F379C"/>
    <w:rsid w:val="003F3857"/>
    <w:rsid w:val="003F408D"/>
    <w:rsid w:val="003F4559"/>
    <w:rsid w:val="003F5D18"/>
    <w:rsid w:val="003F5D4E"/>
    <w:rsid w:val="003F6C60"/>
    <w:rsid w:val="003F7774"/>
    <w:rsid w:val="003F7C26"/>
    <w:rsid w:val="0040199D"/>
    <w:rsid w:val="00401A29"/>
    <w:rsid w:val="00401EB1"/>
    <w:rsid w:val="004020B2"/>
    <w:rsid w:val="00403DEC"/>
    <w:rsid w:val="00404C45"/>
    <w:rsid w:val="00405956"/>
    <w:rsid w:val="0040614C"/>
    <w:rsid w:val="004062CA"/>
    <w:rsid w:val="00410A8A"/>
    <w:rsid w:val="00410B91"/>
    <w:rsid w:val="00411013"/>
    <w:rsid w:val="004110B8"/>
    <w:rsid w:val="004111CE"/>
    <w:rsid w:val="00411217"/>
    <w:rsid w:val="004115E8"/>
    <w:rsid w:val="00411BC7"/>
    <w:rsid w:val="004128D4"/>
    <w:rsid w:val="00413408"/>
    <w:rsid w:val="00416465"/>
    <w:rsid w:val="00416BAD"/>
    <w:rsid w:val="0041715E"/>
    <w:rsid w:val="004221F9"/>
    <w:rsid w:val="00422838"/>
    <w:rsid w:val="00422DFD"/>
    <w:rsid w:val="00424DE5"/>
    <w:rsid w:val="00426C5F"/>
    <w:rsid w:val="00426F16"/>
    <w:rsid w:val="00427D54"/>
    <w:rsid w:val="00431793"/>
    <w:rsid w:val="00431C48"/>
    <w:rsid w:val="00431E16"/>
    <w:rsid w:val="004322A9"/>
    <w:rsid w:val="004324A4"/>
    <w:rsid w:val="00432AA1"/>
    <w:rsid w:val="00432D38"/>
    <w:rsid w:val="00433409"/>
    <w:rsid w:val="00433BD2"/>
    <w:rsid w:val="00434754"/>
    <w:rsid w:val="00434E31"/>
    <w:rsid w:val="0043520A"/>
    <w:rsid w:val="0043783B"/>
    <w:rsid w:val="00440083"/>
    <w:rsid w:val="00442294"/>
    <w:rsid w:val="00442B6A"/>
    <w:rsid w:val="00442E7D"/>
    <w:rsid w:val="00445085"/>
    <w:rsid w:val="0044622E"/>
    <w:rsid w:val="00447B08"/>
    <w:rsid w:val="0045093E"/>
    <w:rsid w:val="0045253A"/>
    <w:rsid w:val="00452545"/>
    <w:rsid w:val="0045270E"/>
    <w:rsid w:val="004533D0"/>
    <w:rsid w:val="004539EF"/>
    <w:rsid w:val="004558A2"/>
    <w:rsid w:val="00457891"/>
    <w:rsid w:val="00457CD9"/>
    <w:rsid w:val="004608CE"/>
    <w:rsid w:val="00460CC5"/>
    <w:rsid w:val="00461746"/>
    <w:rsid w:val="00463249"/>
    <w:rsid w:val="0046370B"/>
    <w:rsid w:val="00464487"/>
    <w:rsid w:val="00464CFA"/>
    <w:rsid w:val="00464E1E"/>
    <w:rsid w:val="00465EB4"/>
    <w:rsid w:val="004662B2"/>
    <w:rsid w:val="00466587"/>
    <w:rsid w:val="004666AD"/>
    <w:rsid w:val="00470C74"/>
    <w:rsid w:val="00471CE4"/>
    <w:rsid w:val="0047236A"/>
    <w:rsid w:val="00472A17"/>
    <w:rsid w:val="00472D39"/>
    <w:rsid w:val="00472DBB"/>
    <w:rsid w:val="00474D2C"/>
    <w:rsid w:val="00475081"/>
    <w:rsid w:val="0047581C"/>
    <w:rsid w:val="00475F0C"/>
    <w:rsid w:val="00480A76"/>
    <w:rsid w:val="00480D84"/>
    <w:rsid w:val="00480E6C"/>
    <w:rsid w:val="00481307"/>
    <w:rsid w:val="00482672"/>
    <w:rsid w:val="00482F5B"/>
    <w:rsid w:val="00483CD9"/>
    <w:rsid w:val="0048426D"/>
    <w:rsid w:val="004858CC"/>
    <w:rsid w:val="00485ADD"/>
    <w:rsid w:val="00486484"/>
    <w:rsid w:val="004876E8"/>
    <w:rsid w:val="00490C73"/>
    <w:rsid w:val="0049364D"/>
    <w:rsid w:val="00493EA5"/>
    <w:rsid w:val="00494430"/>
    <w:rsid w:val="00495551"/>
    <w:rsid w:val="004974BB"/>
    <w:rsid w:val="004A00BA"/>
    <w:rsid w:val="004A0457"/>
    <w:rsid w:val="004A070A"/>
    <w:rsid w:val="004A0C09"/>
    <w:rsid w:val="004A0DE8"/>
    <w:rsid w:val="004A0FB5"/>
    <w:rsid w:val="004A179E"/>
    <w:rsid w:val="004A245B"/>
    <w:rsid w:val="004A264F"/>
    <w:rsid w:val="004A2D0C"/>
    <w:rsid w:val="004A3AB6"/>
    <w:rsid w:val="004A3ECA"/>
    <w:rsid w:val="004A42B8"/>
    <w:rsid w:val="004A4320"/>
    <w:rsid w:val="004A4954"/>
    <w:rsid w:val="004A5753"/>
    <w:rsid w:val="004A5F3A"/>
    <w:rsid w:val="004A63EA"/>
    <w:rsid w:val="004A6824"/>
    <w:rsid w:val="004B16FF"/>
    <w:rsid w:val="004B1F9F"/>
    <w:rsid w:val="004B2758"/>
    <w:rsid w:val="004B3B97"/>
    <w:rsid w:val="004B3F4E"/>
    <w:rsid w:val="004B443F"/>
    <w:rsid w:val="004B44A2"/>
    <w:rsid w:val="004B599B"/>
    <w:rsid w:val="004B657C"/>
    <w:rsid w:val="004B70A8"/>
    <w:rsid w:val="004B775B"/>
    <w:rsid w:val="004C02EB"/>
    <w:rsid w:val="004C13EF"/>
    <w:rsid w:val="004C1625"/>
    <w:rsid w:val="004C2CBE"/>
    <w:rsid w:val="004C360C"/>
    <w:rsid w:val="004C4358"/>
    <w:rsid w:val="004C447F"/>
    <w:rsid w:val="004C5266"/>
    <w:rsid w:val="004C64F6"/>
    <w:rsid w:val="004C7702"/>
    <w:rsid w:val="004D0411"/>
    <w:rsid w:val="004D209D"/>
    <w:rsid w:val="004D28F9"/>
    <w:rsid w:val="004D3539"/>
    <w:rsid w:val="004D3DDE"/>
    <w:rsid w:val="004D681C"/>
    <w:rsid w:val="004D6ECB"/>
    <w:rsid w:val="004E3007"/>
    <w:rsid w:val="004E44D1"/>
    <w:rsid w:val="004F0693"/>
    <w:rsid w:val="004F1051"/>
    <w:rsid w:val="004F2074"/>
    <w:rsid w:val="004F3D3C"/>
    <w:rsid w:val="004F3DF9"/>
    <w:rsid w:val="004F45AC"/>
    <w:rsid w:val="004F4962"/>
    <w:rsid w:val="004F4BE5"/>
    <w:rsid w:val="004F641F"/>
    <w:rsid w:val="004F66CC"/>
    <w:rsid w:val="004F7A73"/>
    <w:rsid w:val="004F7C8C"/>
    <w:rsid w:val="004F7CA9"/>
    <w:rsid w:val="00500E6D"/>
    <w:rsid w:val="00501AE8"/>
    <w:rsid w:val="00501E2B"/>
    <w:rsid w:val="005029F2"/>
    <w:rsid w:val="005045CD"/>
    <w:rsid w:val="00504636"/>
    <w:rsid w:val="00506D86"/>
    <w:rsid w:val="00507CD8"/>
    <w:rsid w:val="005112C8"/>
    <w:rsid w:val="00511441"/>
    <w:rsid w:val="005119A4"/>
    <w:rsid w:val="005129E5"/>
    <w:rsid w:val="00512EE1"/>
    <w:rsid w:val="00513C19"/>
    <w:rsid w:val="00514A47"/>
    <w:rsid w:val="005158C6"/>
    <w:rsid w:val="005167C2"/>
    <w:rsid w:val="00520BDD"/>
    <w:rsid w:val="005220FE"/>
    <w:rsid w:val="00524B07"/>
    <w:rsid w:val="005251B8"/>
    <w:rsid w:val="0052677E"/>
    <w:rsid w:val="00527E62"/>
    <w:rsid w:val="0053110F"/>
    <w:rsid w:val="005313ED"/>
    <w:rsid w:val="0053201A"/>
    <w:rsid w:val="00532E2D"/>
    <w:rsid w:val="00533C00"/>
    <w:rsid w:val="005348A9"/>
    <w:rsid w:val="0053545C"/>
    <w:rsid w:val="00535B36"/>
    <w:rsid w:val="00535BC3"/>
    <w:rsid w:val="0053779B"/>
    <w:rsid w:val="0054045C"/>
    <w:rsid w:val="005415B7"/>
    <w:rsid w:val="0054299D"/>
    <w:rsid w:val="0054340F"/>
    <w:rsid w:val="0054343B"/>
    <w:rsid w:val="00543941"/>
    <w:rsid w:val="00544634"/>
    <w:rsid w:val="00545C9B"/>
    <w:rsid w:val="00546389"/>
    <w:rsid w:val="00546789"/>
    <w:rsid w:val="00546798"/>
    <w:rsid w:val="00546B17"/>
    <w:rsid w:val="00546E25"/>
    <w:rsid w:val="00546EFD"/>
    <w:rsid w:val="005501AA"/>
    <w:rsid w:val="0055022C"/>
    <w:rsid w:val="005508ED"/>
    <w:rsid w:val="00550CCF"/>
    <w:rsid w:val="00550D6A"/>
    <w:rsid w:val="0055135C"/>
    <w:rsid w:val="00553685"/>
    <w:rsid w:val="00553EE4"/>
    <w:rsid w:val="00553F86"/>
    <w:rsid w:val="00554184"/>
    <w:rsid w:val="00554A33"/>
    <w:rsid w:val="0055613B"/>
    <w:rsid w:val="00556E6E"/>
    <w:rsid w:val="00557B7F"/>
    <w:rsid w:val="00560B24"/>
    <w:rsid w:val="00562EB9"/>
    <w:rsid w:val="00563555"/>
    <w:rsid w:val="0056476B"/>
    <w:rsid w:val="005650C9"/>
    <w:rsid w:val="005659CD"/>
    <w:rsid w:val="00565A54"/>
    <w:rsid w:val="005702C2"/>
    <w:rsid w:val="00570DB9"/>
    <w:rsid w:val="00571591"/>
    <w:rsid w:val="0057194F"/>
    <w:rsid w:val="0057385B"/>
    <w:rsid w:val="00573EDA"/>
    <w:rsid w:val="005746C1"/>
    <w:rsid w:val="005761FB"/>
    <w:rsid w:val="00580021"/>
    <w:rsid w:val="00580A09"/>
    <w:rsid w:val="00580CB8"/>
    <w:rsid w:val="00582516"/>
    <w:rsid w:val="00582CDC"/>
    <w:rsid w:val="0058318E"/>
    <w:rsid w:val="0058350A"/>
    <w:rsid w:val="00583A63"/>
    <w:rsid w:val="005845D9"/>
    <w:rsid w:val="00584E55"/>
    <w:rsid w:val="005861A0"/>
    <w:rsid w:val="005868F7"/>
    <w:rsid w:val="00587F90"/>
    <w:rsid w:val="00590AC5"/>
    <w:rsid w:val="00590E2A"/>
    <w:rsid w:val="005919A7"/>
    <w:rsid w:val="00593385"/>
    <w:rsid w:val="005939D4"/>
    <w:rsid w:val="00593C10"/>
    <w:rsid w:val="00593D57"/>
    <w:rsid w:val="0059401B"/>
    <w:rsid w:val="005941AE"/>
    <w:rsid w:val="00595A19"/>
    <w:rsid w:val="00595FCB"/>
    <w:rsid w:val="005971A4"/>
    <w:rsid w:val="00597B34"/>
    <w:rsid w:val="00597E87"/>
    <w:rsid w:val="005A0338"/>
    <w:rsid w:val="005A039E"/>
    <w:rsid w:val="005A0820"/>
    <w:rsid w:val="005A1A39"/>
    <w:rsid w:val="005A20DF"/>
    <w:rsid w:val="005A2869"/>
    <w:rsid w:val="005A3FD5"/>
    <w:rsid w:val="005A6641"/>
    <w:rsid w:val="005A6AAF"/>
    <w:rsid w:val="005A727E"/>
    <w:rsid w:val="005A7891"/>
    <w:rsid w:val="005A7ADC"/>
    <w:rsid w:val="005B0444"/>
    <w:rsid w:val="005B0CB1"/>
    <w:rsid w:val="005B1919"/>
    <w:rsid w:val="005B1EA2"/>
    <w:rsid w:val="005B4F56"/>
    <w:rsid w:val="005B61C6"/>
    <w:rsid w:val="005B6C69"/>
    <w:rsid w:val="005B7A22"/>
    <w:rsid w:val="005C0442"/>
    <w:rsid w:val="005C070E"/>
    <w:rsid w:val="005C0BEF"/>
    <w:rsid w:val="005C196C"/>
    <w:rsid w:val="005C3474"/>
    <w:rsid w:val="005C3564"/>
    <w:rsid w:val="005C36DB"/>
    <w:rsid w:val="005C3BB8"/>
    <w:rsid w:val="005C45AC"/>
    <w:rsid w:val="005C58ED"/>
    <w:rsid w:val="005C6857"/>
    <w:rsid w:val="005D0037"/>
    <w:rsid w:val="005D0093"/>
    <w:rsid w:val="005D0622"/>
    <w:rsid w:val="005D0660"/>
    <w:rsid w:val="005D1487"/>
    <w:rsid w:val="005D15F8"/>
    <w:rsid w:val="005D1798"/>
    <w:rsid w:val="005D198A"/>
    <w:rsid w:val="005D2741"/>
    <w:rsid w:val="005D2DEF"/>
    <w:rsid w:val="005D3AE5"/>
    <w:rsid w:val="005D45D5"/>
    <w:rsid w:val="005D53C0"/>
    <w:rsid w:val="005D675B"/>
    <w:rsid w:val="005D6C27"/>
    <w:rsid w:val="005E031E"/>
    <w:rsid w:val="005E095D"/>
    <w:rsid w:val="005E1D1A"/>
    <w:rsid w:val="005E2331"/>
    <w:rsid w:val="005E300E"/>
    <w:rsid w:val="005E3313"/>
    <w:rsid w:val="005E4D82"/>
    <w:rsid w:val="005E5180"/>
    <w:rsid w:val="005E5942"/>
    <w:rsid w:val="005E7400"/>
    <w:rsid w:val="005E7610"/>
    <w:rsid w:val="005E773F"/>
    <w:rsid w:val="005F04FA"/>
    <w:rsid w:val="005F0DD6"/>
    <w:rsid w:val="005F1A02"/>
    <w:rsid w:val="005F2213"/>
    <w:rsid w:val="005F2806"/>
    <w:rsid w:val="005F282C"/>
    <w:rsid w:val="005F3804"/>
    <w:rsid w:val="005F3DB7"/>
    <w:rsid w:val="005F5DCD"/>
    <w:rsid w:val="005F612E"/>
    <w:rsid w:val="005F6561"/>
    <w:rsid w:val="005F6860"/>
    <w:rsid w:val="005F6ABA"/>
    <w:rsid w:val="005F76B7"/>
    <w:rsid w:val="005F7BCE"/>
    <w:rsid w:val="0060000A"/>
    <w:rsid w:val="00600999"/>
    <w:rsid w:val="00600FD3"/>
    <w:rsid w:val="00602138"/>
    <w:rsid w:val="00602C54"/>
    <w:rsid w:val="00603CE6"/>
    <w:rsid w:val="00605315"/>
    <w:rsid w:val="006053E4"/>
    <w:rsid w:val="006058BE"/>
    <w:rsid w:val="00605B2A"/>
    <w:rsid w:val="006079A7"/>
    <w:rsid w:val="00607A0E"/>
    <w:rsid w:val="00607C43"/>
    <w:rsid w:val="0061129E"/>
    <w:rsid w:val="00612FC5"/>
    <w:rsid w:val="00612FFD"/>
    <w:rsid w:val="00613BD5"/>
    <w:rsid w:val="00614BD2"/>
    <w:rsid w:val="00615128"/>
    <w:rsid w:val="00616ACD"/>
    <w:rsid w:val="00616EDA"/>
    <w:rsid w:val="00620CE2"/>
    <w:rsid w:val="00621D6E"/>
    <w:rsid w:val="006229AC"/>
    <w:rsid w:val="0062392D"/>
    <w:rsid w:val="00624218"/>
    <w:rsid w:val="006247EE"/>
    <w:rsid w:val="0062582B"/>
    <w:rsid w:val="00625D03"/>
    <w:rsid w:val="006261A1"/>
    <w:rsid w:val="006306DA"/>
    <w:rsid w:val="0063085A"/>
    <w:rsid w:val="00631A32"/>
    <w:rsid w:val="00631B37"/>
    <w:rsid w:val="0063327A"/>
    <w:rsid w:val="006346D7"/>
    <w:rsid w:val="0063554E"/>
    <w:rsid w:val="00635707"/>
    <w:rsid w:val="00635909"/>
    <w:rsid w:val="00635A9C"/>
    <w:rsid w:val="006362B1"/>
    <w:rsid w:val="00636871"/>
    <w:rsid w:val="00640FC3"/>
    <w:rsid w:val="00641CC5"/>
    <w:rsid w:val="00643E06"/>
    <w:rsid w:val="00644CA3"/>
    <w:rsid w:val="006509AE"/>
    <w:rsid w:val="00650C44"/>
    <w:rsid w:val="006518FA"/>
    <w:rsid w:val="0065318E"/>
    <w:rsid w:val="00653985"/>
    <w:rsid w:val="00654753"/>
    <w:rsid w:val="00654D9A"/>
    <w:rsid w:val="00654DC0"/>
    <w:rsid w:val="00654FBE"/>
    <w:rsid w:val="006558F3"/>
    <w:rsid w:val="00655F3F"/>
    <w:rsid w:val="00657197"/>
    <w:rsid w:val="0066084B"/>
    <w:rsid w:val="006609E0"/>
    <w:rsid w:val="006610CE"/>
    <w:rsid w:val="00661D18"/>
    <w:rsid w:val="00661E17"/>
    <w:rsid w:val="00663616"/>
    <w:rsid w:val="006638E3"/>
    <w:rsid w:val="00663B08"/>
    <w:rsid w:val="006644F6"/>
    <w:rsid w:val="0066481F"/>
    <w:rsid w:val="00664A36"/>
    <w:rsid w:val="00665031"/>
    <w:rsid w:val="006673DA"/>
    <w:rsid w:val="00671557"/>
    <w:rsid w:val="00671CEB"/>
    <w:rsid w:val="00671F0A"/>
    <w:rsid w:val="00672032"/>
    <w:rsid w:val="006763F2"/>
    <w:rsid w:val="00676BB9"/>
    <w:rsid w:val="00677C09"/>
    <w:rsid w:val="006817F7"/>
    <w:rsid w:val="00683737"/>
    <w:rsid w:val="006839E0"/>
    <w:rsid w:val="006848EB"/>
    <w:rsid w:val="00685AFA"/>
    <w:rsid w:val="00685BCB"/>
    <w:rsid w:val="00685E7D"/>
    <w:rsid w:val="00690D3E"/>
    <w:rsid w:val="00690ED3"/>
    <w:rsid w:val="006923BB"/>
    <w:rsid w:val="0069439A"/>
    <w:rsid w:val="0069624C"/>
    <w:rsid w:val="006965CC"/>
    <w:rsid w:val="0069668C"/>
    <w:rsid w:val="0069732C"/>
    <w:rsid w:val="0069789A"/>
    <w:rsid w:val="006979AE"/>
    <w:rsid w:val="00697AC5"/>
    <w:rsid w:val="00697D40"/>
    <w:rsid w:val="006A08ED"/>
    <w:rsid w:val="006A0B9E"/>
    <w:rsid w:val="006A0D22"/>
    <w:rsid w:val="006A130F"/>
    <w:rsid w:val="006A1A3F"/>
    <w:rsid w:val="006A1F14"/>
    <w:rsid w:val="006A4C4C"/>
    <w:rsid w:val="006A55D3"/>
    <w:rsid w:val="006A6EA4"/>
    <w:rsid w:val="006A7B6C"/>
    <w:rsid w:val="006A7F6E"/>
    <w:rsid w:val="006B1058"/>
    <w:rsid w:val="006B12EC"/>
    <w:rsid w:val="006B2961"/>
    <w:rsid w:val="006B4813"/>
    <w:rsid w:val="006B5508"/>
    <w:rsid w:val="006B5E1F"/>
    <w:rsid w:val="006B730D"/>
    <w:rsid w:val="006B78C4"/>
    <w:rsid w:val="006B7C8B"/>
    <w:rsid w:val="006B7D06"/>
    <w:rsid w:val="006B7EE0"/>
    <w:rsid w:val="006C13A6"/>
    <w:rsid w:val="006C28B4"/>
    <w:rsid w:val="006C2983"/>
    <w:rsid w:val="006C2A50"/>
    <w:rsid w:val="006C2BD5"/>
    <w:rsid w:val="006C2BE2"/>
    <w:rsid w:val="006C53F1"/>
    <w:rsid w:val="006C6199"/>
    <w:rsid w:val="006C651F"/>
    <w:rsid w:val="006C6840"/>
    <w:rsid w:val="006C737D"/>
    <w:rsid w:val="006C761C"/>
    <w:rsid w:val="006C76CC"/>
    <w:rsid w:val="006C78B3"/>
    <w:rsid w:val="006D057C"/>
    <w:rsid w:val="006D27F8"/>
    <w:rsid w:val="006D3352"/>
    <w:rsid w:val="006D38B0"/>
    <w:rsid w:val="006D4457"/>
    <w:rsid w:val="006D4BF3"/>
    <w:rsid w:val="006D4C7A"/>
    <w:rsid w:val="006D4E91"/>
    <w:rsid w:val="006D51AB"/>
    <w:rsid w:val="006D5D87"/>
    <w:rsid w:val="006D5E80"/>
    <w:rsid w:val="006D5FC7"/>
    <w:rsid w:val="006D68B7"/>
    <w:rsid w:val="006D690C"/>
    <w:rsid w:val="006D7370"/>
    <w:rsid w:val="006D7645"/>
    <w:rsid w:val="006D7966"/>
    <w:rsid w:val="006E055F"/>
    <w:rsid w:val="006E0A1F"/>
    <w:rsid w:val="006E0B0A"/>
    <w:rsid w:val="006E16F5"/>
    <w:rsid w:val="006E21DA"/>
    <w:rsid w:val="006E3AFD"/>
    <w:rsid w:val="006E4805"/>
    <w:rsid w:val="006E4E7A"/>
    <w:rsid w:val="006E50A3"/>
    <w:rsid w:val="006E5AF2"/>
    <w:rsid w:val="006E7A6C"/>
    <w:rsid w:val="006E7C07"/>
    <w:rsid w:val="006F022B"/>
    <w:rsid w:val="006F1C83"/>
    <w:rsid w:val="006F2595"/>
    <w:rsid w:val="006F2A98"/>
    <w:rsid w:val="006F2D88"/>
    <w:rsid w:val="006F3E30"/>
    <w:rsid w:val="006F435A"/>
    <w:rsid w:val="006F7552"/>
    <w:rsid w:val="006F7F02"/>
    <w:rsid w:val="007027AE"/>
    <w:rsid w:val="007040F3"/>
    <w:rsid w:val="00704581"/>
    <w:rsid w:val="0071007B"/>
    <w:rsid w:val="007103C3"/>
    <w:rsid w:val="007111A3"/>
    <w:rsid w:val="00711B80"/>
    <w:rsid w:val="00713ED1"/>
    <w:rsid w:val="00714358"/>
    <w:rsid w:val="007155AE"/>
    <w:rsid w:val="00716A48"/>
    <w:rsid w:val="00716E62"/>
    <w:rsid w:val="00717DD9"/>
    <w:rsid w:val="0072094E"/>
    <w:rsid w:val="007222F1"/>
    <w:rsid w:val="0072332B"/>
    <w:rsid w:val="007235F8"/>
    <w:rsid w:val="007244CE"/>
    <w:rsid w:val="0072556F"/>
    <w:rsid w:val="00725B3A"/>
    <w:rsid w:val="00726362"/>
    <w:rsid w:val="007276E5"/>
    <w:rsid w:val="007315DB"/>
    <w:rsid w:val="007323B0"/>
    <w:rsid w:val="0073473B"/>
    <w:rsid w:val="00734BD6"/>
    <w:rsid w:val="00735814"/>
    <w:rsid w:val="00736648"/>
    <w:rsid w:val="00736722"/>
    <w:rsid w:val="00736A7C"/>
    <w:rsid w:val="00736ED7"/>
    <w:rsid w:val="0073737E"/>
    <w:rsid w:val="007404E1"/>
    <w:rsid w:val="00741C8B"/>
    <w:rsid w:val="00741F46"/>
    <w:rsid w:val="00742C44"/>
    <w:rsid w:val="00744A77"/>
    <w:rsid w:val="00745097"/>
    <w:rsid w:val="007468C0"/>
    <w:rsid w:val="00746E87"/>
    <w:rsid w:val="0074789F"/>
    <w:rsid w:val="007522DC"/>
    <w:rsid w:val="007528E4"/>
    <w:rsid w:val="0075393C"/>
    <w:rsid w:val="00753D1D"/>
    <w:rsid w:val="007541D8"/>
    <w:rsid w:val="00754E64"/>
    <w:rsid w:val="007551CD"/>
    <w:rsid w:val="007565BD"/>
    <w:rsid w:val="00760F8C"/>
    <w:rsid w:val="0076184F"/>
    <w:rsid w:val="007643F0"/>
    <w:rsid w:val="007644E5"/>
    <w:rsid w:val="007649D3"/>
    <w:rsid w:val="00765441"/>
    <w:rsid w:val="00765A00"/>
    <w:rsid w:val="0076614A"/>
    <w:rsid w:val="00766884"/>
    <w:rsid w:val="00772172"/>
    <w:rsid w:val="00773CAE"/>
    <w:rsid w:val="00775018"/>
    <w:rsid w:val="0077590E"/>
    <w:rsid w:val="00777AAA"/>
    <w:rsid w:val="00777E6C"/>
    <w:rsid w:val="00780337"/>
    <w:rsid w:val="00780523"/>
    <w:rsid w:val="007818CA"/>
    <w:rsid w:val="00782470"/>
    <w:rsid w:val="00782506"/>
    <w:rsid w:val="0078342B"/>
    <w:rsid w:val="00784CE1"/>
    <w:rsid w:val="00784FE6"/>
    <w:rsid w:val="0078512C"/>
    <w:rsid w:val="00785342"/>
    <w:rsid w:val="00785381"/>
    <w:rsid w:val="007855E4"/>
    <w:rsid w:val="007866B0"/>
    <w:rsid w:val="0078740E"/>
    <w:rsid w:val="007874CC"/>
    <w:rsid w:val="00790221"/>
    <w:rsid w:val="00791C60"/>
    <w:rsid w:val="00794D30"/>
    <w:rsid w:val="00795008"/>
    <w:rsid w:val="0079531D"/>
    <w:rsid w:val="00796BFE"/>
    <w:rsid w:val="00796C8E"/>
    <w:rsid w:val="007972D0"/>
    <w:rsid w:val="0079790A"/>
    <w:rsid w:val="007A0674"/>
    <w:rsid w:val="007A0A8F"/>
    <w:rsid w:val="007A1375"/>
    <w:rsid w:val="007A145C"/>
    <w:rsid w:val="007A1800"/>
    <w:rsid w:val="007A26A8"/>
    <w:rsid w:val="007A2E0F"/>
    <w:rsid w:val="007A3B93"/>
    <w:rsid w:val="007A4249"/>
    <w:rsid w:val="007A6EC6"/>
    <w:rsid w:val="007B1E24"/>
    <w:rsid w:val="007B1EA8"/>
    <w:rsid w:val="007B29C9"/>
    <w:rsid w:val="007B40D2"/>
    <w:rsid w:val="007B58F8"/>
    <w:rsid w:val="007B6648"/>
    <w:rsid w:val="007B67A5"/>
    <w:rsid w:val="007B682D"/>
    <w:rsid w:val="007C011E"/>
    <w:rsid w:val="007C0406"/>
    <w:rsid w:val="007C1D62"/>
    <w:rsid w:val="007C2268"/>
    <w:rsid w:val="007C2288"/>
    <w:rsid w:val="007C2AE0"/>
    <w:rsid w:val="007C31F2"/>
    <w:rsid w:val="007C3CA2"/>
    <w:rsid w:val="007C4628"/>
    <w:rsid w:val="007C4F93"/>
    <w:rsid w:val="007C503A"/>
    <w:rsid w:val="007C5163"/>
    <w:rsid w:val="007C6CF6"/>
    <w:rsid w:val="007C72CF"/>
    <w:rsid w:val="007D046A"/>
    <w:rsid w:val="007D0D29"/>
    <w:rsid w:val="007D1926"/>
    <w:rsid w:val="007D2D17"/>
    <w:rsid w:val="007D2D86"/>
    <w:rsid w:val="007D2F49"/>
    <w:rsid w:val="007D4BC6"/>
    <w:rsid w:val="007D5C7E"/>
    <w:rsid w:val="007D6036"/>
    <w:rsid w:val="007D6D12"/>
    <w:rsid w:val="007D6EA5"/>
    <w:rsid w:val="007D708A"/>
    <w:rsid w:val="007D72D0"/>
    <w:rsid w:val="007D738B"/>
    <w:rsid w:val="007E023A"/>
    <w:rsid w:val="007E0CAE"/>
    <w:rsid w:val="007E243E"/>
    <w:rsid w:val="007E29FE"/>
    <w:rsid w:val="007E428F"/>
    <w:rsid w:val="007E5383"/>
    <w:rsid w:val="007E5449"/>
    <w:rsid w:val="007E5747"/>
    <w:rsid w:val="007E5B0E"/>
    <w:rsid w:val="007E5E98"/>
    <w:rsid w:val="007E6186"/>
    <w:rsid w:val="007F0CBA"/>
    <w:rsid w:val="007F27F1"/>
    <w:rsid w:val="007F2EC1"/>
    <w:rsid w:val="007F35AA"/>
    <w:rsid w:val="007F456B"/>
    <w:rsid w:val="007F494C"/>
    <w:rsid w:val="007F7119"/>
    <w:rsid w:val="00800D5C"/>
    <w:rsid w:val="00801147"/>
    <w:rsid w:val="00801832"/>
    <w:rsid w:val="00802EB7"/>
    <w:rsid w:val="008038AB"/>
    <w:rsid w:val="00804FFF"/>
    <w:rsid w:val="008052A7"/>
    <w:rsid w:val="00805F8B"/>
    <w:rsid w:val="008077E9"/>
    <w:rsid w:val="00807BE1"/>
    <w:rsid w:val="00810E9B"/>
    <w:rsid w:val="00811936"/>
    <w:rsid w:val="00811D71"/>
    <w:rsid w:val="00812484"/>
    <w:rsid w:val="00812940"/>
    <w:rsid w:val="00814E15"/>
    <w:rsid w:val="00815182"/>
    <w:rsid w:val="00815F35"/>
    <w:rsid w:val="00817AE9"/>
    <w:rsid w:val="008205B8"/>
    <w:rsid w:val="00820662"/>
    <w:rsid w:val="00820A0A"/>
    <w:rsid w:val="00820CD0"/>
    <w:rsid w:val="00820CDF"/>
    <w:rsid w:val="00820DB4"/>
    <w:rsid w:val="0082116F"/>
    <w:rsid w:val="00823198"/>
    <w:rsid w:val="00824D49"/>
    <w:rsid w:val="00825B41"/>
    <w:rsid w:val="00826F05"/>
    <w:rsid w:val="00827F79"/>
    <w:rsid w:val="00831681"/>
    <w:rsid w:val="008319E0"/>
    <w:rsid w:val="00831A3D"/>
    <w:rsid w:val="00832AD0"/>
    <w:rsid w:val="008333CA"/>
    <w:rsid w:val="008334E6"/>
    <w:rsid w:val="008354D3"/>
    <w:rsid w:val="008359CE"/>
    <w:rsid w:val="008363F0"/>
    <w:rsid w:val="00837F15"/>
    <w:rsid w:val="00842519"/>
    <w:rsid w:val="00846A76"/>
    <w:rsid w:val="0084727B"/>
    <w:rsid w:val="00847DEB"/>
    <w:rsid w:val="008506DD"/>
    <w:rsid w:val="008512B2"/>
    <w:rsid w:val="008532BF"/>
    <w:rsid w:val="00853988"/>
    <w:rsid w:val="008544B9"/>
    <w:rsid w:val="00860CB7"/>
    <w:rsid w:val="00860ED6"/>
    <w:rsid w:val="008614DB"/>
    <w:rsid w:val="008632AE"/>
    <w:rsid w:val="008632C5"/>
    <w:rsid w:val="0086339F"/>
    <w:rsid w:val="00863A26"/>
    <w:rsid w:val="00863A76"/>
    <w:rsid w:val="008642F7"/>
    <w:rsid w:val="008644F2"/>
    <w:rsid w:val="008655F3"/>
    <w:rsid w:val="008667DD"/>
    <w:rsid w:val="008668AC"/>
    <w:rsid w:val="008703D0"/>
    <w:rsid w:val="008705A4"/>
    <w:rsid w:val="00870BD6"/>
    <w:rsid w:val="00870FC7"/>
    <w:rsid w:val="00871F51"/>
    <w:rsid w:val="008734ED"/>
    <w:rsid w:val="0087393B"/>
    <w:rsid w:val="00874BB4"/>
    <w:rsid w:val="00876023"/>
    <w:rsid w:val="00876214"/>
    <w:rsid w:val="00876342"/>
    <w:rsid w:val="00876BE4"/>
    <w:rsid w:val="00876EEB"/>
    <w:rsid w:val="00877FA7"/>
    <w:rsid w:val="00880050"/>
    <w:rsid w:val="00880595"/>
    <w:rsid w:val="00880D23"/>
    <w:rsid w:val="0088308B"/>
    <w:rsid w:val="00884A0D"/>
    <w:rsid w:val="00887666"/>
    <w:rsid w:val="008878F2"/>
    <w:rsid w:val="00890668"/>
    <w:rsid w:val="00890858"/>
    <w:rsid w:val="008914E2"/>
    <w:rsid w:val="008950D9"/>
    <w:rsid w:val="008959EA"/>
    <w:rsid w:val="00895E98"/>
    <w:rsid w:val="00896A66"/>
    <w:rsid w:val="00897635"/>
    <w:rsid w:val="0089775A"/>
    <w:rsid w:val="008978AA"/>
    <w:rsid w:val="008A070E"/>
    <w:rsid w:val="008A08BA"/>
    <w:rsid w:val="008A2430"/>
    <w:rsid w:val="008A2614"/>
    <w:rsid w:val="008A4735"/>
    <w:rsid w:val="008A66F8"/>
    <w:rsid w:val="008A6C31"/>
    <w:rsid w:val="008A76A6"/>
    <w:rsid w:val="008B0014"/>
    <w:rsid w:val="008B1C7A"/>
    <w:rsid w:val="008B23FD"/>
    <w:rsid w:val="008B2F0C"/>
    <w:rsid w:val="008B2F50"/>
    <w:rsid w:val="008B4F68"/>
    <w:rsid w:val="008B531C"/>
    <w:rsid w:val="008B5C14"/>
    <w:rsid w:val="008B7A63"/>
    <w:rsid w:val="008C1850"/>
    <w:rsid w:val="008C1D46"/>
    <w:rsid w:val="008C2987"/>
    <w:rsid w:val="008C3F32"/>
    <w:rsid w:val="008C54AB"/>
    <w:rsid w:val="008D00C0"/>
    <w:rsid w:val="008D020F"/>
    <w:rsid w:val="008D0316"/>
    <w:rsid w:val="008D052E"/>
    <w:rsid w:val="008D0ED4"/>
    <w:rsid w:val="008D0F2A"/>
    <w:rsid w:val="008D1C49"/>
    <w:rsid w:val="008D1CCB"/>
    <w:rsid w:val="008D4565"/>
    <w:rsid w:val="008D47C8"/>
    <w:rsid w:val="008D4FE9"/>
    <w:rsid w:val="008D51C4"/>
    <w:rsid w:val="008D53D6"/>
    <w:rsid w:val="008D543E"/>
    <w:rsid w:val="008D6ED5"/>
    <w:rsid w:val="008D7427"/>
    <w:rsid w:val="008D7A65"/>
    <w:rsid w:val="008E0485"/>
    <w:rsid w:val="008E1D14"/>
    <w:rsid w:val="008E21AD"/>
    <w:rsid w:val="008E2563"/>
    <w:rsid w:val="008E3226"/>
    <w:rsid w:val="008E4D1A"/>
    <w:rsid w:val="008E5C4D"/>
    <w:rsid w:val="008E5EFA"/>
    <w:rsid w:val="008E7662"/>
    <w:rsid w:val="008E7665"/>
    <w:rsid w:val="008F0016"/>
    <w:rsid w:val="008F00FF"/>
    <w:rsid w:val="008F193A"/>
    <w:rsid w:val="008F2101"/>
    <w:rsid w:val="008F210F"/>
    <w:rsid w:val="008F2BC0"/>
    <w:rsid w:val="008F3440"/>
    <w:rsid w:val="008F6364"/>
    <w:rsid w:val="008F7114"/>
    <w:rsid w:val="008F77A3"/>
    <w:rsid w:val="00900726"/>
    <w:rsid w:val="00900B8C"/>
    <w:rsid w:val="00902AAE"/>
    <w:rsid w:val="00903190"/>
    <w:rsid w:val="009038CE"/>
    <w:rsid w:val="009054E2"/>
    <w:rsid w:val="00906968"/>
    <w:rsid w:val="00906C93"/>
    <w:rsid w:val="00906F02"/>
    <w:rsid w:val="0091043A"/>
    <w:rsid w:val="009126D0"/>
    <w:rsid w:val="009130BB"/>
    <w:rsid w:val="00915AB1"/>
    <w:rsid w:val="00916E62"/>
    <w:rsid w:val="009172E7"/>
    <w:rsid w:val="00917B95"/>
    <w:rsid w:val="0092037B"/>
    <w:rsid w:val="00920AAD"/>
    <w:rsid w:val="00920FA3"/>
    <w:rsid w:val="009230E2"/>
    <w:rsid w:val="00923102"/>
    <w:rsid w:val="00924010"/>
    <w:rsid w:val="009246E5"/>
    <w:rsid w:val="00924BDC"/>
    <w:rsid w:val="00924D46"/>
    <w:rsid w:val="00926AC3"/>
    <w:rsid w:val="00927661"/>
    <w:rsid w:val="00927E6F"/>
    <w:rsid w:val="00930445"/>
    <w:rsid w:val="00930F66"/>
    <w:rsid w:val="009325D8"/>
    <w:rsid w:val="00932E9F"/>
    <w:rsid w:val="00933C07"/>
    <w:rsid w:val="009340A0"/>
    <w:rsid w:val="009342C5"/>
    <w:rsid w:val="00934F7F"/>
    <w:rsid w:val="009351D1"/>
    <w:rsid w:val="00935DCD"/>
    <w:rsid w:val="00937C25"/>
    <w:rsid w:val="00940384"/>
    <w:rsid w:val="00940E8B"/>
    <w:rsid w:val="00941C4E"/>
    <w:rsid w:val="0094248E"/>
    <w:rsid w:val="00942D17"/>
    <w:rsid w:val="00943157"/>
    <w:rsid w:val="00943A1F"/>
    <w:rsid w:val="009445F8"/>
    <w:rsid w:val="00946273"/>
    <w:rsid w:val="00947136"/>
    <w:rsid w:val="00950F2B"/>
    <w:rsid w:val="009518B8"/>
    <w:rsid w:val="00951B39"/>
    <w:rsid w:val="0095257B"/>
    <w:rsid w:val="00953911"/>
    <w:rsid w:val="00953C07"/>
    <w:rsid w:val="009540CF"/>
    <w:rsid w:val="00955918"/>
    <w:rsid w:val="009559D8"/>
    <w:rsid w:val="00957517"/>
    <w:rsid w:val="00957750"/>
    <w:rsid w:val="00960955"/>
    <w:rsid w:val="00961FDA"/>
    <w:rsid w:val="0096325D"/>
    <w:rsid w:val="009636BC"/>
    <w:rsid w:val="00964BDE"/>
    <w:rsid w:val="00965432"/>
    <w:rsid w:val="009655DB"/>
    <w:rsid w:val="00966E90"/>
    <w:rsid w:val="0096764E"/>
    <w:rsid w:val="009678AB"/>
    <w:rsid w:val="009708CA"/>
    <w:rsid w:val="00970AAA"/>
    <w:rsid w:val="00971188"/>
    <w:rsid w:val="009716DB"/>
    <w:rsid w:val="00971D31"/>
    <w:rsid w:val="00976376"/>
    <w:rsid w:val="009765AE"/>
    <w:rsid w:val="0097718D"/>
    <w:rsid w:val="009801CA"/>
    <w:rsid w:val="0098091E"/>
    <w:rsid w:val="00980B99"/>
    <w:rsid w:val="00981342"/>
    <w:rsid w:val="00981C22"/>
    <w:rsid w:val="009822F0"/>
    <w:rsid w:val="00982671"/>
    <w:rsid w:val="00982B4B"/>
    <w:rsid w:val="0098343B"/>
    <w:rsid w:val="00983446"/>
    <w:rsid w:val="00983A07"/>
    <w:rsid w:val="009852B7"/>
    <w:rsid w:val="00986F30"/>
    <w:rsid w:val="00991DF5"/>
    <w:rsid w:val="00992D65"/>
    <w:rsid w:val="00993F09"/>
    <w:rsid w:val="009947EE"/>
    <w:rsid w:val="00994B31"/>
    <w:rsid w:val="009952CA"/>
    <w:rsid w:val="009959A0"/>
    <w:rsid w:val="00995B16"/>
    <w:rsid w:val="00996B02"/>
    <w:rsid w:val="00997131"/>
    <w:rsid w:val="009971D8"/>
    <w:rsid w:val="009A0530"/>
    <w:rsid w:val="009A09A5"/>
    <w:rsid w:val="009A0A5E"/>
    <w:rsid w:val="009A1463"/>
    <w:rsid w:val="009A233E"/>
    <w:rsid w:val="009A27AE"/>
    <w:rsid w:val="009A29D6"/>
    <w:rsid w:val="009A35C7"/>
    <w:rsid w:val="009A4ACC"/>
    <w:rsid w:val="009A6007"/>
    <w:rsid w:val="009A6334"/>
    <w:rsid w:val="009A654E"/>
    <w:rsid w:val="009A66C5"/>
    <w:rsid w:val="009A6BAA"/>
    <w:rsid w:val="009A7FC0"/>
    <w:rsid w:val="009B0B91"/>
    <w:rsid w:val="009B18D1"/>
    <w:rsid w:val="009B236A"/>
    <w:rsid w:val="009B2788"/>
    <w:rsid w:val="009B3689"/>
    <w:rsid w:val="009B3EA8"/>
    <w:rsid w:val="009B4491"/>
    <w:rsid w:val="009B4A80"/>
    <w:rsid w:val="009B565B"/>
    <w:rsid w:val="009B5FCE"/>
    <w:rsid w:val="009B69E6"/>
    <w:rsid w:val="009B76DF"/>
    <w:rsid w:val="009C02A4"/>
    <w:rsid w:val="009C2BEE"/>
    <w:rsid w:val="009C3039"/>
    <w:rsid w:val="009C3890"/>
    <w:rsid w:val="009C6B7B"/>
    <w:rsid w:val="009C6D9A"/>
    <w:rsid w:val="009D13EB"/>
    <w:rsid w:val="009D16FF"/>
    <w:rsid w:val="009D2139"/>
    <w:rsid w:val="009D254E"/>
    <w:rsid w:val="009D372D"/>
    <w:rsid w:val="009D3B7E"/>
    <w:rsid w:val="009D3DBB"/>
    <w:rsid w:val="009D48DE"/>
    <w:rsid w:val="009D5161"/>
    <w:rsid w:val="009D5ED2"/>
    <w:rsid w:val="009D6AF8"/>
    <w:rsid w:val="009E11DA"/>
    <w:rsid w:val="009E1BE7"/>
    <w:rsid w:val="009E2FC4"/>
    <w:rsid w:val="009E3082"/>
    <w:rsid w:val="009E32A0"/>
    <w:rsid w:val="009E4800"/>
    <w:rsid w:val="009E4A0B"/>
    <w:rsid w:val="009E562B"/>
    <w:rsid w:val="009E59B4"/>
    <w:rsid w:val="009E7454"/>
    <w:rsid w:val="009E795B"/>
    <w:rsid w:val="009F02B2"/>
    <w:rsid w:val="009F040E"/>
    <w:rsid w:val="009F12CB"/>
    <w:rsid w:val="009F136E"/>
    <w:rsid w:val="009F2286"/>
    <w:rsid w:val="009F40D8"/>
    <w:rsid w:val="009F461D"/>
    <w:rsid w:val="009F4874"/>
    <w:rsid w:val="009F51CE"/>
    <w:rsid w:val="009F6AFE"/>
    <w:rsid w:val="009F762C"/>
    <w:rsid w:val="00A013EC"/>
    <w:rsid w:val="00A01AB4"/>
    <w:rsid w:val="00A02BA9"/>
    <w:rsid w:val="00A0355A"/>
    <w:rsid w:val="00A03798"/>
    <w:rsid w:val="00A03DB4"/>
    <w:rsid w:val="00A04EFA"/>
    <w:rsid w:val="00A055BC"/>
    <w:rsid w:val="00A05BDF"/>
    <w:rsid w:val="00A05D50"/>
    <w:rsid w:val="00A06785"/>
    <w:rsid w:val="00A07A30"/>
    <w:rsid w:val="00A10ACD"/>
    <w:rsid w:val="00A11FCF"/>
    <w:rsid w:val="00A12F24"/>
    <w:rsid w:val="00A14FA9"/>
    <w:rsid w:val="00A152FE"/>
    <w:rsid w:val="00A1599A"/>
    <w:rsid w:val="00A17224"/>
    <w:rsid w:val="00A203AD"/>
    <w:rsid w:val="00A20465"/>
    <w:rsid w:val="00A209C6"/>
    <w:rsid w:val="00A22760"/>
    <w:rsid w:val="00A23A12"/>
    <w:rsid w:val="00A23E14"/>
    <w:rsid w:val="00A249E8"/>
    <w:rsid w:val="00A24E3B"/>
    <w:rsid w:val="00A26129"/>
    <w:rsid w:val="00A26422"/>
    <w:rsid w:val="00A266E5"/>
    <w:rsid w:val="00A26836"/>
    <w:rsid w:val="00A276CD"/>
    <w:rsid w:val="00A277AA"/>
    <w:rsid w:val="00A27EC3"/>
    <w:rsid w:val="00A30F49"/>
    <w:rsid w:val="00A31359"/>
    <w:rsid w:val="00A3178E"/>
    <w:rsid w:val="00A32704"/>
    <w:rsid w:val="00A33324"/>
    <w:rsid w:val="00A3517C"/>
    <w:rsid w:val="00A35990"/>
    <w:rsid w:val="00A36207"/>
    <w:rsid w:val="00A36F6A"/>
    <w:rsid w:val="00A37B6E"/>
    <w:rsid w:val="00A40AF6"/>
    <w:rsid w:val="00A41794"/>
    <w:rsid w:val="00A41B31"/>
    <w:rsid w:val="00A43204"/>
    <w:rsid w:val="00A4369E"/>
    <w:rsid w:val="00A43781"/>
    <w:rsid w:val="00A43C20"/>
    <w:rsid w:val="00A464E3"/>
    <w:rsid w:val="00A472FD"/>
    <w:rsid w:val="00A50BEC"/>
    <w:rsid w:val="00A50DFC"/>
    <w:rsid w:val="00A5139E"/>
    <w:rsid w:val="00A51410"/>
    <w:rsid w:val="00A5491D"/>
    <w:rsid w:val="00A5565F"/>
    <w:rsid w:val="00A55F48"/>
    <w:rsid w:val="00A5765C"/>
    <w:rsid w:val="00A57DBE"/>
    <w:rsid w:val="00A6070D"/>
    <w:rsid w:val="00A61B1A"/>
    <w:rsid w:val="00A625C4"/>
    <w:rsid w:val="00A6310E"/>
    <w:rsid w:val="00A6485E"/>
    <w:rsid w:val="00A65309"/>
    <w:rsid w:val="00A65B20"/>
    <w:rsid w:val="00A71687"/>
    <w:rsid w:val="00A721A8"/>
    <w:rsid w:val="00A72E4E"/>
    <w:rsid w:val="00A736E2"/>
    <w:rsid w:val="00A73D86"/>
    <w:rsid w:val="00A75377"/>
    <w:rsid w:val="00A75777"/>
    <w:rsid w:val="00A7679B"/>
    <w:rsid w:val="00A77CD0"/>
    <w:rsid w:val="00A77D8B"/>
    <w:rsid w:val="00A80015"/>
    <w:rsid w:val="00A80D98"/>
    <w:rsid w:val="00A8176C"/>
    <w:rsid w:val="00A83789"/>
    <w:rsid w:val="00A84A1E"/>
    <w:rsid w:val="00A84D3B"/>
    <w:rsid w:val="00A8786C"/>
    <w:rsid w:val="00A9047D"/>
    <w:rsid w:val="00A90C14"/>
    <w:rsid w:val="00A9100E"/>
    <w:rsid w:val="00A92B65"/>
    <w:rsid w:val="00A93CCB"/>
    <w:rsid w:val="00A94814"/>
    <w:rsid w:val="00A949C8"/>
    <w:rsid w:val="00A94BFA"/>
    <w:rsid w:val="00A94DAE"/>
    <w:rsid w:val="00A95623"/>
    <w:rsid w:val="00A957DD"/>
    <w:rsid w:val="00A961A1"/>
    <w:rsid w:val="00A97C1E"/>
    <w:rsid w:val="00A97C5A"/>
    <w:rsid w:val="00AA0FF5"/>
    <w:rsid w:val="00AA1804"/>
    <w:rsid w:val="00AA181F"/>
    <w:rsid w:val="00AA2039"/>
    <w:rsid w:val="00AA2839"/>
    <w:rsid w:val="00AA2B0C"/>
    <w:rsid w:val="00AA2EEA"/>
    <w:rsid w:val="00AA4281"/>
    <w:rsid w:val="00AA5BFA"/>
    <w:rsid w:val="00AA6AE6"/>
    <w:rsid w:val="00AA7890"/>
    <w:rsid w:val="00AB154C"/>
    <w:rsid w:val="00AB1683"/>
    <w:rsid w:val="00AB3E82"/>
    <w:rsid w:val="00AB4351"/>
    <w:rsid w:val="00AB4C67"/>
    <w:rsid w:val="00AB5B05"/>
    <w:rsid w:val="00AB639C"/>
    <w:rsid w:val="00AB6824"/>
    <w:rsid w:val="00AB69F5"/>
    <w:rsid w:val="00AC024A"/>
    <w:rsid w:val="00AC0AE1"/>
    <w:rsid w:val="00AC1DE7"/>
    <w:rsid w:val="00AC238D"/>
    <w:rsid w:val="00AC263E"/>
    <w:rsid w:val="00AC4DEC"/>
    <w:rsid w:val="00AC52D7"/>
    <w:rsid w:val="00AC5C10"/>
    <w:rsid w:val="00AC6E6B"/>
    <w:rsid w:val="00AC72C5"/>
    <w:rsid w:val="00AC765A"/>
    <w:rsid w:val="00AC7C02"/>
    <w:rsid w:val="00AD0955"/>
    <w:rsid w:val="00AD0ABE"/>
    <w:rsid w:val="00AD0E85"/>
    <w:rsid w:val="00AD1C00"/>
    <w:rsid w:val="00AD2375"/>
    <w:rsid w:val="00AD2D74"/>
    <w:rsid w:val="00AD359B"/>
    <w:rsid w:val="00AD37ED"/>
    <w:rsid w:val="00AD4B70"/>
    <w:rsid w:val="00AD71DA"/>
    <w:rsid w:val="00AD73A6"/>
    <w:rsid w:val="00AD78A3"/>
    <w:rsid w:val="00AE13B4"/>
    <w:rsid w:val="00AE1401"/>
    <w:rsid w:val="00AE16ED"/>
    <w:rsid w:val="00AE1752"/>
    <w:rsid w:val="00AE2920"/>
    <w:rsid w:val="00AE2FFA"/>
    <w:rsid w:val="00AE4240"/>
    <w:rsid w:val="00AE51A4"/>
    <w:rsid w:val="00AE5958"/>
    <w:rsid w:val="00AE6366"/>
    <w:rsid w:val="00AE694E"/>
    <w:rsid w:val="00AE7343"/>
    <w:rsid w:val="00AE79C3"/>
    <w:rsid w:val="00AE7AF6"/>
    <w:rsid w:val="00AE7BDD"/>
    <w:rsid w:val="00AE7EB7"/>
    <w:rsid w:val="00AF23C0"/>
    <w:rsid w:val="00AF2E0F"/>
    <w:rsid w:val="00AF43F1"/>
    <w:rsid w:val="00AF679A"/>
    <w:rsid w:val="00AF6C57"/>
    <w:rsid w:val="00AF7BF7"/>
    <w:rsid w:val="00AF7EE1"/>
    <w:rsid w:val="00AF7F5E"/>
    <w:rsid w:val="00B041FD"/>
    <w:rsid w:val="00B0764E"/>
    <w:rsid w:val="00B10859"/>
    <w:rsid w:val="00B10B1D"/>
    <w:rsid w:val="00B10B86"/>
    <w:rsid w:val="00B10D92"/>
    <w:rsid w:val="00B11691"/>
    <w:rsid w:val="00B12683"/>
    <w:rsid w:val="00B131FD"/>
    <w:rsid w:val="00B13239"/>
    <w:rsid w:val="00B13FF5"/>
    <w:rsid w:val="00B16065"/>
    <w:rsid w:val="00B16070"/>
    <w:rsid w:val="00B16A44"/>
    <w:rsid w:val="00B205FA"/>
    <w:rsid w:val="00B20B41"/>
    <w:rsid w:val="00B21D0F"/>
    <w:rsid w:val="00B220DE"/>
    <w:rsid w:val="00B22485"/>
    <w:rsid w:val="00B22DF3"/>
    <w:rsid w:val="00B23017"/>
    <w:rsid w:val="00B23248"/>
    <w:rsid w:val="00B23DD1"/>
    <w:rsid w:val="00B24E77"/>
    <w:rsid w:val="00B25F2B"/>
    <w:rsid w:val="00B25FCE"/>
    <w:rsid w:val="00B2638F"/>
    <w:rsid w:val="00B26527"/>
    <w:rsid w:val="00B27594"/>
    <w:rsid w:val="00B27B86"/>
    <w:rsid w:val="00B312E9"/>
    <w:rsid w:val="00B318C6"/>
    <w:rsid w:val="00B31B89"/>
    <w:rsid w:val="00B32466"/>
    <w:rsid w:val="00B333BC"/>
    <w:rsid w:val="00B33729"/>
    <w:rsid w:val="00B33E61"/>
    <w:rsid w:val="00B34AB4"/>
    <w:rsid w:val="00B364AA"/>
    <w:rsid w:val="00B3659D"/>
    <w:rsid w:val="00B367F2"/>
    <w:rsid w:val="00B3695A"/>
    <w:rsid w:val="00B36C50"/>
    <w:rsid w:val="00B42609"/>
    <w:rsid w:val="00B42EBB"/>
    <w:rsid w:val="00B444C3"/>
    <w:rsid w:val="00B45DC1"/>
    <w:rsid w:val="00B4604E"/>
    <w:rsid w:val="00B46A4D"/>
    <w:rsid w:val="00B47C92"/>
    <w:rsid w:val="00B50244"/>
    <w:rsid w:val="00B50779"/>
    <w:rsid w:val="00B50C45"/>
    <w:rsid w:val="00B517BA"/>
    <w:rsid w:val="00B51840"/>
    <w:rsid w:val="00B524D9"/>
    <w:rsid w:val="00B5396B"/>
    <w:rsid w:val="00B53FE5"/>
    <w:rsid w:val="00B54A5F"/>
    <w:rsid w:val="00B54E8C"/>
    <w:rsid w:val="00B55097"/>
    <w:rsid w:val="00B55150"/>
    <w:rsid w:val="00B55F60"/>
    <w:rsid w:val="00B57124"/>
    <w:rsid w:val="00B57537"/>
    <w:rsid w:val="00B578EB"/>
    <w:rsid w:val="00B57A79"/>
    <w:rsid w:val="00B62D75"/>
    <w:rsid w:val="00B63139"/>
    <w:rsid w:val="00B63595"/>
    <w:rsid w:val="00B63D50"/>
    <w:rsid w:val="00B64518"/>
    <w:rsid w:val="00B65573"/>
    <w:rsid w:val="00B66025"/>
    <w:rsid w:val="00B667A4"/>
    <w:rsid w:val="00B66DE7"/>
    <w:rsid w:val="00B671C6"/>
    <w:rsid w:val="00B671F1"/>
    <w:rsid w:val="00B674D0"/>
    <w:rsid w:val="00B708EC"/>
    <w:rsid w:val="00B71C0E"/>
    <w:rsid w:val="00B71CB2"/>
    <w:rsid w:val="00B728E1"/>
    <w:rsid w:val="00B73604"/>
    <w:rsid w:val="00B73D3E"/>
    <w:rsid w:val="00B74772"/>
    <w:rsid w:val="00B74B7F"/>
    <w:rsid w:val="00B75298"/>
    <w:rsid w:val="00B754A1"/>
    <w:rsid w:val="00B76BD6"/>
    <w:rsid w:val="00B80F17"/>
    <w:rsid w:val="00B81494"/>
    <w:rsid w:val="00B81512"/>
    <w:rsid w:val="00B81BE2"/>
    <w:rsid w:val="00B81DF9"/>
    <w:rsid w:val="00B82177"/>
    <w:rsid w:val="00B82A26"/>
    <w:rsid w:val="00B831FC"/>
    <w:rsid w:val="00B83454"/>
    <w:rsid w:val="00B83AED"/>
    <w:rsid w:val="00B8585D"/>
    <w:rsid w:val="00B85A74"/>
    <w:rsid w:val="00B85B04"/>
    <w:rsid w:val="00B867A8"/>
    <w:rsid w:val="00B87E30"/>
    <w:rsid w:val="00B90420"/>
    <w:rsid w:val="00B90979"/>
    <w:rsid w:val="00B91BA9"/>
    <w:rsid w:val="00B93A84"/>
    <w:rsid w:val="00B93CA8"/>
    <w:rsid w:val="00B93D04"/>
    <w:rsid w:val="00B93D62"/>
    <w:rsid w:val="00B9414A"/>
    <w:rsid w:val="00B94492"/>
    <w:rsid w:val="00B94CDD"/>
    <w:rsid w:val="00B951D7"/>
    <w:rsid w:val="00B955D1"/>
    <w:rsid w:val="00B96732"/>
    <w:rsid w:val="00BA12C1"/>
    <w:rsid w:val="00BA17BB"/>
    <w:rsid w:val="00BA223B"/>
    <w:rsid w:val="00BA40E5"/>
    <w:rsid w:val="00BA4E8D"/>
    <w:rsid w:val="00BA5066"/>
    <w:rsid w:val="00BA5DC5"/>
    <w:rsid w:val="00BA5FCA"/>
    <w:rsid w:val="00BA62B2"/>
    <w:rsid w:val="00BA6887"/>
    <w:rsid w:val="00BA6EF4"/>
    <w:rsid w:val="00BA6FC7"/>
    <w:rsid w:val="00BA72F7"/>
    <w:rsid w:val="00BA7A38"/>
    <w:rsid w:val="00BA7E0D"/>
    <w:rsid w:val="00BB00AE"/>
    <w:rsid w:val="00BB0B44"/>
    <w:rsid w:val="00BB0B66"/>
    <w:rsid w:val="00BB0D89"/>
    <w:rsid w:val="00BB1D3B"/>
    <w:rsid w:val="00BB21DE"/>
    <w:rsid w:val="00BB2F60"/>
    <w:rsid w:val="00BB3DA7"/>
    <w:rsid w:val="00BB3E4A"/>
    <w:rsid w:val="00BB43BC"/>
    <w:rsid w:val="00BB4E76"/>
    <w:rsid w:val="00BB7EE6"/>
    <w:rsid w:val="00BC009F"/>
    <w:rsid w:val="00BC1484"/>
    <w:rsid w:val="00BC19BD"/>
    <w:rsid w:val="00BC1E5A"/>
    <w:rsid w:val="00BC1E6A"/>
    <w:rsid w:val="00BC211D"/>
    <w:rsid w:val="00BC33D3"/>
    <w:rsid w:val="00BC3DF0"/>
    <w:rsid w:val="00BC4F5D"/>
    <w:rsid w:val="00BC5A97"/>
    <w:rsid w:val="00BC5E89"/>
    <w:rsid w:val="00BC5FC3"/>
    <w:rsid w:val="00BC7E3A"/>
    <w:rsid w:val="00BD1546"/>
    <w:rsid w:val="00BD1F7E"/>
    <w:rsid w:val="00BD3F7F"/>
    <w:rsid w:val="00BD40D0"/>
    <w:rsid w:val="00BD597B"/>
    <w:rsid w:val="00BD5B23"/>
    <w:rsid w:val="00BD61AA"/>
    <w:rsid w:val="00BD7117"/>
    <w:rsid w:val="00BE043B"/>
    <w:rsid w:val="00BE0F73"/>
    <w:rsid w:val="00BE3E30"/>
    <w:rsid w:val="00BE4318"/>
    <w:rsid w:val="00BE460F"/>
    <w:rsid w:val="00BE57F5"/>
    <w:rsid w:val="00BE5900"/>
    <w:rsid w:val="00BE6FE4"/>
    <w:rsid w:val="00BF0ECD"/>
    <w:rsid w:val="00BF143E"/>
    <w:rsid w:val="00BF1570"/>
    <w:rsid w:val="00BF1601"/>
    <w:rsid w:val="00BF1A7E"/>
    <w:rsid w:val="00BF1FD3"/>
    <w:rsid w:val="00BF2FB6"/>
    <w:rsid w:val="00BF3125"/>
    <w:rsid w:val="00BF36B2"/>
    <w:rsid w:val="00BF4023"/>
    <w:rsid w:val="00BF43B4"/>
    <w:rsid w:val="00BF47E4"/>
    <w:rsid w:val="00BF5326"/>
    <w:rsid w:val="00BF6A83"/>
    <w:rsid w:val="00BF73D4"/>
    <w:rsid w:val="00BF76D1"/>
    <w:rsid w:val="00C01331"/>
    <w:rsid w:val="00C01D24"/>
    <w:rsid w:val="00C02253"/>
    <w:rsid w:val="00C02448"/>
    <w:rsid w:val="00C02E54"/>
    <w:rsid w:val="00C036C5"/>
    <w:rsid w:val="00C03E41"/>
    <w:rsid w:val="00C04180"/>
    <w:rsid w:val="00C04A52"/>
    <w:rsid w:val="00C05CC1"/>
    <w:rsid w:val="00C07A11"/>
    <w:rsid w:val="00C103F5"/>
    <w:rsid w:val="00C1212A"/>
    <w:rsid w:val="00C12D41"/>
    <w:rsid w:val="00C15C8B"/>
    <w:rsid w:val="00C15FB5"/>
    <w:rsid w:val="00C16728"/>
    <w:rsid w:val="00C21FE6"/>
    <w:rsid w:val="00C2227C"/>
    <w:rsid w:val="00C235D3"/>
    <w:rsid w:val="00C242F6"/>
    <w:rsid w:val="00C2626B"/>
    <w:rsid w:val="00C27070"/>
    <w:rsid w:val="00C31A0C"/>
    <w:rsid w:val="00C3394A"/>
    <w:rsid w:val="00C3405C"/>
    <w:rsid w:val="00C3445F"/>
    <w:rsid w:val="00C34E4C"/>
    <w:rsid w:val="00C35090"/>
    <w:rsid w:val="00C35EA5"/>
    <w:rsid w:val="00C36D28"/>
    <w:rsid w:val="00C37121"/>
    <w:rsid w:val="00C3748C"/>
    <w:rsid w:val="00C37719"/>
    <w:rsid w:val="00C42574"/>
    <w:rsid w:val="00C42FCD"/>
    <w:rsid w:val="00C43900"/>
    <w:rsid w:val="00C44A14"/>
    <w:rsid w:val="00C453CE"/>
    <w:rsid w:val="00C4572D"/>
    <w:rsid w:val="00C46675"/>
    <w:rsid w:val="00C46904"/>
    <w:rsid w:val="00C47245"/>
    <w:rsid w:val="00C475A7"/>
    <w:rsid w:val="00C478CC"/>
    <w:rsid w:val="00C51A60"/>
    <w:rsid w:val="00C5285B"/>
    <w:rsid w:val="00C54D7D"/>
    <w:rsid w:val="00C56D50"/>
    <w:rsid w:val="00C57A1F"/>
    <w:rsid w:val="00C61ABB"/>
    <w:rsid w:val="00C6301B"/>
    <w:rsid w:val="00C6308A"/>
    <w:rsid w:val="00C64613"/>
    <w:rsid w:val="00C654CA"/>
    <w:rsid w:val="00C65DBB"/>
    <w:rsid w:val="00C65E8B"/>
    <w:rsid w:val="00C65F36"/>
    <w:rsid w:val="00C660E1"/>
    <w:rsid w:val="00C661E4"/>
    <w:rsid w:val="00C66FEA"/>
    <w:rsid w:val="00C67DD9"/>
    <w:rsid w:val="00C70A25"/>
    <w:rsid w:val="00C7302F"/>
    <w:rsid w:val="00C7394D"/>
    <w:rsid w:val="00C73FF7"/>
    <w:rsid w:val="00C74DBF"/>
    <w:rsid w:val="00C7543D"/>
    <w:rsid w:val="00C75DF3"/>
    <w:rsid w:val="00C76D86"/>
    <w:rsid w:val="00C771C2"/>
    <w:rsid w:val="00C77B5E"/>
    <w:rsid w:val="00C8138D"/>
    <w:rsid w:val="00C82099"/>
    <w:rsid w:val="00C837DA"/>
    <w:rsid w:val="00C83F1B"/>
    <w:rsid w:val="00C8433C"/>
    <w:rsid w:val="00C84E4A"/>
    <w:rsid w:val="00C852CA"/>
    <w:rsid w:val="00C8595F"/>
    <w:rsid w:val="00C85BFE"/>
    <w:rsid w:val="00C86A46"/>
    <w:rsid w:val="00C878D3"/>
    <w:rsid w:val="00C87960"/>
    <w:rsid w:val="00C916BB"/>
    <w:rsid w:val="00C92B1F"/>
    <w:rsid w:val="00C9347F"/>
    <w:rsid w:val="00C9428F"/>
    <w:rsid w:val="00C94611"/>
    <w:rsid w:val="00C955B0"/>
    <w:rsid w:val="00C95BFF"/>
    <w:rsid w:val="00C9699C"/>
    <w:rsid w:val="00C974FA"/>
    <w:rsid w:val="00C9787C"/>
    <w:rsid w:val="00C97CA1"/>
    <w:rsid w:val="00CA0387"/>
    <w:rsid w:val="00CA0443"/>
    <w:rsid w:val="00CA324C"/>
    <w:rsid w:val="00CA38B1"/>
    <w:rsid w:val="00CA45F1"/>
    <w:rsid w:val="00CA47EB"/>
    <w:rsid w:val="00CA49F4"/>
    <w:rsid w:val="00CA5374"/>
    <w:rsid w:val="00CA64DD"/>
    <w:rsid w:val="00CA7424"/>
    <w:rsid w:val="00CA76F6"/>
    <w:rsid w:val="00CB54FB"/>
    <w:rsid w:val="00CB6FF4"/>
    <w:rsid w:val="00CB70AC"/>
    <w:rsid w:val="00CB70FF"/>
    <w:rsid w:val="00CB7750"/>
    <w:rsid w:val="00CB77E0"/>
    <w:rsid w:val="00CC0781"/>
    <w:rsid w:val="00CC0A10"/>
    <w:rsid w:val="00CC0D5F"/>
    <w:rsid w:val="00CC10CF"/>
    <w:rsid w:val="00CC4E9B"/>
    <w:rsid w:val="00CC584B"/>
    <w:rsid w:val="00CC684C"/>
    <w:rsid w:val="00CC6ADA"/>
    <w:rsid w:val="00CC70A3"/>
    <w:rsid w:val="00CD0B15"/>
    <w:rsid w:val="00CD131B"/>
    <w:rsid w:val="00CD191F"/>
    <w:rsid w:val="00CD5A04"/>
    <w:rsid w:val="00CD5B74"/>
    <w:rsid w:val="00CD7211"/>
    <w:rsid w:val="00CE07B3"/>
    <w:rsid w:val="00CE20EA"/>
    <w:rsid w:val="00CE40D6"/>
    <w:rsid w:val="00CE4804"/>
    <w:rsid w:val="00CE7852"/>
    <w:rsid w:val="00CF15B5"/>
    <w:rsid w:val="00CF3AAE"/>
    <w:rsid w:val="00CF3FD0"/>
    <w:rsid w:val="00CF499B"/>
    <w:rsid w:val="00CF4C5B"/>
    <w:rsid w:val="00CF5339"/>
    <w:rsid w:val="00CF5961"/>
    <w:rsid w:val="00CF5E23"/>
    <w:rsid w:val="00CF6208"/>
    <w:rsid w:val="00CF6C0F"/>
    <w:rsid w:val="00CF7071"/>
    <w:rsid w:val="00CF789A"/>
    <w:rsid w:val="00D00A09"/>
    <w:rsid w:val="00D00AB0"/>
    <w:rsid w:val="00D00AD6"/>
    <w:rsid w:val="00D013C3"/>
    <w:rsid w:val="00D0225D"/>
    <w:rsid w:val="00D022C8"/>
    <w:rsid w:val="00D03CA6"/>
    <w:rsid w:val="00D047D4"/>
    <w:rsid w:val="00D04870"/>
    <w:rsid w:val="00D06259"/>
    <w:rsid w:val="00D06806"/>
    <w:rsid w:val="00D06E67"/>
    <w:rsid w:val="00D1198B"/>
    <w:rsid w:val="00D12667"/>
    <w:rsid w:val="00D12DEE"/>
    <w:rsid w:val="00D13637"/>
    <w:rsid w:val="00D13EA4"/>
    <w:rsid w:val="00D13F34"/>
    <w:rsid w:val="00D1652D"/>
    <w:rsid w:val="00D16D99"/>
    <w:rsid w:val="00D16F79"/>
    <w:rsid w:val="00D173EF"/>
    <w:rsid w:val="00D2012B"/>
    <w:rsid w:val="00D203A5"/>
    <w:rsid w:val="00D20B6A"/>
    <w:rsid w:val="00D21C46"/>
    <w:rsid w:val="00D233FF"/>
    <w:rsid w:val="00D23C26"/>
    <w:rsid w:val="00D23C58"/>
    <w:rsid w:val="00D25CEF"/>
    <w:rsid w:val="00D26152"/>
    <w:rsid w:val="00D2625C"/>
    <w:rsid w:val="00D26391"/>
    <w:rsid w:val="00D263E3"/>
    <w:rsid w:val="00D3022C"/>
    <w:rsid w:val="00D31D89"/>
    <w:rsid w:val="00D32CF8"/>
    <w:rsid w:val="00D33EC5"/>
    <w:rsid w:val="00D341A9"/>
    <w:rsid w:val="00D34D68"/>
    <w:rsid w:val="00D35500"/>
    <w:rsid w:val="00D3588D"/>
    <w:rsid w:val="00D35FA5"/>
    <w:rsid w:val="00D36BD0"/>
    <w:rsid w:val="00D3767D"/>
    <w:rsid w:val="00D40BBB"/>
    <w:rsid w:val="00D40C5D"/>
    <w:rsid w:val="00D40DD0"/>
    <w:rsid w:val="00D4115A"/>
    <w:rsid w:val="00D432F7"/>
    <w:rsid w:val="00D456AC"/>
    <w:rsid w:val="00D4595B"/>
    <w:rsid w:val="00D45D41"/>
    <w:rsid w:val="00D45FC4"/>
    <w:rsid w:val="00D5182B"/>
    <w:rsid w:val="00D53163"/>
    <w:rsid w:val="00D53B3F"/>
    <w:rsid w:val="00D547DE"/>
    <w:rsid w:val="00D550FE"/>
    <w:rsid w:val="00D55BAE"/>
    <w:rsid w:val="00D55D55"/>
    <w:rsid w:val="00D56B53"/>
    <w:rsid w:val="00D56DD1"/>
    <w:rsid w:val="00D57EE7"/>
    <w:rsid w:val="00D6216A"/>
    <w:rsid w:val="00D6216E"/>
    <w:rsid w:val="00D62CA9"/>
    <w:rsid w:val="00D63471"/>
    <w:rsid w:val="00D649B4"/>
    <w:rsid w:val="00D66B5A"/>
    <w:rsid w:val="00D67186"/>
    <w:rsid w:val="00D673AD"/>
    <w:rsid w:val="00D673FE"/>
    <w:rsid w:val="00D70DAD"/>
    <w:rsid w:val="00D70EC2"/>
    <w:rsid w:val="00D71017"/>
    <w:rsid w:val="00D728AD"/>
    <w:rsid w:val="00D73352"/>
    <w:rsid w:val="00D73717"/>
    <w:rsid w:val="00D73721"/>
    <w:rsid w:val="00D74049"/>
    <w:rsid w:val="00D744BB"/>
    <w:rsid w:val="00D74B84"/>
    <w:rsid w:val="00D76A0C"/>
    <w:rsid w:val="00D775B1"/>
    <w:rsid w:val="00D800C1"/>
    <w:rsid w:val="00D80236"/>
    <w:rsid w:val="00D80304"/>
    <w:rsid w:val="00D813FF"/>
    <w:rsid w:val="00D830E4"/>
    <w:rsid w:val="00D833C3"/>
    <w:rsid w:val="00D8349E"/>
    <w:rsid w:val="00D8360D"/>
    <w:rsid w:val="00D83C59"/>
    <w:rsid w:val="00D84D6C"/>
    <w:rsid w:val="00D85244"/>
    <w:rsid w:val="00D87A8C"/>
    <w:rsid w:val="00D9104C"/>
    <w:rsid w:val="00D9194C"/>
    <w:rsid w:val="00D92251"/>
    <w:rsid w:val="00D92840"/>
    <w:rsid w:val="00D93DEE"/>
    <w:rsid w:val="00D941F3"/>
    <w:rsid w:val="00D94689"/>
    <w:rsid w:val="00D965C6"/>
    <w:rsid w:val="00DA0149"/>
    <w:rsid w:val="00DA01D3"/>
    <w:rsid w:val="00DA196B"/>
    <w:rsid w:val="00DA2C75"/>
    <w:rsid w:val="00DA2DF9"/>
    <w:rsid w:val="00DA3894"/>
    <w:rsid w:val="00DA56EC"/>
    <w:rsid w:val="00DA5BCF"/>
    <w:rsid w:val="00DA6911"/>
    <w:rsid w:val="00DA6BD9"/>
    <w:rsid w:val="00DB2380"/>
    <w:rsid w:val="00DB29CA"/>
    <w:rsid w:val="00DB3777"/>
    <w:rsid w:val="00DB3E9F"/>
    <w:rsid w:val="00DB4441"/>
    <w:rsid w:val="00DB45E7"/>
    <w:rsid w:val="00DB63EC"/>
    <w:rsid w:val="00DB7134"/>
    <w:rsid w:val="00DB71C5"/>
    <w:rsid w:val="00DB77B7"/>
    <w:rsid w:val="00DC054F"/>
    <w:rsid w:val="00DC386E"/>
    <w:rsid w:val="00DC4074"/>
    <w:rsid w:val="00DC469B"/>
    <w:rsid w:val="00DC5086"/>
    <w:rsid w:val="00DC6F05"/>
    <w:rsid w:val="00DD04A0"/>
    <w:rsid w:val="00DD2500"/>
    <w:rsid w:val="00DD2570"/>
    <w:rsid w:val="00DD3513"/>
    <w:rsid w:val="00DD3D65"/>
    <w:rsid w:val="00DD52A3"/>
    <w:rsid w:val="00DD7CA7"/>
    <w:rsid w:val="00DE0676"/>
    <w:rsid w:val="00DE0BED"/>
    <w:rsid w:val="00DE4367"/>
    <w:rsid w:val="00DE4B96"/>
    <w:rsid w:val="00DE4C29"/>
    <w:rsid w:val="00DE571B"/>
    <w:rsid w:val="00DE5F56"/>
    <w:rsid w:val="00DE68A1"/>
    <w:rsid w:val="00DF227B"/>
    <w:rsid w:val="00DF3498"/>
    <w:rsid w:val="00DF434E"/>
    <w:rsid w:val="00DF4C75"/>
    <w:rsid w:val="00DF4E4E"/>
    <w:rsid w:val="00DF5376"/>
    <w:rsid w:val="00DF5FE9"/>
    <w:rsid w:val="00DF7697"/>
    <w:rsid w:val="00E01447"/>
    <w:rsid w:val="00E01C0B"/>
    <w:rsid w:val="00E01C5A"/>
    <w:rsid w:val="00E029DE"/>
    <w:rsid w:val="00E067A3"/>
    <w:rsid w:val="00E10740"/>
    <w:rsid w:val="00E10BF3"/>
    <w:rsid w:val="00E1102A"/>
    <w:rsid w:val="00E110A7"/>
    <w:rsid w:val="00E11915"/>
    <w:rsid w:val="00E11F3C"/>
    <w:rsid w:val="00E1260D"/>
    <w:rsid w:val="00E13615"/>
    <w:rsid w:val="00E1399F"/>
    <w:rsid w:val="00E169F2"/>
    <w:rsid w:val="00E17B8B"/>
    <w:rsid w:val="00E20690"/>
    <w:rsid w:val="00E20924"/>
    <w:rsid w:val="00E209F6"/>
    <w:rsid w:val="00E20C88"/>
    <w:rsid w:val="00E22C06"/>
    <w:rsid w:val="00E25404"/>
    <w:rsid w:val="00E25E39"/>
    <w:rsid w:val="00E3034D"/>
    <w:rsid w:val="00E3247A"/>
    <w:rsid w:val="00E32737"/>
    <w:rsid w:val="00E350D2"/>
    <w:rsid w:val="00E35B0D"/>
    <w:rsid w:val="00E3612B"/>
    <w:rsid w:val="00E3675B"/>
    <w:rsid w:val="00E376FA"/>
    <w:rsid w:val="00E3793E"/>
    <w:rsid w:val="00E37C16"/>
    <w:rsid w:val="00E41BFA"/>
    <w:rsid w:val="00E42625"/>
    <w:rsid w:val="00E441C6"/>
    <w:rsid w:val="00E44729"/>
    <w:rsid w:val="00E44BFC"/>
    <w:rsid w:val="00E45ABA"/>
    <w:rsid w:val="00E46289"/>
    <w:rsid w:val="00E46AE9"/>
    <w:rsid w:val="00E51936"/>
    <w:rsid w:val="00E51C31"/>
    <w:rsid w:val="00E525B0"/>
    <w:rsid w:val="00E527E8"/>
    <w:rsid w:val="00E53E33"/>
    <w:rsid w:val="00E55229"/>
    <w:rsid w:val="00E56138"/>
    <w:rsid w:val="00E561B5"/>
    <w:rsid w:val="00E56C17"/>
    <w:rsid w:val="00E56F09"/>
    <w:rsid w:val="00E57683"/>
    <w:rsid w:val="00E612F6"/>
    <w:rsid w:val="00E616C4"/>
    <w:rsid w:val="00E62341"/>
    <w:rsid w:val="00E63672"/>
    <w:rsid w:val="00E63C31"/>
    <w:rsid w:val="00E65D6B"/>
    <w:rsid w:val="00E67833"/>
    <w:rsid w:val="00E67F75"/>
    <w:rsid w:val="00E70436"/>
    <w:rsid w:val="00E707A6"/>
    <w:rsid w:val="00E7338F"/>
    <w:rsid w:val="00E736DD"/>
    <w:rsid w:val="00E73D6F"/>
    <w:rsid w:val="00E755D1"/>
    <w:rsid w:val="00E771CA"/>
    <w:rsid w:val="00E775B7"/>
    <w:rsid w:val="00E80237"/>
    <w:rsid w:val="00E804E3"/>
    <w:rsid w:val="00E805B7"/>
    <w:rsid w:val="00E81408"/>
    <w:rsid w:val="00E81B11"/>
    <w:rsid w:val="00E83625"/>
    <w:rsid w:val="00E83E7B"/>
    <w:rsid w:val="00E85442"/>
    <w:rsid w:val="00E85635"/>
    <w:rsid w:val="00E8592E"/>
    <w:rsid w:val="00E900AD"/>
    <w:rsid w:val="00E910C6"/>
    <w:rsid w:val="00E91128"/>
    <w:rsid w:val="00E917EF"/>
    <w:rsid w:val="00E93517"/>
    <w:rsid w:val="00E93540"/>
    <w:rsid w:val="00E94C6D"/>
    <w:rsid w:val="00E958B7"/>
    <w:rsid w:val="00E95EA0"/>
    <w:rsid w:val="00E9668F"/>
    <w:rsid w:val="00EA0753"/>
    <w:rsid w:val="00EA0A9C"/>
    <w:rsid w:val="00EA333A"/>
    <w:rsid w:val="00EA528D"/>
    <w:rsid w:val="00EA5AD7"/>
    <w:rsid w:val="00EA64EE"/>
    <w:rsid w:val="00EA75F4"/>
    <w:rsid w:val="00EA76D1"/>
    <w:rsid w:val="00EB1C0A"/>
    <w:rsid w:val="00EB2261"/>
    <w:rsid w:val="00EB29E9"/>
    <w:rsid w:val="00EB2A14"/>
    <w:rsid w:val="00EB2DCF"/>
    <w:rsid w:val="00EB3169"/>
    <w:rsid w:val="00EB351F"/>
    <w:rsid w:val="00EB3A3D"/>
    <w:rsid w:val="00EB41DA"/>
    <w:rsid w:val="00EB4676"/>
    <w:rsid w:val="00EB4A77"/>
    <w:rsid w:val="00EB5CF2"/>
    <w:rsid w:val="00EB6C56"/>
    <w:rsid w:val="00EB7A6F"/>
    <w:rsid w:val="00EC040E"/>
    <w:rsid w:val="00EC1227"/>
    <w:rsid w:val="00EC5BB9"/>
    <w:rsid w:val="00EC5EDB"/>
    <w:rsid w:val="00EC6278"/>
    <w:rsid w:val="00EC6BC4"/>
    <w:rsid w:val="00EC75F2"/>
    <w:rsid w:val="00EC7B97"/>
    <w:rsid w:val="00ED082C"/>
    <w:rsid w:val="00ED1C23"/>
    <w:rsid w:val="00ED308D"/>
    <w:rsid w:val="00ED323E"/>
    <w:rsid w:val="00ED33B2"/>
    <w:rsid w:val="00ED539C"/>
    <w:rsid w:val="00ED6AE7"/>
    <w:rsid w:val="00ED767E"/>
    <w:rsid w:val="00ED78DA"/>
    <w:rsid w:val="00EE0889"/>
    <w:rsid w:val="00EE0AD6"/>
    <w:rsid w:val="00EE0B7D"/>
    <w:rsid w:val="00EE2922"/>
    <w:rsid w:val="00EE2998"/>
    <w:rsid w:val="00EE34CE"/>
    <w:rsid w:val="00EE41EF"/>
    <w:rsid w:val="00EE4330"/>
    <w:rsid w:val="00EE471E"/>
    <w:rsid w:val="00EE7767"/>
    <w:rsid w:val="00EE7C3B"/>
    <w:rsid w:val="00EE7DFE"/>
    <w:rsid w:val="00EE7E49"/>
    <w:rsid w:val="00EF022B"/>
    <w:rsid w:val="00EF04A6"/>
    <w:rsid w:val="00EF2102"/>
    <w:rsid w:val="00EF336D"/>
    <w:rsid w:val="00EF47DC"/>
    <w:rsid w:val="00EF5829"/>
    <w:rsid w:val="00EF77CC"/>
    <w:rsid w:val="00F000F0"/>
    <w:rsid w:val="00F001AE"/>
    <w:rsid w:val="00F002C9"/>
    <w:rsid w:val="00F00FCF"/>
    <w:rsid w:val="00F01082"/>
    <w:rsid w:val="00F02845"/>
    <w:rsid w:val="00F03BF9"/>
    <w:rsid w:val="00F0489A"/>
    <w:rsid w:val="00F04F50"/>
    <w:rsid w:val="00F052BB"/>
    <w:rsid w:val="00F0645F"/>
    <w:rsid w:val="00F066DB"/>
    <w:rsid w:val="00F0791A"/>
    <w:rsid w:val="00F102FC"/>
    <w:rsid w:val="00F10367"/>
    <w:rsid w:val="00F10710"/>
    <w:rsid w:val="00F10EA8"/>
    <w:rsid w:val="00F1221E"/>
    <w:rsid w:val="00F12854"/>
    <w:rsid w:val="00F12985"/>
    <w:rsid w:val="00F13256"/>
    <w:rsid w:val="00F137ED"/>
    <w:rsid w:val="00F13EB9"/>
    <w:rsid w:val="00F14ED7"/>
    <w:rsid w:val="00F15541"/>
    <w:rsid w:val="00F15DC4"/>
    <w:rsid w:val="00F16950"/>
    <w:rsid w:val="00F17524"/>
    <w:rsid w:val="00F177DD"/>
    <w:rsid w:val="00F20082"/>
    <w:rsid w:val="00F201F6"/>
    <w:rsid w:val="00F20F52"/>
    <w:rsid w:val="00F213C5"/>
    <w:rsid w:val="00F21603"/>
    <w:rsid w:val="00F22864"/>
    <w:rsid w:val="00F23651"/>
    <w:rsid w:val="00F23675"/>
    <w:rsid w:val="00F23D43"/>
    <w:rsid w:val="00F248CA"/>
    <w:rsid w:val="00F24AA5"/>
    <w:rsid w:val="00F25435"/>
    <w:rsid w:val="00F27914"/>
    <w:rsid w:val="00F30A07"/>
    <w:rsid w:val="00F31FE5"/>
    <w:rsid w:val="00F334E2"/>
    <w:rsid w:val="00F33858"/>
    <w:rsid w:val="00F36378"/>
    <w:rsid w:val="00F37F11"/>
    <w:rsid w:val="00F417AF"/>
    <w:rsid w:val="00F41A07"/>
    <w:rsid w:val="00F41E04"/>
    <w:rsid w:val="00F42BCC"/>
    <w:rsid w:val="00F43067"/>
    <w:rsid w:val="00F43D27"/>
    <w:rsid w:val="00F43F26"/>
    <w:rsid w:val="00F443F5"/>
    <w:rsid w:val="00F44745"/>
    <w:rsid w:val="00F459DC"/>
    <w:rsid w:val="00F45A88"/>
    <w:rsid w:val="00F45CAC"/>
    <w:rsid w:val="00F460E3"/>
    <w:rsid w:val="00F46DA6"/>
    <w:rsid w:val="00F47467"/>
    <w:rsid w:val="00F50643"/>
    <w:rsid w:val="00F50C17"/>
    <w:rsid w:val="00F50CA1"/>
    <w:rsid w:val="00F5161C"/>
    <w:rsid w:val="00F516FB"/>
    <w:rsid w:val="00F521A3"/>
    <w:rsid w:val="00F52A75"/>
    <w:rsid w:val="00F52EF2"/>
    <w:rsid w:val="00F533E9"/>
    <w:rsid w:val="00F535BB"/>
    <w:rsid w:val="00F53CA7"/>
    <w:rsid w:val="00F55E3A"/>
    <w:rsid w:val="00F56ADB"/>
    <w:rsid w:val="00F60E9C"/>
    <w:rsid w:val="00F61057"/>
    <w:rsid w:val="00F61D91"/>
    <w:rsid w:val="00F62319"/>
    <w:rsid w:val="00F62469"/>
    <w:rsid w:val="00F63AAF"/>
    <w:rsid w:val="00F645B4"/>
    <w:rsid w:val="00F6493A"/>
    <w:rsid w:val="00F64C83"/>
    <w:rsid w:val="00F67874"/>
    <w:rsid w:val="00F72367"/>
    <w:rsid w:val="00F72BBA"/>
    <w:rsid w:val="00F74454"/>
    <w:rsid w:val="00F77192"/>
    <w:rsid w:val="00F77719"/>
    <w:rsid w:val="00F77AC4"/>
    <w:rsid w:val="00F80B95"/>
    <w:rsid w:val="00F81631"/>
    <w:rsid w:val="00F81D14"/>
    <w:rsid w:val="00F827EC"/>
    <w:rsid w:val="00F834FB"/>
    <w:rsid w:val="00F83DD5"/>
    <w:rsid w:val="00F847B1"/>
    <w:rsid w:val="00F870AE"/>
    <w:rsid w:val="00F9034E"/>
    <w:rsid w:val="00F90C49"/>
    <w:rsid w:val="00F90EF4"/>
    <w:rsid w:val="00F91FCE"/>
    <w:rsid w:val="00F9247B"/>
    <w:rsid w:val="00F92FA8"/>
    <w:rsid w:val="00F93024"/>
    <w:rsid w:val="00F93443"/>
    <w:rsid w:val="00F946C0"/>
    <w:rsid w:val="00F948AD"/>
    <w:rsid w:val="00F95720"/>
    <w:rsid w:val="00F961E3"/>
    <w:rsid w:val="00F96231"/>
    <w:rsid w:val="00F96661"/>
    <w:rsid w:val="00F96A6F"/>
    <w:rsid w:val="00F96C61"/>
    <w:rsid w:val="00F9724E"/>
    <w:rsid w:val="00F97508"/>
    <w:rsid w:val="00F978F9"/>
    <w:rsid w:val="00F97B39"/>
    <w:rsid w:val="00FA0172"/>
    <w:rsid w:val="00FA0414"/>
    <w:rsid w:val="00FA085D"/>
    <w:rsid w:val="00FA12AE"/>
    <w:rsid w:val="00FA34C4"/>
    <w:rsid w:val="00FA3757"/>
    <w:rsid w:val="00FA3AB3"/>
    <w:rsid w:val="00FA51CB"/>
    <w:rsid w:val="00FA66C9"/>
    <w:rsid w:val="00FA7CF4"/>
    <w:rsid w:val="00FB068A"/>
    <w:rsid w:val="00FB1E31"/>
    <w:rsid w:val="00FB21E0"/>
    <w:rsid w:val="00FB27B8"/>
    <w:rsid w:val="00FB28F9"/>
    <w:rsid w:val="00FB53BF"/>
    <w:rsid w:val="00FB5B16"/>
    <w:rsid w:val="00FB5EE6"/>
    <w:rsid w:val="00FB7631"/>
    <w:rsid w:val="00FB766A"/>
    <w:rsid w:val="00FB7CAB"/>
    <w:rsid w:val="00FC0D3A"/>
    <w:rsid w:val="00FC2071"/>
    <w:rsid w:val="00FC4D31"/>
    <w:rsid w:val="00FC6D8F"/>
    <w:rsid w:val="00FC7213"/>
    <w:rsid w:val="00FC73B5"/>
    <w:rsid w:val="00FD0462"/>
    <w:rsid w:val="00FD0736"/>
    <w:rsid w:val="00FD0F92"/>
    <w:rsid w:val="00FD1186"/>
    <w:rsid w:val="00FD25C8"/>
    <w:rsid w:val="00FD4612"/>
    <w:rsid w:val="00FD509C"/>
    <w:rsid w:val="00FD568C"/>
    <w:rsid w:val="00FD5CD7"/>
    <w:rsid w:val="00FD68D1"/>
    <w:rsid w:val="00FD6A9C"/>
    <w:rsid w:val="00FE0221"/>
    <w:rsid w:val="00FE07A3"/>
    <w:rsid w:val="00FE0AE5"/>
    <w:rsid w:val="00FE0B3F"/>
    <w:rsid w:val="00FE26EB"/>
    <w:rsid w:val="00FE2FE7"/>
    <w:rsid w:val="00FE43CE"/>
    <w:rsid w:val="00FE5156"/>
    <w:rsid w:val="00FE6111"/>
    <w:rsid w:val="00FE7B54"/>
    <w:rsid w:val="00FE7B98"/>
    <w:rsid w:val="00FE7C8F"/>
    <w:rsid w:val="00FF013A"/>
    <w:rsid w:val="00FF0680"/>
    <w:rsid w:val="00FF0B70"/>
    <w:rsid w:val="00FF1DB3"/>
    <w:rsid w:val="00FF2460"/>
    <w:rsid w:val="00FF3B54"/>
    <w:rsid w:val="00FF4107"/>
    <w:rsid w:val="00FF5293"/>
    <w:rsid w:val="00FF72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62781"/>
  <w15:docId w15:val="{0C81E7EF-E8E1-994B-902C-BD8C2D96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BD5"/>
    <w:pPr>
      <w:spacing w:before="120" w:line="276" w:lineRule="auto"/>
      <w:jc w:val="both"/>
    </w:pPr>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580CB8"/>
    <w:pPr>
      <w:keepNext/>
      <w:keepLines/>
      <w:spacing w:before="240"/>
      <w:outlineLvl w:val="0"/>
    </w:pPr>
    <w:rPr>
      <w:b/>
      <w:caps/>
      <w:color w:val="2F5496"/>
      <w:sz w:val="28"/>
      <w:szCs w:val="32"/>
    </w:rPr>
  </w:style>
  <w:style w:type="paragraph" w:styleId="Heading2">
    <w:name w:val="heading 2"/>
    <w:basedOn w:val="Normal"/>
    <w:next w:val="Normal"/>
    <w:link w:val="Heading2Char"/>
    <w:uiPriority w:val="9"/>
    <w:unhideWhenUsed/>
    <w:qFormat/>
    <w:rsid w:val="00236589"/>
    <w:pPr>
      <w:keepNext/>
      <w:keepLines/>
      <w:spacing w:before="240"/>
      <w:outlineLvl w:val="1"/>
    </w:pPr>
    <w:rPr>
      <w:b/>
      <w:color w:val="2F5496"/>
      <w:sz w:val="26"/>
      <w:szCs w:val="26"/>
    </w:rPr>
  </w:style>
  <w:style w:type="paragraph" w:styleId="Heading3">
    <w:name w:val="heading 3"/>
    <w:basedOn w:val="Normal"/>
    <w:next w:val="Normal"/>
    <w:link w:val="Heading3Char"/>
    <w:uiPriority w:val="9"/>
    <w:unhideWhenUsed/>
    <w:qFormat/>
    <w:rsid w:val="008F6364"/>
    <w:pPr>
      <w:keepNext/>
      <w:keepLines/>
      <w:spacing w:before="240"/>
      <w:outlineLvl w:val="2"/>
    </w:pPr>
    <w:rPr>
      <w:color w:val="2F5496"/>
      <w:szCs w:val="20"/>
      <w:lang w:val="x-none" w:eastAsia="x-none"/>
    </w:rPr>
  </w:style>
  <w:style w:type="paragraph" w:styleId="Heading4">
    <w:name w:val="heading 4"/>
    <w:basedOn w:val="Normal"/>
    <w:next w:val="Normal"/>
    <w:link w:val="Heading4Char"/>
    <w:uiPriority w:val="9"/>
    <w:unhideWhenUsed/>
    <w:qFormat/>
    <w:rsid w:val="00DA2DF9"/>
    <w:pPr>
      <w:keepNext/>
      <w:keepLines/>
      <w:numPr>
        <w:ilvl w:val="3"/>
        <w:numId w:val="2"/>
      </w:numPr>
      <w:spacing w:before="40"/>
      <w:outlineLvl w:val="3"/>
    </w:pPr>
    <w:rPr>
      <w:rFonts w:ascii="Calibri Light" w:hAnsi="Calibri Light"/>
      <w:i/>
      <w:iCs/>
      <w:color w:val="2F5496"/>
      <w:sz w:val="20"/>
      <w:szCs w:val="20"/>
    </w:rPr>
  </w:style>
  <w:style w:type="paragraph" w:styleId="Heading5">
    <w:name w:val="heading 5"/>
    <w:basedOn w:val="Normal"/>
    <w:next w:val="Normal"/>
    <w:link w:val="Heading5Char"/>
    <w:uiPriority w:val="9"/>
    <w:unhideWhenUsed/>
    <w:qFormat/>
    <w:rsid w:val="00DA2DF9"/>
    <w:pPr>
      <w:keepNext/>
      <w:keepLines/>
      <w:numPr>
        <w:ilvl w:val="4"/>
        <w:numId w:val="2"/>
      </w:numPr>
      <w:spacing w:before="40"/>
      <w:outlineLvl w:val="4"/>
    </w:pPr>
    <w:rPr>
      <w:rFonts w:ascii="Calibri Light" w:hAnsi="Calibri Light"/>
      <w:color w:val="2F5496"/>
      <w:sz w:val="20"/>
      <w:szCs w:val="20"/>
    </w:rPr>
  </w:style>
  <w:style w:type="paragraph" w:styleId="Heading6">
    <w:name w:val="heading 6"/>
    <w:basedOn w:val="Normal"/>
    <w:next w:val="Normal"/>
    <w:link w:val="Heading6Char"/>
    <w:uiPriority w:val="9"/>
    <w:semiHidden/>
    <w:unhideWhenUsed/>
    <w:qFormat/>
    <w:rsid w:val="00DA2DF9"/>
    <w:pPr>
      <w:keepNext/>
      <w:keepLines/>
      <w:numPr>
        <w:ilvl w:val="5"/>
        <w:numId w:val="2"/>
      </w:numPr>
      <w:spacing w:before="40"/>
      <w:outlineLvl w:val="5"/>
    </w:pPr>
    <w:rPr>
      <w:rFonts w:ascii="Calibri Light" w:hAnsi="Calibri Light"/>
      <w:color w:val="1F3763"/>
      <w:sz w:val="20"/>
      <w:szCs w:val="20"/>
    </w:rPr>
  </w:style>
  <w:style w:type="paragraph" w:styleId="Heading7">
    <w:name w:val="heading 7"/>
    <w:basedOn w:val="Normal"/>
    <w:next w:val="Normal"/>
    <w:link w:val="Heading7Char"/>
    <w:uiPriority w:val="9"/>
    <w:semiHidden/>
    <w:unhideWhenUsed/>
    <w:qFormat/>
    <w:rsid w:val="00DA2DF9"/>
    <w:pPr>
      <w:keepNext/>
      <w:keepLines/>
      <w:numPr>
        <w:ilvl w:val="6"/>
        <w:numId w:val="2"/>
      </w:numPr>
      <w:spacing w:before="40"/>
      <w:outlineLvl w:val="6"/>
    </w:pPr>
    <w:rPr>
      <w:rFonts w:ascii="Calibri Light" w:hAnsi="Calibri Light"/>
      <w:i/>
      <w:iCs/>
      <w:color w:val="1F3763"/>
      <w:sz w:val="20"/>
      <w:szCs w:val="20"/>
    </w:rPr>
  </w:style>
  <w:style w:type="paragraph" w:styleId="Heading8">
    <w:name w:val="heading 8"/>
    <w:basedOn w:val="Normal"/>
    <w:next w:val="Normal"/>
    <w:link w:val="Heading8Char"/>
    <w:uiPriority w:val="9"/>
    <w:semiHidden/>
    <w:unhideWhenUsed/>
    <w:qFormat/>
    <w:rsid w:val="00DA2DF9"/>
    <w:pPr>
      <w:keepNext/>
      <w:keepLines/>
      <w:numPr>
        <w:ilvl w:val="7"/>
        <w:numId w:val="2"/>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DA2DF9"/>
    <w:pPr>
      <w:keepNext/>
      <w:keepLines/>
      <w:numPr>
        <w:ilvl w:val="8"/>
        <w:numId w:val="2"/>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0CB8"/>
    <w:rPr>
      <w:rFonts w:ascii="Times New Roman" w:eastAsia="Times New Roman" w:hAnsi="Times New Roman"/>
      <w:b/>
      <w:caps/>
      <w:color w:val="2F5496"/>
      <w:sz w:val="28"/>
      <w:szCs w:val="32"/>
    </w:rPr>
  </w:style>
  <w:style w:type="character" w:customStyle="1" w:styleId="Heading2Char">
    <w:name w:val="Heading 2 Char"/>
    <w:link w:val="Heading2"/>
    <w:uiPriority w:val="9"/>
    <w:rsid w:val="008A2614"/>
    <w:rPr>
      <w:rFonts w:ascii="Times New Roman" w:eastAsia="Times New Roman" w:hAnsi="Times New Roman" w:cs="Times New Roman"/>
      <w:b/>
      <w:color w:val="2F5496"/>
      <w:sz w:val="26"/>
      <w:szCs w:val="26"/>
      <w:lang w:val="en-GB" w:eastAsia="en-GB"/>
    </w:rPr>
  </w:style>
  <w:style w:type="paragraph" w:styleId="NoSpacing">
    <w:name w:val="No Spacing"/>
    <w:uiPriority w:val="1"/>
    <w:qFormat/>
    <w:rsid w:val="00A94814"/>
    <w:rPr>
      <w:rFonts w:ascii="Times New Roman" w:hAnsi="Times New Roman"/>
      <w:sz w:val="24"/>
      <w:szCs w:val="24"/>
      <w:lang w:val="en-US" w:eastAsia="en-US"/>
    </w:rPr>
  </w:style>
  <w:style w:type="paragraph" w:styleId="Footer">
    <w:name w:val="footer"/>
    <w:basedOn w:val="Normal"/>
    <w:link w:val="FooterChar"/>
    <w:uiPriority w:val="99"/>
    <w:unhideWhenUsed/>
    <w:rsid w:val="00AF7F5E"/>
    <w:pPr>
      <w:tabs>
        <w:tab w:val="center" w:pos="4536"/>
        <w:tab w:val="right" w:pos="9072"/>
      </w:tabs>
      <w:spacing w:before="0"/>
    </w:pPr>
    <w:rPr>
      <w:rFonts w:eastAsia="Calibri"/>
      <w:sz w:val="20"/>
      <w:szCs w:val="20"/>
      <w:lang w:val="en-US" w:eastAsia="x-none"/>
    </w:rPr>
  </w:style>
  <w:style w:type="character" w:customStyle="1" w:styleId="FooterChar">
    <w:name w:val="Footer Char"/>
    <w:link w:val="Footer"/>
    <w:uiPriority w:val="99"/>
    <w:rsid w:val="00AF7F5E"/>
    <w:rPr>
      <w:rFonts w:ascii="Times New Roman" w:hAnsi="Times New Roman"/>
      <w:lang w:val="en-US"/>
    </w:rPr>
  </w:style>
  <w:style w:type="character" w:styleId="PageNumber">
    <w:name w:val="page number"/>
    <w:basedOn w:val="DefaultParagraphFont"/>
    <w:uiPriority w:val="99"/>
    <w:semiHidden/>
    <w:unhideWhenUsed/>
    <w:rsid w:val="00AF7F5E"/>
  </w:style>
  <w:style w:type="paragraph" w:styleId="Header">
    <w:name w:val="header"/>
    <w:basedOn w:val="Normal"/>
    <w:link w:val="HeaderChar"/>
    <w:uiPriority w:val="99"/>
    <w:unhideWhenUsed/>
    <w:rsid w:val="00AF7F5E"/>
    <w:pPr>
      <w:tabs>
        <w:tab w:val="center" w:pos="4536"/>
        <w:tab w:val="right" w:pos="9072"/>
      </w:tabs>
      <w:spacing w:before="0"/>
    </w:pPr>
    <w:rPr>
      <w:rFonts w:eastAsia="Calibri"/>
      <w:sz w:val="20"/>
      <w:szCs w:val="20"/>
      <w:lang w:val="en-US" w:eastAsia="x-none"/>
    </w:rPr>
  </w:style>
  <w:style w:type="character" w:customStyle="1" w:styleId="HeaderChar">
    <w:name w:val="Header Char"/>
    <w:link w:val="Header"/>
    <w:uiPriority w:val="99"/>
    <w:rsid w:val="00AF7F5E"/>
    <w:rPr>
      <w:rFonts w:ascii="Times New Roman" w:hAnsi="Times New Roman"/>
      <w:lang w:val="en-US"/>
    </w:rPr>
  </w:style>
  <w:style w:type="character" w:customStyle="1" w:styleId="Heading3Char">
    <w:name w:val="Heading 3 Char"/>
    <w:link w:val="Heading3"/>
    <w:uiPriority w:val="9"/>
    <w:rsid w:val="008F6364"/>
    <w:rPr>
      <w:rFonts w:ascii="Times New Roman" w:eastAsia="Times New Roman" w:hAnsi="Times New Roman"/>
      <w:color w:val="2F5496"/>
      <w:sz w:val="24"/>
    </w:rPr>
  </w:style>
  <w:style w:type="paragraph" w:styleId="ListParagraph">
    <w:name w:val="List Paragraph"/>
    <w:aliases w:val="List Paragraph1,Bullets,Colorful List - Accent 11,Project Profile name,Paragraphe de liste1,Numbered paragraph,Paragraphe de liste,Medium Grid 1 - Accent 21,List Paragraph (numbered (a)),Numbered List Paragraph,References"/>
    <w:basedOn w:val="Normal"/>
    <w:link w:val="ListParagraphChar"/>
    <w:uiPriority w:val="34"/>
    <w:qFormat/>
    <w:rsid w:val="00F052BB"/>
    <w:pPr>
      <w:ind w:left="720"/>
      <w:contextualSpacing/>
    </w:pPr>
    <w:rPr>
      <w:rFonts w:eastAsia="Calibri"/>
      <w:sz w:val="20"/>
      <w:szCs w:val="20"/>
      <w:lang w:val="en-US" w:eastAsia="x-none"/>
    </w:rPr>
  </w:style>
  <w:style w:type="paragraph" w:styleId="FootnoteText">
    <w:name w:val="footnote text"/>
    <w:basedOn w:val="Normal"/>
    <w:link w:val="FootnoteTextChar"/>
    <w:uiPriority w:val="99"/>
    <w:semiHidden/>
    <w:unhideWhenUsed/>
    <w:rsid w:val="005D1487"/>
    <w:pPr>
      <w:spacing w:before="0"/>
    </w:pPr>
    <w:rPr>
      <w:rFonts w:eastAsia="Calibri"/>
      <w:sz w:val="20"/>
      <w:szCs w:val="20"/>
      <w:lang w:val="en-US" w:eastAsia="x-none"/>
    </w:rPr>
  </w:style>
  <w:style w:type="character" w:customStyle="1" w:styleId="FootnoteTextChar">
    <w:name w:val="Footnote Text Char"/>
    <w:link w:val="FootnoteText"/>
    <w:uiPriority w:val="99"/>
    <w:semiHidden/>
    <w:rsid w:val="005D1487"/>
    <w:rPr>
      <w:rFonts w:ascii="Times New Roman" w:hAnsi="Times New Roman"/>
      <w:sz w:val="20"/>
      <w:szCs w:val="20"/>
      <w:lang w:val="en-US"/>
    </w:rPr>
  </w:style>
  <w:style w:type="character" w:styleId="FootnoteReference">
    <w:name w:val="footnote reference"/>
    <w:uiPriority w:val="99"/>
    <w:semiHidden/>
    <w:unhideWhenUsed/>
    <w:rsid w:val="005D1487"/>
    <w:rPr>
      <w:vertAlign w:val="superscript"/>
    </w:rPr>
  </w:style>
  <w:style w:type="table" w:styleId="TableGrid">
    <w:name w:val="Table Grid"/>
    <w:aliases w:val="Table Definitions Grid,Table Definitions Grid1,Deloitte Table Grid,Table Definitions Grid2,Table Definitions Grid11,Table Definitions Grid3,Table Definitions Grid12"/>
    <w:basedOn w:val="TableNormal"/>
    <w:qFormat/>
    <w:rsid w:val="00E8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rsid w:val="00DA6911"/>
  </w:style>
  <w:style w:type="character" w:customStyle="1" w:styleId="Heading4Char">
    <w:name w:val="Heading 4 Char"/>
    <w:link w:val="Heading4"/>
    <w:uiPriority w:val="9"/>
    <w:rsid w:val="00DA6911"/>
    <w:rPr>
      <w:rFonts w:ascii="Calibri Light" w:eastAsia="Times New Roman" w:hAnsi="Calibri Light" w:cs="Times New Roman"/>
      <w:i/>
      <w:iCs/>
      <w:color w:val="2F5496"/>
      <w:lang w:val="en-GB" w:eastAsia="en-GB"/>
    </w:rPr>
  </w:style>
  <w:style w:type="character" w:customStyle="1" w:styleId="ListParagraphChar">
    <w:name w:val="List Paragraph Char"/>
    <w:aliases w:val="List Paragraph1 Char,Bullets Char,Colorful List - Accent 11 Char,Project Profile name Char,Paragraphe de liste1 Char,Numbered paragraph Char,Paragraphe de liste Char,Medium Grid 1 - Accent 21 Char,List Paragraph (numbered (a)) Char"/>
    <w:link w:val="ListParagraph"/>
    <w:uiPriority w:val="34"/>
    <w:qFormat/>
    <w:rsid w:val="00CA7424"/>
    <w:rPr>
      <w:rFonts w:ascii="Times New Roman" w:hAnsi="Times New Roman"/>
      <w:lang w:val="en-US"/>
    </w:rPr>
  </w:style>
  <w:style w:type="paragraph" w:styleId="BalloonText">
    <w:name w:val="Balloon Text"/>
    <w:basedOn w:val="Normal"/>
    <w:link w:val="BalloonTextChar"/>
    <w:uiPriority w:val="99"/>
    <w:semiHidden/>
    <w:unhideWhenUsed/>
    <w:rsid w:val="004C1625"/>
    <w:pPr>
      <w:spacing w:before="0"/>
    </w:pPr>
    <w:rPr>
      <w:sz w:val="18"/>
      <w:szCs w:val="18"/>
    </w:rPr>
  </w:style>
  <w:style w:type="character" w:customStyle="1" w:styleId="BalloonTextChar">
    <w:name w:val="Balloon Text Char"/>
    <w:link w:val="BalloonText"/>
    <w:uiPriority w:val="99"/>
    <w:semiHidden/>
    <w:rsid w:val="004C1625"/>
    <w:rPr>
      <w:rFonts w:ascii="Times New Roman" w:eastAsia="Times New Roman" w:hAnsi="Times New Roman" w:cs="Times New Roman"/>
      <w:sz w:val="18"/>
      <w:szCs w:val="18"/>
      <w:lang w:val="en-GB" w:eastAsia="en-GB"/>
    </w:rPr>
  </w:style>
  <w:style w:type="character" w:styleId="Hyperlink">
    <w:name w:val="Hyperlink"/>
    <w:uiPriority w:val="99"/>
    <w:unhideWhenUsed/>
    <w:rsid w:val="00FB7631"/>
    <w:rPr>
      <w:color w:val="0563C1"/>
      <w:u w:val="single"/>
    </w:rPr>
  </w:style>
  <w:style w:type="character" w:styleId="CommentReference">
    <w:name w:val="annotation reference"/>
    <w:uiPriority w:val="99"/>
    <w:semiHidden/>
    <w:unhideWhenUsed/>
    <w:rsid w:val="00654FBE"/>
    <w:rPr>
      <w:sz w:val="16"/>
      <w:szCs w:val="16"/>
    </w:rPr>
  </w:style>
  <w:style w:type="paragraph" w:styleId="CommentText">
    <w:name w:val="annotation text"/>
    <w:basedOn w:val="Normal"/>
    <w:link w:val="CommentTextChar"/>
    <w:uiPriority w:val="99"/>
    <w:semiHidden/>
    <w:unhideWhenUsed/>
    <w:rsid w:val="00654FBE"/>
    <w:rPr>
      <w:sz w:val="20"/>
      <w:szCs w:val="20"/>
      <w:lang w:val="en-US" w:eastAsia="sk-SK"/>
    </w:rPr>
  </w:style>
  <w:style w:type="character" w:customStyle="1" w:styleId="CommentTextChar">
    <w:name w:val="Comment Text Char"/>
    <w:link w:val="CommentText"/>
    <w:uiPriority w:val="99"/>
    <w:semiHidden/>
    <w:rsid w:val="00654FBE"/>
    <w:rPr>
      <w:rFonts w:ascii="Times New Roman" w:eastAsia="Times New Roman" w:hAnsi="Times New Roman" w:cs="Times New Roman"/>
      <w:sz w:val="20"/>
      <w:szCs w:val="20"/>
      <w:lang w:val="en-US" w:eastAsia="sk-SK"/>
    </w:rPr>
  </w:style>
  <w:style w:type="paragraph" w:styleId="TOC1">
    <w:name w:val="toc 1"/>
    <w:basedOn w:val="Normal"/>
    <w:next w:val="Normal"/>
    <w:autoRedefine/>
    <w:uiPriority w:val="39"/>
    <w:unhideWhenUsed/>
    <w:rsid w:val="005313ED"/>
    <w:pPr>
      <w:spacing w:after="100"/>
    </w:pPr>
  </w:style>
  <w:style w:type="character" w:customStyle="1" w:styleId="Heading5Char">
    <w:name w:val="Heading 5 Char"/>
    <w:link w:val="Heading5"/>
    <w:uiPriority w:val="9"/>
    <w:rsid w:val="002C1C52"/>
    <w:rPr>
      <w:rFonts w:ascii="Calibri Light" w:eastAsia="Times New Roman" w:hAnsi="Calibri Light" w:cs="Times New Roman"/>
      <w:color w:val="2F5496"/>
      <w:lang w:val="en-GB" w:eastAsia="en-GB"/>
    </w:rPr>
  </w:style>
  <w:style w:type="character" w:customStyle="1" w:styleId="Heading6Char">
    <w:name w:val="Heading 6 Char"/>
    <w:link w:val="Heading6"/>
    <w:uiPriority w:val="9"/>
    <w:semiHidden/>
    <w:rsid w:val="002C1C52"/>
    <w:rPr>
      <w:rFonts w:ascii="Calibri Light" w:eastAsia="Times New Roman" w:hAnsi="Calibri Light" w:cs="Times New Roman"/>
      <w:color w:val="1F3763"/>
      <w:lang w:val="en-GB" w:eastAsia="en-GB"/>
    </w:rPr>
  </w:style>
  <w:style w:type="character" w:customStyle="1" w:styleId="Heading7Char">
    <w:name w:val="Heading 7 Char"/>
    <w:link w:val="Heading7"/>
    <w:uiPriority w:val="9"/>
    <w:semiHidden/>
    <w:rsid w:val="002C1C52"/>
    <w:rPr>
      <w:rFonts w:ascii="Calibri Light" w:eastAsia="Times New Roman" w:hAnsi="Calibri Light" w:cs="Times New Roman"/>
      <w:i/>
      <w:iCs/>
      <w:color w:val="1F3763"/>
      <w:lang w:val="en-GB" w:eastAsia="en-GB"/>
    </w:rPr>
  </w:style>
  <w:style w:type="character" w:customStyle="1" w:styleId="Heading8Char">
    <w:name w:val="Heading 8 Char"/>
    <w:link w:val="Heading8"/>
    <w:uiPriority w:val="9"/>
    <w:semiHidden/>
    <w:rsid w:val="002C1C52"/>
    <w:rPr>
      <w:rFonts w:ascii="Calibri Light" w:eastAsia="Times New Roman" w:hAnsi="Calibri Light" w:cs="Times New Roman"/>
      <w:color w:val="272727"/>
      <w:sz w:val="21"/>
      <w:szCs w:val="21"/>
      <w:lang w:val="en-GB" w:eastAsia="en-GB"/>
    </w:rPr>
  </w:style>
  <w:style w:type="character" w:customStyle="1" w:styleId="Heading9Char">
    <w:name w:val="Heading 9 Char"/>
    <w:link w:val="Heading9"/>
    <w:uiPriority w:val="9"/>
    <w:semiHidden/>
    <w:rsid w:val="002C1C52"/>
    <w:rPr>
      <w:rFonts w:ascii="Calibri Light" w:eastAsia="Times New Roman" w:hAnsi="Calibri Light" w:cs="Times New Roman"/>
      <w:i/>
      <w:iCs/>
      <w:color w:val="272727"/>
      <w:sz w:val="21"/>
      <w:szCs w:val="21"/>
      <w:lang w:val="en-GB" w:eastAsia="en-GB"/>
    </w:rPr>
  </w:style>
  <w:style w:type="paragraph" w:styleId="TOC2">
    <w:name w:val="toc 2"/>
    <w:basedOn w:val="Normal"/>
    <w:next w:val="Normal"/>
    <w:autoRedefine/>
    <w:uiPriority w:val="39"/>
    <w:unhideWhenUsed/>
    <w:rsid w:val="005313ED"/>
    <w:pPr>
      <w:spacing w:after="100"/>
      <w:ind w:left="240"/>
    </w:pPr>
  </w:style>
  <w:style w:type="paragraph" w:styleId="TOC3">
    <w:name w:val="toc 3"/>
    <w:basedOn w:val="Normal"/>
    <w:next w:val="Normal"/>
    <w:autoRedefine/>
    <w:uiPriority w:val="39"/>
    <w:unhideWhenUsed/>
    <w:rsid w:val="005313ED"/>
    <w:pPr>
      <w:spacing w:after="100"/>
      <w:ind w:left="480"/>
    </w:pPr>
  </w:style>
  <w:style w:type="paragraph" w:styleId="CommentSubject">
    <w:name w:val="annotation subject"/>
    <w:basedOn w:val="CommentText"/>
    <w:next w:val="CommentText"/>
    <w:link w:val="CommentSubjectChar"/>
    <w:uiPriority w:val="99"/>
    <w:semiHidden/>
    <w:unhideWhenUsed/>
    <w:rsid w:val="00753D1D"/>
    <w:rPr>
      <w:b/>
      <w:bCs/>
      <w:lang w:val="en-GB" w:eastAsia="en-GB"/>
    </w:rPr>
  </w:style>
  <w:style w:type="character" w:customStyle="1" w:styleId="CommentSubjectChar">
    <w:name w:val="Comment Subject Char"/>
    <w:link w:val="CommentSubject"/>
    <w:uiPriority w:val="99"/>
    <w:semiHidden/>
    <w:rsid w:val="00753D1D"/>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504636"/>
  </w:style>
  <w:style w:type="paragraph" w:styleId="Revision">
    <w:name w:val="Revision"/>
    <w:hidden/>
    <w:uiPriority w:val="99"/>
    <w:semiHidden/>
    <w:rsid w:val="005112C8"/>
    <w:rPr>
      <w:rFonts w:ascii="Times New Roman" w:eastAsia="Times New Roman" w:hAnsi="Times New Roman"/>
      <w:sz w:val="24"/>
      <w:szCs w:val="24"/>
    </w:rPr>
  </w:style>
  <w:style w:type="paragraph" w:styleId="BodyText">
    <w:name w:val="Body Text"/>
    <w:basedOn w:val="Normal"/>
    <w:link w:val="BodyTextChar"/>
    <w:uiPriority w:val="99"/>
    <w:rsid w:val="00E8592E"/>
    <w:pPr>
      <w:spacing w:after="120"/>
    </w:pPr>
    <w:rPr>
      <w:sz w:val="20"/>
      <w:szCs w:val="20"/>
      <w:lang w:val="en-US" w:eastAsia="x-none"/>
    </w:rPr>
  </w:style>
  <w:style w:type="character" w:customStyle="1" w:styleId="BodyTextChar">
    <w:name w:val="Body Text Char"/>
    <w:link w:val="BodyText"/>
    <w:uiPriority w:val="99"/>
    <w:rsid w:val="00E8592E"/>
    <w:rPr>
      <w:rFonts w:ascii="Times New Roman" w:eastAsia="Times New Roman" w:hAnsi="Times New Roman" w:cs="Times New Roman"/>
      <w:lang w:val="en-US"/>
    </w:rPr>
  </w:style>
  <w:style w:type="paragraph" w:styleId="BodyText3">
    <w:name w:val="Body Text 3"/>
    <w:basedOn w:val="Normal"/>
    <w:link w:val="BodyText3Char"/>
    <w:uiPriority w:val="99"/>
    <w:rsid w:val="00E8592E"/>
    <w:pPr>
      <w:spacing w:after="120"/>
    </w:pPr>
    <w:rPr>
      <w:sz w:val="16"/>
      <w:szCs w:val="16"/>
      <w:lang w:val="en-US" w:eastAsia="x-none"/>
    </w:rPr>
  </w:style>
  <w:style w:type="character" w:customStyle="1" w:styleId="BodyText3Char">
    <w:name w:val="Body Text 3 Char"/>
    <w:link w:val="BodyText3"/>
    <w:uiPriority w:val="99"/>
    <w:rsid w:val="00E8592E"/>
    <w:rPr>
      <w:rFonts w:ascii="Times New Roman" w:eastAsia="Times New Roman" w:hAnsi="Times New Roman" w:cs="Times New Roman"/>
      <w:sz w:val="16"/>
      <w:szCs w:val="16"/>
      <w:lang w:val="en-US"/>
    </w:rPr>
  </w:style>
  <w:style w:type="paragraph" w:customStyle="1" w:styleId="p28">
    <w:name w:val="p28"/>
    <w:basedOn w:val="Normal"/>
    <w:rsid w:val="00E8592E"/>
    <w:pPr>
      <w:widowControl w:val="0"/>
      <w:tabs>
        <w:tab w:val="left" w:pos="680"/>
        <w:tab w:val="left" w:pos="1060"/>
      </w:tabs>
      <w:spacing w:before="0" w:line="240" w:lineRule="atLeast"/>
      <w:ind w:left="432" w:hanging="288"/>
    </w:pPr>
    <w:rPr>
      <w:snapToGrid w:val="0"/>
      <w:szCs w:val="20"/>
      <w:lang w:val="en-US" w:eastAsia="en-US"/>
    </w:rPr>
  </w:style>
  <w:style w:type="paragraph" w:customStyle="1" w:styleId="Default">
    <w:name w:val="Default"/>
    <w:rsid w:val="002D2807"/>
    <w:pPr>
      <w:autoSpaceDE w:val="0"/>
      <w:autoSpaceDN w:val="0"/>
      <w:adjustRightInd w:val="0"/>
    </w:pPr>
    <w:rPr>
      <w:rFonts w:ascii="Arial" w:hAnsi="Arial" w:cs="Arial"/>
      <w:color w:val="000000"/>
      <w:sz w:val="24"/>
      <w:szCs w:val="24"/>
      <w:lang w:val="en-US" w:eastAsia="en-US"/>
    </w:rPr>
  </w:style>
  <w:style w:type="character" w:styleId="FollowedHyperlink">
    <w:name w:val="FollowedHyperlink"/>
    <w:uiPriority w:val="99"/>
    <w:semiHidden/>
    <w:unhideWhenUsed/>
    <w:rsid w:val="003F6C60"/>
    <w:rPr>
      <w:color w:val="954F72"/>
      <w:u w:val="single"/>
    </w:rPr>
  </w:style>
  <w:style w:type="paragraph" w:styleId="Caption">
    <w:name w:val="caption"/>
    <w:basedOn w:val="Normal"/>
    <w:next w:val="Normal"/>
    <w:uiPriority w:val="35"/>
    <w:unhideWhenUsed/>
    <w:qFormat/>
    <w:rsid w:val="00261C4A"/>
    <w:pPr>
      <w:spacing w:before="0"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02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8113">
      <w:bodyDiv w:val="1"/>
      <w:marLeft w:val="0"/>
      <w:marRight w:val="0"/>
      <w:marTop w:val="0"/>
      <w:marBottom w:val="0"/>
      <w:divBdr>
        <w:top w:val="none" w:sz="0" w:space="0" w:color="auto"/>
        <w:left w:val="none" w:sz="0" w:space="0" w:color="auto"/>
        <w:bottom w:val="none" w:sz="0" w:space="0" w:color="auto"/>
        <w:right w:val="none" w:sz="0" w:space="0" w:color="auto"/>
      </w:divBdr>
    </w:div>
    <w:div w:id="98838200">
      <w:bodyDiv w:val="1"/>
      <w:marLeft w:val="0"/>
      <w:marRight w:val="0"/>
      <w:marTop w:val="0"/>
      <w:marBottom w:val="0"/>
      <w:divBdr>
        <w:top w:val="none" w:sz="0" w:space="0" w:color="auto"/>
        <w:left w:val="none" w:sz="0" w:space="0" w:color="auto"/>
        <w:bottom w:val="none" w:sz="0" w:space="0" w:color="auto"/>
        <w:right w:val="none" w:sz="0" w:space="0" w:color="auto"/>
      </w:divBdr>
    </w:div>
    <w:div w:id="100687645">
      <w:bodyDiv w:val="1"/>
      <w:marLeft w:val="0"/>
      <w:marRight w:val="0"/>
      <w:marTop w:val="0"/>
      <w:marBottom w:val="0"/>
      <w:divBdr>
        <w:top w:val="none" w:sz="0" w:space="0" w:color="auto"/>
        <w:left w:val="none" w:sz="0" w:space="0" w:color="auto"/>
        <w:bottom w:val="none" w:sz="0" w:space="0" w:color="auto"/>
        <w:right w:val="none" w:sz="0" w:space="0" w:color="auto"/>
      </w:divBdr>
    </w:div>
    <w:div w:id="105319502">
      <w:bodyDiv w:val="1"/>
      <w:marLeft w:val="0"/>
      <w:marRight w:val="0"/>
      <w:marTop w:val="0"/>
      <w:marBottom w:val="0"/>
      <w:divBdr>
        <w:top w:val="none" w:sz="0" w:space="0" w:color="auto"/>
        <w:left w:val="none" w:sz="0" w:space="0" w:color="auto"/>
        <w:bottom w:val="none" w:sz="0" w:space="0" w:color="auto"/>
        <w:right w:val="none" w:sz="0" w:space="0" w:color="auto"/>
      </w:divBdr>
    </w:div>
    <w:div w:id="153448351">
      <w:bodyDiv w:val="1"/>
      <w:marLeft w:val="0"/>
      <w:marRight w:val="0"/>
      <w:marTop w:val="0"/>
      <w:marBottom w:val="0"/>
      <w:divBdr>
        <w:top w:val="none" w:sz="0" w:space="0" w:color="auto"/>
        <w:left w:val="none" w:sz="0" w:space="0" w:color="auto"/>
        <w:bottom w:val="none" w:sz="0" w:space="0" w:color="auto"/>
        <w:right w:val="none" w:sz="0" w:space="0" w:color="auto"/>
      </w:divBdr>
    </w:div>
    <w:div w:id="182018884">
      <w:bodyDiv w:val="1"/>
      <w:marLeft w:val="0"/>
      <w:marRight w:val="0"/>
      <w:marTop w:val="0"/>
      <w:marBottom w:val="0"/>
      <w:divBdr>
        <w:top w:val="none" w:sz="0" w:space="0" w:color="auto"/>
        <w:left w:val="none" w:sz="0" w:space="0" w:color="auto"/>
        <w:bottom w:val="none" w:sz="0" w:space="0" w:color="auto"/>
        <w:right w:val="none" w:sz="0" w:space="0" w:color="auto"/>
      </w:divBdr>
    </w:div>
    <w:div w:id="191921087">
      <w:bodyDiv w:val="1"/>
      <w:marLeft w:val="0"/>
      <w:marRight w:val="0"/>
      <w:marTop w:val="0"/>
      <w:marBottom w:val="0"/>
      <w:divBdr>
        <w:top w:val="none" w:sz="0" w:space="0" w:color="auto"/>
        <w:left w:val="none" w:sz="0" w:space="0" w:color="auto"/>
        <w:bottom w:val="none" w:sz="0" w:space="0" w:color="auto"/>
        <w:right w:val="none" w:sz="0" w:space="0" w:color="auto"/>
      </w:divBdr>
      <w:divsChild>
        <w:div w:id="2053915196">
          <w:marLeft w:val="0"/>
          <w:marRight w:val="0"/>
          <w:marTop w:val="0"/>
          <w:marBottom w:val="0"/>
          <w:divBdr>
            <w:top w:val="none" w:sz="0" w:space="0" w:color="auto"/>
            <w:left w:val="none" w:sz="0" w:space="0" w:color="auto"/>
            <w:bottom w:val="none" w:sz="0" w:space="0" w:color="auto"/>
            <w:right w:val="none" w:sz="0" w:space="0" w:color="auto"/>
          </w:divBdr>
          <w:divsChild>
            <w:div w:id="1033119146">
              <w:marLeft w:val="0"/>
              <w:marRight w:val="0"/>
              <w:marTop w:val="0"/>
              <w:marBottom w:val="0"/>
              <w:divBdr>
                <w:top w:val="none" w:sz="0" w:space="0" w:color="auto"/>
                <w:left w:val="none" w:sz="0" w:space="0" w:color="auto"/>
                <w:bottom w:val="none" w:sz="0" w:space="0" w:color="auto"/>
                <w:right w:val="none" w:sz="0" w:space="0" w:color="auto"/>
              </w:divBdr>
              <w:divsChild>
                <w:div w:id="16237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7549">
      <w:bodyDiv w:val="1"/>
      <w:marLeft w:val="0"/>
      <w:marRight w:val="0"/>
      <w:marTop w:val="0"/>
      <w:marBottom w:val="0"/>
      <w:divBdr>
        <w:top w:val="none" w:sz="0" w:space="0" w:color="auto"/>
        <w:left w:val="none" w:sz="0" w:space="0" w:color="auto"/>
        <w:bottom w:val="none" w:sz="0" w:space="0" w:color="auto"/>
        <w:right w:val="none" w:sz="0" w:space="0" w:color="auto"/>
      </w:divBdr>
    </w:div>
    <w:div w:id="252514516">
      <w:bodyDiv w:val="1"/>
      <w:marLeft w:val="0"/>
      <w:marRight w:val="0"/>
      <w:marTop w:val="0"/>
      <w:marBottom w:val="0"/>
      <w:divBdr>
        <w:top w:val="none" w:sz="0" w:space="0" w:color="auto"/>
        <w:left w:val="none" w:sz="0" w:space="0" w:color="auto"/>
        <w:bottom w:val="none" w:sz="0" w:space="0" w:color="auto"/>
        <w:right w:val="none" w:sz="0" w:space="0" w:color="auto"/>
      </w:divBdr>
    </w:div>
    <w:div w:id="267280003">
      <w:bodyDiv w:val="1"/>
      <w:marLeft w:val="0"/>
      <w:marRight w:val="0"/>
      <w:marTop w:val="0"/>
      <w:marBottom w:val="0"/>
      <w:divBdr>
        <w:top w:val="none" w:sz="0" w:space="0" w:color="auto"/>
        <w:left w:val="none" w:sz="0" w:space="0" w:color="auto"/>
        <w:bottom w:val="none" w:sz="0" w:space="0" w:color="auto"/>
        <w:right w:val="none" w:sz="0" w:space="0" w:color="auto"/>
      </w:divBdr>
    </w:div>
    <w:div w:id="273097129">
      <w:bodyDiv w:val="1"/>
      <w:marLeft w:val="0"/>
      <w:marRight w:val="0"/>
      <w:marTop w:val="0"/>
      <w:marBottom w:val="0"/>
      <w:divBdr>
        <w:top w:val="none" w:sz="0" w:space="0" w:color="auto"/>
        <w:left w:val="none" w:sz="0" w:space="0" w:color="auto"/>
        <w:bottom w:val="none" w:sz="0" w:space="0" w:color="auto"/>
        <w:right w:val="none" w:sz="0" w:space="0" w:color="auto"/>
      </w:divBdr>
    </w:div>
    <w:div w:id="344408871">
      <w:bodyDiv w:val="1"/>
      <w:marLeft w:val="0"/>
      <w:marRight w:val="0"/>
      <w:marTop w:val="0"/>
      <w:marBottom w:val="0"/>
      <w:divBdr>
        <w:top w:val="none" w:sz="0" w:space="0" w:color="auto"/>
        <w:left w:val="none" w:sz="0" w:space="0" w:color="auto"/>
        <w:bottom w:val="none" w:sz="0" w:space="0" w:color="auto"/>
        <w:right w:val="none" w:sz="0" w:space="0" w:color="auto"/>
      </w:divBdr>
    </w:div>
    <w:div w:id="352926714">
      <w:bodyDiv w:val="1"/>
      <w:marLeft w:val="0"/>
      <w:marRight w:val="0"/>
      <w:marTop w:val="0"/>
      <w:marBottom w:val="0"/>
      <w:divBdr>
        <w:top w:val="none" w:sz="0" w:space="0" w:color="auto"/>
        <w:left w:val="none" w:sz="0" w:space="0" w:color="auto"/>
        <w:bottom w:val="none" w:sz="0" w:space="0" w:color="auto"/>
        <w:right w:val="none" w:sz="0" w:space="0" w:color="auto"/>
      </w:divBdr>
    </w:div>
    <w:div w:id="362559112">
      <w:bodyDiv w:val="1"/>
      <w:marLeft w:val="0"/>
      <w:marRight w:val="0"/>
      <w:marTop w:val="0"/>
      <w:marBottom w:val="0"/>
      <w:divBdr>
        <w:top w:val="none" w:sz="0" w:space="0" w:color="auto"/>
        <w:left w:val="none" w:sz="0" w:space="0" w:color="auto"/>
        <w:bottom w:val="none" w:sz="0" w:space="0" w:color="auto"/>
        <w:right w:val="none" w:sz="0" w:space="0" w:color="auto"/>
      </w:divBdr>
      <w:divsChild>
        <w:div w:id="2145806564">
          <w:marLeft w:val="0"/>
          <w:marRight w:val="0"/>
          <w:marTop w:val="0"/>
          <w:marBottom w:val="0"/>
          <w:divBdr>
            <w:top w:val="none" w:sz="0" w:space="0" w:color="auto"/>
            <w:left w:val="none" w:sz="0" w:space="0" w:color="auto"/>
            <w:bottom w:val="none" w:sz="0" w:space="0" w:color="auto"/>
            <w:right w:val="none" w:sz="0" w:space="0" w:color="auto"/>
          </w:divBdr>
          <w:divsChild>
            <w:div w:id="195895462">
              <w:marLeft w:val="0"/>
              <w:marRight w:val="0"/>
              <w:marTop w:val="0"/>
              <w:marBottom w:val="0"/>
              <w:divBdr>
                <w:top w:val="none" w:sz="0" w:space="0" w:color="auto"/>
                <w:left w:val="none" w:sz="0" w:space="0" w:color="auto"/>
                <w:bottom w:val="none" w:sz="0" w:space="0" w:color="auto"/>
                <w:right w:val="none" w:sz="0" w:space="0" w:color="auto"/>
              </w:divBdr>
              <w:divsChild>
                <w:div w:id="1231387990">
                  <w:marLeft w:val="0"/>
                  <w:marRight w:val="0"/>
                  <w:marTop w:val="0"/>
                  <w:marBottom w:val="0"/>
                  <w:divBdr>
                    <w:top w:val="none" w:sz="0" w:space="0" w:color="auto"/>
                    <w:left w:val="none" w:sz="0" w:space="0" w:color="auto"/>
                    <w:bottom w:val="none" w:sz="0" w:space="0" w:color="auto"/>
                    <w:right w:val="none" w:sz="0" w:space="0" w:color="auto"/>
                  </w:divBdr>
                  <w:divsChild>
                    <w:div w:id="21345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94432">
      <w:bodyDiv w:val="1"/>
      <w:marLeft w:val="0"/>
      <w:marRight w:val="0"/>
      <w:marTop w:val="0"/>
      <w:marBottom w:val="0"/>
      <w:divBdr>
        <w:top w:val="none" w:sz="0" w:space="0" w:color="auto"/>
        <w:left w:val="none" w:sz="0" w:space="0" w:color="auto"/>
        <w:bottom w:val="none" w:sz="0" w:space="0" w:color="auto"/>
        <w:right w:val="none" w:sz="0" w:space="0" w:color="auto"/>
      </w:divBdr>
      <w:divsChild>
        <w:div w:id="252324934">
          <w:marLeft w:val="0"/>
          <w:marRight w:val="0"/>
          <w:marTop w:val="0"/>
          <w:marBottom w:val="0"/>
          <w:divBdr>
            <w:top w:val="none" w:sz="0" w:space="0" w:color="auto"/>
            <w:left w:val="none" w:sz="0" w:space="0" w:color="auto"/>
            <w:bottom w:val="none" w:sz="0" w:space="0" w:color="auto"/>
            <w:right w:val="none" w:sz="0" w:space="0" w:color="auto"/>
          </w:divBdr>
          <w:divsChild>
            <w:div w:id="315766364">
              <w:marLeft w:val="0"/>
              <w:marRight w:val="0"/>
              <w:marTop w:val="0"/>
              <w:marBottom w:val="0"/>
              <w:divBdr>
                <w:top w:val="none" w:sz="0" w:space="0" w:color="auto"/>
                <w:left w:val="none" w:sz="0" w:space="0" w:color="auto"/>
                <w:bottom w:val="none" w:sz="0" w:space="0" w:color="auto"/>
                <w:right w:val="none" w:sz="0" w:space="0" w:color="auto"/>
              </w:divBdr>
              <w:divsChild>
                <w:div w:id="5533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1186">
      <w:bodyDiv w:val="1"/>
      <w:marLeft w:val="0"/>
      <w:marRight w:val="0"/>
      <w:marTop w:val="0"/>
      <w:marBottom w:val="0"/>
      <w:divBdr>
        <w:top w:val="none" w:sz="0" w:space="0" w:color="auto"/>
        <w:left w:val="none" w:sz="0" w:space="0" w:color="auto"/>
        <w:bottom w:val="none" w:sz="0" w:space="0" w:color="auto"/>
        <w:right w:val="none" w:sz="0" w:space="0" w:color="auto"/>
      </w:divBdr>
    </w:div>
    <w:div w:id="520050601">
      <w:bodyDiv w:val="1"/>
      <w:marLeft w:val="0"/>
      <w:marRight w:val="0"/>
      <w:marTop w:val="0"/>
      <w:marBottom w:val="0"/>
      <w:divBdr>
        <w:top w:val="none" w:sz="0" w:space="0" w:color="auto"/>
        <w:left w:val="none" w:sz="0" w:space="0" w:color="auto"/>
        <w:bottom w:val="none" w:sz="0" w:space="0" w:color="auto"/>
        <w:right w:val="none" w:sz="0" w:space="0" w:color="auto"/>
      </w:divBdr>
      <w:divsChild>
        <w:div w:id="1542089936">
          <w:marLeft w:val="0"/>
          <w:marRight w:val="0"/>
          <w:marTop w:val="0"/>
          <w:marBottom w:val="0"/>
          <w:divBdr>
            <w:top w:val="none" w:sz="0" w:space="0" w:color="auto"/>
            <w:left w:val="none" w:sz="0" w:space="0" w:color="auto"/>
            <w:bottom w:val="none" w:sz="0" w:space="0" w:color="auto"/>
            <w:right w:val="none" w:sz="0" w:space="0" w:color="auto"/>
          </w:divBdr>
          <w:divsChild>
            <w:div w:id="1789083548">
              <w:marLeft w:val="0"/>
              <w:marRight w:val="0"/>
              <w:marTop w:val="0"/>
              <w:marBottom w:val="0"/>
              <w:divBdr>
                <w:top w:val="none" w:sz="0" w:space="0" w:color="auto"/>
                <w:left w:val="none" w:sz="0" w:space="0" w:color="auto"/>
                <w:bottom w:val="none" w:sz="0" w:space="0" w:color="auto"/>
                <w:right w:val="none" w:sz="0" w:space="0" w:color="auto"/>
              </w:divBdr>
              <w:divsChild>
                <w:div w:id="15847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977">
      <w:bodyDiv w:val="1"/>
      <w:marLeft w:val="0"/>
      <w:marRight w:val="0"/>
      <w:marTop w:val="0"/>
      <w:marBottom w:val="0"/>
      <w:divBdr>
        <w:top w:val="none" w:sz="0" w:space="0" w:color="auto"/>
        <w:left w:val="none" w:sz="0" w:space="0" w:color="auto"/>
        <w:bottom w:val="none" w:sz="0" w:space="0" w:color="auto"/>
        <w:right w:val="none" w:sz="0" w:space="0" w:color="auto"/>
      </w:divBdr>
    </w:div>
    <w:div w:id="563415129">
      <w:bodyDiv w:val="1"/>
      <w:marLeft w:val="0"/>
      <w:marRight w:val="0"/>
      <w:marTop w:val="0"/>
      <w:marBottom w:val="0"/>
      <w:divBdr>
        <w:top w:val="none" w:sz="0" w:space="0" w:color="auto"/>
        <w:left w:val="none" w:sz="0" w:space="0" w:color="auto"/>
        <w:bottom w:val="none" w:sz="0" w:space="0" w:color="auto"/>
        <w:right w:val="none" w:sz="0" w:space="0" w:color="auto"/>
      </w:divBdr>
    </w:div>
    <w:div w:id="601382158">
      <w:bodyDiv w:val="1"/>
      <w:marLeft w:val="0"/>
      <w:marRight w:val="0"/>
      <w:marTop w:val="0"/>
      <w:marBottom w:val="0"/>
      <w:divBdr>
        <w:top w:val="none" w:sz="0" w:space="0" w:color="auto"/>
        <w:left w:val="none" w:sz="0" w:space="0" w:color="auto"/>
        <w:bottom w:val="none" w:sz="0" w:space="0" w:color="auto"/>
        <w:right w:val="none" w:sz="0" w:space="0" w:color="auto"/>
      </w:divBdr>
    </w:div>
    <w:div w:id="614021299">
      <w:bodyDiv w:val="1"/>
      <w:marLeft w:val="0"/>
      <w:marRight w:val="0"/>
      <w:marTop w:val="0"/>
      <w:marBottom w:val="0"/>
      <w:divBdr>
        <w:top w:val="none" w:sz="0" w:space="0" w:color="auto"/>
        <w:left w:val="none" w:sz="0" w:space="0" w:color="auto"/>
        <w:bottom w:val="none" w:sz="0" w:space="0" w:color="auto"/>
        <w:right w:val="none" w:sz="0" w:space="0" w:color="auto"/>
      </w:divBdr>
    </w:div>
    <w:div w:id="702901134">
      <w:bodyDiv w:val="1"/>
      <w:marLeft w:val="0"/>
      <w:marRight w:val="0"/>
      <w:marTop w:val="0"/>
      <w:marBottom w:val="0"/>
      <w:divBdr>
        <w:top w:val="none" w:sz="0" w:space="0" w:color="auto"/>
        <w:left w:val="none" w:sz="0" w:space="0" w:color="auto"/>
        <w:bottom w:val="none" w:sz="0" w:space="0" w:color="auto"/>
        <w:right w:val="none" w:sz="0" w:space="0" w:color="auto"/>
      </w:divBdr>
    </w:div>
    <w:div w:id="718746040">
      <w:bodyDiv w:val="1"/>
      <w:marLeft w:val="0"/>
      <w:marRight w:val="0"/>
      <w:marTop w:val="0"/>
      <w:marBottom w:val="0"/>
      <w:divBdr>
        <w:top w:val="none" w:sz="0" w:space="0" w:color="auto"/>
        <w:left w:val="none" w:sz="0" w:space="0" w:color="auto"/>
        <w:bottom w:val="none" w:sz="0" w:space="0" w:color="auto"/>
        <w:right w:val="none" w:sz="0" w:space="0" w:color="auto"/>
      </w:divBdr>
    </w:div>
    <w:div w:id="733623487">
      <w:bodyDiv w:val="1"/>
      <w:marLeft w:val="0"/>
      <w:marRight w:val="0"/>
      <w:marTop w:val="0"/>
      <w:marBottom w:val="0"/>
      <w:divBdr>
        <w:top w:val="none" w:sz="0" w:space="0" w:color="auto"/>
        <w:left w:val="none" w:sz="0" w:space="0" w:color="auto"/>
        <w:bottom w:val="none" w:sz="0" w:space="0" w:color="auto"/>
        <w:right w:val="none" w:sz="0" w:space="0" w:color="auto"/>
      </w:divBdr>
    </w:div>
    <w:div w:id="749347828">
      <w:bodyDiv w:val="1"/>
      <w:marLeft w:val="0"/>
      <w:marRight w:val="0"/>
      <w:marTop w:val="0"/>
      <w:marBottom w:val="0"/>
      <w:divBdr>
        <w:top w:val="none" w:sz="0" w:space="0" w:color="auto"/>
        <w:left w:val="none" w:sz="0" w:space="0" w:color="auto"/>
        <w:bottom w:val="none" w:sz="0" w:space="0" w:color="auto"/>
        <w:right w:val="none" w:sz="0" w:space="0" w:color="auto"/>
      </w:divBdr>
    </w:div>
    <w:div w:id="777607327">
      <w:bodyDiv w:val="1"/>
      <w:marLeft w:val="0"/>
      <w:marRight w:val="0"/>
      <w:marTop w:val="0"/>
      <w:marBottom w:val="0"/>
      <w:divBdr>
        <w:top w:val="none" w:sz="0" w:space="0" w:color="auto"/>
        <w:left w:val="none" w:sz="0" w:space="0" w:color="auto"/>
        <w:bottom w:val="none" w:sz="0" w:space="0" w:color="auto"/>
        <w:right w:val="none" w:sz="0" w:space="0" w:color="auto"/>
      </w:divBdr>
    </w:div>
    <w:div w:id="909191873">
      <w:bodyDiv w:val="1"/>
      <w:marLeft w:val="0"/>
      <w:marRight w:val="0"/>
      <w:marTop w:val="0"/>
      <w:marBottom w:val="0"/>
      <w:divBdr>
        <w:top w:val="none" w:sz="0" w:space="0" w:color="auto"/>
        <w:left w:val="none" w:sz="0" w:space="0" w:color="auto"/>
        <w:bottom w:val="none" w:sz="0" w:space="0" w:color="auto"/>
        <w:right w:val="none" w:sz="0" w:space="0" w:color="auto"/>
      </w:divBdr>
    </w:div>
    <w:div w:id="911543526">
      <w:bodyDiv w:val="1"/>
      <w:marLeft w:val="0"/>
      <w:marRight w:val="0"/>
      <w:marTop w:val="0"/>
      <w:marBottom w:val="0"/>
      <w:divBdr>
        <w:top w:val="none" w:sz="0" w:space="0" w:color="auto"/>
        <w:left w:val="none" w:sz="0" w:space="0" w:color="auto"/>
        <w:bottom w:val="none" w:sz="0" w:space="0" w:color="auto"/>
        <w:right w:val="none" w:sz="0" w:space="0" w:color="auto"/>
      </w:divBdr>
    </w:div>
    <w:div w:id="976569701">
      <w:bodyDiv w:val="1"/>
      <w:marLeft w:val="0"/>
      <w:marRight w:val="0"/>
      <w:marTop w:val="0"/>
      <w:marBottom w:val="0"/>
      <w:divBdr>
        <w:top w:val="none" w:sz="0" w:space="0" w:color="auto"/>
        <w:left w:val="none" w:sz="0" w:space="0" w:color="auto"/>
        <w:bottom w:val="none" w:sz="0" w:space="0" w:color="auto"/>
        <w:right w:val="none" w:sz="0" w:space="0" w:color="auto"/>
      </w:divBdr>
    </w:div>
    <w:div w:id="991056419">
      <w:bodyDiv w:val="1"/>
      <w:marLeft w:val="0"/>
      <w:marRight w:val="0"/>
      <w:marTop w:val="0"/>
      <w:marBottom w:val="0"/>
      <w:divBdr>
        <w:top w:val="none" w:sz="0" w:space="0" w:color="auto"/>
        <w:left w:val="none" w:sz="0" w:space="0" w:color="auto"/>
        <w:bottom w:val="none" w:sz="0" w:space="0" w:color="auto"/>
        <w:right w:val="none" w:sz="0" w:space="0" w:color="auto"/>
      </w:divBdr>
    </w:div>
    <w:div w:id="1013724791">
      <w:bodyDiv w:val="1"/>
      <w:marLeft w:val="0"/>
      <w:marRight w:val="0"/>
      <w:marTop w:val="0"/>
      <w:marBottom w:val="0"/>
      <w:divBdr>
        <w:top w:val="none" w:sz="0" w:space="0" w:color="auto"/>
        <w:left w:val="none" w:sz="0" w:space="0" w:color="auto"/>
        <w:bottom w:val="none" w:sz="0" w:space="0" w:color="auto"/>
        <w:right w:val="none" w:sz="0" w:space="0" w:color="auto"/>
      </w:divBdr>
    </w:div>
    <w:div w:id="1035277497">
      <w:bodyDiv w:val="1"/>
      <w:marLeft w:val="0"/>
      <w:marRight w:val="0"/>
      <w:marTop w:val="0"/>
      <w:marBottom w:val="0"/>
      <w:divBdr>
        <w:top w:val="none" w:sz="0" w:space="0" w:color="auto"/>
        <w:left w:val="none" w:sz="0" w:space="0" w:color="auto"/>
        <w:bottom w:val="none" w:sz="0" w:space="0" w:color="auto"/>
        <w:right w:val="none" w:sz="0" w:space="0" w:color="auto"/>
      </w:divBdr>
      <w:divsChild>
        <w:div w:id="13309201">
          <w:marLeft w:val="0"/>
          <w:marRight w:val="0"/>
          <w:marTop w:val="0"/>
          <w:marBottom w:val="0"/>
          <w:divBdr>
            <w:top w:val="none" w:sz="0" w:space="0" w:color="auto"/>
            <w:left w:val="none" w:sz="0" w:space="0" w:color="auto"/>
            <w:bottom w:val="none" w:sz="0" w:space="0" w:color="auto"/>
            <w:right w:val="none" w:sz="0" w:space="0" w:color="auto"/>
          </w:divBdr>
          <w:divsChild>
            <w:div w:id="195823753">
              <w:marLeft w:val="0"/>
              <w:marRight w:val="0"/>
              <w:marTop w:val="0"/>
              <w:marBottom w:val="0"/>
              <w:divBdr>
                <w:top w:val="none" w:sz="0" w:space="0" w:color="auto"/>
                <w:left w:val="none" w:sz="0" w:space="0" w:color="auto"/>
                <w:bottom w:val="none" w:sz="0" w:space="0" w:color="auto"/>
                <w:right w:val="none" w:sz="0" w:space="0" w:color="auto"/>
              </w:divBdr>
              <w:divsChild>
                <w:div w:id="960384189">
                  <w:marLeft w:val="0"/>
                  <w:marRight w:val="0"/>
                  <w:marTop w:val="0"/>
                  <w:marBottom w:val="0"/>
                  <w:divBdr>
                    <w:top w:val="none" w:sz="0" w:space="0" w:color="auto"/>
                    <w:left w:val="none" w:sz="0" w:space="0" w:color="auto"/>
                    <w:bottom w:val="none" w:sz="0" w:space="0" w:color="auto"/>
                    <w:right w:val="none" w:sz="0" w:space="0" w:color="auto"/>
                  </w:divBdr>
                  <w:divsChild>
                    <w:div w:id="1733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7391">
      <w:bodyDiv w:val="1"/>
      <w:marLeft w:val="0"/>
      <w:marRight w:val="0"/>
      <w:marTop w:val="0"/>
      <w:marBottom w:val="0"/>
      <w:divBdr>
        <w:top w:val="none" w:sz="0" w:space="0" w:color="auto"/>
        <w:left w:val="none" w:sz="0" w:space="0" w:color="auto"/>
        <w:bottom w:val="none" w:sz="0" w:space="0" w:color="auto"/>
        <w:right w:val="none" w:sz="0" w:space="0" w:color="auto"/>
      </w:divBdr>
    </w:div>
    <w:div w:id="1091699927">
      <w:bodyDiv w:val="1"/>
      <w:marLeft w:val="0"/>
      <w:marRight w:val="0"/>
      <w:marTop w:val="0"/>
      <w:marBottom w:val="0"/>
      <w:divBdr>
        <w:top w:val="none" w:sz="0" w:space="0" w:color="auto"/>
        <w:left w:val="none" w:sz="0" w:space="0" w:color="auto"/>
        <w:bottom w:val="none" w:sz="0" w:space="0" w:color="auto"/>
        <w:right w:val="none" w:sz="0" w:space="0" w:color="auto"/>
      </w:divBdr>
      <w:divsChild>
        <w:div w:id="432287832">
          <w:marLeft w:val="0"/>
          <w:marRight w:val="0"/>
          <w:marTop w:val="0"/>
          <w:marBottom w:val="0"/>
          <w:divBdr>
            <w:top w:val="none" w:sz="0" w:space="0" w:color="auto"/>
            <w:left w:val="none" w:sz="0" w:space="0" w:color="auto"/>
            <w:bottom w:val="none" w:sz="0" w:space="0" w:color="auto"/>
            <w:right w:val="none" w:sz="0" w:space="0" w:color="auto"/>
          </w:divBdr>
          <w:divsChild>
            <w:div w:id="106775457">
              <w:marLeft w:val="0"/>
              <w:marRight w:val="0"/>
              <w:marTop w:val="0"/>
              <w:marBottom w:val="0"/>
              <w:divBdr>
                <w:top w:val="none" w:sz="0" w:space="0" w:color="auto"/>
                <w:left w:val="none" w:sz="0" w:space="0" w:color="auto"/>
                <w:bottom w:val="none" w:sz="0" w:space="0" w:color="auto"/>
                <w:right w:val="none" w:sz="0" w:space="0" w:color="auto"/>
              </w:divBdr>
              <w:divsChild>
                <w:div w:id="606738994">
                  <w:marLeft w:val="0"/>
                  <w:marRight w:val="0"/>
                  <w:marTop w:val="0"/>
                  <w:marBottom w:val="0"/>
                  <w:divBdr>
                    <w:top w:val="none" w:sz="0" w:space="0" w:color="auto"/>
                    <w:left w:val="none" w:sz="0" w:space="0" w:color="auto"/>
                    <w:bottom w:val="none" w:sz="0" w:space="0" w:color="auto"/>
                    <w:right w:val="none" w:sz="0" w:space="0" w:color="auto"/>
                  </w:divBdr>
                  <w:divsChild>
                    <w:div w:id="4420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040873">
      <w:bodyDiv w:val="1"/>
      <w:marLeft w:val="0"/>
      <w:marRight w:val="0"/>
      <w:marTop w:val="0"/>
      <w:marBottom w:val="0"/>
      <w:divBdr>
        <w:top w:val="none" w:sz="0" w:space="0" w:color="auto"/>
        <w:left w:val="none" w:sz="0" w:space="0" w:color="auto"/>
        <w:bottom w:val="none" w:sz="0" w:space="0" w:color="auto"/>
        <w:right w:val="none" w:sz="0" w:space="0" w:color="auto"/>
      </w:divBdr>
    </w:div>
    <w:div w:id="1147011175">
      <w:bodyDiv w:val="1"/>
      <w:marLeft w:val="0"/>
      <w:marRight w:val="0"/>
      <w:marTop w:val="0"/>
      <w:marBottom w:val="0"/>
      <w:divBdr>
        <w:top w:val="none" w:sz="0" w:space="0" w:color="auto"/>
        <w:left w:val="none" w:sz="0" w:space="0" w:color="auto"/>
        <w:bottom w:val="none" w:sz="0" w:space="0" w:color="auto"/>
        <w:right w:val="none" w:sz="0" w:space="0" w:color="auto"/>
      </w:divBdr>
    </w:div>
    <w:div w:id="1203131980">
      <w:bodyDiv w:val="1"/>
      <w:marLeft w:val="0"/>
      <w:marRight w:val="0"/>
      <w:marTop w:val="0"/>
      <w:marBottom w:val="0"/>
      <w:divBdr>
        <w:top w:val="none" w:sz="0" w:space="0" w:color="auto"/>
        <w:left w:val="none" w:sz="0" w:space="0" w:color="auto"/>
        <w:bottom w:val="none" w:sz="0" w:space="0" w:color="auto"/>
        <w:right w:val="none" w:sz="0" w:space="0" w:color="auto"/>
      </w:divBdr>
      <w:divsChild>
        <w:div w:id="1620261060">
          <w:marLeft w:val="0"/>
          <w:marRight w:val="0"/>
          <w:marTop w:val="0"/>
          <w:marBottom w:val="0"/>
          <w:divBdr>
            <w:top w:val="none" w:sz="0" w:space="0" w:color="auto"/>
            <w:left w:val="none" w:sz="0" w:space="0" w:color="auto"/>
            <w:bottom w:val="none" w:sz="0" w:space="0" w:color="auto"/>
            <w:right w:val="none" w:sz="0" w:space="0" w:color="auto"/>
          </w:divBdr>
          <w:divsChild>
            <w:div w:id="1330404678">
              <w:marLeft w:val="0"/>
              <w:marRight w:val="0"/>
              <w:marTop w:val="0"/>
              <w:marBottom w:val="0"/>
              <w:divBdr>
                <w:top w:val="none" w:sz="0" w:space="0" w:color="auto"/>
                <w:left w:val="none" w:sz="0" w:space="0" w:color="auto"/>
                <w:bottom w:val="none" w:sz="0" w:space="0" w:color="auto"/>
                <w:right w:val="none" w:sz="0" w:space="0" w:color="auto"/>
              </w:divBdr>
              <w:divsChild>
                <w:div w:id="709763904">
                  <w:marLeft w:val="0"/>
                  <w:marRight w:val="0"/>
                  <w:marTop w:val="0"/>
                  <w:marBottom w:val="0"/>
                  <w:divBdr>
                    <w:top w:val="none" w:sz="0" w:space="0" w:color="auto"/>
                    <w:left w:val="none" w:sz="0" w:space="0" w:color="auto"/>
                    <w:bottom w:val="none" w:sz="0" w:space="0" w:color="auto"/>
                    <w:right w:val="none" w:sz="0" w:space="0" w:color="auto"/>
                  </w:divBdr>
                  <w:divsChild>
                    <w:div w:id="13271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6877">
      <w:bodyDiv w:val="1"/>
      <w:marLeft w:val="0"/>
      <w:marRight w:val="0"/>
      <w:marTop w:val="0"/>
      <w:marBottom w:val="0"/>
      <w:divBdr>
        <w:top w:val="none" w:sz="0" w:space="0" w:color="auto"/>
        <w:left w:val="none" w:sz="0" w:space="0" w:color="auto"/>
        <w:bottom w:val="none" w:sz="0" w:space="0" w:color="auto"/>
        <w:right w:val="none" w:sz="0" w:space="0" w:color="auto"/>
      </w:divBdr>
    </w:div>
    <w:div w:id="1223172241">
      <w:bodyDiv w:val="1"/>
      <w:marLeft w:val="0"/>
      <w:marRight w:val="0"/>
      <w:marTop w:val="0"/>
      <w:marBottom w:val="0"/>
      <w:divBdr>
        <w:top w:val="none" w:sz="0" w:space="0" w:color="auto"/>
        <w:left w:val="none" w:sz="0" w:space="0" w:color="auto"/>
        <w:bottom w:val="none" w:sz="0" w:space="0" w:color="auto"/>
        <w:right w:val="none" w:sz="0" w:space="0" w:color="auto"/>
      </w:divBdr>
      <w:divsChild>
        <w:div w:id="295263003">
          <w:marLeft w:val="0"/>
          <w:marRight w:val="0"/>
          <w:marTop w:val="0"/>
          <w:marBottom w:val="0"/>
          <w:divBdr>
            <w:top w:val="none" w:sz="0" w:space="0" w:color="auto"/>
            <w:left w:val="none" w:sz="0" w:space="0" w:color="auto"/>
            <w:bottom w:val="none" w:sz="0" w:space="0" w:color="auto"/>
            <w:right w:val="none" w:sz="0" w:space="0" w:color="auto"/>
          </w:divBdr>
          <w:divsChild>
            <w:div w:id="2031762994">
              <w:marLeft w:val="0"/>
              <w:marRight w:val="0"/>
              <w:marTop w:val="0"/>
              <w:marBottom w:val="0"/>
              <w:divBdr>
                <w:top w:val="none" w:sz="0" w:space="0" w:color="auto"/>
                <w:left w:val="none" w:sz="0" w:space="0" w:color="auto"/>
                <w:bottom w:val="none" w:sz="0" w:space="0" w:color="auto"/>
                <w:right w:val="none" w:sz="0" w:space="0" w:color="auto"/>
              </w:divBdr>
              <w:divsChild>
                <w:div w:id="1022897755">
                  <w:marLeft w:val="0"/>
                  <w:marRight w:val="0"/>
                  <w:marTop w:val="0"/>
                  <w:marBottom w:val="0"/>
                  <w:divBdr>
                    <w:top w:val="none" w:sz="0" w:space="0" w:color="auto"/>
                    <w:left w:val="none" w:sz="0" w:space="0" w:color="auto"/>
                    <w:bottom w:val="none" w:sz="0" w:space="0" w:color="auto"/>
                    <w:right w:val="none" w:sz="0" w:space="0" w:color="auto"/>
                  </w:divBdr>
                  <w:divsChild>
                    <w:div w:id="7190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00855">
      <w:bodyDiv w:val="1"/>
      <w:marLeft w:val="0"/>
      <w:marRight w:val="0"/>
      <w:marTop w:val="0"/>
      <w:marBottom w:val="0"/>
      <w:divBdr>
        <w:top w:val="none" w:sz="0" w:space="0" w:color="auto"/>
        <w:left w:val="none" w:sz="0" w:space="0" w:color="auto"/>
        <w:bottom w:val="none" w:sz="0" w:space="0" w:color="auto"/>
        <w:right w:val="none" w:sz="0" w:space="0" w:color="auto"/>
      </w:divBdr>
    </w:div>
    <w:div w:id="1248340860">
      <w:bodyDiv w:val="1"/>
      <w:marLeft w:val="0"/>
      <w:marRight w:val="0"/>
      <w:marTop w:val="0"/>
      <w:marBottom w:val="0"/>
      <w:divBdr>
        <w:top w:val="none" w:sz="0" w:space="0" w:color="auto"/>
        <w:left w:val="none" w:sz="0" w:space="0" w:color="auto"/>
        <w:bottom w:val="none" w:sz="0" w:space="0" w:color="auto"/>
        <w:right w:val="none" w:sz="0" w:space="0" w:color="auto"/>
      </w:divBdr>
    </w:div>
    <w:div w:id="1257862705">
      <w:bodyDiv w:val="1"/>
      <w:marLeft w:val="0"/>
      <w:marRight w:val="0"/>
      <w:marTop w:val="0"/>
      <w:marBottom w:val="0"/>
      <w:divBdr>
        <w:top w:val="none" w:sz="0" w:space="0" w:color="auto"/>
        <w:left w:val="none" w:sz="0" w:space="0" w:color="auto"/>
        <w:bottom w:val="none" w:sz="0" w:space="0" w:color="auto"/>
        <w:right w:val="none" w:sz="0" w:space="0" w:color="auto"/>
      </w:divBdr>
    </w:div>
    <w:div w:id="1326201127">
      <w:bodyDiv w:val="1"/>
      <w:marLeft w:val="0"/>
      <w:marRight w:val="0"/>
      <w:marTop w:val="0"/>
      <w:marBottom w:val="0"/>
      <w:divBdr>
        <w:top w:val="none" w:sz="0" w:space="0" w:color="auto"/>
        <w:left w:val="none" w:sz="0" w:space="0" w:color="auto"/>
        <w:bottom w:val="none" w:sz="0" w:space="0" w:color="auto"/>
        <w:right w:val="none" w:sz="0" w:space="0" w:color="auto"/>
      </w:divBdr>
    </w:div>
    <w:div w:id="1384020613">
      <w:bodyDiv w:val="1"/>
      <w:marLeft w:val="0"/>
      <w:marRight w:val="0"/>
      <w:marTop w:val="0"/>
      <w:marBottom w:val="0"/>
      <w:divBdr>
        <w:top w:val="none" w:sz="0" w:space="0" w:color="auto"/>
        <w:left w:val="none" w:sz="0" w:space="0" w:color="auto"/>
        <w:bottom w:val="none" w:sz="0" w:space="0" w:color="auto"/>
        <w:right w:val="none" w:sz="0" w:space="0" w:color="auto"/>
      </w:divBdr>
    </w:div>
    <w:div w:id="1386222250">
      <w:bodyDiv w:val="1"/>
      <w:marLeft w:val="0"/>
      <w:marRight w:val="0"/>
      <w:marTop w:val="0"/>
      <w:marBottom w:val="0"/>
      <w:divBdr>
        <w:top w:val="none" w:sz="0" w:space="0" w:color="auto"/>
        <w:left w:val="none" w:sz="0" w:space="0" w:color="auto"/>
        <w:bottom w:val="none" w:sz="0" w:space="0" w:color="auto"/>
        <w:right w:val="none" w:sz="0" w:space="0" w:color="auto"/>
      </w:divBdr>
    </w:div>
    <w:div w:id="1392192591">
      <w:bodyDiv w:val="1"/>
      <w:marLeft w:val="0"/>
      <w:marRight w:val="0"/>
      <w:marTop w:val="0"/>
      <w:marBottom w:val="0"/>
      <w:divBdr>
        <w:top w:val="none" w:sz="0" w:space="0" w:color="auto"/>
        <w:left w:val="none" w:sz="0" w:space="0" w:color="auto"/>
        <w:bottom w:val="none" w:sz="0" w:space="0" w:color="auto"/>
        <w:right w:val="none" w:sz="0" w:space="0" w:color="auto"/>
      </w:divBdr>
    </w:div>
    <w:div w:id="1457329113">
      <w:bodyDiv w:val="1"/>
      <w:marLeft w:val="0"/>
      <w:marRight w:val="0"/>
      <w:marTop w:val="0"/>
      <w:marBottom w:val="0"/>
      <w:divBdr>
        <w:top w:val="none" w:sz="0" w:space="0" w:color="auto"/>
        <w:left w:val="none" w:sz="0" w:space="0" w:color="auto"/>
        <w:bottom w:val="none" w:sz="0" w:space="0" w:color="auto"/>
        <w:right w:val="none" w:sz="0" w:space="0" w:color="auto"/>
      </w:divBdr>
    </w:div>
    <w:div w:id="1487699505">
      <w:bodyDiv w:val="1"/>
      <w:marLeft w:val="0"/>
      <w:marRight w:val="0"/>
      <w:marTop w:val="0"/>
      <w:marBottom w:val="0"/>
      <w:divBdr>
        <w:top w:val="none" w:sz="0" w:space="0" w:color="auto"/>
        <w:left w:val="none" w:sz="0" w:space="0" w:color="auto"/>
        <w:bottom w:val="none" w:sz="0" w:space="0" w:color="auto"/>
        <w:right w:val="none" w:sz="0" w:space="0" w:color="auto"/>
      </w:divBdr>
    </w:div>
    <w:div w:id="1501653177">
      <w:bodyDiv w:val="1"/>
      <w:marLeft w:val="0"/>
      <w:marRight w:val="0"/>
      <w:marTop w:val="0"/>
      <w:marBottom w:val="0"/>
      <w:divBdr>
        <w:top w:val="none" w:sz="0" w:space="0" w:color="auto"/>
        <w:left w:val="none" w:sz="0" w:space="0" w:color="auto"/>
        <w:bottom w:val="none" w:sz="0" w:space="0" w:color="auto"/>
        <w:right w:val="none" w:sz="0" w:space="0" w:color="auto"/>
      </w:divBdr>
    </w:div>
    <w:div w:id="1516918491">
      <w:bodyDiv w:val="1"/>
      <w:marLeft w:val="0"/>
      <w:marRight w:val="0"/>
      <w:marTop w:val="0"/>
      <w:marBottom w:val="0"/>
      <w:divBdr>
        <w:top w:val="none" w:sz="0" w:space="0" w:color="auto"/>
        <w:left w:val="none" w:sz="0" w:space="0" w:color="auto"/>
        <w:bottom w:val="none" w:sz="0" w:space="0" w:color="auto"/>
        <w:right w:val="none" w:sz="0" w:space="0" w:color="auto"/>
      </w:divBdr>
    </w:div>
    <w:div w:id="1552770966">
      <w:bodyDiv w:val="1"/>
      <w:marLeft w:val="0"/>
      <w:marRight w:val="0"/>
      <w:marTop w:val="0"/>
      <w:marBottom w:val="0"/>
      <w:divBdr>
        <w:top w:val="none" w:sz="0" w:space="0" w:color="auto"/>
        <w:left w:val="none" w:sz="0" w:space="0" w:color="auto"/>
        <w:bottom w:val="none" w:sz="0" w:space="0" w:color="auto"/>
        <w:right w:val="none" w:sz="0" w:space="0" w:color="auto"/>
      </w:divBdr>
      <w:divsChild>
        <w:div w:id="515734062">
          <w:marLeft w:val="0"/>
          <w:marRight w:val="0"/>
          <w:marTop w:val="0"/>
          <w:marBottom w:val="0"/>
          <w:divBdr>
            <w:top w:val="none" w:sz="0" w:space="0" w:color="auto"/>
            <w:left w:val="none" w:sz="0" w:space="0" w:color="auto"/>
            <w:bottom w:val="none" w:sz="0" w:space="0" w:color="auto"/>
            <w:right w:val="none" w:sz="0" w:space="0" w:color="auto"/>
          </w:divBdr>
          <w:divsChild>
            <w:div w:id="120611738">
              <w:marLeft w:val="0"/>
              <w:marRight w:val="0"/>
              <w:marTop w:val="0"/>
              <w:marBottom w:val="0"/>
              <w:divBdr>
                <w:top w:val="none" w:sz="0" w:space="0" w:color="auto"/>
                <w:left w:val="none" w:sz="0" w:space="0" w:color="auto"/>
                <w:bottom w:val="none" w:sz="0" w:space="0" w:color="auto"/>
                <w:right w:val="none" w:sz="0" w:space="0" w:color="auto"/>
              </w:divBdr>
              <w:divsChild>
                <w:div w:id="1711421050">
                  <w:marLeft w:val="0"/>
                  <w:marRight w:val="0"/>
                  <w:marTop w:val="0"/>
                  <w:marBottom w:val="0"/>
                  <w:divBdr>
                    <w:top w:val="none" w:sz="0" w:space="0" w:color="auto"/>
                    <w:left w:val="none" w:sz="0" w:space="0" w:color="auto"/>
                    <w:bottom w:val="none" w:sz="0" w:space="0" w:color="auto"/>
                    <w:right w:val="none" w:sz="0" w:space="0" w:color="auto"/>
                  </w:divBdr>
                  <w:divsChild>
                    <w:div w:id="18997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11487">
      <w:bodyDiv w:val="1"/>
      <w:marLeft w:val="0"/>
      <w:marRight w:val="0"/>
      <w:marTop w:val="0"/>
      <w:marBottom w:val="0"/>
      <w:divBdr>
        <w:top w:val="none" w:sz="0" w:space="0" w:color="auto"/>
        <w:left w:val="none" w:sz="0" w:space="0" w:color="auto"/>
        <w:bottom w:val="none" w:sz="0" w:space="0" w:color="auto"/>
        <w:right w:val="none" w:sz="0" w:space="0" w:color="auto"/>
      </w:divBdr>
    </w:div>
    <w:div w:id="1575579604">
      <w:bodyDiv w:val="1"/>
      <w:marLeft w:val="0"/>
      <w:marRight w:val="0"/>
      <w:marTop w:val="0"/>
      <w:marBottom w:val="0"/>
      <w:divBdr>
        <w:top w:val="none" w:sz="0" w:space="0" w:color="auto"/>
        <w:left w:val="none" w:sz="0" w:space="0" w:color="auto"/>
        <w:bottom w:val="none" w:sz="0" w:space="0" w:color="auto"/>
        <w:right w:val="none" w:sz="0" w:space="0" w:color="auto"/>
      </w:divBdr>
      <w:divsChild>
        <w:div w:id="613294361">
          <w:marLeft w:val="0"/>
          <w:marRight w:val="0"/>
          <w:marTop w:val="0"/>
          <w:marBottom w:val="0"/>
          <w:divBdr>
            <w:top w:val="none" w:sz="0" w:space="0" w:color="auto"/>
            <w:left w:val="none" w:sz="0" w:space="0" w:color="auto"/>
            <w:bottom w:val="none" w:sz="0" w:space="0" w:color="auto"/>
            <w:right w:val="none" w:sz="0" w:space="0" w:color="auto"/>
          </w:divBdr>
          <w:divsChild>
            <w:div w:id="1897084949">
              <w:marLeft w:val="0"/>
              <w:marRight w:val="0"/>
              <w:marTop w:val="0"/>
              <w:marBottom w:val="0"/>
              <w:divBdr>
                <w:top w:val="none" w:sz="0" w:space="0" w:color="auto"/>
                <w:left w:val="none" w:sz="0" w:space="0" w:color="auto"/>
                <w:bottom w:val="none" w:sz="0" w:space="0" w:color="auto"/>
                <w:right w:val="none" w:sz="0" w:space="0" w:color="auto"/>
              </w:divBdr>
              <w:divsChild>
                <w:div w:id="18993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57021">
      <w:bodyDiv w:val="1"/>
      <w:marLeft w:val="0"/>
      <w:marRight w:val="0"/>
      <w:marTop w:val="0"/>
      <w:marBottom w:val="0"/>
      <w:divBdr>
        <w:top w:val="none" w:sz="0" w:space="0" w:color="auto"/>
        <w:left w:val="none" w:sz="0" w:space="0" w:color="auto"/>
        <w:bottom w:val="none" w:sz="0" w:space="0" w:color="auto"/>
        <w:right w:val="none" w:sz="0" w:space="0" w:color="auto"/>
      </w:divBdr>
      <w:divsChild>
        <w:div w:id="1605380999">
          <w:marLeft w:val="0"/>
          <w:marRight w:val="0"/>
          <w:marTop w:val="0"/>
          <w:marBottom w:val="0"/>
          <w:divBdr>
            <w:top w:val="none" w:sz="0" w:space="0" w:color="auto"/>
            <w:left w:val="none" w:sz="0" w:space="0" w:color="auto"/>
            <w:bottom w:val="none" w:sz="0" w:space="0" w:color="auto"/>
            <w:right w:val="none" w:sz="0" w:space="0" w:color="auto"/>
          </w:divBdr>
          <w:divsChild>
            <w:div w:id="73867365">
              <w:marLeft w:val="0"/>
              <w:marRight w:val="0"/>
              <w:marTop w:val="0"/>
              <w:marBottom w:val="0"/>
              <w:divBdr>
                <w:top w:val="none" w:sz="0" w:space="0" w:color="auto"/>
                <w:left w:val="none" w:sz="0" w:space="0" w:color="auto"/>
                <w:bottom w:val="none" w:sz="0" w:space="0" w:color="auto"/>
                <w:right w:val="none" w:sz="0" w:space="0" w:color="auto"/>
              </w:divBdr>
              <w:divsChild>
                <w:div w:id="18908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0879">
      <w:bodyDiv w:val="1"/>
      <w:marLeft w:val="0"/>
      <w:marRight w:val="0"/>
      <w:marTop w:val="0"/>
      <w:marBottom w:val="0"/>
      <w:divBdr>
        <w:top w:val="none" w:sz="0" w:space="0" w:color="auto"/>
        <w:left w:val="none" w:sz="0" w:space="0" w:color="auto"/>
        <w:bottom w:val="none" w:sz="0" w:space="0" w:color="auto"/>
        <w:right w:val="none" w:sz="0" w:space="0" w:color="auto"/>
      </w:divBdr>
      <w:divsChild>
        <w:div w:id="640043119">
          <w:marLeft w:val="0"/>
          <w:marRight w:val="0"/>
          <w:marTop w:val="0"/>
          <w:marBottom w:val="0"/>
          <w:divBdr>
            <w:top w:val="none" w:sz="0" w:space="0" w:color="auto"/>
            <w:left w:val="none" w:sz="0" w:space="0" w:color="auto"/>
            <w:bottom w:val="none" w:sz="0" w:space="0" w:color="auto"/>
            <w:right w:val="none" w:sz="0" w:space="0" w:color="auto"/>
          </w:divBdr>
          <w:divsChild>
            <w:div w:id="197933344">
              <w:marLeft w:val="0"/>
              <w:marRight w:val="0"/>
              <w:marTop w:val="0"/>
              <w:marBottom w:val="0"/>
              <w:divBdr>
                <w:top w:val="none" w:sz="0" w:space="0" w:color="auto"/>
                <w:left w:val="none" w:sz="0" w:space="0" w:color="auto"/>
                <w:bottom w:val="none" w:sz="0" w:space="0" w:color="auto"/>
                <w:right w:val="none" w:sz="0" w:space="0" w:color="auto"/>
              </w:divBdr>
              <w:divsChild>
                <w:div w:id="83497498">
                  <w:marLeft w:val="0"/>
                  <w:marRight w:val="0"/>
                  <w:marTop w:val="0"/>
                  <w:marBottom w:val="0"/>
                  <w:divBdr>
                    <w:top w:val="none" w:sz="0" w:space="0" w:color="auto"/>
                    <w:left w:val="none" w:sz="0" w:space="0" w:color="auto"/>
                    <w:bottom w:val="none" w:sz="0" w:space="0" w:color="auto"/>
                    <w:right w:val="none" w:sz="0" w:space="0" w:color="auto"/>
                  </w:divBdr>
                  <w:divsChild>
                    <w:div w:id="17916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5717">
      <w:bodyDiv w:val="1"/>
      <w:marLeft w:val="0"/>
      <w:marRight w:val="0"/>
      <w:marTop w:val="0"/>
      <w:marBottom w:val="0"/>
      <w:divBdr>
        <w:top w:val="none" w:sz="0" w:space="0" w:color="auto"/>
        <w:left w:val="none" w:sz="0" w:space="0" w:color="auto"/>
        <w:bottom w:val="none" w:sz="0" w:space="0" w:color="auto"/>
        <w:right w:val="none" w:sz="0" w:space="0" w:color="auto"/>
      </w:divBdr>
    </w:div>
    <w:div w:id="1665473520">
      <w:bodyDiv w:val="1"/>
      <w:marLeft w:val="0"/>
      <w:marRight w:val="0"/>
      <w:marTop w:val="0"/>
      <w:marBottom w:val="0"/>
      <w:divBdr>
        <w:top w:val="none" w:sz="0" w:space="0" w:color="auto"/>
        <w:left w:val="none" w:sz="0" w:space="0" w:color="auto"/>
        <w:bottom w:val="none" w:sz="0" w:space="0" w:color="auto"/>
        <w:right w:val="none" w:sz="0" w:space="0" w:color="auto"/>
      </w:divBdr>
    </w:div>
    <w:div w:id="1682391449">
      <w:bodyDiv w:val="1"/>
      <w:marLeft w:val="0"/>
      <w:marRight w:val="0"/>
      <w:marTop w:val="0"/>
      <w:marBottom w:val="0"/>
      <w:divBdr>
        <w:top w:val="none" w:sz="0" w:space="0" w:color="auto"/>
        <w:left w:val="none" w:sz="0" w:space="0" w:color="auto"/>
        <w:bottom w:val="none" w:sz="0" w:space="0" w:color="auto"/>
        <w:right w:val="none" w:sz="0" w:space="0" w:color="auto"/>
      </w:divBdr>
      <w:divsChild>
        <w:div w:id="662781529">
          <w:marLeft w:val="0"/>
          <w:marRight w:val="0"/>
          <w:marTop w:val="0"/>
          <w:marBottom w:val="0"/>
          <w:divBdr>
            <w:top w:val="none" w:sz="0" w:space="0" w:color="auto"/>
            <w:left w:val="none" w:sz="0" w:space="0" w:color="auto"/>
            <w:bottom w:val="none" w:sz="0" w:space="0" w:color="auto"/>
            <w:right w:val="none" w:sz="0" w:space="0" w:color="auto"/>
          </w:divBdr>
          <w:divsChild>
            <w:div w:id="410928591">
              <w:marLeft w:val="0"/>
              <w:marRight w:val="0"/>
              <w:marTop w:val="0"/>
              <w:marBottom w:val="0"/>
              <w:divBdr>
                <w:top w:val="none" w:sz="0" w:space="0" w:color="auto"/>
                <w:left w:val="none" w:sz="0" w:space="0" w:color="auto"/>
                <w:bottom w:val="none" w:sz="0" w:space="0" w:color="auto"/>
                <w:right w:val="none" w:sz="0" w:space="0" w:color="auto"/>
              </w:divBdr>
              <w:divsChild>
                <w:div w:id="557478544">
                  <w:marLeft w:val="0"/>
                  <w:marRight w:val="0"/>
                  <w:marTop w:val="0"/>
                  <w:marBottom w:val="0"/>
                  <w:divBdr>
                    <w:top w:val="none" w:sz="0" w:space="0" w:color="auto"/>
                    <w:left w:val="none" w:sz="0" w:space="0" w:color="auto"/>
                    <w:bottom w:val="none" w:sz="0" w:space="0" w:color="auto"/>
                    <w:right w:val="none" w:sz="0" w:space="0" w:color="auto"/>
                  </w:divBdr>
                </w:div>
              </w:divsChild>
            </w:div>
            <w:div w:id="518592416">
              <w:marLeft w:val="0"/>
              <w:marRight w:val="0"/>
              <w:marTop w:val="0"/>
              <w:marBottom w:val="0"/>
              <w:divBdr>
                <w:top w:val="none" w:sz="0" w:space="0" w:color="auto"/>
                <w:left w:val="none" w:sz="0" w:space="0" w:color="auto"/>
                <w:bottom w:val="none" w:sz="0" w:space="0" w:color="auto"/>
                <w:right w:val="none" w:sz="0" w:space="0" w:color="auto"/>
              </w:divBdr>
              <w:divsChild>
                <w:div w:id="1495607500">
                  <w:marLeft w:val="0"/>
                  <w:marRight w:val="0"/>
                  <w:marTop w:val="0"/>
                  <w:marBottom w:val="0"/>
                  <w:divBdr>
                    <w:top w:val="none" w:sz="0" w:space="0" w:color="auto"/>
                    <w:left w:val="none" w:sz="0" w:space="0" w:color="auto"/>
                    <w:bottom w:val="none" w:sz="0" w:space="0" w:color="auto"/>
                    <w:right w:val="none" w:sz="0" w:space="0" w:color="auto"/>
                  </w:divBdr>
                </w:div>
              </w:divsChild>
            </w:div>
            <w:div w:id="570502191">
              <w:marLeft w:val="0"/>
              <w:marRight w:val="0"/>
              <w:marTop w:val="0"/>
              <w:marBottom w:val="0"/>
              <w:divBdr>
                <w:top w:val="none" w:sz="0" w:space="0" w:color="auto"/>
                <w:left w:val="none" w:sz="0" w:space="0" w:color="auto"/>
                <w:bottom w:val="none" w:sz="0" w:space="0" w:color="auto"/>
                <w:right w:val="none" w:sz="0" w:space="0" w:color="auto"/>
              </w:divBdr>
              <w:divsChild>
                <w:div w:id="2106263276">
                  <w:marLeft w:val="0"/>
                  <w:marRight w:val="0"/>
                  <w:marTop w:val="0"/>
                  <w:marBottom w:val="0"/>
                  <w:divBdr>
                    <w:top w:val="none" w:sz="0" w:space="0" w:color="auto"/>
                    <w:left w:val="none" w:sz="0" w:space="0" w:color="auto"/>
                    <w:bottom w:val="none" w:sz="0" w:space="0" w:color="auto"/>
                    <w:right w:val="none" w:sz="0" w:space="0" w:color="auto"/>
                  </w:divBdr>
                </w:div>
              </w:divsChild>
            </w:div>
            <w:div w:id="882328633">
              <w:marLeft w:val="0"/>
              <w:marRight w:val="0"/>
              <w:marTop w:val="0"/>
              <w:marBottom w:val="0"/>
              <w:divBdr>
                <w:top w:val="none" w:sz="0" w:space="0" w:color="auto"/>
                <w:left w:val="none" w:sz="0" w:space="0" w:color="auto"/>
                <w:bottom w:val="none" w:sz="0" w:space="0" w:color="auto"/>
                <w:right w:val="none" w:sz="0" w:space="0" w:color="auto"/>
              </w:divBdr>
              <w:divsChild>
                <w:div w:id="385491208">
                  <w:marLeft w:val="0"/>
                  <w:marRight w:val="0"/>
                  <w:marTop w:val="0"/>
                  <w:marBottom w:val="0"/>
                  <w:divBdr>
                    <w:top w:val="none" w:sz="0" w:space="0" w:color="auto"/>
                    <w:left w:val="none" w:sz="0" w:space="0" w:color="auto"/>
                    <w:bottom w:val="none" w:sz="0" w:space="0" w:color="auto"/>
                    <w:right w:val="none" w:sz="0" w:space="0" w:color="auto"/>
                  </w:divBdr>
                </w:div>
              </w:divsChild>
            </w:div>
            <w:div w:id="966009872">
              <w:marLeft w:val="0"/>
              <w:marRight w:val="0"/>
              <w:marTop w:val="0"/>
              <w:marBottom w:val="0"/>
              <w:divBdr>
                <w:top w:val="none" w:sz="0" w:space="0" w:color="auto"/>
                <w:left w:val="none" w:sz="0" w:space="0" w:color="auto"/>
                <w:bottom w:val="none" w:sz="0" w:space="0" w:color="auto"/>
                <w:right w:val="none" w:sz="0" w:space="0" w:color="auto"/>
              </w:divBdr>
              <w:divsChild>
                <w:div w:id="1246065867">
                  <w:marLeft w:val="0"/>
                  <w:marRight w:val="0"/>
                  <w:marTop w:val="0"/>
                  <w:marBottom w:val="0"/>
                  <w:divBdr>
                    <w:top w:val="none" w:sz="0" w:space="0" w:color="auto"/>
                    <w:left w:val="none" w:sz="0" w:space="0" w:color="auto"/>
                    <w:bottom w:val="none" w:sz="0" w:space="0" w:color="auto"/>
                    <w:right w:val="none" w:sz="0" w:space="0" w:color="auto"/>
                  </w:divBdr>
                </w:div>
              </w:divsChild>
            </w:div>
            <w:div w:id="1809274002">
              <w:marLeft w:val="0"/>
              <w:marRight w:val="0"/>
              <w:marTop w:val="0"/>
              <w:marBottom w:val="0"/>
              <w:divBdr>
                <w:top w:val="none" w:sz="0" w:space="0" w:color="auto"/>
                <w:left w:val="none" w:sz="0" w:space="0" w:color="auto"/>
                <w:bottom w:val="none" w:sz="0" w:space="0" w:color="auto"/>
                <w:right w:val="none" w:sz="0" w:space="0" w:color="auto"/>
              </w:divBdr>
              <w:divsChild>
                <w:div w:id="604387028">
                  <w:marLeft w:val="0"/>
                  <w:marRight w:val="0"/>
                  <w:marTop w:val="0"/>
                  <w:marBottom w:val="0"/>
                  <w:divBdr>
                    <w:top w:val="none" w:sz="0" w:space="0" w:color="auto"/>
                    <w:left w:val="none" w:sz="0" w:space="0" w:color="auto"/>
                    <w:bottom w:val="none" w:sz="0" w:space="0" w:color="auto"/>
                    <w:right w:val="none" w:sz="0" w:space="0" w:color="auto"/>
                  </w:divBdr>
                </w:div>
              </w:divsChild>
            </w:div>
            <w:div w:id="2069721284">
              <w:marLeft w:val="0"/>
              <w:marRight w:val="0"/>
              <w:marTop w:val="0"/>
              <w:marBottom w:val="0"/>
              <w:divBdr>
                <w:top w:val="none" w:sz="0" w:space="0" w:color="auto"/>
                <w:left w:val="none" w:sz="0" w:space="0" w:color="auto"/>
                <w:bottom w:val="none" w:sz="0" w:space="0" w:color="auto"/>
                <w:right w:val="none" w:sz="0" w:space="0" w:color="auto"/>
              </w:divBdr>
              <w:divsChild>
                <w:div w:id="797335328">
                  <w:marLeft w:val="0"/>
                  <w:marRight w:val="0"/>
                  <w:marTop w:val="0"/>
                  <w:marBottom w:val="0"/>
                  <w:divBdr>
                    <w:top w:val="none" w:sz="0" w:space="0" w:color="auto"/>
                    <w:left w:val="none" w:sz="0" w:space="0" w:color="auto"/>
                    <w:bottom w:val="none" w:sz="0" w:space="0" w:color="auto"/>
                    <w:right w:val="none" w:sz="0" w:space="0" w:color="auto"/>
                  </w:divBdr>
                </w:div>
                <w:div w:id="16604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7097">
      <w:bodyDiv w:val="1"/>
      <w:marLeft w:val="0"/>
      <w:marRight w:val="0"/>
      <w:marTop w:val="0"/>
      <w:marBottom w:val="0"/>
      <w:divBdr>
        <w:top w:val="none" w:sz="0" w:space="0" w:color="auto"/>
        <w:left w:val="none" w:sz="0" w:space="0" w:color="auto"/>
        <w:bottom w:val="none" w:sz="0" w:space="0" w:color="auto"/>
        <w:right w:val="none" w:sz="0" w:space="0" w:color="auto"/>
      </w:divBdr>
    </w:div>
    <w:div w:id="1711570891">
      <w:bodyDiv w:val="1"/>
      <w:marLeft w:val="0"/>
      <w:marRight w:val="0"/>
      <w:marTop w:val="0"/>
      <w:marBottom w:val="0"/>
      <w:divBdr>
        <w:top w:val="none" w:sz="0" w:space="0" w:color="auto"/>
        <w:left w:val="none" w:sz="0" w:space="0" w:color="auto"/>
        <w:bottom w:val="none" w:sz="0" w:space="0" w:color="auto"/>
        <w:right w:val="none" w:sz="0" w:space="0" w:color="auto"/>
      </w:divBdr>
    </w:div>
    <w:div w:id="1739862994">
      <w:bodyDiv w:val="1"/>
      <w:marLeft w:val="0"/>
      <w:marRight w:val="0"/>
      <w:marTop w:val="0"/>
      <w:marBottom w:val="0"/>
      <w:divBdr>
        <w:top w:val="none" w:sz="0" w:space="0" w:color="auto"/>
        <w:left w:val="none" w:sz="0" w:space="0" w:color="auto"/>
        <w:bottom w:val="none" w:sz="0" w:space="0" w:color="auto"/>
        <w:right w:val="none" w:sz="0" w:space="0" w:color="auto"/>
      </w:divBdr>
      <w:divsChild>
        <w:div w:id="25251268">
          <w:marLeft w:val="0"/>
          <w:marRight w:val="0"/>
          <w:marTop w:val="0"/>
          <w:marBottom w:val="0"/>
          <w:divBdr>
            <w:top w:val="none" w:sz="0" w:space="0" w:color="auto"/>
            <w:left w:val="none" w:sz="0" w:space="0" w:color="auto"/>
            <w:bottom w:val="none" w:sz="0" w:space="0" w:color="auto"/>
            <w:right w:val="none" w:sz="0" w:space="0" w:color="auto"/>
          </w:divBdr>
          <w:divsChild>
            <w:div w:id="898054298">
              <w:marLeft w:val="0"/>
              <w:marRight w:val="0"/>
              <w:marTop w:val="0"/>
              <w:marBottom w:val="0"/>
              <w:divBdr>
                <w:top w:val="none" w:sz="0" w:space="0" w:color="auto"/>
                <w:left w:val="none" w:sz="0" w:space="0" w:color="auto"/>
                <w:bottom w:val="none" w:sz="0" w:space="0" w:color="auto"/>
                <w:right w:val="none" w:sz="0" w:space="0" w:color="auto"/>
              </w:divBdr>
              <w:divsChild>
                <w:div w:id="2343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1155">
      <w:bodyDiv w:val="1"/>
      <w:marLeft w:val="0"/>
      <w:marRight w:val="0"/>
      <w:marTop w:val="0"/>
      <w:marBottom w:val="0"/>
      <w:divBdr>
        <w:top w:val="none" w:sz="0" w:space="0" w:color="auto"/>
        <w:left w:val="none" w:sz="0" w:space="0" w:color="auto"/>
        <w:bottom w:val="none" w:sz="0" w:space="0" w:color="auto"/>
        <w:right w:val="none" w:sz="0" w:space="0" w:color="auto"/>
      </w:divBdr>
    </w:div>
    <w:div w:id="1819224793">
      <w:bodyDiv w:val="1"/>
      <w:marLeft w:val="0"/>
      <w:marRight w:val="0"/>
      <w:marTop w:val="0"/>
      <w:marBottom w:val="0"/>
      <w:divBdr>
        <w:top w:val="none" w:sz="0" w:space="0" w:color="auto"/>
        <w:left w:val="none" w:sz="0" w:space="0" w:color="auto"/>
        <w:bottom w:val="none" w:sz="0" w:space="0" w:color="auto"/>
        <w:right w:val="none" w:sz="0" w:space="0" w:color="auto"/>
      </w:divBdr>
    </w:div>
    <w:div w:id="1835799041">
      <w:bodyDiv w:val="1"/>
      <w:marLeft w:val="0"/>
      <w:marRight w:val="0"/>
      <w:marTop w:val="0"/>
      <w:marBottom w:val="0"/>
      <w:divBdr>
        <w:top w:val="none" w:sz="0" w:space="0" w:color="auto"/>
        <w:left w:val="none" w:sz="0" w:space="0" w:color="auto"/>
        <w:bottom w:val="none" w:sz="0" w:space="0" w:color="auto"/>
        <w:right w:val="none" w:sz="0" w:space="0" w:color="auto"/>
      </w:divBdr>
    </w:div>
    <w:div w:id="1873418150">
      <w:bodyDiv w:val="1"/>
      <w:marLeft w:val="0"/>
      <w:marRight w:val="0"/>
      <w:marTop w:val="0"/>
      <w:marBottom w:val="0"/>
      <w:divBdr>
        <w:top w:val="none" w:sz="0" w:space="0" w:color="auto"/>
        <w:left w:val="none" w:sz="0" w:space="0" w:color="auto"/>
        <w:bottom w:val="none" w:sz="0" w:space="0" w:color="auto"/>
        <w:right w:val="none" w:sz="0" w:space="0" w:color="auto"/>
      </w:divBdr>
    </w:div>
    <w:div w:id="1892964120">
      <w:bodyDiv w:val="1"/>
      <w:marLeft w:val="0"/>
      <w:marRight w:val="0"/>
      <w:marTop w:val="0"/>
      <w:marBottom w:val="0"/>
      <w:divBdr>
        <w:top w:val="none" w:sz="0" w:space="0" w:color="auto"/>
        <w:left w:val="none" w:sz="0" w:space="0" w:color="auto"/>
        <w:bottom w:val="none" w:sz="0" w:space="0" w:color="auto"/>
        <w:right w:val="none" w:sz="0" w:space="0" w:color="auto"/>
      </w:divBdr>
    </w:div>
    <w:div w:id="1925189461">
      <w:bodyDiv w:val="1"/>
      <w:marLeft w:val="0"/>
      <w:marRight w:val="0"/>
      <w:marTop w:val="0"/>
      <w:marBottom w:val="0"/>
      <w:divBdr>
        <w:top w:val="none" w:sz="0" w:space="0" w:color="auto"/>
        <w:left w:val="none" w:sz="0" w:space="0" w:color="auto"/>
        <w:bottom w:val="none" w:sz="0" w:space="0" w:color="auto"/>
        <w:right w:val="none" w:sz="0" w:space="0" w:color="auto"/>
      </w:divBdr>
    </w:div>
    <w:div w:id="1977879468">
      <w:bodyDiv w:val="1"/>
      <w:marLeft w:val="0"/>
      <w:marRight w:val="0"/>
      <w:marTop w:val="0"/>
      <w:marBottom w:val="0"/>
      <w:divBdr>
        <w:top w:val="none" w:sz="0" w:space="0" w:color="auto"/>
        <w:left w:val="none" w:sz="0" w:space="0" w:color="auto"/>
        <w:bottom w:val="none" w:sz="0" w:space="0" w:color="auto"/>
        <w:right w:val="none" w:sz="0" w:space="0" w:color="auto"/>
      </w:divBdr>
    </w:div>
    <w:div w:id="2044281478">
      <w:bodyDiv w:val="1"/>
      <w:marLeft w:val="0"/>
      <w:marRight w:val="0"/>
      <w:marTop w:val="0"/>
      <w:marBottom w:val="0"/>
      <w:divBdr>
        <w:top w:val="none" w:sz="0" w:space="0" w:color="auto"/>
        <w:left w:val="none" w:sz="0" w:space="0" w:color="auto"/>
        <w:bottom w:val="none" w:sz="0" w:space="0" w:color="auto"/>
        <w:right w:val="none" w:sz="0" w:space="0" w:color="auto"/>
      </w:divBdr>
    </w:div>
    <w:div w:id="2056461258">
      <w:bodyDiv w:val="1"/>
      <w:marLeft w:val="0"/>
      <w:marRight w:val="0"/>
      <w:marTop w:val="0"/>
      <w:marBottom w:val="0"/>
      <w:divBdr>
        <w:top w:val="none" w:sz="0" w:space="0" w:color="auto"/>
        <w:left w:val="none" w:sz="0" w:space="0" w:color="auto"/>
        <w:bottom w:val="none" w:sz="0" w:space="0" w:color="auto"/>
        <w:right w:val="none" w:sz="0" w:space="0" w:color="auto"/>
      </w:divBdr>
    </w:div>
    <w:div w:id="2077894952">
      <w:bodyDiv w:val="1"/>
      <w:marLeft w:val="0"/>
      <w:marRight w:val="0"/>
      <w:marTop w:val="0"/>
      <w:marBottom w:val="0"/>
      <w:divBdr>
        <w:top w:val="none" w:sz="0" w:space="0" w:color="auto"/>
        <w:left w:val="none" w:sz="0" w:space="0" w:color="auto"/>
        <w:bottom w:val="none" w:sz="0" w:space="0" w:color="auto"/>
        <w:right w:val="none" w:sz="0" w:space="0" w:color="auto"/>
      </w:divBdr>
    </w:div>
    <w:div w:id="2080053571">
      <w:bodyDiv w:val="1"/>
      <w:marLeft w:val="0"/>
      <w:marRight w:val="0"/>
      <w:marTop w:val="0"/>
      <w:marBottom w:val="0"/>
      <w:divBdr>
        <w:top w:val="none" w:sz="0" w:space="0" w:color="auto"/>
        <w:left w:val="none" w:sz="0" w:space="0" w:color="auto"/>
        <w:bottom w:val="none" w:sz="0" w:space="0" w:color="auto"/>
        <w:right w:val="none" w:sz="0" w:space="0" w:color="auto"/>
      </w:divBdr>
    </w:div>
    <w:div w:id="20924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8F743-B6C0-4CC0-80BE-8B0CBB66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18486</Words>
  <Characters>105372</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123611</CharactersWithSpaces>
  <SharedDoc>false</SharedDoc>
  <HLinks>
    <vt:vector size="288" baseType="variant">
      <vt:variant>
        <vt:i4>7798839</vt:i4>
      </vt:variant>
      <vt:variant>
        <vt:i4>282</vt:i4>
      </vt:variant>
      <vt:variant>
        <vt:i4>0</vt:i4>
      </vt:variant>
      <vt:variant>
        <vt:i4>5</vt:i4>
      </vt:variant>
      <vt:variant>
        <vt:lpwstr>https://dss.un.org/dssweb/</vt:lpwstr>
      </vt:variant>
      <vt:variant>
        <vt:lpwstr/>
      </vt:variant>
      <vt:variant>
        <vt:i4>7143450</vt:i4>
      </vt:variant>
      <vt:variant>
        <vt:i4>279</vt:i4>
      </vt:variant>
      <vt:variant>
        <vt:i4>0</vt:i4>
      </vt:variant>
      <vt:variant>
        <vt:i4>5</vt:i4>
      </vt:variant>
      <vt:variant>
        <vt:lpwstr>http://web.undp.org/evaluation/documents/guidance/GEF/mid-term/Guidance_Midterm Review _EN_2014.pdf</vt:lpwstr>
      </vt:variant>
      <vt:variant>
        <vt:lpwstr/>
      </vt:variant>
      <vt:variant>
        <vt:i4>1179708</vt:i4>
      </vt:variant>
      <vt:variant>
        <vt:i4>272</vt:i4>
      </vt:variant>
      <vt:variant>
        <vt:i4>0</vt:i4>
      </vt:variant>
      <vt:variant>
        <vt:i4>5</vt:i4>
      </vt:variant>
      <vt:variant>
        <vt:lpwstr/>
      </vt:variant>
      <vt:variant>
        <vt:lpwstr>_Toc19520688</vt:lpwstr>
      </vt:variant>
      <vt:variant>
        <vt:i4>1900604</vt:i4>
      </vt:variant>
      <vt:variant>
        <vt:i4>266</vt:i4>
      </vt:variant>
      <vt:variant>
        <vt:i4>0</vt:i4>
      </vt:variant>
      <vt:variant>
        <vt:i4>5</vt:i4>
      </vt:variant>
      <vt:variant>
        <vt:lpwstr/>
      </vt:variant>
      <vt:variant>
        <vt:lpwstr>_Toc19520687</vt:lpwstr>
      </vt:variant>
      <vt:variant>
        <vt:i4>1835068</vt:i4>
      </vt:variant>
      <vt:variant>
        <vt:i4>260</vt:i4>
      </vt:variant>
      <vt:variant>
        <vt:i4>0</vt:i4>
      </vt:variant>
      <vt:variant>
        <vt:i4>5</vt:i4>
      </vt:variant>
      <vt:variant>
        <vt:lpwstr/>
      </vt:variant>
      <vt:variant>
        <vt:lpwstr>_Toc19520686</vt:lpwstr>
      </vt:variant>
      <vt:variant>
        <vt:i4>2031676</vt:i4>
      </vt:variant>
      <vt:variant>
        <vt:i4>254</vt:i4>
      </vt:variant>
      <vt:variant>
        <vt:i4>0</vt:i4>
      </vt:variant>
      <vt:variant>
        <vt:i4>5</vt:i4>
      </vt:variant>
      <vt:variant>
        <vt:lpwstr/>
      </vt:variant>
      <vt:variant>
        <vt:lpwstr>_Toc19520685</vt:lpwstr>
      </vt:variant>
      <vt:variant>
        <vt:i4>1966140</vt:i4>
      </vt:variant>
      <vt:variant>
        <vt:i4>248</vt:i4>
      </vt:variant>
      <vt:variant>
        <vt:i4>0</vt:i4>
      </vt:variant>
      <vt:variant>
        <vt:i4>5</vt:i4>
      </vt:variant>
      <vt:variant>
        <vt:lpwstr/>
      </vt:variant>
      <vt:variant>
        <vt:lpwstr>_Toc19520684</vt:lpwstr>
      </vt:variant>
      <vt:variant>
        <vt:i4>1638460</vt:i4>
      </vt:variant>
      <vt:variant>
        <vt:i4>242</vt:i4>
      </vt:variant>
      <vt:variant>
        <vt:i4>0</vt:i4>
      </vt:variant>
      <vt:variant>
        <vt:i4>5</vt:i4>
      </vt:variant>
      <vt:variant>
        <vt:lpwstr/>
      </vt:variant>
      <vt:variant>
        <vt:lpwstr>_Toc19520683</vt:lpwstr>
      </vt:variant>
      <vt:variant>
        <vt:i4>1572924</vt:i4>
      </vt:variant>
      <vt:variant>
        <vt:i4>236</vt:i4>
      </vt:variant>
      <vt:variant>
        <vt:i4>0</vt:i4>
      </vt:variant>
      <vt:variant>
        <vt:i4>5</vt:i4>
      </vt:variant>
      <vt:variant>
        <vt:lpwstr/>
      </vt:variant>
      <vt:variant>
        <vt:lpwstr>_Toc19520682</vt:lpwstr>
      </vt:variant>
      <vt:variant>
        <vt:i4>1769532</vt:i4>
      </vt:variant>
      <vt:variant>
        <vt:i4>230</vt:i4>
      </vt:variant>
      <vt:variant>
        <vt:i4>0</vt:i4>
      </vt:variant>
      <vt:variant>
        <vt:i4>5</vt:i4>
      </vt:variant>
      <vt:variant>
        <vt:lpwstr/>
      </vt:variant>
      <vt:variant>
        <vt:lpwstr>_Toc19520681</vt:lpwstr>
      </vt:variant>
      <vt:variant>
        <vt:i4>1703996</vt:i4>
      </vt:variant>
      <vt:variant>
        <vt:i4>224</vt:i4>
      </vt:variant>
      <vt:variant>
        <vt:i4>0</vt:i4>
      </vt:variant>
      <vt:variant>
        <vt:i4>5</vt:i4>
      </vt:variant>
      <vt:variant>
        <vt:lpwstr/>
      </vt:variant>
      <vt:variant>
        <vt:lpwstr>_Toc19520680</vt:lpwstr>
      </vt:variant>
      <vt:variant>
        <vt:i4>1245235</vt:i4>
      </vt:variant>
      <vt:variant>
        <vt:i4>218</vt:i4>
      </vt:variant>
      <vt:variant>
        <vt:i4>0</vt:i4>
      </vt:variant>
      <vt:variant>
        <vt:i4>5</vt:i4>
      </vt:variant>
      <vt:variant>
        <vt:lpwstr/>
      </vt:variant>
      <vt:variant>
        <vt:lpwstr>_Toc19520679</vt:lpwstr>
      </vt:variant>
      <vt:variant>
        <vt:i4>1179699</vt:i4>
      </vt:variant>
      <vt:variant>
        <vt:i4>212</vt:i4>
      </vt:variant>
      <vt:variant>
        <vt:i4>0</vt:i4>
      </vt:variant>
      <vt:variant>
        <vt:i4>5</vt:i4>
      </vt:variant>
      <vt:variant>
        <vt:lpwstr/>
      </vt:variant>
      <vt:variant>
        <vt:lpwstr>_Toc19520678</vt:lpwstr>
      </vt:variant>
      <vt:variant>
        <vt:i4>1900595</vt:i4>
      </vt:variant>
      <vt:variant>
        <vt:i4>206</vt:i4>
      </vt:variant>
      <vt:variant>
        <vt:i4>0</vt:i4>
      </vt:variant>
      <vt:variant>
        <vt:i4>5</vt:i4>
      </vt:variant>
      <vt:variant>
        <vt:lpwstr/>
      </vt:variant>
      <vt:variant>
        <vt:lpwstr>_Toc19520677</vt:lpwstr>
      </vt:variant>
      <vt:variant>
        <vt:i4>1835059</vt:i4>
      </vt:variant>
      <vt:variant>
        <vt:i4>200</vt:i4>
      </vt:variant>
      <vt:variant>
        <vt:i4>0</vt:i4>
      </vt:variant>
      <vt:variant>
        <vt:i4>5</vt:i4>
      </vt:variant>
      <vt:variant>
        <vt:lpwstr/>
      </vt:variant>
      <vt:variant>
        <vt:lpwstr>_Toc19520676</vt:lpwstr>
      </vt:variant>
      <vt:variant>
        <vt:i4>2031667</vt:i4>
      </vt:variant>
      <vt:variant>
        <vt:i4>194</vt:i4>
      </vt:variant>
      <vt:variant>
        <vt:i4>0</vt:i4>
      </vt:variant>
      <vt:variant>
        <vt:i4>5</vt:i4>
      </vt:variant>
      <vt:variant>
        <vt:lpwstr/>
      </vt:variant>
      <vt:variant>
        <vt:lpwstr>_Toc19520675</vt:lpwstr>
      </vt:variant>
      <vt:variant>
        <vt:i4>1966131</vt:i4>
      </vt:variant>
      <vt:variant>
        <vt:i4>188</vt:i4>
      </vt:variant>
      <vt:variant>
        <vt:i4>0</vt:i4>
      </vt:variant>
      <vt:variant>
        <vt:i4>5</vt:i4>
      </vt:variant>
      <vt:variant>
        <vt:lpwstr/>
      </vt:variant>
      <vt:variant>
        <vt:lpwstr>_Toc19520674</vt:lpwstr>
      </vt:variant>
      <vt:variant>
        <vt:i4>1638451</vt:i4>
      </vt:variant>
      <vt:variant>
        <vt:i4>182</vt:i4>
      </vt:variant>
      <vt:variant>
        <vt:i4>0</vt:i4>
      </vt:variant>
      <vt:variant>
        <vt:i4>5</vt:i4>
      </vt:variant>
      <vt:variant>
        <vt:lpwstr/>
      </vt:variant>
      <vt:variant>
        <vt:lpwstr>_Toc19520673</vt:lpwstr>
      </vt:variant>
      <vt:variant>
        <vt:i4>1572915</vt:i4>
      </vt:variant>
      <vt:variant>
        <vt:i4>176</vt:i4>
      </vt:variant>
      <vt:variant>
        <vt:i4>0</vt:i4>
      </vt:variant>
      <vt:variant>
        <vt:i4>5</vt:i4>
      </vt:variant>
      <vt:variant>
        <vt:lpwstr/>
      </vt:variant>
      <vt:variant>
        <vt:lpwstr>_Toc19520672</vt:lpwstr>
      </vt:variant>
      <vt:variant>
        <vt:i4>1769523</vt:i4>
      </vt:variant>
      <vt:variant>
        <vt:i4>170</vt:i4>
      </vt:variant>
      <vt:variant>
        <vt:i4>0</vt:i4>
      </vt:variant>
      <vt:variant>
        <vt:i4>5</vt:i4>
      </vt:variant>
      <vt:variant>
        <vt:lpwstr/>
      </vt:variant>
      <vt:variant>
        <vt:lpwstr>_Toc19520671</vt:lpwstr>
      </vt:variant>
      <vt:variant>
        <vt:i4>1703987</vt:i4>
      </vt:variant>
      <vt:variant>
        <vt:i4>164</vt:i4>
      </vt:variant>
      <vt:variant>
        <vt:i4>0</vt:i4>
      </vt:variant>
      <vt:variant>
        <vt:i4>5</vt:i4>
      </vt:variant>
      <vt:variant>
        <vt:lpwstr/>
      </vt:variant>
      <vt:variant>
        <vt:lpwstr>_Toc19520670</vt:lpwstr>
      </vt:variant>
      <vt:variant>
        <vt:i4>1245234</vt:i4>
      </vt:variant>
      <vt:variant>
        <vt:i4>158</vt:i4>
      </vt:variant>
      <vt:variant>
        <vt:i4>0</vt:i4>
      </vt:variant>
      <vt:variant>
        <vt:i4>5</vt:i4>
      </vt:variant>
      <vt:variant>
        <vt:lpwstr/>
      </vt:variant>
      <vt:variant>
        <vt:lpwstr>_Toc19520669</vt:lpwstr>
      </vt:variant>
      <vt:variant>
        <vt:i4>1179698</vt:i4>
      </vt:variant>
      <vt:variant>
        <vt:i4>152</vt:i4>
      </vt:variant>
      <vt:variant>
        <vt:i4>0</vt:i4>
      </vt:variant>
      <vt:variant>
        <vt:i4>5</vt:i4>
      </vt:variant>
      <vt:variant>
        <vt:lpwstr/>
      </vt:variant>
      <vt:variant>
        <vt:lpwstr>_Toc19520668</vt:lpwstr>
      </vt:variant>
      <vt:variant>
        <vt:i4>1900594</vt:i4>
      </vt:variant>
      <vt:variant>
        <vt:i4>146</vt:i4>
      </vt:variant>
      <vt:variant>
        <vt:i4>0</vt:i4>
      </vt:variant>
      <vt:variant>
        <vt:i4>5</vt:i4>
      </vt:variant>
      <vt:variant>
        <vt:lpwstr/>
      </vt:variant>
      <vt:variant>
        <vt:lpwstr>_Toc19520667</vt:lpwstr>
      </vt:variant>
      <vt:variant>
        <vt:i4>1835058</vt:i4>
      </vt:variant>
      <vt:variant>
        <vt:i4>140</vt:i4>
      </vt:variant>
      <vt:variant>
        <vt:i4>0</vt:i4>
      </vt:variant>
      <vt:variant>
        <vt:i4>5</vt:i4>
      </vt:variant>
      <vt:variant>
        <vt:lpwstr/>
      </vt:variant>
      <vt:variant>
        <vt:lpwstr>_Toc19520666</vt:lpwstr>
      </vt:variant>
      <vt:variant>
        <vt:i4>2031666</vt:i4>
      </vt:variant>
      <vt:variant>
        <vt:i4>134</vt:i4>
      </vt:variant>
      <vt:variant>
        <vt:i4>0</vt:i4>
      </vt:variant>
      <vt:variant>
        <vt:i4>5</vt:i4>
      </vt:variant>
      <vt:variant>
        <vt:lpwstr/>
      </vt:variant>
      <vt:variant>
        <vt:lpwstr>_Toc19520665</vt:lpwstr>
      </vt:variant>
      <vt:variant>
        <vt:i4>1966130</vt:i4>
      </vt:variant>
      <vt:variant>
        <vt:i4>128</vt:i4>
      </vt:variant>
      <vt:variant>
        <vt:i4>0</vt:i4>
      </vt:variant>
      <vt:variant>
        <vt:i4>5</vt:i4>
      </vt:variant>
      <vt:variant>
        <vt:lpwstr/>
      </vt:variant>
      <vt:variant>
        <vt:lpwstr>_Toc19520664</vt:lpwstr>
      </vt:variant>
      <vt:variant>
        <vt:i4>1638450</vt:i4>
      </vt:variant>
      <vt:variant>
        <vt:i4>122</vt:i4>
      </vt:variant>
      <vt:variant>
        <vt:i4>0</vt:i4>
      </vt:variant>
      <vt:variant>
        <vt:i4>5</vt:i4>
      </vt:variant>
      <vt:variant>
        <vt:lpwstr/>
      </vt:variant>
      <vt:variant>
        <vt:lpwstr>_Toc19520663</vt:lpwstr>
      </vt:variant>
      <vt:variant>
        <vt:i4>1572914</vt:i4>
      </vt:variant>
      <vt:variant>
        <vt:i4>116</vt:i4>
      </vt:variant>
      <vt:variant>
        <vt:i4>0</vt:i4>
      </vt:variant>
      <vt:variant>
        <vt:i4>5</vt:i4>
      </vt:variant>
      <vt:variant>
        <vt:lpwstr/>
      </vt:variant>
      <vt:variant>
        <vt:lpwstr>_Toc19520662</vt:lpwstr>
      </vt:variant>
      <vt:variant>
        <vt:i4>1769522</vt:i4>
      </vt:variant>
      <vt:variant>
        <vt:i4>110</vt:i4>
      </vt:variant>
      <vt:variant>
        <vt:i4>0</vt:i4>
      </vt:variant>
      <vt:variant>
        <vt:i4>5</vt:i4>
      </vt:variant>
      <vt:variant>
        <vt:lpwstr/>
      </vt:variant>
      <vt:variant>
        <vt:lpwstr>_Toc19520661</vt:lpwstr>
      </vt:variant>
      <vt:variant>
        <vt:i4>1703986</vt:i4>
      </vt:variant>
      <vt:variant>
        <vt:i4>104</vt:i4>
      </vt:variant>
      <vt:variant>
        <vt:i4>0</vt:i4>
      </vt:variant>
      <vt:variant>
        <vt:i4>5</vt:i4>
      </vt:variant>
      <vt:variant>
        <vt:lpwstr/>
      </vt:variant>
      <vt:variant>
        <vt:lpwstr>_Toc19520660</vt:lpwstr>
      </vt:variant>
      <vt:variant>
        <vt:i4>1245233</vt:i4>
      </vt:variant>
      <vt:variant>
        <vt:i4>98</vt:i4>
      </vt:variant>
      <vt:variant>
        <vt:i4>0</vt:i4>
      </vt:variant>
      <vt:variant>
        <vt:i4>5</vt:i4>
      </vt:variant>
      <vt:variant>
        <vt:lpwstr/>
      </vt:variant>
      <vt:variant>
        <vt:lpwstr>_Toc19520659</vt:lpwstr>
      </vt:variant>
      <vt:variant>
        <vt:i4>1179697</vt:i4>
      </vt:variant>
      <vt:variant>
        <vt:i4>92</vt:i4>
      </vt:variant>
      <vt:variant>
        <vt:i4>0</vt:i4>
      </vt:variant>
      <vt:variant>
        <vt:i4>5</vt:i4>
      </vt:variant>
      <vt:variant>
        <vt:lpwstr/>
      </vt:variant>
      <vt:variant>
        <vt:lpwstr>_Toc19520658</vt:lpwstr>
      </vt:variant>
      <vt:variant>
        <vt:i4>1900593</vt:i4>
      </vt:variant>
      <vt:variant>
        <vt:i4>86</vt:i4>
      </vt:variant>
      <vt:variant>
        <vt:i4>0</vt:i4>
      </vt:variant>
      <vt:variant>
        <vt:i4>5</vt:i4>
      </vt:variant>
      <vt:variant>
        <vt:lpwstr/>
      </vt:variant>
      <vt:variant>
        <vt:lpwstr>_Toc19520657</vt:lpwstr>
      </vt:variant>
      <vt:variant>
        <vt:i4>1835057</vt:i4>
      </vt:variant>
      <vt:variant>
        <vt:i4>80</vt:i4>
      </vt:variant>
      <vt:variant>
        <vt:i4>0</vt:i4>
      </vt:variant>
      <vt:variant>
        <vt:i4>5</vt:i4>
      </vt:variant>
      <vt:variant>
        <vt:lpwstr/>
      </vt:variant>
      <vt:variant>
        <vt:lpwstr>_Toc19520656</vt:lpwstr>
      </vt:variant>
      <vt:variant>
        <vt:i4>2031665</vt:i4>
      </vt:variant>
      <vt:variant>
        <vt:i4>74</vt:i4>
      </vt:variant>
      <vt:variant>
        <vt:i4>0</vt:i4>
      </vt:variant>
      <vt:variant>
        <vt:i4>5</vt:i4>
      </vt:variant>
      <vt:variant>
        <vt:lpwstr/>
      </vt:variant>
      <vt:variant>
        <vt:lpwstr>_Toc19520655</vt:lpwstr>
      </vt:variant>
      <vt:variant>
        <vt:i4>1966129</vt:i4>
      </vt:variant>
      <vt:variant>
        <vt:i4>68</vt:i4>
      </vt:variant>
      <vt:variant>
        <vt:i4>0</vt:i4>
      </vt:variant>
      <vt:variant>
        <vt:i4>5</vt:i4>
      </vt:variant>
      <vt:variant>
        <vt:lpwstr/>
      </vt:variant>
      <vt:variant>
        <vt:lpwstr>_Toc19520654</vt:lpwstr>
      </vt:variant>
      <vt:variant>
        <vt:i4>1638449</vt:i4>
      </vt:variant>
      <vt:variant>
        <vt:i4>62</vt:i4>
      </vt:variant>
      <vt:variant>
        <vt:i4>0</vt:i4>
      </vt:variant>
      <vt:variant>
        <vt:i4>5</vt:i4>
      </vt:variant>
      <vt:variant>
        <vt:lpwstr/>
      </vt:variant>
      <vt:variant>
        <vt:lpwstr>_Toc19520653</vt:lpwstr>
      </vt:variant>
      <vt:variant>
        <vt:i4>1572913</vt:i4>
      </vt:variant>
      <vt:variant>
        <vt:i4>56</vt:i4>
      </vt:variant>
      <vt:variant>
        <vt:i4>0</vt:i4>
      </vt:variant>
      <vt:variant>
        <vt:i4>5</vt:i4>
      </vt:variant>
      <vt:variant>
        <vt:lpwstr/>
      </vt:variant>
      <vt:variant>
        <vt:lpwstr>_Toc19520652</vt:lpwstr>
      </vt:variant>
      <vt:variant>
        <vt:i4>1769521</vt:i4>
      </vt:variant>
      <vt:variant>
        <vt:i4>50</vt:i4>
      </vt:variant>
      <vt:variant>
        <vt:i4>0</vt:i4>
      </vt:variant>
      <vt:variant>
        <vt:i4>5</vt:i4>
      </vt:variant>
      <vt:variant>
        <vt:lpwstr/>
      </vt:variant>
      <vt:variant>
        <vt:lpwstr>_Toc19520651</vt:lpwstr>
      </vt:variant>
      <vt:variant>
        <vt:i4>1703985</vt:i4>
      </vt:variant>
      <vt:variant>
        <vt:i4>44</vt:i4>
      </vt:variant>
      <vt:variant>
        <vt:i4>0</vt:i4>
      </vt:variant>
      <vt:variant>
        <vt:i4>5</vt:i4>
      </vt:variant>
      <vt:variant>
        <vt:lpwstr/>
      </vt:variant>
      <vt:variant>
        <vt:lpwstr>_Toc19520650</vt:lpwstr>
      </vt:variant>
      <vt:variant>
        <vt:i4>1245232</vt:i4>
      </vt:variant>
      <vt:variant>
        <vt:i4>38</vt:i4>
      </vt:variant>
      <vt:variant>
        <vt:i4>0</vt:i4>
      </vt:variant>
      <vt:variant>
        <vt:i4>5</vt:i4>
      </vt:variant>
      <vt:variant>
        <vt:lpwstr/>
      </vt:variant>
      <vt:variant>
        <vt:lpwstr>_Toc19520649</vt:lpwstr>
      </vt:variant>
      <vt:variant>
        <vt:i4>1179696</vt:i4>
      </vt:variant>
      <vt:variant>
        <vt:i4>32</vt:i4>
      </vt:variant>
      <vt:variant>
        <vt:i4>0</vt:i4>
      </vt:variant>
      <vt:variant>
        <vt:i4>5</vt:i4>
      </vt:variant>
      <vt:variant>
        <vt:lpwstr/>
      </vt:variant>
      <vt:variant>
        <vt:lpwstr>_Toc19520648</vt:lpwstr>
      </vt:variant>
      <vt:variant>
        <vt:i4>1900592</vt:i4>
      </vt:variant>
      <vt:variant>
        <vt:i4>26</vt:i4>
      </vt:variant>
      <vt:variant>
        <vt:i4>0</vt:i4>
      </vt:variant>
      <vt:variant>
        <vt:i4>5</vt:i4>
      </vt:variant>
      <vt:variant>
        <vt:lpwstr/>
      </vt:variant>
      <vt:variant>
        <vt:lpwstr>_Toc19520647</vt:lpwstr>
      </vt:variant>
      <vt:variant>
        <vt:i4>1835056</vt:i4>
      </vt:variant>
      <vt:variant>
        <vt:i4>20</vt:i4>
      </vt:variant>
      <vt:variant>
        <vt:i4>0</vt:i4>
      </vt:variant>
      <vt:variant>
        <vt:i4>5</vt:i4>
      </vt:variant>
      <vt:variant>
        <vt:lpwstr/>
      </vt:variant>
      <vt:variant>
        <vt:lpwstr>_Toc19520646</vt:lpwstr>
      </vt:variant>
      <vt:variant>
        <vt:i4>2031664</vt:i4>
      </vt:variant>
      <vt:variant>
        <vt:i4>14</vt:i4>
      </vt:variant>
      <vt:variant>
        <vt:i4>0</vt:i4>
      </vt:variant>
      <vt:variant>
        <vt:i4>5</vt:i4>
      </vt:variant>
      <vt:variant>
        <vt:lpwstr/>
      </vt:variant>
      <vt:variant>
        <vt:lpwstr>_Toc19520645</vt:lpwstr>
      </vt:variant>
      <vt:variant>
        <vt:i4>1966128</vt:i4>
      </vt:variant>
      <vt:variant>
        <vt:i4>8</vt:i4>
      </vt:variant>
      <vt:variant>
        <vt:i4>0</vt:i4>
      </vt:variant>
      <vt:variant>
        <vt:i4>5</vt:i4>
      </vt:variant>
      <vt:variant>
        <vt:lpwstr/>
      </vt:variant>
      <vt:variant>
        <vt:lpwstr>_Toc19520644</vt:lpwstr>
      </vt:variant>
      <vt:variant>
        <vt:i4>1638448</vt:i4>
      </vt:variant>
      <vt:variant>
        <vt:i4>2</vt:i4>
      </vt:variant>
      <vt:variant>
        <vt:i4>0</vt:i4>
      </vt:variant>
      <vt:variant>
        <vt:i4>5</vt:i4>
      </vt:variant>
      <vt:variant>
        <vt:lpwstr/>
      </vt:variant>
      <vt:variant>
        <vt:lpwstr>_Toc19520643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UNDP</cp:lastModifiedBy>
  <cp:revision>2</cp:revision>
  <cp:lastPrinted>2021-02-18T12:34:00Z</cp:lastPrinted>
  <dcterms:created xsi:type="dcterms:W3CDTF">2021-03-17T07:48:00Z</dcterms:created>
  <dcterms:modified xsi:type="dcterms:W3CDTF">2021-03-17T07:48:00Z</dcterms:modified>
</cp:coreProperties>
</file>