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0944A" w14:textId="03613013" w:rsidR="008F0CC9" w:rsidRDefault="008F0CC9"/>
    <w:p w14:paraId="33FB8477" w14:textId="77777777" w:rsidR="00A4576E" w:rsidRPr="00CF2370" w:rsidRDefault="00A4576E" w:rsidP="00A4576E">
      <w:pPr>
        <w:rPr>
          <w:b/>
        </w:rPr>
      </w:pPr>
      <w:bookmarkStart w:id="0" w:name="_Hlk521927233"/>
      <w:r w:rsidRPr="00CF2370">
        <w:rPr>
          <w:b/>
        </w:rPr>
        <w:t xml:space="preserve">Annex B: Project Results </w:t>
      </w:r>
      <w:r>
        <w:rPr>
          <w:b/>
        </w:rPr>
        <w:t>f</w:t>
      </w:r>
      <w:r w:rsidRPr="00CF2370">
        <w:rPr>
          <w:b/>
        </w:rPr>
        <w:t xml:space="preserve">ramework </w:t>
      </w:r>
      <w:bookmarkStart w:id="1" w:name="_Hlk503949576"/>
      <w:r w:rsidRPr="00CF2370">
        <w:rPr>
          <w:b/>
        </w:rPr>
        <w:t xml:space="preserve">(MUST include sex- and age disaggregated data) </w:t>
      </w:r>
      <w:bookmarkEnd w:id="1"/>
    </w:p>
    <w:tbl>
      <w:tblPr>
        <w:tblpPr w:leftFromText="180" w:rightFromText="180" w:vertAnchor="page" w:horzAnchor="margin" w:tblpY="216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834"/>
        <w:gridCol w:w="3120"/>
        <w:gridCol w:w="2409"/>
        <w:gridCol w:w="2268"/>
      </w:tblGrid>
      <w:tr w:rsidR="00321B89" w:rsidRPr="00321B89" w14:paraId="26111B3D" w14:textId="77777777" w:rsidTr="00DB59E9">
        <w:trPr>
          <w:tblHeader/>
        </w:trPr>
        <w:tc>
          <w:tcPr>
            <w:tcW w:w="1838" w:type="dxa"/>
            <w:shd w:val="clear" w:color="auto" w:fill="4C4C4C"/>
            <w:vAlign w:val="center"/>
          </w:tcPr>
          <w:p w14:paraId="531585B2" w14:textId="77777777" w:rsidR="00A4576E" w:rsidRPr="00321B89" w:rsidRDefault="00A4576E" w:rsidP="00DB59E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21B89">
              <w:rPr>
                <w:b/>
                <w:sz w:val="18"/>
                <w:szCs w:val="18"/>
              </w:rPr>
              <w:t>Outcomes</w:t>
            </w:r>
          </w:p>
        </w:tc>
        <w:tc>
          <w:tcPr>
            <w:tcW w:w="2834" w:type="dxa"/>
            <w:tcBorders>
              <w:bottom w:val="nil"/>
            </w:tcBorders>
            <w:shd w:val="clear" w:color="auto" w:fill="4C4C4C"/>
            <w:vAlign w:val="center"/>
          </w:tcPr>
          <w:p w14:paraId="7BB6EDE7" w14:textId="77777777" w:rsidR="00A4576E" w:rsidRPr="00321B89" w:rsidRDefault="00A4576E" w:rsidP="00DB59E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21B89">
              <w:rPr>
                <w:b/>
                <w:sz w:val="18"/>
                <w:szCs w:val="18"/>
              </w:rPr>
              <w:t>Outputs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4C4C4C"/>
            <w:vAlign w:val="center"/>
          </w:tcPr>
          <w:p w14:paraId="33D1BADE" w14:textId="77777777" w:rsidR="00A4576E" w:rsidRPr="00321B89" w:rsidRDefault="00A4576E" w:rsidP="00DB59E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21B89">
              <w:rPr>
                <w:b/>
                <w:sz w:val="18"/>
                <w:szCs w:val="18"/>
              </w:rPr>
              <w:t>Indicators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4C4C4C"/>
            <w:vAlign w:val="center"/>
          </w:tcPr>
          <w:p w14:paraId="0FFAAB8C" w14:textId="77777777" w:rsidR="00A4576E" w:rsidRPr="00321B89" w:rsidRDefault="00A4576E" w:rsidP="00DB59E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21B89">
              <w:rPr>
                <w:b/>
                <w:sz w:val="18"/>
                <w:szCs w:val="18"/>
              </w:rPr>
              <w:t>Means of Verification/ frequency of collection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4C4C4C"/>
            <w:vAlign w:val="center"/>
          </w:tcPr>
          <w:p w14:paraId="1E93C59F" w14:textId="77777777" w:rsidR="00A4576E" w:rsidRPr="00321B89" w:rsidRDefault="00A4576E" w:rsidP="00DB59E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21B89">
              <w:rPr>
                <w:b/>
                <w:sz w:val="18"/>
                <w:szCs w:val="18"/>
              </w:rPr>
              <w:t>Indicator milestones</w:t>
            </w:r>
          </w:p>
        </w:tc>
      </w:tr>
      <w:tr w:rsidR="00321B89" w:rsidRPr="00321B89" w14:paraId="24968F65" w14:textId="77777777" w:rsidTr="00DB59E9">
        <w:trPr>
          <w:trHeight w:val="1514"/>
        </w:trPr>
        <w:tc>
          <w:tcPr>
            <w:tcW w:w="1838" w:type="dxa"/>
            <w:vMerge w:val="restart"/>
            <w:tcBorders>
              <w:right w:val="nil"/>
            </w:tcBorders>
            <w:shd w:val="clear" w:color="auto" w:fill="FFFF99"/>
            <w:vAlign w:val="center"/>
          </w:tcPr>
          <w:p w14:paraId="794EA8A8" w14:textId="77777777" w:rsidR="00A4576E" w:rsidRPr="00321B89" w:rsidRDefault="00A4576E" w:rsidP="00DB59E9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321B89">
              <w:rPr>
                <w:b/>
                <w:sz w:val="18"/>
                <w:szCs w:val="18"/>
                <w:u w:val="single"/>
              </w:rPr>
              <w:t>Outcome 1</w:t>
            </w:r>
            <w:r w:rsidRPr="00321B89">
              <w:rPr>
                <w:b/>
                <w:sz w:val="18"/>
                <w:szCs w:val="18"/>
              </w:rPr>
              <w:t>:</w:t>
            </w:r>
            <w:r w:rsidRPr="00321B89">
              <w:rPr>
                <w:rFonts w:eastAsiaTheme="minorEastAsia"/>
                <w:b/>
                <w:kern w:val="24"/>
                <w:sz w:val="18"/>
                <w:szCs w:val="18"/>
              </w:rPr>
              <w:t xml:space="preserve"> </w:t>
            </w:r>
            <w:r w:rsidRPr="00321B89">
              <w:rPr>
                <w:b/>
                <w:sz w:val="18"/>
                <w:szCs w:val="18"/>
              </w:rPr>
              <w:t xml:space="preserve">Stability and trust in the region, and especially in </w:t>
            </w:r>
            <w:proofErr w:type="spellStart"/>
            <w:r w:rsidRPr="00321B89">
              <w:rPr>
                <w:b/>
                <w:sz w:val="18"/>
                <w:szCs w:val="18"/>
              </w:rPr>
              <w:t>BiH</w:t>
            </w:r>
            <w:proofErr w:type="spellEnd"/>
            <w:r w:rsidRPr="00321B89">
              <w:rPr>
                <w:b/>
                <w:sz w:val="18"/>
                <w:szCs w:val="18"/>
              </w:rPr>
              <w:t>, are enhanced.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9A92965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49A5E4FA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Outcome indicator 1 a:</w:t>
            </w:r>
            <w:r w:rsidRPr="00321B89">
              <w:rPr>
                <w:sz w:val="18"/>
                <w:szCs w:val="18"/>
              </w:rPr>
              <w:t xml:space="preserve"> Rank of Bosnia and Herzegovina in the </w:t>
            </w:r>
            <w:hyperlink r:id="rId11" w:history="1">
              <w:r w:rsidRPr="00321B89">
                <w:rPr>
                  <w:rStyle w:val="Hyperlink"/>
                  <w:color w:val="auto"/>
                  <w:sz w:val="18"/>
                  <w:szCs w:val="18"/>
                </w:rPr>
                <w:t>2018 Global Peace Index</w:t>
              </w:r>
            </w:hyperlink>
            <w:r w:rsidRPr="00321B89">
              <w:rPr>
                <w:sz w:val="18"/>
                <w:szCs w:val="18"/>
              </w:rPr>
              <w:t>.</w:t>
            </w:r>
          </w:p>
          <w:p w14:paraId="7C4E2A20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5DB30FA0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Baseline (2018):</w:t>
            </w:r>
            <w:r w:rsidRPr="00321B89">
              <w:rPr>
                <w:i/>
                <w:sz w:val="18"/>
                <w:szCs w:val="18"/>
              </w:rPr>
              <w:t xml:space="preserve"> </w:t>
            </w:r>
            <w:r w:rsidRPr="00321B89">
              <w:rPr>
                <w:sz w:val="18"/>
                <w:szCs w:val="18"/>
              </w:rPr>
              <w:t>89 out of 163 countries.</w:t>
            </w:r>
          </w:p>
          <w:p w14:paraId="396B4CA9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6468B992" w14:textId="639562AF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Target (2021):</w:t>
            </w:r>
            <w:r w:rsidRPr="00321B89">
              <w:rPr>
                <w:sz w:val="18"/>
                <w:szCs w:val="18"/>
              </w:rPr>
              <w:t xml:space="preserve"> Improved ranking.</w:t>
            </w:r>
          </w:p>
        </w:tc>
        <w:tc>
          <w:tcPr>
            <w:tcW w:w="2409" w:type="dxa"/>
            <w:shd w:val="clear" w:color="auto" w:fill="FFFF99"/>
            <w:vAlign w:val="center"/>
          </w:tcPr>
          <w:p w14:paraId="20A40F80" w14:textId="77777777" w:rsidR="00A4576E" w:rsidRPr="00321B89" w:rsidRDefault="00365693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hyperlink r:id="rId12" w:history="1">
              <w:r w:rsidR="00A4576E" w:rsidRPr="00321B89">
                <w:rPr>
                  <w:rStyle w:val="Hyperlink"/>
                  <w:color w:val="auto"/>
                  <w:sz w:val="18"/>
                  <w:szCs w:val="18"/>
                </w:rPr>
                <w:t>Global Peace Index of the Institute for Economics and Peace</w:t>
              </w:r>
            </w:hyperlink>
            <w:r w:rsidR="00A4576E" w:rsidRPr="00321B89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50F365D5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The rankings are published annually.</w:t>
            </w:r>
          </w:p>
        </w:tc>
      </w:tr>
      <w:tr w:rsidR="00321B89" w:rsidRPr="00321B89" w14:paraId="5D02B48C" w14:textId="77777777" w:rsidTr="00DB59E9">
        <w:trPr>
          <w:trHeight w:val="1514"/>
        </w:trPr>
        <w:tc>
          <w:tcPr>
            <w:tcW w:w="1838" w:type="dxa"/>
            <w:vMerge/>
            <w:tcBorders>
              <w:right w:val="nil"/>
            </w:tcBorders>
            <w:shd w:val="clear" w:color="auto" w:fill="FFFF99"/>
            <w:vAlign w:val="center"/>
          </w:tcPr>
          <w:p w14:paraId="3F07E890" w14:textId="77777777" w:rsidR="00A4576E" w:rsidRPr="00321B89" w:rsidRDefault="00A4576E" w:rsidP="00DB59E9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D71B21B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7DCA8ED2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Outcome Indicator 1 b</w:t>
            </w:r>
            <w:r w:rsidRPr="00321B89">
              <w:rPr>
                <w:i/>
                <w:sz w:val="18"/>
                <w:szCs w:val="18"/>
              </w:rPr>
              <w:t xml:space="preserve">: </w:t>
            </w:r>
            <w:r w:rsidRPr="00321B89">
              <w:rPr>
                <w:sz w:val="18"/>
                <w:szCs w:val="18"/>
              </w:rPr>
              <w:t>Percentage of youth indicating higher levels of trust towards other ethnic groups in the region.</w:t>
            </w:r>
          </w:p>
          <w:p w14:paraId="5ED60666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53C0577D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Baseline (2017):</w:t>
            </w:r>
            <w:r w:rsidRPr="00321B89">
              <w:rPr>
                <w:sz w:val="18"/>
                <w:szCs w:val="18"/>
              </w:rPr>
              <w:t xml:space="preserve"> low overall level of trust between youth of different ethnicities</w:t>
            </w:r>
            <w:r w:rsidRPr="00321B89">
              <w:rPr>
                <w:rStyle w:val="FootnoteReference"/>
                <w:sz w:val="18"/>
                <w:szCs w:val="18"/>
              </w:rPr>
              <w:footnoteReference w:id="1"/>
            </w:r>
            <w:r w:rsidRPr="00321B89">
              <w:rPr>
                <w:sz w:val="18"/>
                <w:szCs w:val="18"/>
              </w:rPr>
              <w:t xml:space="preserve">. </w:t>
            </w:r>
          </w:p>
          <w:p w14:paraId="14E9277C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4F9C880D" w14:textId="5DD5A0E4" w:rsidR="00A4576E" w:rsidRPr="00321B89" w:rsidRDefault="00A4576E" w:rsidP="00DB59E9">
            <w:pPr>
              <w:spacing w:before="60" w:after="60"/>
              <w:jc w:val="both"/>
              <w:rPr>
                <w:i/>
                <w:sz w:val="18"/>
                <w:szCs w:val="18"/>
                <w:u w:val="single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Target (2021):</w:t>
            </w:r>
            <w:r w:rsidRPr="00321B89">
              <w:rPr>
                <w:sz w:val="18"/>
                <w:szCs w:val="18"/>
              </w:rPr>
              <w:t xml:space="preserve"> 50% of surveyed youth, particularly in BIH (including youth who are direct project beneficiaries) report increased trust toward members of other ethnicities.</w:t>
            </w:r>
          </w:p>
        </w:tc>
        <w:tc>
          <w:tcPr>
            <w:tcW w:w="2409" w:type="dxa"/>
            <w:shd w:val="clear" w:color="auto" w:fill="FFFF99"/>
            <w:vAlign w:val="center"/>
          </w:tcPr>
          <w:p w14:paraId="431C49EB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Findings of the perception survey commissioned by the programme.</w:t>
            </w:r>
          </w:p>
          <w:p w14:paraId="2F4C8521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259C04C7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proofErr w:type="spellStart"/>
            <w:r w:rsidRPr="00321B89">
              <w:rPr>
                <w:sz w:val="18"/>
                <w:szCs w:val="18"/>
              </w:rPr>
              <w:t>uReport</w:t>
            </w:r>
            <w:proofErr w:type="spellEnd"/>
            <w:r w:rsidRPr="00321B89">
              <w:rPr>
                <w:sz w:val="18"/>
                <w:szCs w:val="18"/>
              </w:rPr>
              <w:t xml:space="preserve"> data (UNICEF-led).</w:t>
            </w:r>
          </w:p>
          <w:p w14:paraId="6D700C33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7E90EC6C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 xml:space="preserve">Entry- and exit surveys for youth grantees and dialogue platform participants. </w:t>
            </w:r>
          </w:p>
          <w:p w14:paraId="18CADAA8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 xml:space="preserve"> </w:t>
            </w:r>
          </w:p>
          <w:p w14:paraId="39331667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Final Programme Evaluation Report.</w:t>
            </w:r>
          </w:p>
        </w:tc>
        <w:tc>
          <w:tcPr>
            <w:tcW w:w="2268" w:type="dxa"/>
            <w:vMerge w:val="restart"/>
            <w:shd w:val="clear" w:color="auto" w:fill="FFFF99"/>
            <w:vAlign w:val="center"/>
          </w:tcPr>
          <w:p w14:paraId="77EF502C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Baseline perception survey with representative sample from all participating countries conducted by the 5</w:t>
            </w:r>
            <w:r w:rsidRPr="00321B89">
              <w:rPr>
                <w:sz w:val="18"/>
                <w:szCs w:val="18"/>
                <w:vertAlign w:val="superscript"/>
              </w:rPr>
              <w:t>th</w:t>
            </w:r>
            <w:r w:rsidRPr="00321B89">
              <w:rPr>
                <w:sz w:val="18"/>
                <w:szCs w:val="18"/>
              </w:rPr>
              <w:t xml:space="preserve"> month of the programme implementation. </w:t>
            </w:r>
          </w:p>
          <w:p w14:paraId="32E39142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5F4872C2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Entry- and exit surveys conducted with grant beneficiaries (upon signing and closing of grant contracts, 9</w:t>
            </w:r>
            <w:r w:rsidRPr="00321B89">
              <w:rPr>
                <w:sz w:val="18"/>
                <w:szCs w:val="18"/>
                <w:vertAlign w:val="superscript"/>
              </w:rPr>
              <w:t>th</w:t>
            </w:r>
            <w:r w:rsidRPr="00321B89">
              <w:rPr>
                <w:sz w:val="18"/>
                <w:szCs w:val="18"/>
              </w:rPr>
              <w:t xml:space="preserve"> and 16</w:t>
            </w:r>
            <w:r w:rsidRPr="00321B89">
              <w:rPr>
                <w:sz w:val="18"/>
                <w:szCs w:val="18"/>
                <w:vertAlign w:val="superscript"/>
              </w:rPr>
              <w:t>th</w:t>
            </w:r>
            <w:r w:rsidRPr="00321B89">
              <w:rPr>
                <w:sz w:val="18"/>
                <w:szCs w:val="18"/>
              </w:rPr>
              <w:t xml:space="preserve"> months of the programme implementation respectively).</w:t>
            </w:r>
          </w:p>
          <w:p w14:paraId="796757E3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0CA39063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 xml:space="preserve">Entry- and exit surveys conducted with all dialogue platform participants (political leaders and stakeholder groups) at the first and last gatherings respectively. </w:t>
            </w:r>
          </w:p>
          <w:p w14:paraId="79E6CF3F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26A9A750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lastRenderedPageBreak/>
              <w:t>End-line perception survey conducted in the last 2 months of the programme implementation.</w:t>
            </w:r>
          </w:p>
          <w:p w14:paraId="5584729D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552DE6F9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Final Evaluation of the programme will be conducted in the last 2 months of the programme implementation.</w:t>
            </w:r>
          </w:p>
        </w:tc>
      </w:tr>
      <w:tr w:rsidR="00321B89" w:rsidRPr="00321B89" w14:paraId="688E899A" w14:textId="77777777" w:rsidTr="00DB59E9">
        <w:trPr>
          <w:trHeight w:val="557"/>
        </w:trPr>
        <w:tc>
          <w:tcPr>
            <w:tcW w:w="1838" w:type="dxa"/>
            <w:vMerge/>
            <w:tcBorders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14:paraId="4BD553BF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1FAAE03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8F28AF3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 xml:space="preserve">Outcome Indicator 1 c: </w:t>
            </w:r>
            <w:r w:rsidRPr="00321B89">
              <w:rPr>
                <w:sz w:val="18"/>
                <w:szCs w:val="18"/>
              </w:rPr>
              <w:t>Level of collaboration to address mistrust and social divides between citizens from different groups in the participating countries, with their peers in Bosnia and Herzegovina.</w:t>
            </w:r>
          </w:p>
          <w:p w14:paraId="2BC9484C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63E7520A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Baseline (2017):</w:t>
            </w:r>
            <w:r w:rsidRPr="00321B89">
              <w:rPr>
                <w:sz w:val="18"/>
                <w:szCs w:val="18"/>
              </w:rPr>
              <w:t xml:space="preserve"> low overall levels of cross-country collaboration addressing </w:t>
            </w:r>
            <w:r w:rsidRPr="00321B89">
              <w:rPr>
                <w:sz w:val="18"/>
                <w:szCs w:val="18"/>
              </w:rPr>
              <w:lastRenderedPageBreak/>
              <w:t>mistrust and social divides (</w:t>
            </w:r>
            <w:proofErr w:type="spellStart"/>
            <w:r w:rsidRPr="00321B89">
              <w:rPr>
                <w:sz w:val="18"/>
                <w:szCs w:val="18"/>
              </w:rPr>
              <w:t>BiH</w:t>
            </w:r>
            <w:proofErr w:type="spellEnd"/>
            <w:r w:rsidRPr="00321B89">
              <w:rPr>
                <w:sz w:val="18"/>
                <w:szCs w:val="18"/>
              </w:rPr>
              <w:t xml:space="preserve"> vis-a-vis neighboring countries).  </w:t>
            </w:r>
          </w:p>
          <w:p w14:paraId="3C433FF2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7AF8F97B" w14:textId="3E3111CE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Target (2021):</w:t>
            </w:r>
            <w:r w:rsidRPr="00321B89">
              <w:rPr>
                <w:sz w:val="18"/>
                <w:szCs w:val="18"/>
              </w:rPr>
              <w:t xml:space="preserve"> Increased level of cross-country collaboration to address mistrust and social divides between citizens, manifested through at least 20 sustainable social cohesion partnerships generated as a result of the programme.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C87EA55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lastRenderedPageBreak/>
              <w:t>Perception study commissioned by the programme.</w:t>
            </w:r>
          </w:p>
          <w:p w14:paraId="45358217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30CC8393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 xml:space="preserve">Entry- and exit surveys for grantees and dialogue platform participants. </w:t>
            </w:r>
          </w:p>
          <w:p w14:paraId="30E0625D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 xml:space="preserve"> </w:t>
            </w:r>
          </w:p>
          <w:p w14:paraId="2B2A59F6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Final Programme Evaluation Report.</w:t>
            </w:r>
          </w:p>
        </w:tc>
        <w:tc>
          <w:tcPr>
            <w:tcW w:w="2268" w:type="dxa"/>
            <w:vMerge/>
            <w:shd w:val="clear" w:color="auto" w:fill="FFFF99"/>
            <w:vAlign w:val="center"/>
          </w:tcPr>
          <w:p w14:paraId="12C9F37C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21B89" w:rsidRPr="00321B89" w14:paraId="1392A022" w14:textId="77777777" w:rsidTr="00DB59E9">
        <w:tc>
          <w:tcPr>
            <w:tcW w:w="1838" w:type="dxa"/>
            <w:vMerge/>
            <w:tcBorders>
              <w:right w:val="nil"/>
            </w:tcBorders>
            <w:shd w:val="clear" w:color="auto" w:fill="FFFF99"/>
            <w:vAlign w:val="center"/>
          </w:tcPr>
          <w:p w14:paraId="3F41C392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8F87DB9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4FFBF933" w14:textId="77777777" w:rsidR="00A4576E" w:rsidRPr="00321B89" w:rsidRDefault="00A4576E" w:rsidP="00DB59E9">
            <w:pPr>
              <w:spacing w:before="60" w:after="60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2409" w:type="dxa"/>
            <w:vMerge/>
            <w:shd w:val="clear" w:color="auto" w:fill="FFFF99"/>
            <w:vAlign w:val="center"/>
          </w:tcPr>
          <w:p w14:paraId="1093EEF3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99"/>
            <w:vAlign w:val="center"/>
          </w:tcPr>
          <w:p w14:paraId="16429674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21B89" w:rsidRPr="00321B89" w14:paraId="10B8EC4A" w14:textId="77777777" w:rsidTr="00DB59E9">
        <w:tc>
          <w:tcPr>
            <w:tcW w:w="1838" w:type="dxa"/>
            <w:vMerge/>
            <w:tcBorders>
              <w:right w:val="nil"/>
            </w:tcBorders>
            <w:shd w:val="clear" w:color="auto" w:fill="FFFF99"/>
            <w:vAlign w:val="center"/>
          </w:tcPr>
          <w:p w14:paraId="7B15F078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3B72DAC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55FDF8C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A0FE34F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99"/>
            <w:vAlign w:val="center"/>
          </w:tcPr>
          <w:p w14:paraId="4E904BCE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21B89" w:rsidRPr="00321B89" w14:paraId="0DD4222D" w14:textId="77777777" w:rsidTr="00DB59E9">
        <w:tc>
          <w:tcPr>
            <w:tcW w:w="1838" w:type="dxa"/>
            <w:vMerge/>
            <w:tcBorders>
              <w:right w:val="nil"/>
            </w:tcBorders>
            <w:shd w:val="clear" w:color="auto" w:fill="FFFF99"/>
            <w:vAlign w:val="center"/>
          </w:tcPr>
          <w:p w14:paraId="214D8D2E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72DDD53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5909B28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 xml:space="preserve">Outcome Indicator 1 d: </w:t>
            </w:r>
            <w:r w:rsidRPr="00321B89">
              <w:rPr>
                <w:sz w:val="18"/>
                <w:szCs w:val="18"/>
              </w:rPr>
              <w:t>Level of media literacy of participating countries in the Media Literacy Index.</w:t>
            </w:r>
          </w:p>
          <w:p w14:paraId="479D3DD9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765A9275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Baseline (2018):</w:t>
            </w:r>
            <w:r w:rsidRPr="00321B89">
              <w:rPr>
                <w:sz w:val="18"/>
                <w:szCs w:val="18"/>
              </w:rPr>
              <w:t xml:space="preserve"> Bosnia and Herzegovina ranking 25</w:t>
            </w:r>
            <w:r w:rsidRPr="00321B89">
              <w:rPr>
                <w:sz w:val="18"/>
                <w:szCs w:val="18"/>
                <w:vertAlign w:val="superscript"/>
              </w:rPr>
              <w:t>th</w:t>
            </w:r>
            <w:r w:rsidRPr="00321B89">
              <w:rPr>
                <w:sz w:val="18"/>
                <w:szCs w:val="18"/>
              </w:rPr>
              <w:t>; Croatia ranking 44</w:t>
            </w:r>
            <w:r w:rsidRPr="00321B89">
              <w:rPr>
                <w:sz w:val="18"/>
                <w:szCs w:val="18"/>
                <w:vertAlign w:val="superscript"/>
              </w:rPr>
              <w:t>th</w:t>
            </w:r>
            <w:r w:rsidRPr="00321B89">
              <w:rPr>
                <w:sz w:val="18"/>
                <w:szCs w:val="18"/>
              </w:rPr>
              <w:t xml:space="preserve"> place, Montenegro ranking 28</w:t>
            </w:r>
            <w:r w:rsidRPr="00321B89">
              <w:rPr>
                <w:sz w:val="18"/>
                <w:szCs w:val="18"/>
                <w:vertAlign w:val="superscript"/>
              </w:rPr>
              <w:t>th</w:t>
            </w:r>
            <w:r w:rsidRPr="00321B89">
              <w:rPr>
                <w:sz w:val="18"/>
                <w:szCs w:val="18"/>
              </w:rPr>
              <w:t xml:space="preserve"> place and Serbia ranking 31</w:t>
            </w:r>
            <w:r w:rsidRPr="00321B89">
              <w:rPr>
                <w:sz w:val="18"/>
                <w:szCs w:val="18"/>
                <w:vertAlign w:val="superscript"/>
              </w:rPr>
              <w:t>st</w:t>
            </w:r>
            <w:r w:rsidRPr="00321B89">
              <w:rPr>
                <w:sz w:val="18"/>
                <w:szCs w:val="18"/>
              </w:rPr>
              <w:t xml:space="preserve"> place</w:t>
            </w:r>
            <w:r w:rsidRPr="00321B89">
              <w:rPr>
                <w:rStyle w:val="FootnoteReference"/>
                <w:sz w:val="18"/>
                <w:szCs w:val="18"/>
              </w:rPr>
              <w:footnoteReference w:id="2"/>
            </w:r>
            <w:r w:rsidRPr="00321B89">
              <w:rPr>
                <w:sz w:val="18"/>
                <w:szCs w:val="18"/>
              </w:rPr>
              <w:t>.</w:t>
            </w:r>
          </w:p>
          <w:p w14:paraId="0BB19089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36029F54" w14:textId="334C7C74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Target (2021):</w:t>
            </w:r>
            <w:r w:rsidRPr="00321B89">
              <w:rPr>
                <w:sz w:val="18"/>
                <w:szCs w:val="18"/>
              </w:rPr>
              <w:t xml:space="preserve"> Increased ranking of participating countries.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DA71EE7" w14:textId="77777777" w:rsidR="00A4576E" w:rsidRPr="00321B89" w:rsidRDefault="00365693" w:rsidP="00DB59E9">
            <w:pPr>
              <w:spacing w:before="60" w:after="60"/>
              <w:rPr>
                <w:sz w:val="18"/>
                <w:szCs w:val="18"/>
              </w:rPr>
            </w:pPr>
            <w:hyperlink r:id="rId13" w:history="1">
              <w:r w:rsidR="00A4576E" w:rsidRPr="00321B89">
                <w:rPr>
                  <w:rStyle w:val="Hyperlink"/>
                  <w:color w:val="auto"/>
                  <w:sz w:val="18"/>
                  <w:szCs w:val="18"/>
                </w:rPr>
                <w:t>Media Literacy Index, Open Society Institute – Sofia.</w:t>
              </w:r>
            </w:hyperlink>
            <w:r w:rsidR="00A4576E" w:rsidRPr="00321B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2F593F0A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The Media Literacy Index is conducted annually.</w:t>
            </w:r>
          </w:p>
        </w:tc>
      </w:tr>
      <w:tr w:rsidR="00321B89" w:rsidRPr="00321B89" w14:paraId="1C951D45" w14:textId="77777777" w:rsidTr="00DB59E9">
        <w:tc>
          <w:tcPr>
            <w:tcW w:w="1838" w:type="dxa"/>
            <w:vMerge/>
            <w:tcBorders>
              <w:right w:val="nil"/>
            </w:tcBorders>
            <w:shd w:val="clear" w:color="auto" w:fill="FFFF99"/>
            <w:vAlign w:val="center"/>
          </w:tcPr>
          <w:p w14:paraId="1E2FCD06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AD92D42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8A9FACA" w14:textId="77777777" w:rsidR="00A4576E" w:rsidRPr="00321B89" w:rsidRDefault="00A4576E" w:rsidP="00DB59E9">
            <w:pPr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</w:rPr>
              <w:t xml:space="preserve">Outcome Indicator 1 e: </w:t>
            </w:r>
            <w:r w:rsidRPr="00321B89">
              <w:rPr>
                <w:sz w:val="18"/>
                <w:szCs w:val="18"/>
              </w:rPr>
              <w:t>% of young people who believe that reconciliation in the region is enhanced and the region is a safe and peaceful place.</w:t>
            </w:r>
          </w:p>
          <w:p w14:paraId="5C0711F7" w14:textId="77777777" w:rsidR="00A4576E" w:rsidRPr="00321B89" w:rsidRDefault="00A4576E" w:rsidP="00DB59E9">
            <w:pPr>
              <w:rPr>
                <w:b/>
                <w:sz w:val="18"/>
                <w:szCs w:val="18"/>
              </w:rPr>
            </w:pPr>
          </w:p>
          <w:p w14:paraId="164910DE" w14:textId="77777777" w:rsidR="00A4576E" w:rsidRPr="00321B89" w:rsidRDefault="00A4576E" w:rsidP="00DB59E9">
            <w:pPr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</w:rPr>
              <w:t>Baseline (2018):</w:t>
            </w:r>
            <w:r w:rsidRPr="00321B89">
              <w:rPr>
                <w:sz w:val="18"/>
                <w:szCs w:val="18"/>
              </w:rPr>
              <w:t xml:space="preserve"> to be defined upon project commencement </w:t>
            </w:r>
          </w:p>
          <w:p w14:paraId="0C18C9DA" w14:textId="77777777" w:rsidR="00A4576E" w:rsidRPr="00321B89" w:rsidRDefault="00A4576E" w:rsidP="00DB59E9">
            <w:pPr>
              <w:rPr>
                <w:b/>
                <w:sz w:val="18"/>
                <w:szCs w:val="18"/>
              </w:rPr>
            </w:pPr>
          </w:p>
          <w:p w14:paraId="2E046253" w14:textId="33024B72" w:rsidR="00A4576E" w:rsidRPr="00321B89" w:rsidRDefault="00A4576E" w:rsidP="00DB59E9">
            <w:pPr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</w:rPr>
              <w:t>Target (2021):</w:t>
            </w:r>
            <w:r w:rsidRPr="00321B89">
              <w:rPr>
                <w:sz w:val="18"/>
                <w:szCs w:val="18"/>
              </w:rPr>
              <w:t xml:space="preserve"> 10 % increase by the end of project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93CD17B" w14:textId="77777777" w:rsidR="00A4576E" w:rsidRPr="00321B89" w:rsidRDefault="00A4576E" w:rsidP="00DB59E9">
            <w:pPr>
              <w:spacing w:before="60" w:after="60"/>
              <w:rPr>
                <w:rStyle w:val="Hyperlink"/>
                <w:color w:val="auto"/>
                <w:sz w:val="18"/>
                <w:szCs w:val="18"/>
              </w:rPr>
            </w:pPr>
            <w:r w:rsidRPr="00321B89">
              <w:rPr>
                <w:rStyle w:val="Hyperlink"/>
                <w:color w:val="auto"/>
                <w:sz w:val="18"/>
                <w:szCs w:val="18"/>
              </w:rPr>
              <w:t xml:space="preserve">Perception Study commission by the programme. </w:t>
            </w:r>
          </w:p>
          <w:p w14:paraId="2D3D58E4" w14:textId="77777777" w:rsidR="00A4576E" w:rsidRPr="00321B89" w:rsidRDefault="00A4576E" w:rsidP="00DB59E9">
            <w:pPr>
              <w:spacing w:before="60" w:after="60"/>
              <w:rPr>
                <w:rStyle w:val="Hyperlink"/>
                <w:color w:val="auto"/>
                <w:sz w:val="18"/>
                <w:szCs w:val="18"/>
              </w:rPr>
            </w:pPr>
          </w:p>
          <w:p w14:paraId="2587EA63" w14:textId="77777777" w:rsidR="00A4576E" w:rsidRPr="00321B89" w:rsidRDefault="00A4576E" w:rsidP="00DB59E9">
            <w:pPr>
              <w:spacing w:before="60" w:after="60"/>
              <w:jc w:val="both"/>
              <w:rPr>
                <w:rStyle w:val="Hyperlink"/>
                <w:color w:val="auto"/>
                <w:sz w:val="18"/>
                <w:szCs w:val="18"/>
              </w:rPr>
            </w:pPr>
            <w:r w:rsidRPr="00321B89">
              <w:rPr>
                <w:rStyle w:val="Hyperlink"/>
                <w:color w:val="auto"/>
                <w:sz w:val="18"/>
                <w:szCs w:val="18"/>
              </w:rPr>
              <w:t>RYCO Monitoring and Evaluation Tool.</w:t>
            </w:r>
          </w:p>
          <w:p w14:paraId="6A379D59" w14:textId="77777777" w:rsidR="00A4576E" w:rsidRPr="00321B89" w:rsidRDefault="00A4576E" w:rsidP="00DB59E9">
            <w:pPr>
              <w:spacing w:before="60" w:after="60"/>
              <w:jc w:val="both"/>
              <w:rPr>
                <w:rStyle w:val="Hyperlink"/>
                <w:color w:val="auto"/>
                <w:sz w:val="18"/>
                <w:szCs w:val="18"/>
              </w:rPr>
            </w:pPr>
          </w:p>
          <w:p w14:paraId="729C40D0" w14:textId="77777777" w:rsidR="00A4576E" w:rsidRPr="00321B89" w:rsidRDefault="00A4576E" w:rsidP="00DB59E9">
            <w:pPr>
              <w:spacing w:before="60" w:after="60"/>
              <w:jc w:val="both"/>
              <w:rPr>
                <w:rStyle w:val="Hyperlink"/>
                <w:color w:val="auto"/>
                <w:sz w:val="18"/>
                <w:szCs w:val="18"/>
              </w:rPr>
            </w:pPr>
            <w:r w:rsidRPr="00321B89">
              <w:rPr>
                <w:rStyle w:val="Hyperlink"/>
                <w:color w:val="auto"/>
                <w:sz w:val="18"/>
                <w:szCs w:val="18"/>
              </w:rPr>
              <w:t>Entry and exit surveys for grantees and dialogue platform participants.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6F6F5176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21B89" w:rsidRPr="00321B89" w14:paraId="7EB1FC85" w14:textId="77777777" w:rsidTr="00DB59E9">
        <w:trPr>
          <w:trHeight w:val="841"/>
        </w:trPr>
        <w:tc>
          <w:tcPr>
            <w:tcW w:w="1838" w:type="dxa"/>
            <w:vMerge/>
            <w:shd w:val="clear" w:color="auto" w:fill="FFFF99"/>
            <w:vAlign w:val="center"/>
          </w:tcPr>
          <w:p w14:paraId="1F90AE38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C7EAEF"/>
            <w:vAlign w:val="center"/>
          </w:tcPr>
          <w:p w14:paraId="0C785F22" w14:textId="77777777" w:rsidR="00A4576E" w:rsidRPr="00321B89" w:rsidRDefault="00A4576E" w:rsidP="00DB59E9">
            <w:pPr>
              <w:spacing w:before="60" w:after="60"/>
              <w:jc w:val="both"/>
              <w:rPr>
                <w:b/>
                <w:sz w:val="18"/>
                <w:szCs w:val="18"/>
                <w:u w:val="single"/>
              </w:rPr>
            </w:pPr>
            <w:r w:rsidRPr="00321B89">
              <w:rPr>
                <w:b/>
                <w:sz w:val="18"/>
                <w:szCs w:val="18"/>
                <w:u w:val="single"/>
              </w:rPr>
              <w:t>Output 1.1:</w:t>
            </w:r>
          </w:p>
          <w:p w14:paraId="00E64517" w14:textId="77777777" w:rsidR="00A4576E" w:rsidRPr="00321B89" w:rsidRDefault="00A4576E" w:rsidP="00DB59E9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321B89">
              <w:rPr>
                <w:b/>
                <w:sz w:val="18"/>
                <w:szCs w:val="18"/>
              </w:rPr>
              <w:t>Different groups in the countries of the region, and youth in particular, acquire and practice skills to help break stereotypes and constructively interact across divides.</w:t>
            </w:r>
          </w:p>
          <w:p w14:paraId="1CF53D81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lastRenderedPageBreak/>
              <w:t>List of activities under this Output:</w:t>
            </w:r>
          </w:p>
          <w:p w14:paraId="07452F8C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1.1.1 Establish methodological framework to enhance capacity of each stakeholder group (adolescents, youth, women, teachers, media).</w:t>
            </w:r>
          </w:p>
          <w:p w14:paraId="043DB6E3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4E9DD3F4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1.1.2 Enhance peacebuilding capacities of youth and adolescents.</w:t>
            </w:r>
          </w:p>
          <w:p w14:paraId="17D923A7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00397DF6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1.1.3 Enhance peacebuilding capacities for women’s groups.</w:t>
            </w:r>
          </w:p>
          <w:p w14:paraId="38A1F400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1.1.4 Enhance capacities of teachers/trainers for promotion of cultural diversity, inter-cultural dialogue and tolerance.</w:t>
            </w:r>
          </w:p>
          <w:p w14:paraId="381A6F3B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6929FA61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1.1.5. Enhance capacities of media to promote media literacy and amplify positive story-telling.</w:t>
            </w:r>
          </w:p>
        </w:tc>
        <w:tc>
          <w:tcPr>
            <w:tcW w:w="3120" w:type="dxa"/>
            <w:shd w:val="clear" w:color="auto" w:fill="C7EAEF"/>
            <w:vAlign w:val="center"/>
          </w:tcPr>
          <w:p w14:paraId="0A77542D" w14:textId="42AF4081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lastRenderedPageBreak/>
              <w:t xml:space="preserve">Output indicator 1.1 a: </w:t>
            </w:r>
            <w:r w:rsidRPr="00321B89">
              <w:rPr>
                <w:sz w:val="18"/>
                <w:szCs w:val="18"/>
              </w:rPr>
              <w:t>Number of people (teachers, youth, women, journalists and editors, sex- and gender-disaggregated) from participating 3 countries with increased knowledge and skills to bridge social divides.</w:t>
            </w:r>
          </w:p>
          <w:p w14:paraId="1EE4FC45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51AEA634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lastRenderedPageBreak/>
              <w:t>Baseline (2018):</w:t>
            </w:r>
            <w:r w:rsidRPr="00321B89">
              <w:rPr>
                <w:sz w:val="18"/>
                <w:szCs w:val="18"/>
              </w:rPr>
              <w:t xml:space="preserve"> Insufficient number of people (particularly teachers, youth and women) capacitated to support social cohesion in the region.</w:t>
            </w:r>
          </w:p>
          <w:p w14:paraId="342AE924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6D3ED228" w14:textId="2E5D093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Target (2021):</w:t>
            </w:r>
            <w:r w:rsidRPr="00321B89">
              <w:rPr>
                <w:sz w:val="18"/>
                <w:szCs w:val="18"/>
              </w:rPr>
              <w:t xml:space="preserve"> At least </w:t>
            </w:r>
            <w:r w:rsidRPr="00321B89">
              <w:rPr>
                <w:sz w:val="18"/>
                <w:szCs w:val="18"/>
                <w:shd w:val="clear" w:color="auto" w:fill="DEEAF6" w:themeFill="accent5" w:themeFillTint="33"/>
              </w:rPr>
              <w:t>1600</w:t>
            </w:r>
            <w:r w:rsidRPr="00321B89">
              <w:rPr>
                <w:sz w:val="18"/>
                <w:szCs w:val="18"/>
              </w:rPr>
              <w:t>, as follows: (i) 600 adolescents (10 – 18 years old); (ii) 600 young people (18 – 30 years old) among whom 50% women; (iii) 200 teachers, among whom 50% women and (iv) 120 journalists and editors.</w:t>
            </w:r>
          </w:p>
          <w:p w14:paraId="1E113EB2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169EF760" w14:textId="77777777" w:rsidR="00A4576E" w:rsidRPr="00321B89" w:rsidRDefault="00A4576E" w:rsidP="00DB59E9">
            <w:pPr>
              <w:spacing w:before="60" w:after="60"/>
              <w:jc w:val="both"/>
              <w:rPr>
                <w:i/>
                <w:sz w:val="18"/>
                <w:szCs w:val="18"/>
                <w:u w:val="single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Output indicator 1.1 b:</w:t>
            </w:r>
          </w:p>
          <w:p w14:paraId="6B84E701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 xml:space="preserve">Number of stakeholders who apply the acquired skills and knowledge in their follow-up work as a result of the programme support. </w:t>
            </w:r>
          </w:p>
          <w:p w14:paraId="649EF5FD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414FE904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Baseline (2018):</w:t>
            </w:r>
            <w:r w:rsidRPr="00321B89">
              <w:rPr>
                <w:sz w:val="18"/>
                <w:szCs w:val="18"/>
              </w:rPr>
              <w:t xml:space="preserve"> n/a.</w:t>
            </w:r>
          </w:p>
          <w:p w14:paraId="31AB0CD4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0A17FAB5" w14:textId="48E46119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Target (2021):</w:t>
            </w:r>
            <w:r w:rsidRPr="00321B89">
              <w:rPr>
                <w:sz w:val="18"/>
                <w:szCs w:val="18"/>
              </w:rPr>
              <w:t xml:space="preserve"> At least 50% of all stakeholders (in various target groups) apply the skills and knowledge acquired through the programme in their follow-up work. </w:t>
            </w:r>
          </w:p>
        </w:tc>
        <w:tc>
          <w:tcPr>
            <w:tcW w:w="2409" w:type="dxa"/>
            <w:shd w:val="clear" w:color="auto" w:fill="C7EAEF"/>
            <w:vAlign w:val="center"/>
          </w:tcPr>
          <w:p w14:paraId="54F9B57D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lastRenderedPageBreak/>
              <w:t>Entry- and exit capacity development surveys filled in by trainees.</w:t>
            </w:r>
          </w:p>
          <w:p w14:paraId="0AB45E0C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44889979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Lists of participants in training activities.</w:t>
            </w:r>
          </w:p>
          <w:p w14:paraId="477489C1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5CD57FF0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Programme progress/final report.</w:t>
            </w:r>
          </w:p>
        </w:tc>
        <w:tc>
          <w:tcPr>
            <w:tcW w:w="2268" w:type="dxa"/>
            <w:shd w:val="clear" w:color="auto" w:fill="C7EAEF"/>
            <w:vAlign w:val="center"/>
          </w:tcPr>
          <w:p w14:paraId="0599F754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lastRenderedPageBreak/>
              <w:t>Capacity development support for all programme target groups is completed by the 7</w:t>
            </w:r>
            <w:r w:rsidRPr="00321B89">
              <w:rPr>
                <w:sz w:val="18"/>
                <w:szCs w:val="18"/>
                <w:vertAlign w:val="superscript"/>
              </w:rPr>
              <w:t>th</w:t>
            </w:r>
            <w:r w:rsidRPr="00321B89">
              <w:rPr>
                <w:sz w:val="18"/>
                <w:szCs w:val="18"/>
              </w:rPr>
              <w:t xml:space="preserve"> month of the programme implementation.</w:t>
            </w:r>
          </w:p>
        </w:tc>
      </w:tr>
      <w:tr w:rsidR="00321B89" w:rsidRPr="00321B89" w14:paraId="566DA2B9" w14:textId="77777777" w:rsidTr="00DB59E9">
        <w:tc>
          <w:tcPr>
            <w:tcW w:w="1838" w:type="dxa"/>
            <w:vMerge/>
            <w:shd w:val="clear" w:color="auto" w:fill="FFFF99"/>
            <w:vAlign w:val="center"/>
          </w:tcPr>
          <w:p w14:paraId="0D318490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C7EAEF"/>
            <w:vAlign w:val="center"/>
          </w:tcPr>
          <w:p w14:paraId="3FB740BC" w14:textId="77777777" w:rsidR="00A4576E" w:rsidRPr="00321B89" w:rsidRDefault="00A4576E" w:rsidP="00DB59E9">
            <w:pPr>
              <w:spacing w:before="60" w:after="60"/>
              <w:jc w:val="both"/>
              <w:rPr>
                <w:b/>
                <w:sz w:val="18"/>
                <w:szCs w:val="18"/>
                <w:u w:val="single"/>
              </w:rPr>
            </w:pPr>
            <w:r w:rsidRPr="00321B89">
              <w:rPr>
                <w:b/>
                <w:sz w:val="18"/>
                <w:szCs w:val="18"/>
                <w:u w:val="single"/>
              </w:rPr>
              <w:t>Output 1.2:</w:t>
            </w:r>
          </w:p>
          <w:p w14:paraId="743B3D84" w14:textId="77777777" w:rsidR="00A4576E" w:rsidRPr="00321B89" w:rsidRDefault="00A4576E" w:rsidP="00DB59E9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321B89">
              <w:rPr>
                <w:b/>
                <w:sz w:val="18"/>
                <w:szCs w:val="18"/>
              </w:rPr>
              <w:t>Citizens from different groups jointly identify and implement actions that promote social cohesion in the region, especially in Bosnia and Herzegovina.</w:t>
            </w:r>
          </w:p>
          <w:p w14:paraId="1FB3ED43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54A1E401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List of activities under this Output:</w:t>
            </w:r>
          </w:p>
          <w:p w14:paraId="61B4CAD6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1.2.1. Organize in-country youth dialogues on social cohesion.</w:t>
            </w:r>
          </w:p>
          <w:p w14:paraId="6FD650BA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0BE3D95F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1.2.2. Organize in-country dialogue platforms on regional social divides and priorities.</w:t>
            </w:r>
          </w:p>
          <w:p w14:paraId="3F16D745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6A4D5006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1.2.3 Organize first regional dialogue platform on common social cohesion priorities.</w:t>
            </w:r>
          </w:p>
          <w:p w14:paraId="3303EDD7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38C82E04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1.2.4 Enable joint action on identified social cohesion common priorities.</w:t>
            </w:r>
          </w:p>
          <w:p w14:paraId="729A3248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2087E467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1.2.5 Organize regional thematic dialogues.</w:t>
            </w:r>
          </w:p>
          <w:p w14:paraId="1851FACB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C7EAEF"/>
            <w:vAlign w:val="center"/>
          </w:tcPr>
          <w:p w14:paraId="1C0EFA24" w14:textId="3777E43D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lastRenderedPageBreak/>
              <w:t>Output Indicator 2.1 a:</w:t>
            </w:r>
            <w:r w:rsidRPr="00321B89">
              <w:rPr>
                <w:sz w:val="18"/>
                <w:szCs w:val="18"/>
              </w:rPr>
              <w:t xml:space="preserve"> Total number of people (particularly youth) from participating countries who meaningfully engage in and contribute to identification of social cohesion barriers and priorities for the 3 countries.</w:t>
            </w:r>
          </w:p>
          <w:p w14:paraId="059EF9FE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3EE9409E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Baseline (2016):</w:t>
            </w:r>
            <w:r w:rsidRPr="00321B89">
              <w:rPr>
                <w:sz w:val="18"/>
                <w:szCs w:val="18"/>
              </w:rPr>
              <w:t xml:space="preserve"> 600 people in the national platform events in Bosnia and Herzegovina.</w:t>
            </w:r>
          </w:p>
          <w:p w14:paraId="1560C1D8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3BF94A25" w14:textId="077966E0" w:rsidR="00A4576E" w:rsidRPr="00321B89" w:rsidRDefault="00A4576E" w:rsidP="00DB59E9">
            <w:pPr>
              <w:spacing w:before="60" w:after="60"/>
              <w:jc w:val="both"/>
              <w:rPr>
                <w:i/>
                <w:sz w:val="18"/>
                <w:szCs w:val="18"/>
                <w:u w:val="single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Target: (2021):</w:t>
            </w:r>
            <w:r w:rsidRPr="00321B89">
              <w:rPr>
                <w:i/>
                <w:sz w:val="18"/>
                <w:szCs w:val="18"/>
              </w:rPr>
              <w:t xml:space="preserve"> </w:t>
            </w:r>
            <w:r w:rsidRPr="00321B89">
              <w:rPr>
                <w:sz w:val="18"/>
                <w:szCs w:val="18"/>
              </w:rPr>
              <w:t xml:space="preserve">At least 1,300 people (among whom at least 800 youth and women) from participating countries engage in and contribute to </w:t>
            </w:r>
            <w:r w:rsidRPr="00321B89">
              <w:rPr>
                <w:sz w:val="18"/>
                <w:szCs w:val="18"/>
              </w:rPr>
              <w:lastRenderedPageBreak/>
              <w:t xml:space="preserve">identification of regional social cohesion barriers and priorities. </w:t>
            </w:r>
          </w:p>
          <w:p w14:paraId="659E3CA3" w14:textId="77777777" w:rsidR="00A4576E" w:rsidRPr="00321B89" w:rsidRDefault="00A4576E" w:rsidP="00DB59E9">
            <w:pPr>
              <w:spacing w:before="60" w:after="60"/>
              <w:jc w:val="both"/>
              <w:rPr>
                <w:i/>
                <w:sz w:val="18"/>
                <w:szCs w:val="18"/>
                <w:u w:val="single"/>
              </w:rPr>
            </w:pPr>
          </w:p>
          <w:p w14:paraId="02893932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Output Indicator 2.1 b:</w:t>
            </w:r>
            <w:r w:rsidRPr="00321B89">
              <w:rPr>
                <w:sz w:val="18"/>
                <w:szCs w:val="18"/>
              </w:rPr>
              <w:t xml:space="preserve"> Total number of dialogue platforms (gender balanced) bringing together political leaders and various stakeholders from the 4 participating countries in joint discussions on how to strengthen social cohesion in the region. </w:t>
            </w:r>
          </w:p>
          <w:p w14:paraId="6563EFEE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45F86337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Baseline (2016):</w:t>
            </w:r>
            <w:r w:rsidRPr="00321B89">
              <w:rPr>
                <w:sz w:val="18"/>
                <w:szCs w:val="18"/>
              </w:rPr>
              <w:t xml:space="preserve"> 0.</w:t>
            </w:r>
          </w:p>
          <w:p w14:paraId="65031915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42E62E3E" w14:textId="6364CDF6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Target: (2021):</w:t>
            </w:r>
            <w:r w:rsidRPr="00321B89">
              <w:rPr>
                <w:i/>
                <w:sz w:val="18"/>
                <w:szCs w:val="18"/>
              </w:rPr>
              <w:t xml:space="preserve"> </w:t>
            </w:r>
            <w:r w:rsidRPr="00321B89">
              <w:rPr>
                <w:sz w:val="18"/>
                <w:szCs w:val="18"/>
              </w:rPr>
              <w:t xml:space="preserve">At least 19 broad-based social cohesion dialogue platform events (gender balanced) bringing together political leaders and various stakeholders from the 3 participating countries. </w:t>
            </w:r>
          </w:p>
          <w:p w14:paraId="1388E4C8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05BD817C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Output Indicator 2.1 c:</w:t>
            </w:r>
            <w:r w:rsidRPr="00321B89">
              <w:rPr>
                <w:sz w:val="18"/>
                <w:szCs w:val="18"/>
              </w:rPr>
              <w:t xml:space="preserve"> Total number of people (particularly youth) from participating countries who benefited directly from social cohesion actions identified through the dialogue platforms and implemented with the programme support.</w:t>
            </w:r>
          </w:p>
          <w:p w14:paraId="521D27B2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4388B39A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Baseline (2017):</w:t>
            </w:r>
            <w:r w:rsidRPr="00321B89">
              <w:rPr>
                <w:sz w:val="18"/>
                <w:szCs w:val="18"/>
              </w:rPr>
              <w:t xml:space="preserve"> n/a.</w:t>
            </w:r>
          </w:p>
          <w:p w14:paraId="6E5EEFE9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4B26BD19" w14:textId="68AE6F45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Target: (2021):</w:t>
            </w:r>
            <w:r w:rsidRPr="00321B89">
              <w:rPr>
                <w:i/>
                <w:sz w:val="18"/>
                <w:szCs w:val="18"/>
              </w:rPr>
              <w:t xml:space="preserve"> </w:t>
            </w:r>
            <w:r w:rsidRPr="00321B89">
              <w:rPr>
                <w:sz w:val="18"/>
                <w:szCs w:val="18"/>
              </w:rPr>
              <w:t>At least 7,000 people (whereby 50% are female, and among whom at least 3,500 adolescents and youth) from participating countries directly benefit from social cohesion actions.</w:t>
            </w:r>
          </w:p>
          <w:p w14:paraId="283140E0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04928E39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Output Indicator 2.1 d:</w:t>
            </w:r>
            <w:r w:rsidRPr="00321B89">
              <w:rPr>
                <w:sz w:val="18"/>
                <w:szCs w:val="18"/>
              </w:rPr>
              <w:t xml:space="preserve"> % of the dialogue platforms’ recommendations for social cohesion in the region </w:t>
            </w:r>
            <w:r w:rsidRPr="00321B89">
              <w:rPr>
                <w:sz w:val="18"/>
                <w:szCs w:val="18"/>
              </w:rPr>
              <w:lastRenderedPageBreak/>
              <w:t xml:space="preserve">implemented with the joint </w:t>
            </w:r>
            <w:proofErr w:type="spellStart"/>
            <w:r w:rsidRPr="00321B89">
              <w:rPr>
                <w:sz w:val="18"/>
                <w:szCs w:val="18"/>
              </w:rPr>
              <w:t>programme’s</w:t>
            </w:r>
            <w:proofErr w:type="spellEnd"/>
            <w:r w:rsidRPr="00321B89">
              <w:rPr>
                <w:sz w:val="18"/>
                <w:szCs w:val="18"/>
              </w:rPr>
              <w:t xml:space="preserve"> support.</w:t>
            </w:r>
          </w:p>
          <w:p w14:paraId="0566C0B5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51FB825F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Baseline (2017):</w:t>
            </w:r>
            <w:r w:rsidRPr="00321B89">
              <w:rPr>
                <w:sz w:val="18"/>
                <w:szCs w:val="18"/>
              </w:rPr>
              <w:t xml:space="preserve"> n/a.</w:t>
            </w:r>
          </w:p>
          <w:p w14:paraId="38C54D34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042FA3CE" w14:textId="38FC5664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Target: (2021):</w:t>
            </w:r>
            <w:r w:rsidRPr="00321B89">
              <w:rPr>
                <w:i/>
                <w:sz w:val="18"/>
                <w:szCs w:val="18"/>
              </w:rPr>
              <w:t xml:space="preserve"> </w:t>
            </w:r>
            <w:r w:rsidRPr="00321B89">
              <w:rPr>
                <w:sz w:val="18"/>
                <w:szCs w:val="18"/>
              </w:rPr>
              <w:t>At least 20% of the dialogue platforms recommendations for social cohesion in the region implemented with the programme support.</w:t>
            </w:r>
          </w:p>
        </w:tc>
        <w:tc>
          <w:tcPr>
            <w:tcW w:w="2409" w:type="dxa"/>
            <w:shd w:val="clear" w:color="auto" w:fill="C7EAEF"/>
            <w:vAlign w:val="center"/>
          </w:tcPr>
          <w:p w14:paraId="32ABB622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lastRenderedPageBreak/>
              <w:t xml:space="preserve">Lists of participants from the dialogue events. </w:t>
            </w:r>
          </w:p>
          <w:p w14:paraId="0076F4D9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6E9BC8AD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Programme reports.</w:t>
            </w:r>
          </w:p>
          <w:p w14:paraId="696E7641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4DBB8616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Media monitoring/press clipping.</w:t>
            </w:r>
          </w:p>
          <w:p w14:paraId="2E13D81B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4A563CAE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Recommendations from the dialogue platforms.</w:t>
            </w:r>
          </w:p>
          <w:p w14:paraId="6962B3E1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0A9BA252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 xml:space="preserve">Calls for Proposals and Reports from implementation of the grants. </w:t>
            </w:r>
          </w:p>
          <w:p w14:paraId="0FAEE6A1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43D262DD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Feedback from grant facility beneficiaries (indirect and direct).</w:t>
            </w:r>
          </w:p>
          <w:p w14:paraId="792790D9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7DECC97E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Photos and videos from the implementation of social cohesion initiatives in the region.</w:t>
            </w:r>
          </w:p>
        </w:tc>
        <w:tc>
          <w:tcPr>
            <w:tcW w:w="2268" w:type="dxa"/>
            <w:shd w:val="clear" w:color="auto" w:fill="C7EAEF"/>
            <w:vAlign w:val="center"/>
          </w:tcPr>
          <w:p w14:paraId="7FFADFEE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lastRenderedPageBreak/>
              <w:t>In terms of dialogue platform sequencing, the approach is as follows: in-country youth dialogues precede the national level dialogue platforms, which feed into the regional dialogue platform, while thematic (target-group-based) dialogues take place continuously throughout the entire programme.</w:t>
            </w:r>
          </w:p>
        </w:tc>
      </w:tr>
      <w:tr w:rsidR="00321B89" w:rsidRPr="00321B89" w14:paraId="437AE454" w14:textId="77777777" w:rsidTr="00DB59E9">
        <w:tc>
          <w:tcPr>
            <w:tcW w:w="1838" w:type="dxa"/>
            <w:vMerge/>
            <w:shd w:val="clear" w:color="auto" w:fill="FFFF99"/>
            <w:vAlign w:val="center"/>
          </w:tcPr>
          <w:p w14:paraId="47087763" w14:textId="77777777" w:rsidR="00A4576E" w:rsidRPr="00321B89" w:rsidRDefault="00A4576E" w:rsidP="00DB59E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C7EAEF"/>
            <w:vAlign w:val="center"/>
          </w:tcPr>
          <w:p w14:paraId="2AD8E530" w14:textId="77777777" w:rsidR="00A4576E" w:rsidRPr="00321B89" w:rsidRDefault="00A4576E" w:rsidP="00DB59E9">
            <w:pPr>
              <w:spacing w:before="60" w:after="60"/>
              <w:jc w:val="both"/>
              <w:rPr>
                <w:b/>
                <w:sz w:val="18"/>
                <w:szCs w:val="18"/>
                <w:u w:val="single"/>
              </w:rPr>
            </w:pPr>
            <w:r w:rsidRPr="00321B89">
              <w:rPr>
                <w:b/>
                <w:sz w:val="18"/>
                <w:szCs w:val="18"/>
                <w:u w:val="single"/>
              </w:rPr>
              <w:t>Output 1.3:</w:t>
            </w:r>
          </w:p>
          <w:p w14:paraId="5DDD1C35" w14:textId="77777777" w:rsidR="00A4576E" w:rsidRPr="00321B89" w:rsidRDefault="00A4576E" w:rsidP="00DB59E9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321B89">
              <w:rPr>
                <w:b/>
                <w:sz w:val="18"/>
                <w:szCs w:val="18"/>
              </w:rPr>
              <w:t>Policy recommendations to improve social cohesion in the region are effectively advocated for, and endorsed by, authorities and relevant stakeholders.</w:t>
            </w:r>
          </w:p>
          <w:p w14:paraId="068FF8D2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5C49426A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List of activities under this Output:</w:t>
            </w:r>
          </w:p>
          <w:p w14:paraId="0185CA35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1.3.1. Meetings with decision-makers on policy recommendations.</w:t>
            </w:r>
          </w:p>
          <w:p w14:paraId="04AB03BD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2FBB0AC8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1.3.2. Support to policy advocacy campaigns.</w:t>
            </w:r>
          </w:p>
          <w:p w14:paraId="35996492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58B3FB48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1.3.3. Organize final regional dialogue platform.</w:t>
            </w:r>
          </w:p>
        </w:tc>
        <w:tc>
          <w:tcPr>
            <w:tcW w:w="3120" w:type="dxa"/>
            <w:shd w:val="clear" w:color="auto" w:fill="C7EAEF"/>
            <w:vAlign w:val="center"/>
          </w:tcPr>
          <w:p w14:paraId="0BBBF132" w14:textId="77777777" w:rsidR="00A4576E" w:rsidRPr="00321B89" w:rsidRDefault="00A4576E" w:rsidP="00DB59E9">
            <w:pPr>
              <w:spacing w:before="60" w:after="60"/>
              <w:jc w:val="both"/>
              <w:rPr>
                <w:i/>
                <w:sz w:val="18"/>
                <w:szCs w:val="18"/>
                <w:u w:val="single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Output indicator 1.3 a:</w:t>
            </w:r>
            <w:r w:rsidRPr="00321B89">
              <w:rPr>
                <w:sz w:val="18"/>
                <w:szCs w:val="18"/>
              </w:rPr>
              <w:t xml:space="preserve"> Number of effective advocacy channels (engaging equal numbers of both sexes) leveraging political and public support within participating countries for endorsement of social cohesion policy recommendations.</w:t>
            </w:r>
          </w:p>
          <w:p w14:paraId="4420BE31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372D2C07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Baseline (2018):</w:t>
            </w:r>
            <w:r w:rsidRPr="00321B89">
              <w:rPr>
                <w:i/>
                <w:sz w:val="18"/>
                <w:szCs w:val="18"/>
              </w:rPr>
              <w:t xml:space="preserve"> </w:t>
            </w:r>
            <w:r w:rsidRPr="00321B89">
              <w:rPr>
                <w:sz w:val="18"/>
                <w:szCs w:val="18"/>
              </w:rPr>
              <w:t xml:space="preserve">UN agencies in the participating countries have deployed successful advocacy efforts to promote social cohesion. </w:t>
            </w:r>
          </w:p>
          <w:p w14:paraId="5AFED44B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7D233395" w14:textId="3127E47A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Target (2021):</w:t>
            </w:r>
            <w:r w:rsidRPr="00321B89">
              <w:rPr>
                <w:i/>
                <w:sz w:val="18"/>
                <w:szCs w:val="18"/>
              </w:rPr>
              <w:t xml:space="preserve"> </w:t>
            </w:r>
            <w:r w:rsidRPr="00321B89">
              <w:rPr>
                <w:sz w:val="18"/>
                <w:szCs w:val="18"/>
              </w:rPr>
              <w:t>At least 3 inter-connected and mutually-reinforcing advocacy channels help leverage political and public support for endorsement of social cohesion policy recommendations, including: (i) UN-led discussions with political leaders and policy-makers; (ii) regional dialogue platform; (iii) civil society/youth networks campaigns inspired through the programme; (iv) media.</w:t>
            </w:r>
          </w:p>
          <w:p w14:paraId="4A7EE260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00BF5179" w14:textId="77777777" w:rsidR="00A4576E" w:rsidRPr="00321B89" w:rsidRDefault="00A4576E" w:rsidP="00DB59E9">
            <w:pPr>
              <w:spacing w:before="60" w:after="60"/>
              <w:jc w:val="both"/>
              <w:rPr>
                <w:i/>
                <w:sz w:val="18"/>
                <w:szCs w:val="18"/>
                <w:u w:val="single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Output indicator 1.3 b:</w:t>
            </w:r>
            <w:r w:rsidRPr="00321B89">
              <w:rPr>
                <w:sz w:val="18"/>
                <w:szCs w:val="18"/>
              </w:rPr>
              <w:t xml:space="preserve"> Number of social cohesion policy recommendations voiced through the regional dialogue platform that are endorsed by authorities and international community and </w:t>
            </w:r>
            <w:r w:rsidRPr="00321B89">
              <w:rPr>
                <w:sz w:val="18"/>
                <w:szCs w:val="18"/>
              </w:rPr>
              <w:lastRenderedPageBreak/>
              <w:t xml:space="preserve">contribute to their effective follow-up implementation. </w:t>
            </w:r>
          </w:p>
          <w:p w14:paraId="46A54534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4D5CC936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Baseline (2018): n/a</w:t>
            </w:r>
            <w:r w:rsidRPr="00321B89">
              <w:rPr>
                <w:sz w:val="18"/>
                <w:szCs w:val="18"/>
              </w:rPr>
              <w:t xml:space="preserve">. </w:t>
            </w:r>
          </w:p>
          <w:p w14:paraId="7BA00271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448AA37C" w14:textId="386E1E99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i/>
                <w:sz w:val="18"/>
                <w:szCs w:val="18"/>
                <w:u w:val="single"/>
              </w:rPr>
              <w:t>Target (2021):</w:t>
            </w:r>
            <w:r w:rsidRPr="00321B89">
              <w:rPr>
                <w:i/>
                <w:sz w:val="18"/>
                <w:szCs w:val="18"/>
              </w:rPr>
              <w:t xml:space="preserve"> </w:t>
            </w:r>
            <w:r w:rsidRPr="00321B89">
              <w:rPr>
                <w:sz w:val="18"/>
                <w:szCs w:val="18"/>
              </w:rPr>
              <w:t>At least 3 policy recommendations formally endorsed by authorities and the international community.</w:t>
            </w:r>
          </w:p>
        </w:tc>
        <w:tc>
          <w:tcPr>
            <w:tcW w:w="2409" w:type="dxa"/>
            <w:shd w:val="clear" w:color="auto" w:fill="C7EAEF"/>
            <w:vAlign w:val="center"/>
          </w:tcPr>
          <w:p w14:paraId="15AE9E65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lastRenderedPageBreak/>
              <w:t>Media coverage, photos, videos capturing advocacy and formal endorsement of social cohesion recommendations.</w:t>
            </w:r>
          </w:p>
          <w:p w14:paraId="66FF5411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6C490609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Programme reports.</w:t>
            </w:r>
          </w:p>
          <w:p w14:paraId="48797CC2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77B3F11F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Materials from advocacy events.</w:t>
            </w:r>
          </w:p>
          <w:p w14:paraId="4D361983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2F7D9C1E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Formal decisions and documents of authorities or the international community evidencing endorsement of the social cohesion recommendations.</w:t>
            </w:r>
          </w:p>
          <w:p w14:paraId="00DB0976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7EAEF"/>
            <w:vAlign w:val="center"/>
          </w:tcPr>
          <w:p w14:paraId="6E06B02F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Emerging social cohesion recommendations from the dialogue platforms are in place by the 12</w:t>
            </w:r>
            <w:r w:rsidRPr="00321B89">
              <w:rPr>
                <w:sz w:val="18"/>
                <w:szCs w:val="18"/>
                <w:vertAlign w:val="superscript"/>
              </w:rPr>
              <w:t>th</w:t>
            </w:r>
            <w:r w:rsidRPr="00321B89">
              <w:rPr>
                <w:sz w:val="18"/>
                <w:szCs w:val="18"/>
              </w:rPr>
              <w:t xml:space="preserve"> month of the programme implementation, so there is sufficient time for advocacy efforts.</w:t>
            </w:r>
          </w:p>
          <w:p w14:paraId="11A1DD62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09B6C39C" w14:textId="77777777" w:rsidR="00A4576E" w:rsidRPr="00321B89" w:rsidRDefault="00A4576E" w:rsidP="00DB59E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21B89">
              <w:rPr>
                <w:sz w:val="18"/>
                <w:szCs w:val="18"/>
              </w:rPr>
              <w:t>Social cohesion recommendations are formally endorsed by relevant authorities / international community by the last month of the programme implementation, with strong indications for these during the second regional dialogue platform.</w:t>
            </w:r>
          </w:p>
        </w:tc>
      </w:tr>
      <w:bookmarkEnd w:id="0"/>
    </w:tbl>
    <w:p w14:paraId="5C964E3E" w14:textId="77777777" w:rsidR="00A4576E" w:rsidRDefault="00A4576E" w:rsidP="00A4576E"/>
    <w:p w14:paraId="1D9DF6A6" w14:textId="77777777" w:rsidR="00A4576E" w:rsidRPr="00F12F91" w:rsidRDefault="00A4576E" w:rsidP="00A4576E">
      <w:pPr>
        <w:pStyle w:val="ListParagraph"/>
        <w:numPr>
          <w:ilvl w:val="1"/>
          <w:numId w:val="1"/>
        </w:numPr>
        <w:spacing w:before="40" w:after="40" w:line="264" w:lineRule="auto"/>
        <w:rPr>
          <w:rFonts w:ascii="Calibri" w:eastAsia="Calibri" w:hAnsi="Calibri" w:cs="Calibri"/>
          <w:sz w:val="22"/>
          <w:szCs w:val="22"/>
        </w:rPr>
      </w:pPr>
      <w:r w:rsidRPr="00F12F91">
        <w:rPr>
          <w:rFonts w:asciiTheme="minorHAnsi" w:hAnsiTheme="minorHAnsi"/>
          <w:sz w:val="24"/>
          <w:szCs w:val="24"/>
          <w:lang w:val="en-GB"/>
        </w:rPr>
        <w:t>Theory of Change</w:t>
      </w:r>
      <w:r w:rsidRPr="00F12F91">
        <w:rPr>
          <w:rFonts w:ascii="Calibri" w:eastAsia="Calibri" w:hAnsi="Calibri" w:cs="Calibri"/>
          <w:sz w:val="22"/>
          <w:szCs w:val="22"/>
        </w:rPr>
        <w:t xml:space="preserve"> </w:t>
      </w:r>
    </w:p>
    <w:p w14:paraId="500C1080" w14:textId="77777777" w:rsidR="00A4576E" w:rsidRDefault="00A4576E" w:rsidP="00A4576E">
      <w:pPr>
        <w:spacing w:before="40" w:after="40" w:line="264" w:lineRule="auto"/>
        <w:rPr>
          <w:rFonts w:ascii="Calibri" w:eastAsia="Calibri" w:hAnsi="Calibri" w:cs="Calibri"/>
          <w:sz w:val="22"/>
          <w:szCs w:val="22"/>
        </w:rPr>
      </w:pPr>
    </w:p>
    <w:p w14:paraId="79E1E24D" w14:textId="77777777" w:rsidR="00A4576E" w:rsidRPr="00700A52" w:rsidRDefault="00A4576E" w:rsidP="00A4576E">
      <w:pPr>
        <w:jc w:val="both"/>
        <w:rPr>
          <w:bCs/>
          <w:iCs/>
        </w:rPr>
      </w:pPr>
      <w:r w:rsidRPr="00700A52">
        <w:rPr>
          <w:bCs/>
          <w:iCs/>
        </w:rPr>
        <w:t xml:space="preserve">This Theory of Change is informed by the </w:t>
      </w:r>
      <w:r w:rsidRPr="00700A52">
        <w:rPr>
          <w:bCs/>
          <w:i/>
          <w:iCs/>
        </w:rPr>
        <w:t xml:space="preserve">Reflecting on the Practice of Peace (RPP) </w:t>
      </w:r>
      <w:r w:rsidRPr="00700A52">
        <w:rPr>
          <w:bCs/>
          <w:iCs/>
        </w:rPr>
        <w:t>methodology and falls within the “healthy relationships and connections” whereby “peace emerges out of a process of breaking down isolation, polarization, division, prejudice and stereotypes between/among groups. According to People to People peacebuilding approach</w:t>
      </w:r>
      <w:r>
        <w:rPr>
          <w:rStyle w:val="FootnoteReference"/>
          <w:bCs/>
          <w:iCs/>
        </w:rPr>
        <w:footnoteReference w:id="3"/>
      </w:r>
      <w:r w:rsidRPr="00700A52">
        <w:rPr>
          <w:bCs/>
          <w:iCs/>
        </w:rPr>
        <w:t xml:space="preserve"> - there is an assumed progression across a scale of healthy relationships which reasons:</w:t>
      </w:r>
    </w:p>
    <w:p w14:paraId="69B3A213" w14:textId="77777777" w:rsidR="00A4576E" w:rsidRPr="00700A52" w:rsidRDefault="00A4576E" w:rsidP="00A4576E">
      <w:pPr>
        <w:jc w:val="both"/>
        <w:rPr>
          <w:bCs/>
          <w:iCs/>
        </w:rPr>
      </w:pPr>
      <w:r w:rsidRPr="00700A52">
        <w:rPr>
          <w:bCs/>
          <w:iCs/>
        </w:rPr>
        <w:t> </w:t>
      </w:r>
    </w:p>
    <w:p w14:paraId="2B5DA7B8" w14:textId="77777777" w:rsidR="00A4576E" w:rsidRPr="00700A52" w:rsidRDefault="00A4576E" w:rsidP="00A4576E">
      <w:pPr>
        <w:jc w:val="center"/>
        <w:rPr>
          <w:bCs/>
          <w:iCs/>
        </w:rPr>
      </w:pPr>
      <w:r w:rsidRPr="00700A52">
        <w:rPr>
          <w:bCs/>
          <w:iCs/>
        </w:rPr>
        <w:t xml:space="preserve">Understand </w:t>
      </w:r>
      <w:r>
        <w:rPr>
          <w:bCs/>
          <w:iCs/>
        </w:rPr>
        <w:t>»</w:t>
      </w:r>
      <w:r w:rsidRPr="00700A52">
        <w:rPr>
          <w:bCs/>
          <w:iCs/>
        </w:rPr>
        <w:t xml:space="preserve"> Appreciate </w:t>
      </w:r>
      <w:r>
        <w:rPr>
          <w:bCs/>
          <w:iCs/>
        </w:rPr>
        <w:t>»</w:t>
      </w:r>
      <w:r w:rsidRPr="00700A52">
        <w:rPr>
          <w:bCs/>
          <w:iCs/>
        </w:rPr>
        <w:t xml:space="preserve"> Collaborate </w:t>
      </w:r>
      <w:r>
        <w:rPr>
          <w:bCs/>
          <w:iCs/>
        </w:rPr>
        <w:t xml:space="preserve">» </w:t>
      </w:r>
      <w:r w:rsidRPr="00700A52">
        <w:rPr>
          <w:bCs/>
          <w:iCs/>
        </w:rPr>
        <w:t>Prefer to Peacefully Resolve</w:t>
      </w:r>
    </w:p>
    <w:p w14:paraId="42F7F823" w14:textId="77777777" w:rsidR="00A4576E" w:rsidRPr="00700A52" w:rsidRDefault="00A4576E" w:rsidP="00A4576E">
      <w:pPr>
        <w:jc w:val="both"/>
        <w:rPr>
          <w:bCs/>
          <w:iCs/>
        </w:rPr>
      </w:pPr>
      <w:r w:rsidRPr="00700A52">
        <w:rPr>
          <w:bCs/>
          <w:iCs/>
        </w:rPr>
        <w:t> </w:t>
      </w:r>
    </w:p>
    <w:p w14:paraId="3DF73CB1" w14:textId="77777777" w:rsidR="00A4576E" w:rsidRDefault="00A4576E" w:rsidP="00A4576E">
      <w:pPr>
        <w:jc w:val="both"/>
        <w:rPr>
          <w:bCs/>
          <w:iCs/>
        </w:rPr>
      </w:pPr>
      <w:r w:rsidRPr="00700A52">
        <w:rPr>
          <w:bCs/>
          <w:iCs/>
        </w:rPr>
        <w:t xml:space="preserve">Moreover, this Programme is designed 25 years following the end of armed conflicts in the region, and our approach is based on addressing </w:t>
      </w:r>
      <w:r>
        <w:rPr>
          <w:bCs/>
          <w:iCs/>
        </w:rPr>
        <w:t xml:space="preserve">the outlined </w:t>
      </w:r>
      <w:r w:rsidRPr="00700A52">
        <w:rPr>
          <w:bCs/>
          <w:iCs/>
        </w:rPr>
        <w:t>drivers that pertain to diminishing trust among various ethnic groups.</w:t>
      </w:r>
    </w:p>
    <w:p w14:paraId="50E0344E" w14:textId="77777777" w:rsidR="00A4576E" w:rsidRPr="00700A52" w:rsidRDefault="00A4576E" w:rsidP="00A4576E">
      <w:pPr>
        <w:jc w:val="both"/>
        <w:rPr>
          <w:bCs/>
          <w:iCs/>
        </w:rPr>
      </w:pPr>
    </w:p>
    <w:p w14:paraId="444384A7" w14:textId="77777777" w:rsidR="00A4576E" w:rsidRDefault="00A4576E" w:rsidP="00A4576E">
      <w:pPr>
        <w:jc w:val="both"/>
        <w:rPr>
          <w:bCs/>
        </w:rPr>
      </w:pPr>
      <w:r>
        <w:rPr>
          <w:bCs/>
          <w:iCs/>
        </w:rPr>
        <w:t xml:space="preserve">This programme posits the hypothesis that </w:t>
      </w:r>
      <w:r>
        <w:rPr>
          <w:b/>
          <w:bCs/>
          <w:i/>
          <w:iCs/>
        </w:rPr>
        <w:t>i</w:t>
      </w:r>
      <w:r w:rsidRPr="001547F5">
        <w:rPr>
          <w:b/>
          <w:bCs/>
          <w:i/>
          <w:iCs/>
        </w:rPr>
        <w:t>f</w:t>
      </w:r>
      <w:r w:rsidRPr="001547F5">
        <w:rPr>
          <w:b/>
          <w:bCs/>
        </w:rPr>
        <w:t> </w:t>
      </w:r>
      <w:r w:rsidRPr="001547F5">
        <w:rPr>
          <w:bCs/>
        </w:rPr>
        <w:t xml:space="preserve">members from different </w:t>
      </w:r>
      <w:r>
        <w:rPr>
          <w:bCs/>
        </w:rPr>
        <w:t xml:space="preserve">(ethnic) </w:t>
      </w:r>
      <w:r w:rsidRPr="001547F5">
        <w:rPr>
          <w:bCs/>
        </w:rPr>
        <w:t xml:space="preserve">groups in the region, and especially youth, are </w:t>
      </w:r>
      <w:r>
        <w:rPr>
          <w:bCs/>
        </w:rPr>
        <w:t xml:space="preserve">sufficiently capacitated to engage in constructive dialogue and </w:t>
      </w:r>
      <w:r w:rsidRPr="001547F5">
        <w:rPr>
          <w:bCs/>
        </w:rPr>
        <w:t xml:space="preserve">provided structured opportunities to identify social cohesion priorities </w:t>
      </w:r>
      <w:r>
        <w:rPr>
          <w:bCs/>
        </w:rPr>
        <w:t xml:space="preserve">and </w:t>
      </w:r>
      <w:r w:rsidRPr="001547F5">
        <w:rPr>
          <w:bCs/>
        </w:rPr>
        <w:t xml:space="preserve">communicate them to their elected leaders and relevant institutions through </w:t>
      </w:r>
      <w:r>
        <w:rPr>
          <w:bCs/>
        </w:rPr>
        <w:t>dialogue platforms</w:t>
      </w:r>
      <w:r w:rsidRPr="001547F5">
        <w:rPr>
          <w:bCs/>
        </w:rPr>
        <w:t xml:space="preserve">, and address them through joint projects and activities, </w:t>
      </w:r>
      <w:r w:rsidRPr="000F1E3B">
        <w:rPr>
          <w:b/>
          <w:bCs/>
          <w:i/>
        </w:rPr>
        <w:t>then</w:t>
      </w:r>
      <w:r>
        <w:rPr>
          <w:bCs/>
        </w:rPr>
        <w:t xml:space="preserve"> this will ensure broad-based participation and create partnerships across the three countries in pursuit of commonly identified priorities </w:t>
      </w:r>
      <w:r>
        <w:rPr>
          <w:b/>
          <w:bCs/>
          <w:i/>
        </w:rPr>
        <w:t xml:space="preserve">because </w:t>
      </w:r>
      <w:r>
        <w:rPr>
          <w:bCs/>
        </w:rPr>
        <w:t xml:space="preserve"> skill-building for constructive dialogue, identification of common social cohesion priorities and joint action to address them will help break down barriers among various groups and help build a sense of connectedness and understanding, which are requisite in resilience to conflict. </w:t>
      </w:r>
    </w:p>
    <w:p w14:paraId="773EC1D3" w14:textId="77777777" w:rsidR="00A4576E" w:rsidRDefault="00A4576E"/>
    <w:sectPr w:rsidR="00A4576E" w:rsidSect="00A4576E">
      <w:headerReference w:type="default" r:id="rId14"/>
      <w:pgSz w:w="15840" w:h="12240" w:orient="landscape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A7AC9" w14:textId="77777777" w:rsidR="0077451F" w:rsidRDefault="0077451F" w:rsidP="00A4576E">
      <w:r>
        <w:separator/>
      </w:r>
    </w:p>
  </w:endnote>
  <w:endnote w:type="continuationSeparator" w:id="0">
    <w:p w14:paraId="045BA767" w14:textId="77777777" w:rsidR="0077451F" w:rsidRDefault="0077451F" w:rsidP="00A4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43475" w14:textId="77777777" w:rsidR="0077451F" w:rsidRDefault="0077451F" w:rsidP="00A4576E">
      <w:r>
        <w:separator/>
      </w:r>
    </w:p>
  </w:footnote>
  <w:footnote w:type="continuationSeparator" w:id="0">
    <w:p w14:paraId="5805176A" w14:textId="77777777" w:rsidR="0077451F" w:rsidRDefault="0077451F" w:rsidP="00A4576E">
      <w:r>
        <w:continuationSeparator/>
      </w:r>
    </w:p>
  </w:footnote>
  <w:footnote w:id="1">
    <w:p w14:paraId="0D4497AA" w14:textId="77777777" w:rsidR="00A4576E" w:rsidRDefault="00A4576E" w:rsidP="00A4576E">
      <w:pPr>
        <w:pStyle w:val="FootnoteText"/>
      </w:pPr>
      <w:r>
        <w:rPr>
          <w:rStyle w:val="FootnoteReference"/>
        </w:rPr>
        <w:footnoteRef/>
      </w:r>
      <w:r>
        <w:t xml:space="preserve"> 2017 RCC Balkan Barometer results.</w:t>
      </w:r>
    </w:p>
  </w:footnote>
  <w:footnote w:id="2">
    <w:p w14:paraId="1B7B00E5" w14:textId="77777777" w:rsidR="00A4576E" w:rsidRPr="00FD344A" w:rsidRDefault="00A4576E" w:rsidP="00A4576E">
      <w:pPr>
        <w:pStyle w:val="FootnoteText"/>
        <w:rPr>
          <w:sz w:val="18"/>
          <w:szCs w:val="18"/>
        </w:rPr>
      </w:pPr>
      <w:r w:rsidRPr="00FD344A">
        <w:rPr>
          <w:rStyle w:val="FootnoteReference"/>
          <w:sz w:val="18"/>
          <w:szCs w:val="18"/>
        </w:rPr>
        <w:footnoteRef/>
      </w:r>
      <w:r w:rsidRPr="00FD344A">
        <w:rPr>
          <w:sz w:val="18"/>
          <w:szCs w:val="18"/>
        </w:rPr>
        <w:t xml:space="preserve"> The index uses standardized score ranging from 100 to 0 score, highest to lowest.</w:t>
      </w:r>
    </w:p>
  </w:footnote>
  <w:footnote w:id="3">
    <w:p w14:paraId="6D44DF38" w14:textId="77777777" w:rsidR="00A4576E" w:rsidRPr="00771941" w:rsidRDefault="00A4576E" w:rsidP="00A4576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71941">
        <w:rPr>
          <w:color w:val="000000"/>
        </w:rPr>
        <w:t>Designing for Results, Integrating Monitoring and Evaluation in Conflict Transformation Programmes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6A658" w14:textId="28EAE167" w:rsidR="00A4576E" w:rsidRDefault="00A4576E">
    <w:pPr>
      <w:pStyle w:val="Header"/>
    </w:pPr>
    <w:r>
      <w:rPr>
        <w:noProof/>
        <w:lang w:val="de-AT" w:eastAsia="de-AT"/>
      </w:rPr>
      <w:drawing>
        <wp:inline distT="0" distB="0" distL="0" distR="0" wp14:anchorId="55D5EBF5" wp14:editId="4A2D806A">
          <wp:extent cx="1371600" cy="55964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029" cy="566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A5BE4"/>
    <w:multiLevelType w:val="multilevel"/>
    <w:tmpl w:val="0612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6E"/>
    <w:rsid w:val="00321B89"/>
    <w:rsid w:val="00365693"/>
    <w:rsid w:val="0077451F"/>
    <w:rsid w:val="008F0CC9"/>
    <w:rsid w:val="00A4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9CE8AC"/>
  <w15:chartTrackingRefBased/>
  <w15:docId w15:val="{CB2F3FA4-073A-4C41-819A-FA759701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t,ADB,single space,Lábjegyzet-szöveg, Tegn1, Tegn1 Char, Char Char Char,Footnote Text Char1 Char,Footnote Text Char2 Char Char,Footnote Text Char Char2 Char Char,Footnote Text Char1 Char Char Char,Footnote Text Char Char Char Char Char,Ch"/>
    <w:basedOn w:val="Normal"/>
    <w:link w:val="FootnoteTextChar"/>
    <w:uiPriority w:val="99"/>
    <w:qFormat/>
    <w:rsid w:val="00A4576E"/>
    <w:pPr>
      <w:widowControl w:val="0"/>
    </w:pPr>
    <w:rPr>
      <w:rFonts w:eastAsia="MS Mincho"/>
      <w:snapToGrid w:val="0"/>
      <w:sz w:val="20"/>
      <w:szCs w:val="20"/>
      <w:lang w:val="en-GB"/>
    </w:rPr>
  </w:style>
  <w:style w:type="character" w:customStyle="1" w:styleId="FootnoteTextChar">
    <w:name w:val="Footnote Text Char"/>
    <w:aliases w:val="ft Char,ADB Char,single space Char,Lábjegyzet-szöveg Char, Tegn1 Char1, Tegn1 Char Char, Char Char Char Char,Footnote Text Char1 Char Char,Footnote Text Char2 Char Char Char,Footnote Text Char Char2 Char Char Char,Ch Char"/>
    <w:basedOn w:val="DefaultParagraphFont"/>
    <w:link w:val="FootnoteText"/>
    <w:uiPriority w:val="99"/>
    <w:rsid w:val="00A4576E"/>
    <w:rPr>
      <w:rFonts w:ascii="Times New Roman" w:eastAsia="MS Mincho" w:hAnsi="Times New Roman" w:cs="Times New Roman"/>
      <w:snapToGrid w:val="0"/>
      <w:sz w:val="20"/>
      <w:szCs w:val="20"/>
      <w:lang w:val="en-GB"/>
    </w:rPr>
  </w:style>
  <w:style w:type="character" w:styleId="FootnoteReference">
    <w:name w:val="footnote reference"/>
    <w:aliases w:val="ftref,BVI fnr,Char Char,Carattere Char1,Carattere Char Char Carattere Carattere Char Char,Fußnotenzeichen DISS, BVI fnr, Char Char, Carattere Char1, Carattere Char Char Carattere Carattere Char Char,Footnote Reference Superscript,4_G"/>
    <w:link w:val="Char2"/>
    <w:uiPriority w:val="99"/>
    <w:qFormat/>
    <w:rsid w:val="00A4576E"/>
    <w:rPr>
      <w:vertAlign w:val="superscript"/>
    </w:rPr>
  </w:style>
  <w:style w:type="character" w:styleId="Hyperlink">
    <w:name w:val="Hyperlink"/>
    <w:rsid w:val="00A4576E"/>
    <w:rPr>
      <w:strike w:val="0"/>
      <w:dstrike w:val="0"/>
      <w:color w:val="003366"/>
      <w:u w:val="none"/>
      <w:effect w:val="none"/>
    </w:rPr>
  </w:style>
  <w:style w:type="paragraph" w:customStyle="1" w:styleId="Char2">
    <w:name w:val="Char2"/>
    <w:basedOn w:val="Normal"/>
    <w:link w:val="FootnoteReference"/>
    <w:uiPriority w:val="99"/>
    <w:rsid w:val="00A4576E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5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7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6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List Paragraph Char Char Char,Use Case List Paragraph,List Paragraph2,Bullets,List Paragraph1,Lapis Bulleted List,Dot pt,F5 List Paragraph,No Spacing1,Indicator Text,Numbered Para 1,Bullet 1,List Paragraph12"/>
    <w:basedOn w:val="Normal"/>
    <w:link w:val="ListParagraphChar"/>
    <w:uiPriority w:val="3"/>
    <w:qFormat/>
    <w:rsid w:val="00A4576E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Bullets Char,List Paragraph1 Char,Lapis Bulleted List Char,Dot pt Char,F5 List Paragraph Char,No Spacing1 Char"/>
    <w:basedOn w:val="DefaultParagraphFont"/>
    <w:link w:val="ListParagraph"/>
    <w:uiPriority w:val="3"/>
    <w:qFormat/>
    <w:locked/>
    <w:rsid w:val="00A457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si.bg/downloads/File/2018/MediaLiteracyIndex2018_publishENG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isionofhumanity.org/app/uploads/2018/06/Global-Peace-Index-2018-2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sionofhumanity.org/app/uploads/2018/06/Global-Peace-Index-2018-2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32JKWRRJAUXM-998274524-1232</_dlc_DocId>
    <_dlc_DocIdUrl xmlns="de777af5-75c5-4059-8842-b3ca2d118c77">
      <Url>https://undp.sharepoint.com/teams/BIH/GS/_layouts/15/DocIdRedir.aspx?ID=32JKWRRJAUXM-998274524-1232</Url>
      <Description>32JKWRRJAUXM-998274524-1232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B67CEA357854EB8EB33AC192816B0" ma:contentTypeVersion="4" ma:contentTypeDescription="Create a new document." ma:contentTypeScope="" ma:versionID="8b6fe9be6f40782f9e9fb8b0881e8248">
  <xsd:schema xmlns:xsd="http://www.w3.org/2001/XMLSchema" xmlns:xs="http://www.w3.org/2001/XMLSchema" xmlns:p="http://schemas.microsoft.com/office/2006/metadata/properties" xmlns:ns2="de777af5-75c5-4059-8842-b3ca2d118c77" xmlns:ns3="dbd56bf6-bf48-461f-918b-aafd7f8c5cdd" targetNamespace="http://schemas.microsoft.com/office/2006/metadata/properties" ma:root="true" ma:fieldsID="d87820e1f0774ac125ccf7e0fafccead" ns2:_="" ns3:_="">
    <xsd:import namespace="de777af5-75c5-4059-8842-b3ca2d118c77"/>
    <xsd:import namespace="dbd56bf6-bf48-461f-918b-aafd7f8c5c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56bf6-bf48-461f-918b-aafd7f8c5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90F59-C00E-4077-8975-AC90B3812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C8553-C7A4-4B57-89FB-BC3530BB58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84745F-DFDD-433D-B032-44C89DD7492D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70BA617A-7B0B-4E2E-BD47-5E610A1D8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dbd56bf6-bf48-461f-918b-aafd7f8c5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1850</Words>
  <Characters>10551</Characters>
  <Application>Microsoft Office Word</Application>
  <DocSecurity>0</DocSecurity>
  <Lines>87</Lines>
  <Paragraphs>24</Paragraphs>
  <ScaleCrop>false</ScaleCrop>
  <Company/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Mirvic</dc:creator>
  <cp:keywords/>
  <dc:description/>
  <cp:lastModifiedBy>Amra Zorlak</cp:lastModifiedBy>
  <cp:revision>2</cp:revision>
  <dcterms:created xsi:type="dcterms:W3CDTF">2021-04-06T20:12:00Z</dcterms:created>
  <dcterms:modified xsi:type="dcterms:W3CDTF">2021-04-06T20:12:00Z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0x010100D4AB67CEA357854EB8EB33AC192816B0</vt:lpwstr>
  </property>
  <property fmtid="{D5CDD505-2E9C-101B-9397-08002B2CF9AE}" pid="3" name="_dlc_DocIdItemGuid">
    <vt:lpwstr>46aa646d-5352-4d03-aff0-4080bc54c85b</vt:lpwstr>
  </property>
</Properties>
</file>