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75B11" w14:textId="77777777" w:rsidR="00E27B61" w:rsidRPr="00E27B61" w:rsidRDefault="00E27B61" w:rsidP="00E27B61">
      <w:pPr>
        <w:keepNext/>
        <w:keepLines/>
        <w:spacing w:before="40" w:after="0"/>
        <w:ind w:left="576" w:hanging="576"/>
        <w:outlineLvl w:val="1"/>
        <w:rPr>
          <w:rFonts w:asciiTheme="majorHAnsi" w:eastAsiaTheme="majorEastAsia" w:hAnsiTheme="majorHAnsi" w:cstheme="majorBidi"/>
          <w:color w:val="2F5496" w:themeColor="accent1" w:themeShade="BF"/>
          <w:sz w:val="26"/>
          <w:szCs w:val="26"/>
          <w:lang w:val="en-US"/>
        </w:rPr>
      </w:pPr>
      <w:bookmarkStart w:id="0" w:name="_Toc66863331"/>
      <w:r w:rsidRPr="00E27B61">
        <w:rPr>
          <w:rFonts w:asciiTheme="majorHAnsi" w:eastAsiaTheme="majorEastAsia" w:hAnsiTheme="majorHAnsi" w:cstheme="majorBidi"/>
          <w:color w:val="2F5496" w:themeColor="accent1" w:themeShade="BF"/>
          <w:sz w:val="26"/>
          <w:szCs w:val="26"/>
          <w:lang w:val="en-US"/>
        </w:rPr>
        <w:t>Annex 9: TE Audit Trail</w:t>
      </w:r>
      <w:bookmarkEnd w:id="0"/>
      <w:r w:rsidRPr="00E27B61">
        <w:rPr>
          <w:rFonts w:asciiTheme="majorHAnsi" w:eastAsiaTheme="majorEastAsia" w:hAnsiTheme="majorHAnsi" w:cstheme="majorBidi"/>
          <w:color w:val="2F5496" w:themeColor="accent1" w:themeShade="BF"/>
          <w:sz w:val="26"/>
          <w:szCs w:val="26"/>
          <w:lang w:val="en-US"/>
        </w:rPr>
        <w:t xml:space="preserve"> </w:t>
      </w:r>
    </w:p>
    <w:p w14:paraId="70DD7AA2" w14:textId="77777777" w:rsidR="00E27B61" w:rsidRPr="00E27B61" w:rsidRDefault="00E27B61" w:rsidP="00E27B61">
      <w:pPr>
        <w:tabs>
          <w:tab w:val="left" w:pos="1620"/>
        </w:tabs>
        <w:contextualSpacing/>
        <w:rPr>
          <w:rFonts w:cstheme="minorHAnsi"/>
          <w:color w:val="000000" w:themeColor="text1"/>
          <w:sz w:val="21"/>
          <w:szCs w:val="21"/>
          <w:lang w:val="en-US"/>
        </w:rPr>
      </w:pPr>
    </w:p>
    <w:p w14:paraId="7BB6826C" w14:textId="77777777" w:rsidR="00E27B61" w:rsidRPr="00E27B61" w:rsidRDefault="00E27B61" w:rsidP="00E27B61">
      <w:pPr>
        <w:jc w:val="both"/>
        <w:rPr>
          <w:rFonts w:cstheme="minorHAnsi"/>
        </w:rPr>
      </w:pPr>
      <w:r w:rsidRPr="00E27B61">
        <w:rPr>
          <w:rFonts w:cstheme="minorHAnsi"/>
        </w:rPr>
        <w:t xml:space="preserve">The following table describes how the received comments on the draft TE report have been addressed the final TE report. This audit trail is a mandatory annex of the final TE report. </w:t>
      </w:r>
    </w:p>
    <w:p w14:paraId="23B666E4" w14:textId="77777777" w:rsidR="00E27B61" w:rsidRPr="00E27B61" w:rsidRDefault="00E27B61" w:rsidP="00E27B61">
      <w:pPr>
        <w:jc w:val="both"/>
        <w:rPr>
          <w:rFonts w:cstheme="minorHAnsi"/>
          <w:b/>
          <w:lang w:val="en-US"/>
        </w:rPr>
      </w:pPr>
      <w:r w:rsidRPr="00E27B61">
        <w:rPr>
          <w:rFonts w:cstheme="minorHAnsi"/>
          <w:b/>
          <w:bCs/>
        </w:rPr>
        <w:t xml:space="preserve">Responses to </w:t>
      </w:r>
      <w:r w:rsidRPr="00E27B61">
        <w:rPr>
          <w:rFonts w:cstheme="minorHAnsi"/>
          <w:b/>
        </w:rPr>
        <w:t>Comments received</w:t>
      </w:r>
    </w:p>
    <w:p w14:paraId="279603D5" w14:textId="77777777" w:rsidR="00E27B61" w:rsidRPr="00E27B61" w:rsidRDefault="00E27B61" w:rsidP="00E27B61">
      <w:pPr>
        <w:jc w:val="both"/>
        <w:rPr>
          <w:rFonts w:cstheme="minorHAnsi"/>
          <w:iCs/>
        </w:rPr>
      </w:pPr>
      <w:r w:rsidRPr="00E27B61">
        <w:rPr>
          <w:rFonts w:cstheme="minorHAnsi"/>
          <w:iCs/>
        </w:rPr>
        <w:t>The following comments were provided on the draft Terminal Evaluation report; they are referenced by author, comment number (“#” column) and location in the text. Note that the paragraph numbering and formatting has been corrected in the final report, and the references in the table refer to the finalized layout for ease of reference.</w:t>
      </w:r>
    </w:p>
    <w:p w14:paraId="411DD566" w14:textId="309F8F86" w:rsidR="00E27B61" w:rsidRPr="00E27B61" w:rsidRDefault="0083668B" w:rsidP="00E27B61">
      <w:pPr>
        <w:jc w:val="both"/>
        <w:rPr>
          <w:rFonts w:cstheme="minorHAnsi"/>
          <w:iCs/>
        </w:rPr>
      </w:pPr>
      <w:r>
        <w:rPr>
          <w:rFonts w:cstheme="minorHAnsi"/>
          <w:iCs/>
        </w:rPr>
        <w:t>Written c</w:t>
      </w:r>
      <w:r w:rsidR="00E27B61" w:rsidRPr="00E27B61">
        <w:rPr>
          <w:rFonts w:cstheme="minorHAnsi"/>
          <w:iCs/>
        </w:rPr>
        <w:t>omments were received from</w:t>
      </w:r>
      <w:r w:rsidR="00965E0E">
        <w:rPr>
          <w:rFonts w:cstheme="minorHAnsi"/>
          <w:iCs/>
        </w:rPr>
        <w:t xml:space="preserve"> the</w:t>
      </w:r>
      <w:r w:rsidR="00E27B61" w:rsidRPr="00E27B61">
        <w:rPr>
          <w:rFonts w:cstheme="minorHAnsi"/>
          <w:iCs/>
        </w:rPr>
        <w:t xml:space="preserve"> UNDP CO</w:t>
      </w:r>
      <w:r w:rsidR="00965E0E">
        <w:rPr>
          <w:rFonts w:cstheme="minorHAnsi"/>
          <w:iCs/>
        </w:rPr>
        <w:t xml:space="preserve"> and</w:t>
      </w:r>
      <w:r w:rsidR="00E27B61" w:rsidRPr="00E27B61">
        <w:rPr>
          <w:rFonts w:cstheme="minorHAnsi"/>
          <w:iCs/>
        </w:rPr>
        <w:t xml:space="preserve"> UNDP RTA</w:t>
      </w:r>
      <w:r w:rsidR="00B72C07">
        <w:rPr>
          <w:rFonts w:cstheme="minorHAnsi"/>
          <w:iCs/>
        </w:rPr>
        <w:t xml:space="preserve"> on</w:t>
      </w:r>
      <w:r w:rsidR="00D611F7">
        <w:rPr>
          <w:rFonts w:cstheme="minorHAnsi"/>
          <w:iCs/>
        </w:rPr>
        <w:t xml:space="preserve"> 12</w:t>
      </w:r>
      <w:r w:rsidR="00585BA4">
        <w:rPr>
          <w:rFonts w:cstheme="minorHAnsi"/>
          <w:iCs/>
        </w:rPr>
        <w:t xml:space="preserve"> and</w:t>
      </w:r>
      <w:r w:rsidR="00B72C07">
        <w:rPr>
          <w:rFonts w:cstheme="minorHAnsi"/>
          <w:iCs/>
        </w:rPr>
        <w:t xml:space="preserve"> 26 March 2021.</w:t>
      </w:r>
      <w:r w:rsidR="006B72FD">
        <w:rPr>
          <w:rFonts w:cstheme="minorHAnsi"/>
          <w:iCs/>
        </w:rPr>
        <w:t xml:space="preserve"> </w:t>
      </w:r>
    </w:p>
    <w:tbl>
      <w:tblPr>
        <w:tblStyle w:val="TableGrid"/>
        <w:tblW w:w="14670" w:type="dxa"/>
        <w:tblInd w:w="-5" w:type="dxa"/>
        <w:tblLook w:val="04A0" w:firstRow="1" w:lastRow="0" w:firstColumn="1" w:lastColumn="0" w:noHBand="0" w:noVBand="1"/>
      </w:tblPr>
      <w:tblGrid>
        <w:gridCol w:w="1980"/>
        <w:gridCol w:w="540"/>
        <w:gridCol w:w="2880"/>
        <w:gridCol w:w="4500"/>
        <w:gridCol w:w="4770"/>
      </w:tblGrid>
      <w:tr w:rsidR="00E27B61" w:rsidRPr="00E27B61" w14:paraId="69A74119" w14:textId="77777777" w:rsidTr="005F2F73">
        <w:trPr>
          <w:trHeight w:val="35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AA722AA"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Institution/</w:t>
            </w:r>
          </w:p>
          <w:p w14:paraId="68E993E5"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Organization</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3DBA49C"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C46EE80"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 xml:space="preserve">Para No./ comment location </w:t>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838B20A"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Comment/Feedback on the draft TE report</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213081E"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TE team</w:t>
            </w:r>
          </w:p>
          <w:p w14:paraId="6F2B429C" w14:textId="77777777" w:rsidR="00E27B61" w:rsidRPr="00E27B61" w:rsidRDefault="00E27B61" w:rsidP="00E27B61">
            <w:pPr>
              <w:jc w:val="center"/>
              <w:rPr>
                <w:rFonts w:cstheme="minorHAnsi"/>
                <w:b/>
                <w:color w:val="FFFFFF" w:themeColor="background1"/>
                <w:sz w:val="21"/>
                <w:szCs w:val="21"/>
              </w:rPr>
            </w:pPr>
            <w:r w:rsidRPr="00E27B61">
              <w:rPr>
                <w:rFonts w:cstheme="minorHAnsi"/>
                <w:b/>
                <w:color w:val="FFFFFF" w:themeColor="background1"/>
                <w:sz w:val="21"/>
                <w:szCs w:val="21"/>
              </w:rPr>
              <w:t>response and actions taken</w:t>
            </w:r>
          </w:p>
        </w:tc>
      </w:tr>
      <w:tr w:rsidR="00E27B61" w:rsidRPr="00E27B61" w14:paraId="11E4F5E6" w14:textId="77777777" w:rsidTr="005F2F73">
        <w:trPr>
          <w:trHeight w:val="608"/>
        </w:trPr>
        <w:tc>
          <w:tcPr>
            <w:tcW w:w="1980" w:type="dxa"/>
            <w:tcBorders>
              <w:top w:val="single" w:sz="4" w:space="0" w:color="FFFFFF" w:themeColor="background1"/>
            </w:tcBorders>
          </w:tcPr>
          <w:p w14:paraId="5079419C"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tcBorders>
              <w:top w:val="single" w:sz="4" w:space="0" w:color="FFFFFF" w:themeColor="background1"/>
            </w:tcBorders>
            <w:shd w:val="clear" w:color="auto" w:fill="auto"/>
          </w:tcPr>
          <w:p w14:paraId="56D6DC3B" w14:textId="77777777" w:rsidR="00E27B61" w:rsidRPr="00E27B61" w:rsidRDefault="00E27B61" w:rsidP="00E27B61">
            <w:pPr>
              <w:jc w:val="center"/>
              <w:rPr>
                <w:rFonts w:cstheme="minorHAnsi"/>
                <w:sz w:val="21"/>
                <w:szCs w:val="21"/>
              </w:rPr>
            </w:pPr>
            <w:r w:rsidRPr="00E27B61">
              <w:rPr>
                <w:rFonts w:cstheme="minorHAnsi"/>
                <w:sz w:val="21"/>
                <w:szCs w:val="21"/>
              </w:rPr>
              <w:t>1</w:t>
            </w:r>
          </w:p>
        </w:tc>
        <w:tc>
          <w:tcPr>
            <w:tcW w:w="2880" w:type="dxa"/>
            <w:tcBorders>
              <w:top w:val="single" w:sz="4" w:space="0" w:color="FFFFFF" w:themeColor="background1"/>
            </w:tcBorders>
          </w:tcPr>
          <w:p w14:paraId="0BCBA61E" w14:textId="77777777" w:rsidR="00E27B61" w:rsidRPr="00E27B61" w:rsidRDefault="00E27B61" w:rsidP="00E27B61">
            <w:pPr>
              <w:jc w:val="center"/>
              <w:rPr>
                <w:rFonts w:cstheme="minorHAnsi"/>
                <w:sz w:val="21"/>
                <w:szCs w:val="21"/>
              </w:rPr>
            </w:pPr>
            <w:r w:rsidRPr="00E27B61">
              <w:rPr>
                <w:rFonts w:cstheme="minorHAnsi"/>
                <w:sz w:val="21"/>
                <w:szCs w:val="21"/>
              </w:rPr>
              <w:t>Page 1, Executive Summary Table</w:t>
            </w:r>
          </w:p>
        </w:tc>
        <w:tc>
          <w:tcPr>
            <w:tcW w:w="4500" w:type="dxa"/>
            <w:tcBorders>
              <w:top w:val="single" w:sz="4" w:space="0" w:color="FFFFFF" w:themeColor="background1"/>
            </w:tcBorders>
          </w:tcPr>
          <w:p w14:paraId="1EB088D8" w14:textId="77777777" w:rsidR="00E27B61" w:rsidRPr="00E27B61" w:rsidRDefault="00E27B61" w:rsidP="00E27B61">
            <w:pPr>
              <w:rPr>
                <w:rFonts w:cstheme="minorHAnsi"/>
                <w:sz w:val="21"/>
                <w:szCs w:val="21"/>
              </w:rPr>
            </w:pPr>
            <w:r w:rsidRPr="00E27B61">
              <w:rPr>
                <w:rFonts w:cstheme="minorHAnsi"/>
                <w:sz w:val="21"/>
                <w:szCs w:val="21"/>
              </w:rPr>
              <w:t xml:space="preserve">Please add </w:t>
            </w:r>
            <w:r w:rsidRPr="00E27B61">
              <w:rPr>
                <w:rFonts w:cstheme="minorHAnsi"/>
                <w:b/>
                <w:bCs/>
                <w:sz w:val="21"/>
                <w:szCs w:val="21"/>
              </w:rPr>
              <w:t>‘Thailand Environment Institute’</w:t>
            </w:r>
            <w:r w:rsidRPr="00E27B61">
              <w:rPr>
                <w:rFonts w:cstheme="minorHAnsi"/>
                <w:sz w:val="21"/>
                <w:szCs w:val="21"/>
              </w:rPr>
              <w:t xml:space="preserve"> as another NGO/CBO Involvement cell. </w:t>
            </w:r>
          </w:p>
        </w:tc>
        <w:tc>
          <w:tcPr>
            <w:tcW w:w="4770" w:type="dxa"/>
            <w:tcBorders>
              <w:top w:val="single" w:sz="4" w:space="0" w:color="FFFFFF" w:themeColor="background1"/>
            </w:tcBorders>
          </w:tcPr>
          <w:p w14:paraId="757E85EE" w14:textId="77777777" w:rsidR="00E27B61" w:rsidRPr="00E27B61" w:rsidRDefault="00E27B61" w:rsidP="00E27B61">
            <w:pPr>
              <w:rPr>
                <w:rFonts w:cstheme="minorHAnsi"/>
                <w:sz w:val="21"/>
                <w:szCs w:val="21"/>
              </w:rPr>
            </w:pPr>
            <w:r w:rsidRPr="00E27B61">
              <w:rPr>
                <w:rFonts w:cstheme="minorHAnsi"/>
                <w:sz w:val="21"/>
                <w:szCs w:val="21"/>
              </w:rPr>
              <w:t>Accepted and included.</w:t>
            </w:r>
          </w:p>
        </w:tc>
      </w:tr>
      <w:tr w:rsidR="00E27B61" w:rsidRPr="00E27B61" w14:paraId="3A8A75C4" w14:textId="77777777" w:rsidTr="005F2F73">
        <w:trPr>
          <w:trHeight w:val="809"/>
        </w:trPr>
        <w:tc>
          <w:tcPr>
            <w:tcW w:w="1980" w:type="dxa"/>
            <w:tcBorders>
              <w:top w:val="single" w:sz="4" w:space="0" w:color="FFFFFF" w:themeColor="background1"/>
            </w:tcBorders>
          </w:tcPr>
          <w:p w14:paraId="17BA248A"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tcBorders>
              <w:top w:val="single" w:sz="4" w:space="0" w:color="FFFFFF" w:themeColor="background1"/>
            </w:tcBorders>
            <w:shd w:val="clear" w:color="auto" w:fill="auto"/>
          </w:tcPr>
          <w:p w14:paraId="5B188D82" w14:textId="77777777" w:rsidR="00E27B61" w:rsidRPr="00E27B61" w:rsidRDefault="00E27B61" w:rsidP="00E27B61">
            <w:pPr>
              <w:jc w:val="center"/>
              <w:rPr>
                <w:rFonts w:cstheme="minorHAnsi"/>
                <w:sz w:val="21"/>
                <w:szCs w:val="21"/>
              </w:rPr>
            </w:pPr>
            <w:r w:rsidRPr="00E27B61">
              <w:rPr>
                <w:rFonts w:cstheme="minorHAnsi"/>
                <w:sz w:val="21"/>
                <w:szCs w:val="21"/>
              </w:rPr>
              <w:t>2</w:t>
            </w:r>
          </w:p>
        </w:tc>
        <w:tc>
          <w:tcPr>
            <w:tcW w:w="2880" w:type="dxa"/>
            <w:tcBorders>
              <w:top w:val="single" w:sz="4" w:space="0" w:color="FFFFFF" w:themeColor="background1"/>
            </w:tcBorders>
          </w:tcPr>
          <w:p w14:paraId="57F9AA16" w14:textId="77777777" w:rsidR="00E27B61" w:rsidRPr="00E27B61" w:rsidRDefault="00E27B61" w:rsidP="00E27B61">
            <w:pPr>
              <w:jc w:val="center"/>
              <w:rPr>
                <w:rFonts w:cstheme="minorHAnsi"/>
                <w:sz w:val="21"/>
                <w:szCs w:val="21"/>
              </w:rPr>
            </w:pPr>
            <w:r w:rsidRPr="00E27B61">
              <w:rPr>
                <w:rFonts w:cstheme="minorHAnsi"/>
                <w:sz w:val="21"/>
                <w:szCs w:val="21"/>
              </w:rPr>
              <w:t>Page 3, Ratings Table</w:t>
            </w:r>
          </w:p>
        </w:tc>
        <w:tc>
          <w:tcPr>
            <w:tcW w:w="4500" w:type="dxa"/>
            <w:tcBorders>
              <w:top w:val="single" w:sz="4" w:space="0" w:color="FFFFFF" w:themeColor="background1"/>
            </w:tcBorders>
          </w:tcPr>
          <w:p w14:paraId="1FFF037B" w14:textId="77777777" w:rsidR="00E27B61" w:rsidRPr="00E27B61" w:rsidRDefault="00E27B61" w:rsidP="00E27B61">
            <w:pPr>
              <w:rPr>
                <w:rFonts w:cstheme="minorHAnsi"/>
                <w:sz w:val="21"/>
                <w:szCs w:val="21"/>
              </w:rPr>
            </w:pPr>
            <w:r w:rsidRPr="00E27B61">
              <w:rPr>
                <w:rFonts w:cstheme="minorHAnsi"/>
                <w:sz w:val="21"/>
                <w:szCs w:val="21"/>
              </w:rPr>
              <w:t>Some ratings are in range. Please assign appropriate ratings for “</w:t>
            </w:r>
            <w:r w:rsidRPr="00E27B61">
              <w:rPr>
                <w:rFonts w:cstheme="minorHAnsi"/>
                <w:color w:val="000000"/>
                <w:sz w:val="20"/>
                <w:szCs w:val="20"/>
              </w:rPr>
              <w:t>Overall Quality of M&amp;E” and “Quality of Implementing Partner Execution”</w:t>
            </w:r>
          </w:p>
        </w:tc>
        <w:tc>
          <w:tcPr>
            <w:tcW w:w="4770" w:type="dxa"/>
            <w:tcBorders>
              <w:top w:val="single" w:sz="4" w:space="0" w:color="FFFFFF" w:themeColor="background1"/>
            </w:tcBorders>
          </w:tcPr>
          <w:p w14:paraId="15355855" w14:textId="77777777" w:rsidR="00E27B61" w:rsidRPr="00E27B61" w:rsidRDefault="00E27B61" w:rsidP="00E27B61">
            <w:pPr>
              <w:rPr>
                <w:rFonts w:cstheme="minorHAnsi"/>
                <w:sz w:val="21"/>
                <w:szCs w:val="21"/>
              </w:rPr>
            </w:pPr>
            <w:r w:rsidRPr="00E27B61">
              <w:rPr>
                <w:rFonts w:cstheme="minorHAnsi"/>
                <w:sz w:val="21"/>
                <w:szCs w:val="21"/>
              </w:rPr>
              <w:t xml:space="preserve">Accepted – specific ratings have been provided for “Overall Quality of M&amp;E” and “Quality of Implementing Partner Execution” in this table, in the relevant text sections, and Table 10. </w:t>
            </w:r>
            <w:r w:rsidRPr="00E27B61">
              <w:rPr>
                <w:rFonts w:cstheme="minorHAnsi"/>
                <w:sz w:val="21"/>
                <w:szCs w:val="21"/>
                <w:lang w:val="en-US"/>
              </w:rPr>
              <w:t>The rating for IP execution has been set at MS specifically taking into account improvements in execution performance in the latter half of the project including the extension period. Recommendation E.3 has been added to ensure that IP capacity to execute GEF projects efficiently is strengthened at the start of future GEF projects.</w:t>
            </w:r>
          </w:p>
        </w:tc>
      </w:tr>
      <w:tr w:rsidR="00E27B61" w:rsidRPr="00E27B61" w14:paraId="22EA84DB" w14:textId="77777777" w:rsidTr="005F2F73">
        <w:trPr>
          <w:trHeight w:val="629"/>
        </w:trPr>
        <w:tc>
          <w:tcPr>
            <w:tcW w:w="1980" w:type="dxa"/>
          </w:tcPr>
          <w:p w14:paraId="6CD4C594"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shd w:val="clear" w:color="auto" w:fill="auto"/>
          </w:tcPr>
          <w:p w14:paraId="39ACB5C1" w14:textId="77777777" w:rsidR="00E27B61" w:rsidRPr="00E27B61" w:rsidRDefault="00E27B61" w:rsidP="00E27B61">
            <w:pPr>
              <w:jc w:val="center"/>
              <w:rPr>
                <w:rFonts w:cstheme="minorHAnsi"/>
                <w:sz w:val="21"/>
                <w:szCs w:val="21"/>
              </w:rPr>
            </w:pPr>
            <w:r w:rsidRPr="00E27B61">
              <w:rPr>
                <w:rFonts w:cstheme="minorHAnsi"/>
                <w:sz w:val="21"/>
                <w:szCs w:val="21"/>
              </w:rPr>
              <w:t>3</w:t>
            </w:r>
          </w:p>
        </w:tc>
        <w:tc>
          <w:tcPr>
            <w:tcW w:w="2880" w:type="dxa"/>
          </w:tcPr>
          <w:p w14:paraId="31C571AD" w14:textId="77777777" w:rsidR="00E27B61" w:rsidRPr="00E27B61" w:rsidRDefault="00E27B61" w:rsidP="00E27B61">
            <w:pPr>
              <w:jc w:val="center"/>
              <w:rPr>
                <w:rFonts w:cstheme="minorHAnsi"/>
                <w:sz w:val="21"/>
                <w:szCs w:val="21"/>
              </w:rPr>
            </w:pPr>
            <w:r w:rsidRPr="00E27B61">
              <w:rPr>
                <w:rFonts w:cstheme="minorHAnsi"/>
                <w:sz w:val="21"/>
                <w:szCs w:val="21"/>
              </w:rPr>
              <w:t xml:space="preserve">Page 3, S9, para 1, </w:t>
            </w:r>
          </w:p>
        </w:tc>
        <w:tc>
          <w:tcPr>
            <w:tcW w:w="4500" w:type="dxa"/>
          </w:tcPr>
          <w:p w14:paraId="7EA6B50A" w14:textId="77777777" w:rsidR="00E27B61" w:rsidRPr="00E27B61" w:rsidRDefault="00E27B61" w:rsidP="00E27B61">
            <w:pPr>
              <w:rPr>
                <w:sz w:val="20"/>
                <w:szCs w:val="20"/>
              </w:rPr>
            </w:pPr>
            <w:r w:rsidRPr="00E27B61">
              <w:rPr>
                <w:b/>
                <w:bCs/>
                <w:sz w:val="20"/>
                <w:szCs w:val="20"/>
              </w:rPr>
              <w:t>Rating given ‘Moderately Unsatisfactory’.</w:t>
            </w:r>
            <w:r w:rsidRPr="00E27B61">
              <w:rPr>
                <w:sz w:val="20"/>
                <w:szCs w:val="20"/>
              </w:rPr>
              <w:t xml:space="preserve"> Given the fact the targets of this outcome were given 80% achievement (see Annex 12). This rating should be reconsidered. There are several indicators which have been 70-80% achieved, and one target with 100% achievements, one with 90% achievement. </w:t>
            </w:r>
            <w:r w:rsidRPr="00E27B61">
              <w:rPr>
                <w:sz w:val="20"/>
                <w:szCs w:val="20"/>
              </w:rPr>
              <w:lastRenderedPageBreak/>
              <w:t xml:space="preserve">Two indicators were given 0% achievement (#4 and #5). However, with #5, given it was on track at MTR but several outside factors have contributed to the underachievement of this target, a partial achievement ‘score’ may be more appropriate. </w:t>
            </w:r>
          </w:p>
        </w:tc>
        <w:tc>
          <w:tcPr>
            <w:tcW w:w="4770" w:type="dxa"/>
          </w:tcPr>
          <w:p w14:paraId="5C7C2D81" w14:textId="77777777" w:rsidR="00E27B61" w:rsidRPr="00E27B61" w:rsidRDefault="00E27B61" w:rsidP="00E27B61">
            <w:pPr>
              <w:rPr>
                <w:rFonts w:cstheme="minorHAnsi"/>
                <w:sz w:val="21"/>
                <w:szCs w:val="21"/>
              </w:rPr>
            </w:pPr>
            <w:r w:rsidRPr="00E27B61">
              <w:rPr>
                <w:rFonts w:cstheme="minorHAnsi"/>
                <w:sz w:val="21"/>
                <w:szCs w:val="21"/>
              </w:rPr>
              <w:lastRenderedPageBreak/>
              <w:t xml:space="preserve">Paragraphs 53-66 provide detailed analysis against each of the seven indicators for Outcome 1. While there was good progress in a number of areas as reflected in progress against the indicators mentioned, there were also significant shortcomings – notably the failure to adequately engage with </w:t>
            </w:r>
            <w:r w:rsidRPr="00E27B61">
              <w:rPr>
                <w:rFonts w:cstheme="minorHAnsi"/>
                <w:sz w:val="21"/>
                <w:szCs w:val="21"/>
              </w:rPr>
              <w:lastRenderedPageBreak/>
              <w:t xml:space="preserve">Thale Noi NHA, which forms a very important part of the KKL peat swamp, weak METT performance for both NHAs, and significantly increased threat indicators for both NHAs; as well as the unfinished nature of the management regime for the peat swamps – which requires follow up to secure effective water and carbon management. </w:t>
            </w:r>
          </w:p>
        </w:tc>
      </w:tr>
      <w:tr w:rsidR="00E27B61" w:rsidRPr="00E27B61" w14:paraId="4E6C02F4" w14:textId="77777777" w:rsidTr="005F2F73">
        <w:trPr>
          <w:trHeight w:val="629"/>
        </w:trPr>
        <w:tc>
          <w:tcPr>
            <w:tcW w:w="1980" w:type="dxa"/>
          </w:tcPr>
          <w:p w14:paraId="19F79AFB" w14:textId="77777777" w:rsidR="00E27B61" w:rsidRPr="00E27B61" w:rsidRDefault="00E27B61" w:rsidP="00E27B61">
            <w:pPr>
              <w:jc w:val="center"/>
              <w:rPr>
                <w:rFonts w:cstheme="minorHAnsi"/>
                <w:sz w:val="21"/>
                <w:szCs w:val="21"/>
              </w:rPr>
            </w:pPr>
            <w:r w:rsidRPr="00E27B61">
              <w:rPr>
                <w:rFonts w:cstheme="minorHAnsi"/>
                <w:sz w:val="21"/>
                <w:szCs w:val="21"/>
              </w:rPr>
              <w:lastRenderedPageBreak/>
              <w:t>UNDP CO</w:t>
            </w:r>
          </w:p>
        </w:tc>
        <w:tc>
          <w:tcPr>
            <w:tcW w:w="540" w:type="dxa"/>
            <w:shd w:val="clear" w:color="auto" w:fill="auto"/>
          </w:tcPr>
          <w:p w14:paraId="4B01455B" w14:textId="77777777" w:rsidR="00E27B61" w:rsidRPr="00E27B61" w:rsidRDefault="00E27B61" w:rsidP="00E27B61">
            <w:pPr>
              <w:jc w:val="center"/>
              <w:rPr>
                <w:rFonts w:cstheme="minorHAnsi"/>
                <w:sz w:val="21"/>
                <w:szCs w:val="21"/>
              </w:rPr>
            </w:pPr>
            <w:r w:rsidRPr="00E27B61">
              <w:rPr>
                <w:rFonts w:cstheme="minorHAnsi"/>
                <w:sz w:val="21"/>
                <w:szCs w:val="21"/>
              </w:rPr>
              <w:t>4</w:t>
            </w:r>
          </w:p>
        </w:tc>
        <w:tc>
          <w:tcPr>
            <w:tcW w:w="2880" w:type="dxa"/>
          </w:tcPr>
          <w:p w14:paraId="0ACE9A6A" w14:textId="77777777" w:rsidR="00E27B61" w:rsidRPr="00E27B61" w:rsidRDefault="00E27B61" w:rsidP="00E27B61">
            <w:pPr>
              <w:jc w:val="center"/>
              <w:rPr>
                <w:rFonts w:cstheme="minorHAnsi"/>
                <w:sz w:val="21"/>
                <w:szCs w:val="21"/>
              </w:rPr>
            </w:pPr>
            <w:r w:rsidRPr="00E27B61">
              <w:rPr>
                <w:rFonts w:cstheme="minorHAnsi"/>
                <w:sz w:val="21"/>
                <w:szCs w:val="21"/>
              </w:rPr>
              <w:t>Page5, S10, para 2</w:t>
            </w:r>
          </w:p>
        </w:tc>
        <w:tc>
          <w:tcPr>
            <w:tcW w:w="4500" w:type="dxa"/>
          </w:tcPr>
          <w:p w14:paraId="33068CA1" w14:textId="77777777" w:rsidR="00E27B61" w:rsidRPr="00E27B61" w:rsidRDefault="00E27B61" w:rsidP="00E27B61">
            <w:pPr>
              <w:rPr>
                <w:sz w:val="20"/>
                <w:szCs w:val="20"/>
              </w:rPr>
            </w:pPr>
            <w:r w:rsidRPr="00E27B61">
              <w:rPr>
                <w:b/>
                <w:bCs/>
                <w:sz w:val="20"/>
                <w:szCs w:val="20"/>
              </w:rPr>
              <w:t xml:space="preserve">Rating given ‘Moderately Unsatisfactory’. </w:t>
            </w:r>
            <w:r w:rsidRPr="00E27B61">
              <w:rPr>
                <w:sz w:val="20"/>
                <w:szCs w:val="20"/>
              </w:rPr>
              <w:t xml:space="preserve">Please reconsider/reconfirm this rating after addressing further comments below re Annex 12. </w:t>
            </w:r>
          </w:p>
        </w:tc>
        <w:tc>
          <w:tcPr>
            <w:tcW w:w="4770" w:type="dxa"/>
          </w:tcPr>
          <w:p w14:paraId="1D4DD834" w14:textId="77777777" w:rsidR="00E27B61" w:rsidRPr="00E27B61" w:rsidRDefault="00E27B61" w:rsidP="00E27B61">
            <w:pPr>
              <w:rPr>
                <w:rFonts w:cstheme="minorHAnsi"/>
                <w:sz w:val="21"/>
                <w:szCs w:val="21"/>
              </w:rPr>
            </w:pPr>
            <w:r w:rsidRPr="00E27B61">
              <w:rPr>
                <w:rFonts w:cstheme="minorHAnsi"/>
                <w:sz w:val="21"/>
                <w:szCs w:val="21"/>
              </w:rPr>
              <w:t>The paragraph clearly explains the basis for the MU rating. Please see responses to comments 28,29 &amp; 30 below – these do not provide sufficient basis to change the rating in the view of the TE team.</w:t>
            </w:r>
          </w:p>
        </w:tc>
      </w:tr>
      <w:tr w:rsidR="00E27B61" w:rsidRPr="00E27B61" w14:paraId="38FE9160" w14:textId="77777777" w:rsidTr="005F2F73">
        <w:trPr>
          <w:trHeight w:val="1340"/>
        </w:trPr>
        <w:tc>
          <w:tcPr>
            <w:tcW w:w="1980" w:type="dxa"/>
          </w:tcPr>
          <w:p w14:paraId="20BA3019"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21D3E050" w14:textId="77777777" w:rsidR="00E27B61" w:rsidRPr="00E27B61" w:rsidRDefault="00E27B61" w:rsidP="00E27B61">
            <w:pPr>
              <w:jc w:val="center"/>
              <w:rPr>
                <w:rFonts w:cstheme="minorHAnsi"/>
                <w:sz w:val="21"/>
                <w:szCs w:val="21"/>
              </w:rPr>
            </w:pPr>
            <w:r w:rsidRPr="00E27B61">
              <w:rPr>
                <w:rFonts w:cstheme="minorHAnsi"/>
                <w:sz w:val="21"/>
                <w:szCs w:val="21"/>
              </w:rPr>
              <w:t>5</w:t>
            </w:r>
          </w:p>
        </w:tc>
        <w:tc>
          <w:tcPr>
            <w:tcW w:w="2880" w:type="dxa"/>
          </w:tcPr>
          <w:p w14:paraId="58511D80" w14:textId="77777777" w:rsidR="00E27B61" w:rsidRPr="00E27B61" w:rsidRDefault="00E27B61" w:rsidP="00E27B61">
            <w:pPr>
              <w:jc w:val="center"/>
              <w:rPr>
                <w:rFonts w:cstheme="minorHAnsi"/>
                <w:sz w:val="21"/>
                <w:szCs w:val="21"/>
              </w:rPr>
            </w:pPr>
            <w:r w:rsidRPr="00E27B61">
              <w:rPr>
                <w:rFonts w:cstheme="minorHAnsi"/>
                <w:sz w:val="21"/>
                <w:szCs w:val="21"/>
              </w:rPr>
              <w:t>Page 6, last paragraph</w:t>
            </w:r>
          </w:p>
        </w:tc>
        <w:tc>
          <w:tcPr>
            <w:tcW w:w="4500" w:type="dxa"/>
          </w:tcPr>
          <w:p w14:paraId="3AE5996F" w14:textId="77777777" w:rsidR="00E27B61" w:rsidRPr="00E27B61" w:rsidRDefault="00E27B61" w:rsidP="00E27B61">
            <w:pPr>
              <w:rPr>
                <w:sz w:val="20"/>
                <w:szCs w:val="20"/>
              </w:rPr>
            </w:pPr>
            <w:r w:rsidRPr="00E27B61">
              <w:rPr>
                <w:sz w:val="20"/>
                <w:szCs w:val="20"/>
              </w:rPr>
              <w:t xml:space="preserve">It is important to mention that in the final 2+ years the project implementation improved significantly and include the reasons for this improvement, e.g. Request to UNDP Thailand for support by ONEP and support provided by the UNDP. </w:t>
            </w:r>
          </w:p>
        </w:tc>
        <w:tc>
          <w:tcPr>
            <w:tcW w:w="4770" w:type="dxa"/>
          </w:tcPr>
          <w:p w14:paraId="153BFA50" w14:textId="77777777" w:rsidR="00E27B61" w:rsidRPr="00E27B61" w:rsidRDefault="00E27B61" w:rsidP="00E27B61">
            <w:pPr>
              <w:rPr>
                <w:rFonts w:cstheme="minorHAnsi"/>
                <w:sz w:val="21"/>
                <w:szCs w:val="21"/>
              </w:rPr>
            </w:pPr>
            <w:r w:rsidRPr="00E27B61">
              <w:rPr>
                <w:rFonts w:cstheme="minorHAnsi"/>
                <w:sz w:val="21"/>
                <w:szCs w:val="21"/>
              </w:rPr>
              <w:t>Accepted; see additions to this paragraph.</w:t>
            </w:r>
          </w:p>
        </w:tc>
      </w:tr>
      <w:tr w:rsidR="00E27B61" w:rsidRPr="00E27B61" w14:paraId="027C864F" w14:textId="77777777" w:rsidTr="005F2F73">
        <w:trPr>
          <w:trHeight w:val="620"/>
        </w:trPr>
        <w:tc>
          <w:tcPr>
            <w:tcW w:w="1980" w:type="dxa"/>
          </w:tcPr>
          <w:p w14:paraId="191BE033"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shd w:val="clear" w:color="auto" w:fill="auto"/>
          </w:tcPr>
          <w:p w14:paraId="5D74D393" w14:textId="77777777" w:rsidR="00E27B61" w:rsidRPr="00E27B61" w:rsidRDefault="00E27B61" w:rsidP="00E27B61">
            <w:pPr>
              <w:jc w:val="center"/>
              <w:rPr>
                <w:rFonts w:cstheme="minorHAnsi"/>
                <w:sz w:val="21"/>
                <w:szCs w:val="21"/>
              </w:rPr>
            </w:pPr>
            <w:r w:rsidRPr="00E27B61">
              <w:rPr>
                <w:rFonts w:cstheme="minorHAnsi"/>
                <w:sz w:val="21"/>
                <w:szCs w:val="21"/>
              </w:rPr>
              <w:t>6</w:t>
            </w:r>
          </w:p>
        </w:tc>
        <w:tc>
          <w:tcPr>
            <w:tcW w:w="2880" w:type="dxa"/>
          </w:tcPr>
          <w:p w14:paraId="65E5A071" w14:textId="77777777" w:rsidR="00E27B61" w:rsidRPr="00E27B61" w:rsidRDefault="00E27B61" w:rsidP="00E27B61">
            <w:pPr>
              <w:jc w:val="center"/>
              <w:rPr>
                <w:rFonts w:cstheme="minorHAnsi"/>
                <w:sz w:val="21"/>
                <w:szCs w:val="21"/>
              </w:rPr>
            </w:pPr>
            <w:r w:rsidRPr="00E27B61">
              <w:rPr>
                <w:rFonts w:cstheme="minorHAnsi"/>
                <w:sz w:val="21"/>
                <w:szCs w:val="21"/>
              </w:rPr>
              <w:t>Page 7, para 2</w:t>
            </w:r>
          </w:p>
        </w:tc>
        <w:tc>
          <w:tcPr>
            <w:tcW w:w="4500" w:type="dxa"/>
          </w:tcPr>
          <w:p w14:paraId="3548FA6D" w14:textId="77777777" w:rsidR="00E27B61" w:rsidRPr="00E27B61" w:rsidRDefault="00E27B61" w:rsidP="00E27B61">
            <w:pPr>
              <w:rPr>
                <w:sz w:val="20"/>
                <w:szCs w:val="20"/>
              </w:rPr>
            </w:pPr>
            <w:r w:rsidRPr="00E27B61">
              <w:rPr>
                <w:sz w:val="20"/>
                <w:szCs w:val="20"/>
              </w:rPr>
              <w:t>Turn this observation into a recommendation. This can be addressed by organizing field visits for project board members to the site in order for them to have a full understanding of the local situation/context. It should be a good lessons learned for other projects as well.</w:t>
            </w:r>
          </w:p>
        </w:tc>
        <w:tc>
          <w:tcPr>
            <w:tcW w:w="4770" w:type="dxa"/>
          </w:tcPr>
          <w:p w14:paraId="4BBBE63D" w14:textId="77777777" w:rsidR="00E27B61" w:rsidRPr="00E27B61" w:rsidRDefault="00E27B61" w:rsidP="00E27B61">
            <w:pPr>
              <w:rPr>
                <w:rFonts w:cstheme="minorHAnsi"/>
                <w:sz w:val="21"/>
                <w:szCs w:val="21"/>
              </w:rPr>
            </w:pPr>
            <w:r w:rsidRPr="00E27B61">
              <w:rPr>
                <w:rFonts w:cstheme="minorHAnsi"/>
                <w:sz w:val="21"/>
                <w:szCs w:val="21"/>
              </w:rPr>
              <w:t>Accepted; this point has been edited and included as  Recommendation C.3</w:t>
            </w:r>
          </w:p>
        </w:tc>
      </w:tr>
      <w:tr w:rsidR="00E27B61" w:rsidRPr="00E27B61" w14:paraId="305E40A6" w14:textId="77777777" w:rsidTr="005F2F73">
        <w:trPr>
          <w:trHeight w:val="274"/>
        </w:trPr>
        <w:tc>
          <w:tcPr>
            <w:tcW w:w="1980" w:type="dxa"/>
          </w:tcPr>
          <w:p w14:paraId="7E39377F"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7413092F" w14:textId="77777777" w:rsidR="00E27B61" w:rsidRPr="00E27B61" w:rsidRDefault="00E27B61" w:rsidP="00E27B61">
            <w:pPr>
              <w:jc w:val="center"/>
              <w:rPr>
                <w:rFonts w:cstheme="minorHAnsi"/>
                <w:sz w:val="21"/>
                <w:szCs w:val="21"/>
              </w:rPr>
            </w:pPr>
            <w:r w:rsidRPr="00E27B61">
              <w:rPr>
                <w:rFonts w:cstheme="minorHAnsi"/>
                <w:sz w:val="21"/>
                <w:szCs w:val="21"/>
              </w:rPr>
              <w:t>7</w:t>
            </w:r>
          </w:p>
        </w:tc>
        <w:tc>
          <w:tcPr>
            <w:tcW w:w="2880" w:type="dxa"/>
          </w:tcPr>
          <w:p w14:paraId="19543F32" w14:textId="77777777" w:rsidR="00E27B61" w:rsidRPr="00E27B61" w:rsidRDefault="00E27B61" w:rsidP="00E27B61">
            <w:pPr>
              <w:jc w:val="center"/>
              <w:rPr>
                <w:rFonts w:cstheme="minorHAnsi"/>
                <w:sz w:val="21"/>
                <w:szCs w:val="21"/>
              </w:rPr>
            </w:pPr>
            <w:r w:rsidRPr="00E27B61">
              <w:rPr>
                <w:rFonts w:cstheme="minorHAnsi"/>
                <w:sz w:val="21"/>
                <w:szCs w:val="21"/>
              </w:rPr>
              <w:t>Page 10, D2</w:t>
            </w:r>
          </w:p>
        </w:tc>
        <w:tc>
          <w:tcPr>
            <w:tcW w:w="4500" w:type="dxa"/>
          </w:tcPr>
          <w:p w14:paraId="50092306" w14:textId="77777777" w:rsidR="00E27B61" w:rsidRPr="00E27B61" w:rsidRDefault="00E27B61" w:rsidP="00E27B61">
            <w:pPr>
              <w:rPr>
                <w:sz w:val="20"/>
                <w:szCs w:val="20"/>
              </w:rPr>
            </w:pPr>
            <w:r w:rsidRPr="00E27B61">
              <w:rPr>
                <w:sz w:val="20"/>
                <w:szCs w:val="20"/>
              </w:rPr>
              <w:t>Please discuss with UNDP CO and delete ‘?’</w:t>
            </w:r>
          </w:p>
        </w:tc>
        <w:tc>
          <w:tcPr>
            <w:tcW w:w="4770" w:type="dxa"/>
          </w:tcPr>
          <w:p w14:paraId="0991906C" w14:textId="77777777" w:rsidR="00E27B61" w:rsidRPr="00E27B61" w:rsidRDefault="00E27B61" w:rsidP="00E27B61">
            <w:pPr>
              <w:rPr>
                <w:rFonts w:cstheme="minorHAnsi"/>
                <w:sz w:val="21"/>
                <w:szCs w:val="21"/>
              </w:rPr>
            </w:pPr>
            <w:r w:rsidRPr="00E27B61">
              <w:rPr>
                <w:rFonts w:cstheme="minorHAnsi"/>
                <w:sz w:val="21"/>
                <w:szCs w:val="21"/>
              </w:rPr>
              <w:t>UNDP CO has agreed to address this recommendation</w:t>
            </w:r>
          </w:p>
        </w:tc>
      </w:tr>
      <w:tr w:rsidR="00E27B61" w:rsidRPr="00E27B61" w14:paraId="3BDB78C0" w14:textId="77777777" w:rsidTr="005F2F73">
        <w:trPr>
          <w:trHeight w:val="2249"/>
        </w:trPr>
        <w:tc>
          <w:tcPr>
            <w:tcW w:w="1980" w:type="dxa"/>
          </w:tcPr>
          <w:p w14:paraId="2AE2E9BC" w14:textId="77777777" w:rsidR="00E27B61" w:rsidRPr="00E27B61" w:rsidRDefault="00E27B61" w:rsidP="00E27B61">
            <w:pPr>
              <w:jc w:val="center"/>
              <w:rPr>
                <w:rFonts w:cstheme="minorHAnsi"/>
                <w:sz w:val="21"/>
                <w:szCs w:val="21"/>
              </w:rPr>
            </w:pPr>
            <w:r w:rsidRPr="00E27B61">
              <w:rPr>
                <w:rFonts w:cstheme="minorHAnsi"/>
                <w:sz w:val="21"/>
                <w:szCs w:val="21"/>
              </w:rPr>
              <w:t xml:space="preserve">UNDP CO </w:t>
            </w:r>
          </w:p>
        </w:tc>
        <w:tc>
          <w:tcPr>
            <w:tcW w:w="540" w:type="dxa"/>
            <w:shd w:val="clear" w:color="auto" w:fill="auto"/>
          </w:tcPr>
          <w:p w14:paraId="5E2DAB6F" w14:textId="77777777" w:rsidR="00E27B61" w:rsidRPr="00E27B61" w:rsidRDefault="00E27B61" w:rsidP="00E27B61">
            <w:pPr>
              <w:jc w:val="center"/>
              <w:rPr>
                <w:rFonts w:cstheme="minorHAnsi"/>
                <w:sz w:val="21"/>
                <w:szCs w:val="21"/>
              </w:rPr>
            </w:pPr>
            <w:r w:rsidRPr="00E27B61">
              <w:rPr>
                <w:rFonts w:cstheme="minorHAnsi"/>
                <w:sz w:val="21"/>
                <w:szCs w:val="21"/>
              </w:rPr>
              <w:t>8</w:t>
            </w:r>
          </w:p>
        </w:tc>
        <w:tc>
          <w:tcPr>
            <w:tcW w:w="2880" w:type="dxa"/>
          </w:tcPr>
          <w:p w14:paraId="1916AEDF" w14:textId="77777777" w:rsidR="00E27B61" w:rsidRPr="00E27B61" w:rsidRDefault="00E27B61" w:rsidP="00E27B61">
            <w:pPr>
              <w:jc w:val="center"/>
              <w:rPr>
                <w:rFonts w:cstheme="minorHAnsi"/>
                <w:sz w:val="21"/>
                <w:szCs w:val="21"/>
              </w:rPr>
            </w:pPr>
            <w:r w:rsidRPr="00E27B61">
              <w:rPr>
                <w:rFonts w:cstheme="minorHAnsi"/>
                <w:sz w:val="21"/>
                <w:szCs w:val="21"/>
              </w:rPr>
              <w:t>Para S9, Page 13</w:t>
            </w:r>
          </w:p>
        </w:tc>
        <w:tc>
          <w:tcPr>
            <w:tcW w:w="4500" w:type="dxa"/>
          </w:tcPr>
          <w:p w14:paraId="163F69EB" w14:textId="77777777" w:rsidR="00E27B61" w:rsidRPr="00E27B61" w:rsidRDefault="00E27B61" w:rsidP="00E27B61">
            <w:pPr>
              <w:rPr>
                <w:rFonts w:cstheme="minorHAnsi"/>
                <w:sz w:val="21"/>
                <w:szCs w:val="21"/>
              </w:rPr>
            </w:pPr>
            <w:r w:rsidRPr="00E27B61">
              <w:rPr>
                <w:sz w:val="20"/>
                <w:szCs w:val="20"/>
              </w:rPr>
              <w:t xml:space="preserve">Several indicators have been 70-80% achieved, and one with 100%, and one with 90% achievement. Two indicators were given 0% achievement (#4 and #5). Indicator #5 was on track at MTR. However, several outside factors have contributed to the shortfall of the achievement of this target (i.e., forest fires, El Nino). These are the only two indicators that were not met. This rating should be reconsidered. </w:t>
            </w:r>
          </w:p>
        </w:tc>
        <w:tc>
          <w:tcPr>
            <w:tcW w:w="4770" w:type="dxa"/>
          </w:tcPr>
          <w:p w14:paraId="19CF2C19" w14:textId="77777777" w:rsidR="00E27B61" w:rsidRPr="00E27B61" w:rsidRDefault="00E27B61" w:rsidP="00E27B61">
            <w:pPr>
              <w:rPr>
                <w:rFonts w:cstheme="minorHAnsi"/>
                <w:sz w:val="21"/>
                <w:szCs w:val="21"/>
              </w:rPr>
            </w:pPr>
            <w:r w:rsidRPr="00E27B61">
              <w:rPr>
                <w:rFonts w:cstheme="minorHAnsi"/>
                <w:sz w:val="21"/>
                <w:szCs w:val="21"/>
              </w:rPr>
              <w:t>This comment appears to be a duplicate of Comment 3 above – see the corresponding response.</w:t>
            </w:r>
          </w:p>
        </w:tc>
      </w:tr>
      <w:tr w:rsidR="00E27B61" w:rsidRPr="00E27B61" w14:paraId="18B2696C" w14:textId="77777777" w:rsidTr="005F2F73">
        <w:trPr>
          <w:trHeight w:val="1601"/>
        </w:trPr>
        <w:tc>
          <w:tcPr>
            <w:tcW w:w="1980" w:type="dxa"/>
          </w:tcPr>
          <w:p w14:paraId="6DB42408" w14:textId="77777777" w:rsidR="00E27B61" w:rsidRPr="00E27B61" w:rsidRDefault="00E27B61" w:rsidP="00E27B61">
            <w:pPr>
              <w:jc w:val="center"/>
              <w:rPr>
                <w:rFonts w:cstheme="minorHAnsi"/>
                <w:sz w:val="21"/>
                <w:szCs w:val="21"/>
              </w:rPr>
            </w:pPr>
            <w:r w:rsidRPr="00E27B61">
              <w:rPr>
                <w:rFonts w:cstheme="minorHAnsi"/>
                <w:sz w:val="21"/>
                <w:szCs w:val="21"/>
              </w:rPr>
              <w:lastRenderedPageBreak/>
              <w:t>UNDP RTA</w:t>
            </w:r>
          </w:p>
        </w:tc>
        <w:tc>
          <w:tcPr>
            <w:tcW w:w="540" w:type="dxa"/>
            <w:shd w:val="clear" w:color="auto" w:fill="auto"/>
          </w:tcPr>
          <w:p w14:paraId="32D72F48" w14:textId="77777777" w:rsidR="00E27B61" w:rsidRPr="00E27B61" w:rsidRDefault="00E27B61" w:rsidP="00E27B61">
            <w:pPr>
              <w:jc w:val="center"/>
              <w:rPr>
                <w:rFonts w:cstheme="minorHAnsi"/>
                <w:sz w:val="21"/>
                <w:szCs w:val="21"/>
              </w:rPr>
            </w:pPr>
            <w:r w:rsidRPr="00E27B61">
              <w:rPr>
                <w:rFonts w:cstheme="minorHAnsi"/>
                <w:sz w:val="21"/>
                <w:szCs w:val="21"/>
              </w:rPr>
              <w:t>9</w:t>
            </w:r>
          </w:p>
        </w:tc>
        <w:tc>
          <w:tcPr>
            <w:tcW w:w="2880" w:type="dxa"/>
          </w:tcPr>
          <w:p w14:paraId="043DB80C" w14:textId="77777777" w:rsidR="00E27B61" w:rsidRPr="00E27B61" w:rsidRDefault="00E27B61" w:rsidP="00E27B61">
            <w:pPr>
              <w:jc w:val="center"/>
              <w:rPr>
                <w:rFonts w:cstheme="minorHAnsi"/>
                <w:sz w:val="21"/>
                <w:szCs w:val="21"/>
              </w:rPr>
            </w:pPr>
            <w:r w:rsidRPr="00E27B61">
              <w:rPr>
                <w:rFonts w:cstheme="minorHAnsi"/>
                <w:sz w:val="21"/>
                <w:szCs w:val="21"/>
              </w:rPr>
              <w:t>Page 16, para 24</w:t>
            </w:r>
          </w:p>
        </w:tc>
        <w:tc>
          <w:tcPr>
            <w:tcW w:w="4500" w:type="dxa"/>
          </w:tcPr>
          <w:p w14:paraId="4ECA647F" w14:textId="77777777" w:rsidR="00E27B61" w:rsidRPr="00E27B61" w:rsidRDefault="00E27B61" w:rsidP="00E27B61">
            <w:pPr>
              <w:rPr>
                <w:rFonts w:cstheme="minorHAnsi"/>
                <w:sz w:val="20"/>
                <w:szCs w:val="20"/>
              </w:rPr>
            </w:pPr>
            <w:r w:rsidRPr="00E27B61">
              <w:rPr>
                <w:sz w:val="20"/>
                <w:szCs w:val="20"/>
              </w:rPr>
              <w:t>Please mention that a few recommended sections per the TE Guidance are left out and provide a justification for it (e.g. to improve flow of the report? eliminate redundancy? etc.). The response should also include suggestions on how the TE structure can be improved.</w:t>
            </w:r>
          </w:p>
        </w:tc>
        <w:tc>
          <w:tcPr>
            <w:tcW w:w="4770" w:type="dxa"/>
          </w:tcPr>
          <w:p w14:paraId="457E488F" w14:textId="77777777" w:rsidR="00E27B61" w:rsidRPr="00E27B61" w:rsidRDefault="00E27B61" w:rsidP="00E27B61">
            <w:pPr>
              <w:rPr>
                <w:rFonts w:cstheme="minorHAnsi"/>
                <w:sz w:val="21"/>
                <w:szCs w:val="21"/>
              </w:rPr>
            </w:pPr>
            <w:r w:rsidRPr="00E27B61">
              <w:rPr>
                <w:rFonts w:cstheme="minorHAnsi"/>
                <w:sz w:val="21"/>
                <w:szCs w:val="21"/>
              </w:rPr>
              <w:t>Accepted and included in #24. Note that significant additional material has also been provided over and above the table of contents in the TOR.</w:t>
            </w:r>
          </w:p>
        </w:tc>
      </w:tr>
      <w:tr w:rsidR="00E27B61" w:rsidRPr="00E27B61" w14:paraId="43DE4483" w14:textId="77777777" w:rsidTr="005F2F73">
        <w:trPr>
          <w:trHeight w:val="3050"/>
        </w:trPr>
        <w:tc>
          <w:tcPr>
            <w:tcW w:w="1980" w:type="dxa"/>
          </w:tcPr>
          <w:p w14:paraId="0F83150D"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32CB4BC5" w14:textId="77777777" w:rsidR="00E27B61" w:rsidRPr="00E27B61" w:rsidRDefault="00E27B61" w:rsidP="00E27B61">
            <w:pPr>
              <w:jc w:val="center"/>
              <w:rPr>
                <w:rFonts w:cstheme="minorHAnsi"/>
                <w:sz w:val="21"/>
                <w:szCs w:val="21"/>
              </w:rPr>
            </w:pPr>
            <w:r w:rsidRPr="00E27B61">
              <w:rPr>
                <w:rFonts w:cstheme="minorHAnsi"/>
                <w:sz w:val="21"/>
                <w:szCs w:val="21"/>
              </w:rPr>
              <w:t>10</w:t>
            </w:r>
          </w:p>
        </w:tc>
        <w:tc>
          <w:tcPr>
            <w:tcW w:w="2880" w:type="dxa"/>
          </w:tcPr>
          <w:p w14:paraId="3C269950" w14:textId="77777777" w:rsidR="00E27B61" w:rsidRPr="00E27B61" w:rsidRDefault="00E27B61" w:rsidP="00E27B61">
            <w:pPr>
              <w:jc w:val="center"/>
              <w:rPr>
                <w:rFonts w:cstheme="minorHAnsi"/>
                <w:sz w:val="21"/>
                <w:szCs w:val="21"/>
              </w:rPr>
            </w:pPr>
            <w:r w:rsidRPr="00E27B61">
              <w:rPr>
                <w:rFonts w:cstheme="minorHAnsi"/>
                <w:sz w:val="21"/>
                <w:szCs w:val="21"/>
              </w:rPr>
              <w:t>Page 27, para 61</w:t>
            </w:r>
          </w:p>
        </w:tc>
        <w:tc>
          <w:tcPr>
            <w:tcW w:w="4500" w:type="dxa"/>
          </w:tcPr>
          <w:p w14:paraId="2FD45640" w14:textId="77777777" w:rsidR="00E27B61" w:rsidRPr="00E27B61" w:rsidRDefault="00E27B61" w:rsidP="00E27B61">
            <w:pPr>
              <w:rPr>
                <w:sz w:val="20"/>
                <w:szCs w:val="20"/>
              </w:rPr>
            </w:pPr>
            <w:r w:rsidRPr="00E27B61">
              <w:rPr>
                <w:sz w:val="20"/>
                <w:szCs w:val="20"/>
              </w:rPr>
              <w:t>UNDP Thailand’s role is not consistently described throughout the document. It is understood that UNDP Thailand had an oversight role for a full NIM project but there was a support service request by IP (was this at the PPG stage?) but also there was an additional support requested in 2018? What was the additional support requested in 2018? This should be clearly described here. Also, words - oversight, execution and administered - are used to describe UNDP Thailand’s role, please revise for consistency. These words have different scope in the GEF context.</w:t>
            </w:r>
          </w:p>
        </w:tc>
        <w:tc>
          <w:tcPr>
            <w:tcW w:w="4770" w:type="dxa"/>
          </w:tcPr>
          <w:p w14:paraId="7FFD93F6" w14:textId="77777777" w:rsidR="00E27B61" w:rsidRPr="00E27B61" w:rsidRDefault="00E27B61" w:rsidP="00E27B61">
            <w:pPr>
              <w:rPr>
                <w:rFonts w:cstheme="minorHAnsi"/>
                <w:sz w:val="21"/>
                <w:szCs w:val="21"/>
              </w:rPr>
            </w:pPr>
            <w:r w:rsidRPr="00E27B61">
              <w:rPr>
                <w:rFonts w:cstheme="minorHAnsi"/>
                <w:sz w:val="21"/>
                <w:szCs w:val="21"/>
              </w:rPr>
              <w:t>Accepted and additional material included responding to these questions in #63 and scattered through the document (for the terminology point).</w:t>
            </w:r>
          </w:p>
          <w:p w14:paraId="3E2245D8" w14:textId="77777777" w:rsidR="00E27B61" w:rsidRPr="00E27B61" w:rsidRDefault="00E27B61" w:rsidP="00E27B61">
            <w:pPr>
              <w:rPr>
                <w:rFonts w:cstheme="minorHAnsi"/>
                <w:sz w:val="21"/>
                <w:szCs w:val="21"/>
              </w:rPr>
            </w:pPr>
            <w:r w:rsidRPr="00E27B61">
              <w:rPr>
                <w:rFonts w:cstheme="minorHAnsi"/>
                <w:sz w:val="21"/>
                <w:szCs w:val="21"/>
              </w:rPr>
              <w:t>The Standard Letter of Agreement signed by UNDP on 13 Sep and ONEP on 19 Sep 2016 for 100% Support Services is the only agreement on the project.  There is no other revision. However, the implementation arrangements changed for the 6 month Extension Period, when RECOFTC’s contract ended and the IP (ONEP) requested UNDP to support the budget management and implementation during the extension, so UNDP CO staff were working closely with the service providers and ONEP mid-management, who acted as the Project Management Unit.</w:t>
            </w:r>
          </w:p>
        </w:tc>
      </w:tr>
      <w:tr w:rsidR="00E27B61" w:rsidRPr="00E27B61" w14:paraId="2CF35714" w14:textId="77777777" w:rsidTr="005F2F73">
        <w:trPr>
          <w:trHeight w:val="1790"/>
        </w:trPr>
        <w:tc>
          <w:tcPr>
            <w:tcW w:w="1980" w:type="dxa"/>
          </w:tcPr>
          <w:p w14:paraId="40F735A6"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shd w:val="clear" w:color="auto" w:fill="auto"/>
          </w:tcPr>
          <w:p w14:paraId="66D1F5E6" w14:textId="77777777" w:rsidR="00E27B61" w:rsidRPr="00E27B61" w:rsidRDefault="00E27B61" w:rsidP="00E27B61">
            <w:pPr>
              <w:jc w:val="center"/>
              <w:rPr>
                <w:rFonts w:cstheme="minorHAnsi"/>
                <w:sz w:val="21"/>
                <w:szCs w:val="21"/>
              </w:rPr>
            </w:pPr>
            <w:r w:rsidRPr="00E27B61">
              <w:rPr>
                <w:rFonts w:cstheme="minorHAnsi"/>
                <w:sz w:val="21"/>
                <w:szCs w:val="21"/>
              </w:rPr>
              <w:t>11</w:t>
            </w:r>
          </w:p>
        </w:tc>
        <w:tc>
          <w:tcPr>
            <w:tcW w:w="2880" w:type="dxa"/>
          </w:tcPr>
          <w:p w14:paraId="1FD3552B" w14:textId="77777777" w:rsidR="00E27B61" w:rsidRPr="00E27B61" w:rsidRDefault="00E27B61" w:rsidP="00E27B61">
            <w:pPr>
              <w:jc w:val="center"/>
              <w:rPr>
                <w:rFonts w:cstheme="minorHAnsi"/>
                <w:sz w:val="21"/>
                <w:szCs w:val="21"/>
              </w:rPr>
            </w:pPr>
            <w:r w:rsidRPr="00E27B61">
              <w:rPr>
                <w:rFonts w:cstheme="minorHAnsi"/>
                <w:sz w:val="21"/>
                <w:szCs w:val="21"/>
              </w:rPr>
              <w:t>Page 32, para 77</w:t>
            </w:r>
          </w:p>
        </w:tc>
        <w:tc>
          <w:tcPr>
            <w:tcW w:w="4500" w:type="dxa"/>
          </w:tcPr>
          <w:p w14:paraId="09771995" w14:textId="77777777" w:rsidR="00E27B61" w:rsidRPr="00E27B61" w:rsidRDefault="00E27B61" w:rsidP="00E27B61">
            <w:pPr>
              <w:rPr>
                <w:sz w:val="20"/>
                <w:szCs w:val="20"/>
              </w:rPr>
            </w:pPr>
            <w:r w:rsidRPr="00E27B61">
              <w:rPr>
                <w:sz w:val="20"/>
                <w:szCs w:val="20"/>
              </w:rPr>
              <w:t xml:space="preserve">Valid comment but this may be acceptable (by GEF) then. Any structural change to it during implementation will require an excruciating process. While some changes were made to the outcome/output levels during project implementation, the validity of the structure had never been raised.  </w:t>
            </w:r>
          </w:p>
        </w:tc>
        <w:tc>
          <w:tcPr>
            <w:tcW w:w="4770" w:type="dxa"/>
          </w:tcPr>
          <w:p w14:paraId="391D1D21" w14:textId="74B2AD0C" w:rsidR="00E27B61" w:rsidRPr="00E27B61" w:rsidRDefault="00E27B61" w:rsidP="00E27B61">
            <w:pPr>
              <w:rPr>
                <w:rFonts w:cstheme="minorHAnsi"/>
                <w:sz w:val="21"/>
                <w:szCs w:val="21"/>
              </w:rPr>
            </w:pPr>
            <w:r w:rsidRPr="00E27B61">
              <w:rPr>
                <w:rFonts w:cstheme="minorHAnsi"/>
                <w:sz w:val="21"/>
                <w:szCs w:val="21"/>
              </w:rPr>
              <w:t>The TE team maintains that the described points were flaws in the design of the RF. This section of the report refers to project design</w:t>
            </w:r>
            <w:r w:rsidR="00021B79">
              <w:rPr>
                <w:rFonts w:cstheme="minorHAnsi"/>
                <w:sz w:val="21"/>
                <w:szCs w:val="21"/>
              </w:rPr>
              <w:t xml:space="preserve"> (not implementation).</w:t>
            </w:r>
          </w:p>
        </w:tc>
      </w:tr>
      <w:tr w:rsidR="00E27B61" w:rsidRPr="00E27B61" w14:paraId="33151595" w14:textId="77777777" w:rsidTr="005F2F73">
        <w:trPr>
          <w:trHeight w:val="620"/>
        </w:trPr>
        <w:tc>
          <w:tcPr>
            <w:tcW w:w="1980" w:type="dxa"/>
          </w:tcPr>
          <w:p w14:paraId="0E6056D0"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20EF140D" w14:textId="77777777" w:rsidR="00E27B61" w:rsidRPr="00E27B61" w:rsidRDefault="00E27B61" w:rsidP="00E27B61">
            <w:pPr>
              <w:jc w:val="center"/>
              <w:rPr>
                <w:rFonts w:cstheme="minorHAnsi"/>
                <w:sz w:val="21"/>
                <w:szCs w:val="21"/>
              </w:rPr>
            </w:pPr>
            <w:r w:rsidRPr="00E27B61">
              <w:rPr>
                <w:rFonts w:cstheme="minorHAnsi"/>
                <w:sz w:val="21"/>
                <w:szCs w:val="21"/>
              </w:rPr>
              <w:t>12</w:t>
            </w:r>
          </w:p>
        </w:tc>
        <w:tc>
          <w:tcPr>
            <w:tcW w:w="2880" w:type="dxa"/>
          </w:tcPr>
          <w:p w14:paraId="0EE0E9D4" w14:textId="77777777" w:rsidR="00E27B61" w:rsidRPr="00E27B61" w:rsidRDefault="00E27B61" w:rsidP="00E27B61">
            <w:pPr>
              <w:jc w:val="center"/>
              <w:rPr>
                <w:rFonts w:cstheme="minorHAnsi"/>
                <w:sz w:val="21"/>
                <w:szCs w:val="21"/>
              </w:rPr>
            </w:pPr>
            <w:r w:rsidRPr="00E27B61">
              <w:rPr>
                <w:rFonts w:cstheme="minorHAnsi"/>
                <w:sz w:val="21"/>
                <w:szCs w:val="21"/>
              </w:rPr>
              <w:t>Page 40, para 93</w:t>
            </w:r>
          </w:p>
        </w:tc>
        <w:tc>
          <w:tcPr>
            <w:tcW w:w="4500" w:type="dxa"/>
          </w:tcPr>
          <w:p w14:paraId="657718D8" w14:textId="77777777" w:rsidR="00E27B61" w:rsidRPr="00E27B61" w:rsidRDefault="00E27B61" w:rsidP="00E27B61">
            <w:pPr>
              <w:rPr>
                <w:sz w:val="20"/>
                <w:szCs w:val="20"/>
              </w:rPr>
            </w:pPr>
            <w:r w:rsidRPr="00E27B61">
              <w:rPr>
                <w:sz w:val="20"/>
                <w:szCs w:val="20"/>
              </w:rPr>
              <w:t xml:space="preserve">Ref to Output 1.5, It is important to discuss the adaptive management approach the project took, with the support from the RTA and UNDP Thailand, pertaining to the project management after the initial delays resulting from changes in EPA policy and ONEP’s rollback on its project role. Further, </w:t>
            </w:r>
            <w:r w:rsidRPr="00E27B61">
              <w:rPr>
                <w:sz w:val="20"/>
                <w:szCs w:val="20"/>
              </w:rPr>
              <w:lastRenderedPageBreak/>
              <w:t>discuss the importance of the adaptive management decisions in improving the project performance.</w:t>
            </w:r>
          </w:p>
        </w:tc>
        <w:tc>
          <w:tcPr>
            <w:tcW w:w="4770" w:type="dxa"/>
          </w:tcPr>
          <w:p w14:paraId="25010477" w14:textId="77777777" w:rsidR="00E27B61" w:rsidRPr="00E27B61" w:rsidRDefault="00E27B61" w:rsidP="00E27B61">
            <w:pPr>
              <w:rPr>
                <w:rFonts w:cstheme="minorHAnsi"/>
                <w:sz w:val="21"/>
                <w:szCs w:val="21"/>
              </w:rPr>
            </w:pPr>
            <w:r w:rsidRPr="00E27B61">
              <w:rPr>
                <w:rFonts w:cstheme="minorHAnsi"/>
                <w:sz w:val="21"/>
                <w:szCs w:val="21"/>
              </w:rPr>
              <w:lastRenderedPageBreak/>
              <w:t>Accepted; additional sentence acknowledging adaptive management included in #93</w:t>
            </w:r>
          </w:p>
        </w:tc>
      </w:tr>
      <w:tr w:rsidR="00E27B61" w:rsidRPr="00E27B61" w14:paraId="347905BA" w14:textId="77777777" w:rsidTr="005F2F73">
        <w:trPr>
          <w:trHeight w:val="1070"/>
        </w:trPr>
        <w:tc>
          <w:tcPr>
            <w:tcW w:w="1980" w:type="dxa"/>
          </w:tcPr>
          <w:p w14:paraId="4AE9D27D" w14:textId="77777777" w:rsidR="00E27B61" w:rsidRPr="00E27B61" w:rsidRDefault="00E27B61" w:rsidP="00E27B61">
            <w:pPr>
              <w:jc w:val="center"/>
              <w:rPr>
                <w:rFonts w:cstheme="minorHAnsi"/>
                <w:sz w:val="21"/>
                <w:szCs w:val="21"/>
              </w:rPr>
            </w:pPr>
            <w:r w:rsidRPr="00E27B61">
              <w:rPr>
                <w:rFonts w:cstheme="minorHAnsi"/>
                <w:sz w:val="21"/>
                <w:szCs w:val="21"/>
              </w:rPr>
              <w:t xml:space="preserve">UNDP RTA </w:t>
            </w:r>
          </w:p>
        </w:tc>
        <w:tc>
          <w:tcPr>
            <w:tcW w:w="540" w:type="dxa"/>
            <w:shd w:val="clear" w:color="auto" w:fill="auto"/>
          </w:tcPr>
          <w:p w14:paraId="073CEBB1" w14:textId="77777777" w:rsidR="00E27B61" w:rsidRPr="00E27B61" w:rsidRDefault="00E27B61" w:rsidP="00E27B61">
            <w:pPr>
              <w:jc w:val="center"/>
              <w:rPr>
                <w:rFonts w:cstheme="minorHAnsi"/>
                <w:sz w:val="21"/>
                <w:szCs w:val="21"/>
              </w:rPr>
            </w:pPr>
            <w:r w:rsidRPr="00E27B61">
              <w:rPr>
                <w:rFonts w:cstheme="minorHAnsi"/>
                <w:sz w:val="21"/>
                <w:szCs w:val="21"/>
              </w:rPr>
              <w:t>13</w:t>
            </w:r>
          </w:p>
        </w:tc>
        <w:tc>
          <w:tcPr>
            <w:tcW w:w="2880" w:type="dxa"/>
          </w:tcPr>
          <w:p w14:paraId="472A9674" w14:textId="77777777" w:rsidR="00E27B61" w:rsidRPr="00E27B61" w:rsidRDefault="00E27B61" w:rsidP="00E27B61">
            <w:pPr>
              <w:jc w:val="center"/>
              <w:rPr>
                <w:rFonts w:cstheme="minorHAnsi"/>
                <w:sz w:val="21"/>
                <w:szCs w:val="21"/>
              </w:rPr>
            </w:pPr>
            <w:r w:rsidRPr="00E27B61">
              <w:rPr>
                <w:rFonts w:cstheme="minorHAnsi"/>
                <w:sz w:val="21"/>
                <w:szCs w:val="21"/>
              </w:rPr>
              <w:t>Page 45, Table 4, ‘% Variance’ column</w:t>
            </w:r>
          </w:p>
        </w:tc>
        <w:tc>
          <w:tcPr>
            <w:tcW w:w="4500" w:type="dxa"/>
          </w:tcPr>
          <w:p w14:paraId="47DABFF9" w14:textId="77777777" w:rsidR="00E27B61" w:rsidRPr="00E27B61" w:rsidRDefault="00E27B61" w:rsidP="00E27B61">
            <w:pPr>
              <w:rPr>
                <w:sz w:val="20"/>
                <w:szCs w:val="20"/>
              </w:rPr>
            </w:pPr>
            <w:r w:rsidRPr="00E27B61">
              <w:rPr>
                <w:sz w:val="20"/>
                <w:szCs w:val="20"/>
              </w:rPr>
              <w:t xml:space="preserve">-17% and -33% are significant variances. Please include additional and specific details for these variances e.g. reasons that caused these variances by linking them to specific project activities. </w:t>
            </w:r>
          </w:p>
        </w:tc>
        <w:tc>
          <w:tcPr>
            <w:tcW w:w="4770" w:type="dxa"/>
          </w:tcPr>
          <w:p w14:paraId="2E039983" w14:textId="77777777" w:rsidR="00E27B61" w:rsidRPr="00E27B61" w:rsidRDefault="00E27B61" w:rsidP="00E27B61">
            <w:pPr>
              <w:rPr>
                <w:sz w:val="20"/>
                <w:szCs w:val="20"/>
              </w:rPr>
            </w:pPr>
            <w:r w:rsidRPr="00E27B61">
              <w:rPr>
                <w:sz w:val="20"/>
                <w:szCs w:val="20"/>
              </w:rPr>
              <w:t>See #113 and #118 for further information on the activities and contributing factors to these variances</w:t>
            </w:r>
          </w:p>
          <w:p w14:paraId="5B24F933" w14:textId="77777777" w:rsidR="00E27B61" w:rsidRPr="00E27B61" w:rsidRDefault="00E27B61" w:rsidP="00E27B61">
            <w:pPr>
              <w:rPr>
                <w:rFonts w:cstheme="minorHAnsi"/>
                <w:sz w:val="21"/>
                <w:szCs w:val="21"/>
              </w:rPr>
            </w:pPr>
          </w:p>
        </w:tc>
      </w:tr>
      <w:tr w:rsidR="00E27B61" w:rsidRPr="00E27B61" w14:paraId="0FAE707E" w14:textId="77777777" w:rsidTr="005F2F73">
        <w:trPr>
          <w:trHeight w:val="620"/>
        </w:trPr>
        <w:tc>
          <w:tcPr>
            <w:tcW w:w="1980" w:type="dxa"/>
          </w:tcPr>
          <w:p w14:paraId="21DD6F23" w14:textId="77777777" w:rsidR="00E27B61" w:rsidRPr="00E27B61" w:rsidRDefault="00E27B61" w:rsidP="00E27B61">
            <w:pPr>
              <w:jc w:val="center"/>
              <w:rPr>
                <w:rFonts w:cstheme="minorHAnsi"/>
                <w:sz w:val="21"/>
                <w:szCs w:val="21"/>
              </w:rPr>
            </w:pPr>
            <w:r w:rsidRPr="00E27B61">
              <w:rPr>
                <w:rFonts w:cstheme="minorHAnsi"/>
                <w:sz w:val="21"/>
                <w:szCs w:val="21"/>
              </w:rPr>
              <w:t xml:space="preserve">UNDP RTA </w:t>
            </w:r>
          </w:p>
        </w:tc>
        <w:tc>
          <w:tcPr>
            <w:tcW w:w="540" w:type="dxa"/>
            <w:shd w:val="clear" w:color="auto" w:fill="auto"/>
          </w:tcPr>
          <w:p w14:paraId="46FD5EE4" w14:textId="77777777" w:rsidR="00E27B61" w:rsidRPr="00E27B61" w:rsidRDefault="00E27B61" w:rsidP="00E27B61">
            <w:pPr>
              <w:jc w:val="center"/>
              <w:rPr>
                <w:rFonts w:cstheme="minorHAnsi"/>
                <w:sz w:val="21"/>
                <w:szCs w:val="21"/>
              </w:rPr>
            </w:pPr>
            <w:r w:rsidRPr="00E27B61">
              <w:rPr>
                <w:rFonts w:cstheme="minorHAnsi"/>
                <w:sz w:val="21"/>
                <w:szCs w:val="21"/>
              </w:rPr>
              <w:t>14</w:t>
            </w:r>
          </w:p>
        </w:tc>
        <w:tc>
          <w:tcPr>
            <w:tcW w:w="2880" w:type="dxa"/>
          </w:tcPr>
          <w:p w14:paraId="012E2E1E" w14:textId="77777777" w:rsidR="00E27B61" w:rsidRPr="00E27B61" w:rsidRDefault="00E27B61" w:rsidP="00E27B61">
            <w:pPr>
              <w:jc w:val="center"/>
              <w:rPr>
                <w:rFonts w:cstheme="minorHAnsi"/>
                <w:sz w:val="21"/>
                <w:szCs w:val="21"/>
              </w:rPr>
            </w:pPr>
            <w:r w:rsidRPr="00E27B61">
              <w:rPr>
                <w:rFonts w:cstheme="minorHAnsi"/>
                <w:sz w:val="21"/>
                <w:szCs w:val="21"/>
              </w:rPr>
              <w:t>Page 49, para 125</w:t>
            </w:r>
          </w:p>
        </w:tc>
        <w:tc>
          <w:tcPr>
            <w:tcW w:w="4500" w:type="dxa"/>
          </w:tcPr>
          <w:p w14:paraId="63ABEDD8" w14:textId="77777777" w:rsidR="00E27B61" w:rsidRPr="00E27B61" w:rsidRDefault="00E27B61" w:rsidP="00E27B61">
            <w:pPr>
              <w:rPr>
                <w:sz w:val="20"/>
                <w:szCs w:val="20"/>
              </w:rPr>
            </w:pPr>
            <w:r w:rsidRPr="00E27B61">
              <w:rPr>
                <w:sz w:val="20"/>
                <w:szCs w:val="20"/>
              </w:rPr>
              <w:t xml:space="preserve">This might be more relevant under UNDP Implementation/oversight section. </w:t>
            </w:r>
          </w:p>
          <w:p w14:paraId="55D0531B" w14:textId="77777777" w:rsidR="00E27B61" w:rsidRPr="00E27B61" w:rsidRDefault="00E27B61" w:rsidP="00E27B61">
            <w:pPr>
              <w:rPr>
                <w:sz w:val="16"/>
                <w:szCs w:val="16"/>
              </w:rPr>
            </w:pPr>
          </w:p>
        </w:tc>
        <w:tc>
          <w:tcPr>
            <w:tcW w:w="4770" w:type="dxa"/>
          </w:tcPr>
          <w:p w14:paraId="34111DBB" w14:textId="77777777" w:rsidR="00E27B61" w:rsidRPr="00E27B61" w:rsidRDefault="00E27B61" w:rsidP="00E27B61">
            <w:pPr>
              <w:rPr>
                <w:sz w:val="20"/>
                <w:szCs w:val="20"/>
              </w:rPr>
            </w:pPr>
            <w:r w:rsidRPr="00E27B61">
              <w:rPr>
                <w:sz w:val="20"/>
                <w:szCs w:val="20"/>
              </w:rPr>
              <w:t>See #144; this paragraph introduces UNDP’s role, of which M&amp;E is a part.</w:t>
            </w:r>
          </w:p>
        </w:tc>
      </w:tr>
      <w:tr w:rsidR="00E27B61" w:rsidRPr="00E27B61" w14:paraId="41E272BA" w14:textId="77777777" w:rsidTr="005F2F73">
        <w:trPr>
          <w:trHeight w:val="557"/>
        </w:trPr>
        <w:tc>
          <w:tcPr>
            <w:tcW w:w="1980" w:type="dxa"/>
          </w:tcPr>
          <w:p w14:paraId="321E5848"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512D9913" w14:textId="77777777" w:rsidR="00E27B61" w:rsidRPr="00E27B61" w:rsidRDefault="00E27B61" w:rsidP="00E27B61">
            <w:pPr>
              <w:jc w:val="center"/>
              <w:rPr>
                <w:rFonts w:cstheme="minorHAnsi"/>
                <w:sz w:val="21"/>
                <w:szCs w:val="21"/>
              </w:rPr>
            </w:pPr>
            <w:r w:rsidRPr="00E27B61">
              <w:rPr>
                <w:rFonts w:cstheme="minorHAnsi"/>
                <w:sz w:val="21"/>
                <w:szCs w:val="21"/>
              </w:rPr>
              <w:t>15</w:t>
            </w:r>
          </w:p>
        </w:tc>
        <w:tc>
          <w:tcPr>
            <w:tcW w:w="2880" w:type="dxa"/>
          </w:tcPr>
          <w:p w14:paraId="5D563C5A" w14:textId="77777777" w:rsidR="00E27B61" w:rsidRPr="00E27B61" w:rsidRDefault="00E27B61" w:rsidP="00E27B61">
            <w:pPr>
              <w:jc w:val="center"/>
              <w:rPr>
                <w:rFonts w:cstheme="minorHAnsi"/>
                <w:sz w:val="21"/>
                <w:szCs w:val="21"/>
              </w:rPr>
            </w:pPr>
            <w:r w:rsidRPr="00E27B61">
              <w:rPr>
                <w:rFonts w:cstheme="minorHAnsi"/>
                <w:sz w:val="21"/>
                <w:szCs w:val="21"/>
              </w:rPr>
              <w:t>Page 50, para 127</w:t>
            </w:r>
          </w:p>
        </w:tc>
        <w:tc>
          <w:tcPr>
            <w:tcW w:w="4500" w:type="dxa"/>
          </w:tcPr>
          <w:p w14:paraId="5056295A" w14:textId="77777777" w:rsidR="00E27B61" w:rsidRPr="00E27B61" w:rsidRDefault="00E27B61" w:rsidP="00E27B61">
            <w:pPr>
              <w:rPr>
                <w:sz w:val="20"/>
                <w:szCs w:val="20"/>
              </w:rPr>
            </w:pPr>
            <w:r w:rsidRPr="00E27B61">
              <w:rPr>
                <w:sz w:val="20"/>
                <w:szCs w:val="20"/>
              </w:rPr>
              <w:t xml:space="preserve">How was the GEF OFP kept informed of the project M&amp;E activities and identified issues and delays? </w:t>
            </w:r>
          </w:p>
          <w:p w14:paraId="147D47AD" w14:textId="77777777" w:rsidR="00E27B61" w:rsidRPr="00E27B61" w:rsidRDefault="00E27B61" w:rsidP="00E27B61">
            <w:pPr>
              <w:rPr>
                <w:sz w:val="16"/>
                <w:szCs w:val="16"/>
              </w:rPr>
            </w:pPr>
          </w:p>
        </w:tc>
        <w:tc>
          <w:tcPr>
            <w:tcW w:w="4770" w:type="dxa"/>
          </w:tcPr>
          <w:p w14:paraId="2533737E" w14:textId="77777777" w:rsidR="00E27B61" w:rsidRPr="00E27B61" w:rsidRDefault="00E27B61" w:rsidP="00E27B61">
            <w:pPr>
              <w:rPr>
                <w:sz w:val="20"/>
                <w:szCs w:val="20"/>
              </w:rPr>
            </w:pPr>
            <w:r w:rsidRPr="00E27B61">
              <w:rPr>
                <w:sz w:val="20"/>
                <w:szCs w:val="20"/>
              </w:rPr>
              <w:t>The OFP was invited to Project Board meetings, otherwise left the project management to ONEP</w:t>
            </w:r>
          </w:p>
        </w:tc>
      </w:tr>
      <w:tr w:rsidR="00E27B61" w:rsidRPr="00E27B61" w14:paraId="2F7338D6" w14:textId="77777777" w:rsidTr="005F2F73">
        <w:trPr>
          <w:trHeight w:val="854"/>
        </w:trPr>
        <w:tc>
          <w:tcPr>
            <w:tcW w:w="1980" w:type="dxa"/>
          </w:tcPr>
          <w:p w14:paraId="27582E20"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7CEE5252" w14:textId="77777777" w:rsidR="00E27B61" w:rsidRPr="00E27B61" w:rsidRDefault="00E27B61" w:rsidP="00E27B61">
            <w:pPr>
              <w:jc w:val="center"/>
              <w:rPr>
                <w:rFonts w:cstheme="minorHAnsi"/>
                <w:sz w:val="21"/>
                <w:szCs w:val="21"/>
              </w:rPr>
            </w:pPr>
            <w:r w:rsidRPr="00E27B61">
              <w:rPr>
                <w:rFonts w:cstheme="minorHAnsi"/>
                <w:sz w:val="21"/>
                <w:szCs w:val="21"/>
              </w:rPr>
              <w:t>16</w:t>
            </w:r>
          </w:p>
        </w:tc>
        <w:tc>
          <w:tcPr>
            <w:tcW w:w="2880" w:type="dxa"/>
          </w:tcPr>
          <w:p w14:paraId="5DD905AE" w14:textId="77777777" w:rsidR="00E27B61" w:rsidRPr="00E27B61" w:rsidRDefault="00E27B61" w:rsidP="00E27B61">
            <w:pPr>
              <w:jc w:val="center"/>
              <w:rPr>
                <w:rFonts w:cstheme="minorHAnsi"/>
                <w:sz w:val="21"/>
                <w:szCs w:val="21"/>
              </w:rPr>
            </w:pPr>
            <w:r w:rsidRPr="00E27B61">
              <w:rPr>
                <w:rFonts w:cstheme="minorHAnsi"/>
                <w:sz w:val="21"/>
                <w:szCs w:val="21"/>
              </w:rPr>
              <w:t>Page 50, para 128</w:t>
            </w:r>
          </w:p>
        </w:tc>
        <w:tc>
          <w:tcPr>
            <w:tcW w:w="4500" w:type="dxa"/>
          </w:tcPr>
          <w:p w14:paraId="69BBC1A5" w14:textId="77777777" w:rsidR="00E27B61" w:rsidRPr="00E27B61" w:rsidRDefault="00E27B61" w:rsidP="00E27B61">
            <w:pPr>
              <w:rPr>
                <w:sz w:val="20"/>
                <w:szCs w:val="20"/>
              </w:rPr>
            </w:pPr>
            <w:r w:rsidRPr="00E27B61">
              <w:rPr>
                <w:sz w:val="20"/>
                <w:szCs w:val="20"/>
              </w:rPr>
              <w:t xml:space="preserve">Ref: ‘QPR template for GEF’, Is this one of the TE recommendation? If not already included, please include this as a recommendation. </w:t>
            </w:r>
          </w:p>
        </w:tc>
        <w:tc>
          <w:tcPr>
            <w:tcW w:w="4770" w:type="dxa"/>
          </w:tcPr>
          <w:p w14:paraId="6300C42F" w14:textId="77777777" w:rsidR="00E27B61" w:rsidRPr="00E27B61" w:rsidRDefault="00E27B61" w:rsidP="00E27B61">
            <w:pPr>
              <w:rPr>
                <w:rFonts w:cstheme="minorHAnsi"/>
                <w:sz w:val="21"/>
                <w:szCs w:val="21"/>
              </w:rPr>
            </w:pPr>
            <w:r w:rsidRPr="00E27B61">
              <w:rPr>
                <w:rFonts w:cstheme="minorHAnsi"/>
                <w:sz w:val="21"/>
                <w:szCs w:val="21"/>
              </w:rPr>
              <w:t>See Recommendation C.2</w:t>
            </w:r>
          </w:p>
        </w:tc>
      </w:tr>
      <w:tr w:rsidR="00E27B61" w:rsidRPr="00E27B61" w14:paraId="0FB4A91A" w14:textId="77777777" w:rsidTr="005F2F73">
        <w:trPr>
          <w:trHeight w:val="558"/>
        </w:trPr>
        <w:tc>
          <w:tcPr>
            <w:tcW w:w="1980" w:type="dxa"/>
          </w:tcPr>
          <w:p w14:paraId="72582396"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3A5A1406" w14:textId="77777777" w:rsidR="00E27B61" w:rsidRPr="00E27B61" w:rsidRDefault="00E27B61" w:rsidP="00E27B61">
            <w:pPr>
              <w:jc w:val="center"/>
              <w:rPr>
                <w:rFonts w:cstheme="minorHAnsi"/>
                <w:sz w:val="21"/>
                <w:szCs w:val="21"/>
              </w:rPr>
            </w:pPr>
            <w:r w:rsidRPr="00E27B61">
              <w:rPr>
                <w:rFonts w:cstheme="minorHAnsi"/>
                <w:sz w:val="21"/>
                <w:szCs w:val="21"/>
              </w:rPr>
              <w:t>17</w:t>
            </w:r>
          </w:p>
        </w:tc>
        <w:tc>
          <w:tcPr>
            <w:tcW w:w="2880" w:type="dxa"/>
          </w:tcPr>
          <w:p w14:paraId="2CBEFEA0" w14:textId="77777777" w:rsidR="00E27B61" w:rsidRPr="00E27B61" w:rsidRDefault="00E27B61" w:rsidP="00E27B61">
            <w:pPr>
              <w:jc w:val="center"/>
              <w:rPr>
                <w:rFonts w:cstheme="minorHAnsi"/>
                <w:sz w:val="21"/>
                <w:szCs w:val="21"/>
              </w:rPr>
            </w:pPr>
            <w:r w:rsidRPr="00E27B61">
              <w:rPr>
                <w:rFonts w:cstheme="minorHAnsi"/>
                <w:sz w:val="21"/>
                <w:szCs w:val="21"/>
              </w:rPr>
              <w:t>Page 51, para 134</w:t>
            </w:r>
          </w:p>
        </w:tc>
        <w:tc>
          <w:tcPr>
            <w:tcW w:w="4500" w:type="dxa"/>
          </w:tcPr>
          <w:p w14:paraId="363B0ECD" w14:textId="77777777" w:rsidR="00E27B61" w:rsidRPr="00E27B61" w:rsidRDefault="00E27B61" w:rsidP="00E27B61">
            <w:pPr>
              <w:rPr>
                <w:sz w:val="20"/>
                <w:szCs w:val="20"/>
              </w:rPr>
            </w:pPr>
            <w:r w:rsidRPr="00E27B61">
              <w:rPr>
                <w:sz w:val="20"/>
                <w:szCs w:val="20"/>
              </w:rPr>
              <w:t>Did ONEP request for UNDP support service? If yes, please indicate this accurately with date, and provide reason(s) for this request.</w:t>
            </w:r>
          </w:p>
        </w:tc>
        <w:tc>
          <w:tcPr>
            <w:tcW w:w="4770" w:type="dxa"/>
          </w:tcPr>
          <w:p w14:paraId="12B39DAD" w14:textId="77777777" w:rsidR="00E27B61" w:rsidRPr="00E27B61" w:rsidRDefault="00E27B61" w:rsidP="00E27B61">
            <w:pPr>
              <w:rPr>
                <w:rFonts w:cstheme="minorHAnsi"/>
                <w:sz w:val="20"/>
                <w:szCs w:val="20"/>
              </w:rPr>
            </w:pPr>
            <w:r w:rsidRPr="00E27B61">
              <w:rPr>
                <w:rFonts w:cstheme="minorHAnsi"/>
                <w:sz w:val="20"/>
                <w:szCs w:val="20"/>
              </w:rPr>
              <w:t xml:space="preserve">The Standard Letter of Agreement signed by UNDP on 13 Sep and ONEP on 19 Sep 2016 for 100% Support Services is the only agreement on the project.  There is no other revision. The </w:t>
            </w:r>
            <w:proofErr w:type="spellStart"/>
            <w:r w:rsidRPr="00E27B61">
              <w:rPr>
                <w:rFonts w:cstheme="minorHAnsi"/>
                <w:sz w:val="20"/>
                <w:szCs w:val="20"/>
              </w:rPr>
              <w:t>LoA</w:t>
            </w:r>
            <w:proofErr w:type="spellEnd"/>
            <w:r w:rsidRPr="00E27B61">
              <w:rPr>
                <w:rFonts w:cstheme="minorHAnsi"/>
                <w:sz w:val="20"/>
                <w:szCs w:val="20"/>
              </w:rPr>
              <w:t xml:space="preserve"> refers to consultations between UNDP and ONEP as the basis for the agreement, although no specific reasons for the request are stated. This approach was acceptable during GEF-5, but is more stringent now.</w:t>
            </w:r>
          </w:p>
        </w:tc>
      </w:tr>
      <w:tr w:rsidR="00E27B61" w:rsidRPr="00E27B61" w14:paraId="7753A771" w14:textId="77777777" w:rsidTr="005F2F73">
        <w:trPr>
          <w:trHeight w:val="2051"/>
        </w:trPr>
        <w:tc>
          <w:tcPr>
            <w:tcW w:w="1980" w:type="dxa"/>
          </w:tcPr>
          <w:p w14:paraId="20C80737"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34C9885F" w14:textId="77777777" w:rsidR="00E27B61" w:rsidRPr="00E27B61" w:rsidRDefault="00E27B61" w:rsidP="00E27B61">
            <w:pPr>
              <w:jc w:val="center"/>
              <w:rPr>
                <w:rFonts w:cstheme="minorHAnsi"/>
                <w:sz w:val="21"/>
                <w:szCs w:val="21"/>
              </w:rPr>
            </w:pPr>
            <w:r w:rsidRPr="00E27B61">
              <w:rPr>
                <w:rFonts w:cstheme="minorHAnsi"/>
                <w:sz w:val="21"/>
                <w:szCs w:val="21"/>
              </w:rPr>
              <w:t>18</w:t>
            </w:r>
          </w:p>
        </w:tc>
        <w:tc>
          <w:tcPr>
            <w:tcW w:w="2880" w:type="dxa"/>
          </w:tcPr>
          <w:p w14:paraId="3281719D" w14:textId="77777777" w:rsidR="00E27B61" w:rsidRPr="00E27B61" w:rsidRDefault="00E27B61" w:rsidP="00E27B61">
            <w:pPr>
              <w:jc w:val="center"/>
              <w:rPr>
                <w:rFonts w:cstheme="minorHAnsi"/>
                <w:sz w:val="21"/>
                <w:szCs w:val="21"/>
              </w:rPr>
            </w:pPr>
            <w:r w:rsidRPr="00E27B61">
              <w:rPr>
                <w:rFonts w:cstheme="minorHAnsi"/>
                <w:sz w:val="21"/>
                <w:szCs w:val="21"/>
              </w:rPr>
              <w:t>Page 52, para 134</w:t>
            </w:r>
          </w:p>
        </w:tc>
        <w:tc>
          <w:tcPr>
            <w:tcW w:w="4500" w:type="dxa"/>
          </w:tcPr>
          <w:p w14:paraId="2AF06A5B" w14:textId="77777777" w:rsidR="00E27B61" w:rsidRPr="00E27B61" w:rsidRDefault="00E27B61" w:rsidP="00E27B61">
            <w:pPr>
              <w:rPr>
                <w:sz w:val="20"/>
                <w:szCs w:val="20"/>
              </w:rPr>
            </w:pPr>
            <w:r w:rsidRPr="00E27B61">
              <w:rPr>
                <w:sz w:val="20"/>
                <w:szCs w:val="20"/>
              </w:rPr>
              <w:t xml:space="preserve">Good summary. However, suggest including a very brief summary of Internal Control Audit findings that led to change in the financial management model. Please clarify what triggered the Internal Control Audit (e.g. policy requirement or the quality of the expenditure reports? This summary is better suited under implementation/oversight, some of this information is in para 144. </w:t>
            </w:r>
          </w:p>
        </w:tc>
        <w:tc>
          <w:tcPr>
            <w:tcW w:w="4770" w:type="dxa"/>
          </w:tcPr>
          <w:p w14:paraId="642CE220" w14:textId="77777777" w:rsidR="00E27B61" w:rsidRPr="00E27B61" w:rsidRDefault="00E27B61" w:rsidP="00E27B61">
            <w:pPr>
              <w:rPr>
                <w:rFonts w:cstheme="minorHAnsi"/>
                <w:sz w:val="21"/>
                <w:szCs w:val="21"/>
              </w:rPr>
            </w:pPr>
            <w:r w:rsidRPr="00E27B61">
              <w:rPr>
                <w:rFonts w:cstheme="minorHAnsi"/>
                <w:sz w:val="21"/>
                <w:szCs w:val="21"/>
              </w:rPr>
              <w:t>Accepted; # 134 deleted and incorporated into #143 and #144 including additional information on the ICA findings. UNDP CO has clarified that the Internal Control Audit is a policy requirement. An ICA is triggered by a threshold budget level which a partner has received from UNDP. It’s $150,000 per year (previously $300,000 per UNDP’s programme cycle).</w:t>
            </w:r>
          </w:p>
          <w:p w14:paraId="28EBC0E4" w14:textId="77777777" w:rsidR="00E27B61" w:rsidRPr="00E27B61" w:rsidRDefault="00E27B61" w:rsidP="00E27B61">
            <w:pPr>
              <w:rPr>
                <w:rFonts w:cstheme="minorHAnsi"/>
                <w:sz w:val="21"/>
                <w:szCs w:val="21"/>
              </w:rPr>
            </w:pPr>
          </w:p>
        </w:tc>
      </w:tr>
      <w:tr w:rsidR="00E27B61" w:rsidRPr="00E27B61" w14:paraId="2E93447D" w14:textId="77777777" w:rsidTr="005F2F73">
        <w:trPr>
          <w:trHeight w:val="699"/>
        </w:trPr>
        <w:tc>
          <w:tcPr>
            <w:tcW w:w="1980" w:type="dxa"/>
          </w:tcPr>
          <w:p w14:paraId="5F4B983A"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721BE4C6" w14:textId="77777777" w:rsidR="00E27B61" w:rsidRPr="00E27B61" w:rsidRDefault="00E27B61" w:rsidP="00E27B61">
            <w:pPr>
              <w:jc w:val="center"/>
              <w:rPr>
                <w:rFonts w:cstheme="minorHAnsi"/>
                <w:sz w:val="21"/>
                <w:szCs w:val="21"/>
              </w:rPr>
            </w:pPr>
            <w:r w:rsidRPr="00E27B61">
              <w:rPr>
                <w:rFonts w:cstheme="minorHAnsi"/>
                <w:sz w:val="21"/>
                <w:szCs w:val="21"/>
              </w:rPr>
              <w:t>19</w:t>
            </w:r>
          </w:p>
        </w:tc>
        <w:tc>
          <w:tcPr>
            <w:tcW w:w="2880" w:type="dxa"/>
          </w:tcPr>
          <w:p w14:paraId="33247BDD" w14:textId="77777777" w:rsidR="00E27B61" w:rsidRPr="00E27B61" w:rsidRDefault="00E27B61" w:rsidP="00E27B61">
            <w:pPr>
              <w:jc w:val="center"/>
              <w:rPr>
                <w:rFonts w:cstheme="minorHAnsi"/>
                <w:sz w:val="21"/>
                <w:szCs w:val="21"/>
              </w:rPr>
            </w:pPr>
            <w:r w:rsidRPr="00E27B61">
              <w:rPr>
                <w:rFonts w:cstheme="minorHAnsi"/>
                <w:sz w:val="21"/>
                <w:szCs w:val="21"/>
              </w:rPr>
              <w:t>Page 52, para 135</w:t>
            </w:r>
          </w:p>
        </w:tc>
        <w:tc>
          <w:tcPr>
            <w:tcW w:w="4500" w:type="dxa"/>
          </w:tcPr>
          <w:p w14:paraId="19B0918C" w14:textId="77777777" w:rsidR="00E27B61" w:rsidRPr="00E27B61" w:rsidRDefault="00E27B61" w:rsidP="00E27B61">
            <w:pPr>
              <w:rPr>
                <w:sz w:val="20"/>
                <w:szCs w:val="20"/>
              </w:rPr>
            </w:pPr>
            <w:r w:rsidRPr="00E27B61">
              <w:rPr>
                <w:sz w:val="20"/>
                <w:szCs w:val="20"/>
              </w:rPr>
              <w:t xml:space="preserve">Why was a gender analysis not completed despite the recommendation from the MTR? How were the gender issues identified and baseline established for </w:t>
            </w:r>
            <w:r w:rsidRPr="00E27B61">
              <w:rPr>
                <w:sz w:val="20"/>
                <w:szCs w:val="20"/>
              </w:rPr>
              <w:lastRenderedPageBreak/>
              <w:t>the gender integration and mainstreaming in absence of a gender analysis? Please elaborate.</w:t>
            </w:r>
          </w:p>
        </w:tc>
        <w:tc>
          <w:tcPr>
            <w:tcW w:w="4770" w:type="dxa"/>
          </w:tcPr>
          <w:p w14:paraId="25CC6D8B" w14:textId="77777777" w:rsidR="00E27B61" w:rsidRPr="00E27B61" w:rsidRDefault="00E27B61" w:rsidP="00E27B61">
            <w:pPr>
              <w:rPr>
                <w:rFonts w:cstheme="minorHAnsi"/>
                <w:color w:val="FF0000"/>
                <w:sz w:val="21"/>
                <w:szCs w:val="21"/>
              </w:rPr>
            </w:pPr>
            <w:r w:rsidRPr="00E27B61">
              <w:rPr>
                <w:rFonts w:cstheme="minorHAnsi"/>
                <w:color w:val="000000" w:themeColor="text1"/>
                <w:sz w:val="21"/>
                <w:szCs w:val="21"/>
              </w:rPr>
              <w:lastRenderedPageBreak/>
              <w:t xml:space="preserve">No specific reasons have been determined for non-completion of the gender analysis. It is clear where the responsibility lay but not why action was not </w:t>
            </w:r>
            <w:r w:rsidRPr="00E27B61">
              <w:rPr>
                <w:rFonts w:cstheme="minorHAnsi"/>
                <w:color w:val="000000" w:themeColor="text1"/>
                <w:sz w:val="21"/>
                <w:szCs w:val="21"/>
              </w:rPr>
              <w:lastRenderedPageBreak/>
              <w:t xml:space="preserve">taken. There was no gender action plan, no gender disaggregated indicators in the RF and therefore no baseline established. RECOFTC is an experienced organization with international exposure, therefore gender mainstreaming principles are embedded in its practices (for example, see: </w:t>
            </w:r>
            <w:hyperlink r:id="rId4" w:history="1">
              <w:r w:rsidRPr="00E27B61">
                <w:rPr>
                  <w:rFonts w:cstheme="minorHAnsi"/>
                  <w:color w:val="0563C1" w:themeColor="hyperlink"/>
                  <w:sz w:val="21"/>
                  <w:szCs w:val="21"/>
                  <w:u w:val="single"/>
                </w:rPr>
                <w:t>https://archive.recoftc.org/basic-page/social-inclusion-and-gender-equity</w:t>
              </w:r>
            </w:hyperlink>
            <w:r w:rsidRPr="00E27B61">
              <w:rPr>
                <w:rFonts w:cstheme="minorHAnsi"/>
                <w:color w:val="000000" w:themeColor="text1"/>
                <w:sz w:val="21"/>
                <w:szCs w:val="21"/>
              </w:rPr>
              <w:t xml:space="preserve"> ) and this is how it was practised during execution, not through any systematic M&amp;E process. </w:t>
            </w:r>
          </w:p>
        </w:tc>
      </w:tr>
      <w:tr w:rsidR="00E27B61" w:rsidRPr="00E27B61" w14:paraId="34C459C7" w14:textId="77777777" w:rsidTr="005F2F73">
        <w:trPr>
          <w:trHeight w:val="350"/>
        </w:trPr>
        <w:tc>
          <w:tcPr>
            <w:tcW w:w="1980" w:type="dxa"/>
          </w:tcPr>
          <w:p w14:paraId="62B744D4" w14:textId="77777777" w:rsidR="00E27B61" w:rsidRPr="00E27B61" w:rsidRDefault="00E27B61" w:rsidP="00E27B61">
            <w:pPr>
              <w:jc w:val="center"/>
              <w:rPr>
                <w:rFonts w:cstheme="minorHAnsi"/>
                <w:sz w:val="21"/>
                <w:szCs w:val="21"/>
              </w:rPr>
            </w:pPr>
            <w:r w:rsidRPr="00E27B61">
              <w:rPr>
                <w:rFonts w:cstheme="minorHAnsi"/>
                <w:sz w:val="21"/>
                <w:szCs w:val="21"/>
              </w:rPr>
              <w:lastRenderedPageBreak/>
              <w:t>UNDP RTA</w:t>
            </w:r>
          </w:p>
        </w:tc>
        <w:tc>
          <w:tcPr>
            <w:tcW w:w="540" w:type="dxa"/>
            <w:shd w:val="clear" w:color="auto" w:fill="auto"/>
          </w:tcPr>
          <w:p w14:paraId="2BD8558E" w14:textId="77777777" w:rsidR="00E27B61" w:rsidRPr="00E27B61" w:rsidRDefault="00E27B61" w:rsidP="00E27B61">
            <w:pPr>
              <w:jc w:val="center"/>
              <w:rPr>
                <w:rFonts w:cstheme="minorHAnsi"/>
                <w:sz w:val="21"/>
                <w:szCs w:val="21"/>
              </w:rPr>
            </w:pPr>
            <w:r w:rsidRPr="00E27B61">
              <w:rPr>
                <w:rFonts w:cstheme="minorHAnsi"/>
                <w:sz w:val="21"/>
                <w:szCs w:val="21"/>
              </w:rPr>
              <w:t>20</w:t>
            </w:r>
          </w:p>
        </w:tc>
        <w:tc>
          <w:tcPr>
            <w:tcW w:w="2880" w:type="dxa"/>
          </w:tcPr>
          <w:p w14:paraId="2556E894" w14:textId="77777777" w:rsidR="00E27B61" w:rsidRPr="00E27B61" w:rsidRDefault="00E27B61" w:rsidP="00E27B61">
            <w:pPr>
              <w:jc w:val="center"/>
              <w:rPr>
                <w:rFonts w:cstheme="minorHAnsi"/>
                <w:sz w:val="21"/>
                <w:szCs w:val="21"/>
              </w:rPr>
            </w:pPr>
            <w:r w:rsidRPr="00E27B61">
              <w:rPr>
                <w:rFonts w:cstheme="minorHAnsi"/>
                <w:sz w:val="21"/>
                <w:szCs w:val="21"/>
              </w:rPr>
              <w:t>Page 52, para 136</w:t>
            </w:r>
          </w:p>
        </w:tc>
        <w:tc>
          <w:tcPr>
            <w:tcW w:w="4500" w:type="dxa"/>
          </w:tcPr>
          <w:p w14:paraId="12252DE4" w14:textId="77777777" w:rsidR="00E27B61" w:rsidRPr="00E27B61" w:rsidRDefault="00E27B61" w:rsidP="00E27B61">
            <w:pPr>
              <w:rPr>
                <w:b/>
                <w:bCs/>
                <w:sz w:val="20"/>
                <w:szCs w:val="20"/>
              </w:rPr>
            </w:pPr>
            <w:r w:rsidRPr="00E27B61">
              <w:rPr>
                <w:sz w:val="20"/>
                <w:szCs w:val="20"/>
              </w:rPr>
              <w:t>Please include reason(s) for not revising the SESP.</w:t>
            </w:r>
          </w:p>
        </w:tc>
        <w:tc>
          <w:tcPr>
            <w:tcW w:w="4770" w:type="dxa"/>
          </w:tcPr>
          <w:p w14:paraId="375E392E" w14:textId="77777777" w:rsidR="00E27B61" w:rsidRPr="00E27B61" w:rsidRDefault="00E27B61" w:rsidP="00E27B61">
            <w:pPr>
              <w:rPr>
                <w:rFonts w:cstheme="minorHAnsi"/>
                <w:sz w:val="21"/>
                <w:szCs w:val="21"/>
                <w:lang w:val="en-US"/>
              </w:rPr>
            </w:pPr>
            <w:r w:rsidRPr="00E27B61">
              <w:rPr>
                <w:rFonts w:cstheme="minorHAnsi"/>
                <w:sz w:val="21"/>
                <w:szCs w:val="21"/>
                <w:lang w:val="en-US"/>
              </w:rPr>
              <w:t>RTA commented in PIR 2019: “Project attention to safeguards can be improved through a revision of the SESP. During a monitoring mission in late 2018 the RTA provided a recommendation that the SESP needed to be updated based on risks that were not captured at CEO Endorsement stage. These new and escalated risks are reported in this PIR, however the SESP has not yet been revised detailing these risks and identifying management responses. The SESP revision should be completed by the PMU and UNDP CO as a priority and provided to the RTA for clearance ahead of signature by UNDP CO”. It is therefore clear where the responsibility lay, but it is not clear why action was not taken.</w:t>
            </w:r>
          </w:p>
        </w:tc>
      </w:tr>
      <w:tr w:rsidR="00E27B61" w:rsidRPr="00E27B61" w14:paraId="748FFC15" w14:textId="77777777" w:rsidTr="005F2F73">
        <w:trPr>
          <w:trHeight w:val="350"/>
        </w:trPr>
        <w:tc>
          <w:tcPr>
            <w:tcW w:w="1980" w:type="dxa"/>
          </w:tcPr>
          <w:p w14:paraId="6BB4E661"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shd w:val="clear" w:color="auto" w:fill="auto"/>
          </w:tcPr>
          <w:p w14:paraId="15F71532" w14:textId="77777777" w:rsidR="00E27B61" w:rsidRPr="00E27B61" w:rsidRDefault="00E27B61" w:rsidP="00E27B61">
            <w:pPr>
              <w:jc w:val="center"/>
              <w:rPr>
                <w:rFonts w:cstheme="minorHAnsi"/>
                <w:sz w:val="21"/>
                <w:szCs w:val="21"/>
              </w:rPr>
            </w:pPr>
            <w:r w:rsidRPr="00E27B61">
              <w:rPr>
                <w:rFonts w:cstheme="minorHAnsi"/>
                <w:sz w:val="21"/>
                <w:szCs w:val="21"/>
              </w:rPr>
              <w:t>21</w:t>
            </w:r>
          </w:p>
        </w:tc>
        <w:tc>
          <w:tcPr>
            <w:tcW w:w="2880" w:type="dxa"/>
          </w:tcPr>
          <w:p w14:paraId="42F4DFAD" w14:textId="77777777" w:rsidR="00E27B61" w:rsidRPr="00E27B61" w:rsidRDefault="00E27B61" w:rsidP="00E27B61">
            <w:pPr>
              <w:jc w:val="center"/>
              <w:rPr>
                <w:rFonts w:cstheme="minorHAnsi"/>
                <w:sz w:val="21"/>
                <w:szCs w:val="21"/>
              </w:rPr>
            </w:pPr>
            <w:r w:rsidRPr="00E27B61">
              <w:rPr>
                <w:rFonts w:cstheme="minorHAnsi"/>
                <w:sz w:val="21"/>
                <w:szCs w:val="21"/>
              </w:rPr>
              <w:t>Page 53, para 140</w:t>
            </w:r>
          </w:p>
        </w:tc>
        <w:tc>
          <w:tcPr>
            <w:tcW w:w="4500" w:type="dxa"/>
          </w:tcPr>
          <w:p w14:paraId="4735D8BF" w14:textId="77777777" w:rsidR="00E27B61" w:rsidRPr="00E27B61" w:rsidRDefault="00E27B61" w:rsidP="00E27B61">
            <w:pPr>
              <w:rPr>
                <w:sz w:val="20"/>
                <w:szCs w:val="20"/>
              </w:rPr>
            </w:pPr>
            <w:r w:rsidRPr="00E27B61">
              <w:rPr>
                <w:sz w:val="20"/>
                <w:szCs w:val="20"/>
              </w:rPr>
              <w:t xml:space="preserve">A rating must be assigned for ‘Overall ratings for M&amp;E’  </w:t>
            </w:r>
          </w:p>
        </w:tc>
        <w:tc>
          <w:tcPr>
            <w:tcW w:w="4770" w:type="dxa"/>
          </w:tcPr>
          <w:p w14:paraId="77C8FC9D" w14:textId="77777777" w:rsidR="00E27B61" w:rsidRPr="00E27B61" w:rsidRDefault="00E27B61" w:rsidP="00E27B61">
            <w:pPr>
              <w:rPr>
                <w:rFonts w:cstheme="minorHAnsi"/>
                <w:sz w:val="21"/>
                <w:szCs w:val="21"/>
              </w:rPr>
            </w:pPr>
            <w:r w:rsidRPr="00E27B61">
              <w:rPr>
                <w:rFonts w:cstheme="minorHAnsi"/>
                <w:sz w:val="21"/>
                <w:szCs w:val="21"/>
              </w:rPr>
              <w:t>Accepted; the overall rating for M&amp;E has been given as MU.</w:t>
            </w:r>
          </w:p>
        </w:tc>
      </w:tr>
      <w:tr w:rsidR="00E27B61" w:rsidRPr="00E27B61" w14:paraId="3F98E6A8" w14:textId="77777777" w:rsidTr="005F2F73">
        <w:trPr>
          <w:trHeight w:val="350"/>
        </w:trPr>
        <w:tc>
          <w:tcPr>
            <w:tcW w:w="1980" w:type="dxa"/>
          </w:tcPr>
          <w:p w14:paraId="52C6A4F1"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29B2A05F" w14:textId="77777777" w:rsidR="00E27B61" w:rsidRPr="00E27B61" w:rsidRDefault="00E27B61" w:rsidP="00E27B61">
            <w:pPr>
              <w:jc w:val="center"/>
              <w:rPr>
                <w:rFonts w:cstheme="minorHAnsi"/>
                <w:sz w:val="21"/>
                <w:szCs w:val="21"/>
              </w:rPr>
            </w:pPr>
            <w:r w:rsidRPr="00E27B61">
              <w:rPr>
                <w:rFonts w:cstheme="minorHAnsi"/>
                <w:sz w:val="21"/>
                <w:szCs w:val="21"/>
              </w:rPr>
              <w:t>22</w:t>
            </w:r>
          </w:p>
        </w:tc>
        <w:tc>
          <w:tcPr>
            <w:tcW w:w="2880" w:type="dxa"/>
          </w:tcPr>
          <w:p w14:paraId="44BF28CA" w14:textId="77777777" w:rsidR="00E27B61" w:rsidRPr="00E27B61" w:rsidRDefault="00E27B61" w:rsidP="00E27B61">
            <w:pPr>
              <w:jc w:val="center"/>
              <w:rPr>
                <w:rFonts w:cstheme="minorHAnsi"/>
                <w:sz w:val="21"/>
                <w:szCs w:val="21"/>
              </w:rPr>
            </w:pPr>
            <w:r w:rsidRPr="00E27B61">
              <w:rPr>
                <w:rFonts w:cstheme="minorHAnsi"/>
                <w:sz w:val="21"/>
                <w:szCs w:val="21"/>
              </w:rPr>
              <w:t>Page 53, para 142</w:t>
            </w:r>
          </w:p>
        </w:tc>
        <w:tc>
          <w:tcPr>
            <w:tcW w:w="4500" w:type="dxa"/>
          </w:tcPr>
          <w:p w14:paraId="748CA3C6" w14:textId="77777777" w:rsidR="00E27B61" w:rsidRPr="00E27B61" w:rsidRDefault="00E27B61" w:rsidP="00E27B61">
            <w:pPr>
              <w:rPr>
                <w:sz w:val="20"/>
                <w:szCs w:val="20"/>
              </w:rPr>
            </w:pPr>
            <w:r w:rsidRPr="00E27B61">
              <w:rPr>
                <w:sz w:val="20"/>
                <w:szCs w:val="20"/>
              </w:rPr>
              <w:t>Please include in the recommendation, if not already, how a UNDP CO can avoid similar situation in future?</w:t>
            </w:r>
          </w:p>
        </w:tc>
        <w:tc>
          <w:tcPr>
            <w:tcW w:w="4770" w:type="dxa"/>
          </w:tcPr>
          <w:p w14:paraId="5273CD54" w14:textId="77777777" w:rsidR="00E27B61" w:rsidRPr="00E27B61" w:rsidRDefault="00E27B61" w:rsidP="00E27B61">
            <w:pPr>
              <w:rPr>
                <w:rFonts w:cstheme="minorHAnsi"/>
                <w:sz w:val="21"/>
                <w:szCs w:val="21"/>
              </w:rPr>
            </w:pPr>
            <w:r w:rsidRPr="00E27B61">
              <w:rPr>
                <w:rFonts w:cstheme="minorHAnsi"/>
                <w:sz w:val="21"/>
                <w:szCs w:val="21"/>
              </w:rPr>
              <w:t xml:space="preserve">See lessons learned, second bullet under </w:t>
            </w:r>
            <w:r w:rsidRPr="00E27B61">
              <w:rPr>
                <w:rFonts w:cstheme="minorHAnsi"/>
                <w:i/>
                <w:iCs/>
                <w:sz w:val="21"/>
                <w:szCs w:val="21"/>
              </w:rPr>
              <w:t xml:space="preserve">Strengthening Implementation </w:t>
            </w:r>
            <w:r w:rsidRPr="00E27B61">
              <w:rPr>
                <w:rFonts w:cstheme="minorHAnsi"/>
                <w:sz w:val="21"/>
                <w:szCs w:val="21"/>
              </w:rPr>
              <w:t>on p6 &amp; 107</w:t>
            </w:r>
          </w:p>
        </w:tc>
      </w:tr>
      <w:tr w:rsidR="00E27B61" w:rsidRPr="00E27B61" w14:paraId="10B7BC93" w14:textId="77777777" w:rsidTr="005F2F73">
        <w:trPr>
          <w:trHeight w:val="350"/>
        </w:trPr>
        <w:tc>
          <w:tcPr>
            <w:tcW w:w="1980" w:type="dxa"/>
          </w:tcPr>
          <w:p w14:paraId="67D59E62"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092A1043" w14:textId="77777777" w:rsidR="00E27B61" w:rsidRPr="00E27B61" w:rsidRDefault="00E27B61" w:rsidP="00E27B61">
            <w:pPr>
              <w:jc w:val="center"/>
              <w:rPr>
                <w:rFonts w:cstheme="minorHAnsi"/>
                <w:sz w:val="21"/>
                <w:szCs w:val="21"/>
              </w:rPr>
            </w:pPr>
            <w:r w:rsidRPr="00E27B61">
              <w:rPr>
                <w:rFonts w:cstheme="minorHAnsi"/>
                <w:sz w:val="21"/>
                <w:szCs w:val="21"/>
              </w:rPr>
              <w:t>23</w:t>
            </w:r>
          </w:p>
        </w:tc>
        <w:tc>
          <w:tcPr>
            <w:tcW w:w="2880" w:type="dxa"/>
          </w:tcPr>
          <w:p w14:paraId="2DBE9B14" w14:textId="77777777" w:rsidR="00E27B61" w:rsidRPr="00E27B61" w:rsidRDefault="00E27B61" w:rsidP="00E27B61">
            <w:pPr>
              <w:jc w:val="center"/>
              <w:rPr>
                <w:rFonts w:cstheme="minorHAnsi"/>
                <w:sz w:val="21"/>
                <w:szCs w:val="21"/>
              </w:rPr>
            </w:pPr>
            <w:r w:rsidRPr="00E27B61">
              <w:rPr>
                <w:rFonts w:cstheme="minorHAnsi"/>
                <w:sz w:val="21"/>
                <w:szCs w:val="21"/>
              </w:rPr>
              <w:t>Page 55, para 146</w:t>
            </w:r>
          </w:p>
        </w:tc>
        <w:tc>
          <w:tcPr>
            <w:tcW w:w="4500" w:type="dxa"/>
          </w:tcPr>
          <w:p w14:paraId="045025B6" w14:textId="77777777" w:rsidR="00E27B61" w:rsidRPr="00E27B61" w:rsidRDefault="00E27B61" w:rsidP="00E27B61">
            <w:pPr>
              <w:rPr>
                <w:sz w:val="20"/>
                <w:szCs w:val="20"/>
              </w:rPr>
            </w:pPr>
            <w:r w:rsidRPr="00E27B61">
              <w:rPr>
                <w:sz w:val="20"/>
                <w:szCs w:val="20"/>
              </w:rPr>
              <w:t>Ref: ‘GEF’s normal boundaries for GEF Agency involvement in execution’ –</w:t>
            </w:r>
            <w:r w:rsidRPr="00E27B61">
              <w:rPr>
                <w:b/>
                <w:bCs/>
                <w:sz w:val="20"/>
                <w:szCs w:val="20"/>
              </w:rPr>
              <w:t xml:space="preserve"> </w:t>
            </w:r>
            <w:r w:rsidRPr="00E27B61">
              <w:rPr>
                <w:sz w:val="20"/>
                <w:szCs w:val="20"/>
              </w:rPr>
              <w:t xml:space="preserve">this text is not necessary.  UNDP CO is indeed providing the standard services that will enable the project to run/to get back on track (i.e. procurement service (engaging RECOFTC, recruitment of consultant, </w:t>
            </w:r>
            <w:r w:rsidRPr="00E27B61">
              <w:rPr>
                <w:sz w:val="20"/>
                <w:szCs w:val="20"/>
              </w:rPr>
              <w:lastRenderedPageBreak/>
              <w:t>engaging other responsible parties, etc). These tasks are regular execution support and not beyond GEF’s normal boundaries for GEF Agency.</w:t>
            </w:r>
          </w:p>
        </w:tc>
        <w:tc>
          <w:tcPr>
            <w:tcW w:w="4770" w:type="dxa"/>
          </w:tcPr>
          <w:p w14:paraId="11C3699F" w14:textId="77777777" w:rsidR="00E27B61" w:rsidRPr="00E27B61" w:rsidRDefault="00E27B61" w:rsidP="00E27B61">
            <w:pPr>
              <w:rPr>
                <w:rFonts w:cstheme="minorHAnsi"/>
                <w:sz w:val="21"/>
                <w:szCs w:val="21"/>
              </w:rPr>
            </w:pPr>
            <w:r w:rsidRPr="00E27B61">
              <w:rPr>
                <w:rFonts w:cstheme="minorHAnsi"/>
                <w:sz w:val="21"/>
                <w:szCs w:val="21"/>
              </w:rPr>
              <w:lastRenderedPageBreak/>
              <w:t>Accepted and addressed in #146</w:t>
            </w:r>
          </w:p>
        </w:tc>
      </w:tr>
      <w:tr w:rsidR="00E27B61" w:rsidRPr="00E27B61" w14:paraId="745D5C13" w14:textId="77777777" w:rsidTr="005F2F73">
        <w:trPr>
          <w:trHeight w:val="845"/>
        </w:trPr>
        <w:tc>
          <w:tcPr>
            <w:tcW w:w="1980" w:type="dxa"/>
          </w:tcPr>
          <w:p w14:paraId="73CA15A3"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2AACFDEF" w14:textId="77777777" w:rsidR="00E27B61" w:rsidRPr="00E27B61" w:rsidRDefault="00E27B61" w:rsidP="00E27B61">
            <w:pPr>
              <w:jc w:val="center"/>
              <w:rPr>
                <w:rFonts w:cstheme="minorHAnsi"/>
                <w:sz w:val="21"/>
                <w:szCs w:val="21"/>
              </w:rPr>
            </w:pPr>
            <w:r w:rsidRPr="00E27B61">
              <w:rPr>
                <w:rFonts w:cstheme="minorHAnsi"/>
                <w:sz w:val="21"/>
                <w:szCs w:val="21"/>
              </w:rPr>
              <w:t>24</w:t>
            </w:r>
          </w:p>
        </w:tc>
        <w:tc>
          <w:tcPr>
            <w:tcW w:w="2880" w:type="dxa"/>
          </w:tcPr>
          <w:p w14:paraId="49968D12" w14:textId="77777777" w:rsidR="00E27B61" w:rsidRPr="00E27B61" w:rsidRDefault="00E27B61" w:rsidP="00E27B61">
            <w:pPr>
              <w:jc w:val="center"/>
              <w:rPr>
                <w:rFonts w:cstheme="minorHAnsi"/>
                <w:sz w:val="21"/>
                <w:szCs w:val="21"/>
              </w:rPr>
            </w:pPr>
            <w:r w:rsidRPr="00E27B61">
              <w:rPr>
                <w:rFonts w:cstheme="minorHAnsi"/>
                <w:sz w:val="21"/>
                <w:szCs w:val="21"/>
              </w:rPr>
              <w:t>Page 56, para 151, Line 8</w:t>
            </w:r>
          </w:p>
        </w:tc>
        <w:tc>
          <w:tcPr>
            <w:tcW w:w="4500" w:type="dxa"/>
          </w:tcPr>
          <w:p w14:paraId="2FAEBDD0" w14:textId="77777777" w:rsidR="00E27B61" w:rsidRPr="00E27B61" w:rsidRDefault="00E27B61" w:rsidP="00E27B61">
            <w:pPr>
              <w:rPr>
                <w:sz w:val="20"/>
                <w:szCs w:val="20"/>
              </w:rPr>
            </w:pPr>
            <w:r w:rsidRPr="00E27B61">
              <w:rPr>
                <w:sz w:val="20"/>
                <w:szCs w:val="20"/>
              </w:rPr>
              <w:t>In addition to oversight, describe how UNDP Thailand’s execution support was crucial to bring the project back on track?</w:t>
            </w:r>
          </w:p>
        </w:tc>
        <w:tc>
          <w:tcPr>
            <w:tcW w:w="4770" w:type="dxa"/>
          </w:tcPr>
          <w:p w14:paraId="5DB498F8" w14:textId="77777777" w:rsidR="00E27B61" w:rsidRPr="00E27B61" w:rsidRDefault="00E27B61" w:rsidP="00E27B61">
            <w:pPr>
              <w:rPr>
                <w:rFonts w:cstheme="minorHAnsi"/>
                <w:sz w:val="21"/>
                <w:szCs w:val="21"/>
              </w:rPr>
            </w:pPr>
            <w:r w:rsidRPr="00E27B61">
              <w:rPr>
                <w:rFonts w:cstheme="minorHAnsi"/>
                <w:sz w:val="21"/>
                <w:szCs w:val="21"/>
              </w:rPr>
              <w:t>Accepted and addressed in #151</w:t>
            </w:r>
          </w:p>
        </w:tc>
      </w:tr>
      <w:tr w:rsidR="00E27B61" w:rsidRPr="00E27B61" w14:paraId="2931EC38" w14:textId="77777777" w:rsidTr="006916F9">
        <w:trPr>
          <w:trHeight w:val="350"/>
        </w:trPr>
        <w:tc>
          <w:tcPr>
            <w:tcW w:w="1980" w:type="dxa"/>
          </w:tcPr>
          <w:p w14:paraId="3CA23A04"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369881B2" w14:textId="77777777" w:rsidR="00E27B61" w:rsidRPr="00E27B61" w:rsidRDefault="00E27B61" w:rsidP="00E27B61">
            <w:pPr>
              <w:jc w:val="center"/>
              <w:rPr>
                <w:rFonts w:cstheme="minorHAnsi"/>
                <w:sz w:val="21"/>
                <w:szCs w:val="21"/>
              </w:rPr>
            </w:pPr>
            <w:r w:rsidRPr="00E27B61">
              <w:rPr>
                <w:rFonts w:cstheme="minorHAnsi"/>
                <w:sz w:val="21"/>
                <w:szCs w:val="21"/>
              </w:rPr>
              <w:t>25</w:t>
            </w:r>
          </w:p>
        </w:tc>
        <w:tc>
          <w:tcPr>
            <w:tcW w:w="2880" w:type="dxa"/>
          </w:tcPr>
          <w:p w14:paraId="13B46621" w14:textId="77777777" w:rsidR="00E27B61" w:rsidRPr="00E27B61" w:rsidRDefault="00E27B61" w:rsidP="00E27B61">
            <w:pPr>
              <w:jc w:val="center"/>
              <w:rPr>
                <w:rFonts w:cstheme="minorHAnsi"/>
                <w:sz w:val="21"/>
                <w:szCs w:val="21"/>
              </w:rPr>
            </w:pPr>
            <w:r w:rsidRPr="00E27B61">
              <w:rPr>
                <w:rFonts w:cstheme="minorHAnsi"/>
                <w:sz w:val="21"/>
                <w:szCs w:val="21"/>
              </w:rPr>
              <w:t xml:space="preserve">Page 58, para 158 </w:t>
            </w:r>
          </w:p>
        </w:tc>
        <w:tc>
          <w:tcPr>
            <w:tcW w:w="4500" w:type="dxa"/>
          </w:tcPr>
          <w:p w14:paraId="0ABEB903" w14:textId="77777777" w:rsidR="00E27B61" w:rsidRPr="00E27B61" w:rsidRDefault="00E27B61" w:rsidP="00E27B61">
            <w:pPr>
              <w:rPr>
                <w:sz w:val="20"/>
                <w:szCs w:val="20"/>
              </w:rPr>
            </w:pPr>
            <w:r w:rsidRPr="00E27B61">
              <w:rPr>
                <w:sz w:val="20"/>
                <w:szCs w:val="20"/>
              </w:rPr>
              <w:t>The TE should include additional analysis on the implementation of the safeguards management measures. Please include the name of the mitigation plan. Was it one comprehensive plan or a targeted risk management plans? How were the risks upgraded and identified in the subsequent PIRs incorporated in the risk mitigation plan?</w:t>
            </w:r>
          </w:p>
        </w:tc>
        <w:tc>
          <w:tcPr>
            <w:tcW w:w="4770" w:type="dxa"/>
          </w:tcPr>
          <w:p w14:paraId="51CC6455" w14:textId="2F65EA7A" w:rsidR="00E27B61" w:rsidRPr="00E27B61" w:rsidRDefault="00724B5E" w:rsidP="00E27B61">
            <w:pPr>
              <w:rPr>
                <w:rFonts w:cstheme="minorHAnsi"/>
                <w:sz w:val="21"/>
                <w:szCs w:val="21"/>
              </w:rPr>
            </w:pPr>
            <w:r>
              <w:rPr>
                <w:rFonts w:cstheme="minorHAnsi"/>
                <w:sz w:val="21"/>
                <w:szCs w:val="21"/>
              </w:rPr>
              <w:t>Additional material has been included in para 158 following consultation with the UNDP CO.</w:t>
            </w:r>
          </w:p>
        </w:tc>
      </w:tr>
      <w:tr w:rsidR="00E27B61" w:rsidRPr="00E27B61" w14:paraId="72EBC781" w14:textId="77777777" w:rsidTr="005F2F73">
        <w:trPr>
          <w:trHeight w:val="350"/>
        </w:trPr>
        <w:tc>
          <w:tcPr>
            <w:tcW w:w="1980" w:type="dxa"/>
          </w:tcPr>
          <w:p w14:paraId="7B3FE3ED" w14:textId="77777777" w:rsidR="00E27B61" w:rsidRPr="00E27B61" w:rsidRDefault="00E27B61" w:rsidP="00E27B61">
            <w:pPr>
              <w:jc w:val="center"/>
              <w:rPr>
                <w:rFonts w:cstheme="minorHAnsi"/>
                <w:sz w:val="21"/>
                <w:szCs w:val="21"/>
              </w:rPr>
            </w:pPr>
            <w:r w:rsidRPr="00E27B61">
              <w:rPr>
                <w:rFonts w:cstheme="minorHAnsi"/>
                <w:sz w:val="21"/>
                <w:szCs w:val="21"/>
              </w:rPr>
              <w:t>UNDP RTA</w:t>
            </w:r>
          </w:p>
        </w:tc>
        <w:tc>
          <w:tcPr>
            <w:tcW w:w="540" w:type="dxa"/>
            <w:shd w:val="clear" w:color="auto" w:fill="auto"/>
          </w:tcPr>
          <w:p w14:paraId="5D17F528" w14:textId="77777777" w:rsidR="00E27B61" w:rsidRPr="00E27B61" w:rsidRDefault="00E27B61" w:rsidP="00E27B61">
            <w:pPr>
              <w:jc w:val="center"/>
              <w:rPr>
                <w:rFonts w:cstheme="minorHAnsi"/>
                <w:sz w:val="21"/>
                <w:szCs w:val="21"/>
              </w:rPr>
            </w:pPr>
            <w:r w:rsidRPr="00E27B61">
              <w:rPr>
                <w:rFonts w:cstheme="minorHAnsi"/>
                <w:sz w:val="21"/>
                <w:szCs w:val="21"/>
              </w:rPr>
              <w:t>26</w:t>
            </w:r>
          </w:p>
        </w:tc>
        <w:tc>
          <w:tcPr>
            <w:tcW w:w="2880" w:type="dxa"/>
          </w:tcPr>
          <w:p w14:paraId="7B24D552" w14:textId="77777777" w:rsidR="00E27B61" w:rsidRPr="00E27B61" w:rsidRDefault="00E27B61" w:rsidP="00E27B61">
            <w:pPr>
              <w:jc w:val="center"/>
              <w:rPr>
                <w:rFonts w:cstheme="minorHAnsi"/>
                <w:sz w:val="21"/>
                <w:szCs w:val="21"/>
              </w:rPr>
            </w:pPr>
            <w:r w:rsidRPr="00E27B61">
              <w:rPr>
                <w:rFonts w:cstheme="minorHAnsi"/>
                <w:sz w:val="21"/>
                <w:szCs w:val="21"/>
              </w:rPr>
              <w:t>Page 70, para 204</w:t>
            </w:r>
          </w:p>
        </w:tc>
        <w:tc>
          <w:tcPr>
            <w:tcW w:w="4500" w:type="dxa"/>
          </w:tcPr>
          <w:p w14:paraId="4F18AA2B" w14:textId="77777777" w:rsidR="00E27B61" w:rsidRPr="00E27B61" w:rsidRDefault="00E27B61" w:rsidP="00E27B61">
            <w:pPr>
              <w:rPr>
                <w:sz w:val="20"/>
                <w:szCs w:val="20"/>
              </w:rPr>
            </w:pPr>
            <w:r w:rsidRPr="00E27B61">
              <w:rPr>
                <w:sz w:val="20"/>
                <w:szCs w:val="20"/>
              </w:rPr>
              <w:t>How did the COVID-19 impact planned stakeholder engagement and what was the adaptive management measures from the project to address this challenge?</w:t>
            </w:r>
          </w:p>
        </w:tc>
        <w:tc>
          <w:tcPr>
            <w:tcW w:w="4770" w:type="dxa"/>
          </w:tcPr>
          <w:p w14:paraId="0045055F" w14:textId="77777777" w:rsidR="00E27B61" w:rsidRPr="00E27B61" w:rsidRDefault="00E27B61" w:rsidP="00E27B61">
            <w:pPr>
              <w:rPr>
                <w:rFonts w:cstheme="minorHAnsi"/>
                <w:sz w:val="21"/>
                <w:szCs w:val="21"/>
              </w:rPr>
            </w:pPr>
            <w:r w:rsidRPr="00E27B61">
              <w:rPr>
                <w:rFonts w:cstheme="minorHAnsi"/>
                <w:sz w:val="21"/>
                <w:szCs w:val="21"/>
              </w:rPr>
              <w:t>This paragraph concerns the assessment of the project’s relevance in terms of stakeholder engagement. See Section 4.2.7 for COVID-19 impacts on project implementation.</w:t>
            </w:r>
          </w:p>
        </w:tc>
      </w:tr>
      <w:tr w:rsidR="00E27B61" w:rsidRPr="00E27B61" w14:paraId="24671C9C" w14:textId="77777777" w:rsidTr="005F2F73">
        <w:trPr>
          <w:trHeight w:val="350"/>
        </w:trPr>
        <w:tc>
          <w:tcPr>
            <w:tcW w:w="1980" w:type="dxa"/>
          </w:tcPr>
          <w:p w14:paraId="5A519055"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shd w:val="clear" w:color="auto" w:fill="auto"/>
          </w:tcPr>
          <w:p w14:paraId="061AE779" w14:textId="77777777" w:rsidR="00E27B61" w:rsidRPr="00E27B61" w:rsidRDefault="00E27B61" w:rsidP="00E27B61">
            <w:pPr>
              <w:jc w:val="center"/>
              <w:rPr>
                <w:rFonts w:cstheme="minorHAnsi"/>
                <w:sz w:val="21"/>
                <w:szCs w:val="21"/>
              </w:rPr>
            </w:pPr>
            <w:r w:rsidRPr="00E27B61">
              <w:rPr>
                <w:rFonts w:cstheme="minorHAnsi"/>
                <w:sz w:val="21"/>
                <w:szCs w:val="21"/>
              </w:rPr>
              <w:t>27</w:t>
            </w:r>
          </w:p>
        </w:tc>
        <w:tc>
          <w:tcPr>
            <w:tcW w:w="2880" w:type="dxa"/>
          </w:tcPr>
          <w:p w14:paraId="512EB139" w14:textId="77777777" w:rsidR="00E27B61" w:rsidRPr="00E27B61" w:rsidRDefault="00E27B61" w:rsidP="00E27B61">
            <w:pPr>
              <w:jc w:val="center"/>
              <w:rPr>
                <w:rFonts w:cstheme="minorHAnsi"/>
                <w:sz w:val="21"/>
                <w:szCs w:val="21"/>
              </w:rPr>
            </w:pPr>
            <w:r w:rsidRPr="00E27B61">
              <w:rPr>
                <w:rFonts w:cstheme="minorHAnsi"/>
                <w:sz w:val="21"/>
                <w:szCs w:val="21"/>
              </w:rPr>
              <w:t>Annex 2</w:t>
            </w:r>
          </w:p>
        </w:tc>
        <w:tc>
          <w:tcPr>
            <w:tcW w:w="4500" w:type="dxa"/>
          </w:tcPr>
          <w:p w14:paraId="0751AE41" w14:textId="77777777" w:rsidR="00E27B61" w:rsidRPr="00E27B61" w:rsidRDefault="00E27B61" w:rsidP="00E27B61">
            <w:pPr>
              <w:rPr>
                <w:sz w:val="20"/>
                <w:szCs w:val="20"/>
              </w:rPr>
            </w:pPr>
            <w:r w:rsidRPr="00E27B61">
              <w:rPr>
                <w:sz w:val="20"/>
                <w:szCs w:val="20"/>
              </w:rPr>
              <w:t xml:space="preserve">Please record full names/job title/organization; Missing </w:t>
            </w:r>
            <w:proofErr w:type="spellStart"/>
            <w:r w:rsidRPr="00E27B61">
              <w:rPr>
                <w:sz w:val="20"/>
                <w:szCs w:val="20"/>
              </w:rPr>
              <w:t>Chainarong</w:t>
            </w:r>
            <w:proofErr w:type="spellEnd"/>
            <w:r w:rsidRPr="00E27B61">
              <w:rPr>
                <w:sz w:val="20"/>
                <w:szCs w:val="20"/>
              </w:rPr>
              <w:t xml:space="preserve"> </w:t>
            </w:r>
            <w:proofErr w:type="spellStart"/>
            <w:r w:rsidRPr="00E27B61">
              <w:rPr>
                <w:sz w:val="20"/>
                <w:szCs w:val="20"/>
              </w:rPr>
              <w:t>Khongkua</w:t>
            </w:r>
            <w:proofErr w:type="spellEnd"/>
            <w:r w:rsidRPr="00E27B61">
              <w:rPr>
                <w:sz w:val="20"/>
                <w:szCs w:val="20"/>
              </w:rPr>
              <w:t xml:space="preserve">, </w:t>
            </w:r>
            <w:proofErr w:type="spellStart"/>
            <w:r w:rsidRPr="00E27B61">
              <w:rPr>
                <w:sz w:val="20"/>
                <w:szCs w:val="20"/>
              </w:rPr>
              <w:t>Khon</w:t>
            </w:r>
            <w:proofErr w:type="spellEnd"/>
            <w:r w:rsidRPr="00E27B61">
              <w:rPr>
                <w:sz w:val="20"/>
                <w:szCs w:val="20"/>
              </w:rPr>
              <w:t xml:space="preserve"> </w:t>
            </w:r>
            <w:proofErr w:type="spellStart"/>
            <w:r w:rsidRPr="00E27B61">
              <w:rPr>
                <w:sz w:val="20"/>
                <w:szCs w:val="20"/>
              </w:rPr>
              <w:t>Rak</w:t>
            </w:r>
            <w:proofErr w:type="spellEnd"/>
            <w:r w:rsidRPr="00E27B61">
              <w:rPr>
                <w:sz w:val="20"/>
                <w:szCs w:val="20"/>
              </w:rPr>
              <w:t xml:space="preserve"> Thin</w:t>
            </w:r>
          </w:p>
        </w:tc>
        <w:tc>
          <w:tcPr>
            <w:tcW w:w="4770" w:type="dxa"/>
          </w:tcPr>
          <w:p w14:paraId="63969F38" w14:textId="77777777" w:rsidR="00E27B61" w:rsidRPr="00E27B61" w:rsidRDefault="00E27B61" w:rsidP="00E27B61">
            <w:pPr>
              <w:rPr>
                <w:rFonts w:cstheme="minorHAnsi"/>
                <w:sz w:val="21"/>
                <w:szCs w:val="21"/>
              </w:rPr>
            </w:pPr>
            <w:r w:rsidRPr="00E27B61">
              <w:rPr>
                <w:rFonts w:cstheme="minorHAnsi"/>
                <w:sz w:val="21"/>
                <w:szCs w:val="21"/>
              </w:rPr>
              <w:t>Revised Annex 2 inserted</w:t>
            </w:r>
          </w:p>
        </w:tc>
      </w:tr>
      <w:tr w:rsidR="00E27B61" w:rsidRPr="00E27B61" w14:paraId="383E4399" w14:textId="77777777" w:rsidTr="00F77D3E">
        <w:trPr>
          <w:trHeight w:val="841"/>
        </w:trPr>
        <w:tc>
          <w:tcPr>
            <w:tcW w:w="1980" w:type="dxa"/>
          </w:tcPr>
          <w:p w14:paraId="22C14A6A" w14:textId="77777777" w:rsidR="00E27B61" w:rsidRPr="00E27B61" w:rsidRDefault="00E27B61" w:rsidP="00E27B61">
            <w:pPr>
              <w:jc w:val="center"/>
              <w:rPr>
                <w:rFonts w:cstheme="minorHAnsi"/>
                <w:sz w:val="21"/>
                <w:szCs w:val="21"/>
              </w:rPr>
            </w:pPr>
            <w:r w:rsidRPr="00E27B61">
              <w:rPr>
                <w:rFonts w:cstheme="minorHAnsi"/>
                <w:sz w:val="21"/>
                <w:szCs w:val="21"/>
              </w:rPr>
              <w:t>UNDP CO</w:t>
            </w:r>
          </w:p>
        </w:tc>
        <w:tc>
          <w:tcPr>
            <w:tcW w:w="540" w:type="dxa"/>
            <w:shd w:val="clear" w:color="auto" w:fill="auto"/>
          </w:tcPr>
          <w:p w14:paraId="6C5091C2" w14:textId="77777777" w:rsidR="00E27B61" w:rsidRPr="00E27B61" w:rsidRDefault="00E27B61" w:rsidP="00E27B61">
            <w:pPr>
              <w:jc w:val="center"/>
              <w:rPr>
                <w:rFonts w:cstheme="minorHAnsi"/>
                <w:sz w:val="21"/>
                <w:szCs w:val="21"/>
              </w:rPr>
            </w:pPr>
            <w:r w:rsidRPr="00E27B61">
              <w:rPr>
                <w:rFonts w:cstheme="minorHAnsi"/>
                <w:sz w:val="21"/>
                <w:szCs w:val="21"/>
              </w:rPr>
              <w:t>28</w:t>
            </w:r>
          </w:p>
        </w:tc>
        <w:tc>
          <w:tcPr>
            <w:tcW w:w="2880" w:type="dxa"/>
          </w:tcPr>
          <w:p w14:paraId="69F4A3BA" w14:textId="77777777" w:rsidR="00E27B61" w:rsidRPr="00E27B61" w:rsidRDefault="00E27B61" w:rsidP="00E27B61">
            <w:pPr>
              <w:jc w:val="center"/>
              <w:rPr>
                <w:rFonts w:cstheme="minorHAnsi"/>
                <w:sz w:val="21"/>
                <w:szCs w:val="21"/>
              </w:rPr>
            </w:pPr>
            <w:r w:rsidRPr="00E27B61">
              <w:rPr>
                <w:rFonts w:cstheme="minorHAnsi"/>
                <w:sz w:val="21"/>
                <w:szCs w:val="21"/>
              </w:rPr>
              <w:t>Annex 12, Indicator 9</w:t>
            </w:r>
          </w:p>
        </w:tc>
        <w:tc>
          <w:tcPr>
            <w:tcW w:w="4500" w:type="dxa"/>
          </w:tcPr>
          <w:p w14:paraId="693A1845" w14:textId="6A9B835E" w:rsidR="00E27B61" w:rsidRPr="00E27B61" w:rsidRDefault="00E27B61" w:rsidP="00E27B61">
            <w:pPr>
              <w:rPr>
                <w:rFonts w:cstheme="minorHAnsi"/>
                <w:sz w:val="21"/>
                <w:szCs w:val="21"/>
              </w:rPr>
            </w:pPr>
            <w:r w:rsidRPr="00E27B61">
              <w:rPr>
                <w:rFonts w:cstheme="minorHAnsi"/>
                <w:sz w:val="21"/>
                <w:szCs w:val="21"/>
              </w:rPr>
              <w:t xml:space="preserve">A rating is needed for this indicator. Significant progress has been made. For example, a water management model was developed and the area of 4,600 ha has been clearly demarcated (with support from DNP, Chai </w:t>
            </w:r>
            <w:proofErr w:type="spellStart"/>
            <w:r w:rsidRPr="00E27B61">
              <w:rPr>
                <w:rFonts w:cstheme="minorHAnsi"/>
                <w:sz w:val="21"/>
                <w:szCs w:val="21"/>
              </w:rPr>
              <w:t>Pattana</w:t>
            </w:r>
            <w:proofErr w:type="spellEnd"/>
            <w:r w:rsidRPr="00E27B61">
              <w:rPr>
                <w:rFonts w:cstheme="minorHAnsi"/>
                <w:sz w:val="21"/>
                <w:szCs w:val="21"/>
              </w:rPr>
              <w:t>, RID). Therefore, there is sufficient data to rate this indicator.</w:t>
            </w:r>
            <w:r w:rsidR="00F77D3E">
              <w:rPr>
                <w:rFonts w:cstheme="minorHAnsi"/>
                <w:sz w:val="21"/>
                <w:szCs w:val="21"/>
              </w:rPr>
              <w:t xml:space="preserve"> </w:t>
            </w:r>
            <w:r w:rsidR="00F77D3E" w:rsidRPr="00A51A25">
              <w:rPr>
                <w:rFonts w:cstheme="minorHAnsi"/>
                <w:sz w:val="21"/>
                <w:szCs w:val="21"/>
                <w:lang w:val="en-US"/>
              </w:rPr>
              <w:t xml:space="preserve">Please review additional information from the report attached (Kuan Kreng Peat Swamp in Thai) and validate data with the researcher Mr. </w:t>
            </w:r>
            <w:proofErr w:type="spellStart"/>
            <w:r w:rsidR="00F77D3E" w:rsidRPr="00A51A25">
              <w:rPr>
                <w:rFonts w:cstheme="minorHAnsi"/>
                <w:sz w:val="21"/>
                <w:szCs w:val="21"/>
                <w:lang w:val="en-US"/>
              </w:rPr>
              <w:t>Suchart</w:t>
            </w:r>
            <w:proofErr w:type="spellEnd"/>
            <w:r w:rsidR="00F77D3E" w:rsidRPr="00A51A25">
              <w:rPr>
                <w:rFonts w:cstheme="minorHAnsi"/>
                <w:sz w:val="21"/>
                <w:szCs w:val="21"/>
                <w:lang w:val="en-US"/>
              </w:rPr>
              <w:t xml:space="preserve"> </w:t>
            </w:r>
            <w:proofErr w:type="spellStart"/>
            <w:r w:rsidR="00F77D3E" w:rsidRPr="00A51A25">
              <w:rPr>
                <w:rFonts w:cstheme="minorHAnsi"/>
                <w:sz w:val="21"/>
                <w:szCs w:val="21"/>
                <w:lang w:val="en-US"/>
              </w:rPr>
              <w:t>Sailamai</w:t>
            </w:r>
            <w:proofErr w:type="spellEnd"/>
            <w:r w:rsidR="00F77D3E" w:rsidRPr="00A51A25">
              <w:rPr>
                <w:rFonts w:cstheme="minorHAnsi"/>
                <w:sz w:val="21"/>
                <w:szCs w:val="21"/>
                <w:lang w:val="en-US"/>
              </w:rPr>
              <w:t xml:space="preserve">. </w:t>
            </w:r>
            <w:hyperlink r:id="rId5" w:history="1">
              <w:r w:rsidR="00F77D3E" w:rsidRPr="00A51A25">
                <w:rPr>
                  <w:rStyle w:val="Hyperlink"/>
                  <w:rFonts w:cstheme="minorHAnsi"/>
                  <w:color w:val="auto"/>
                  <w:sz w:val="21"/>
                  <w:szCs w:val="21"/>
                  <w:lang w:val="en-US"/>
                </w:rPr>
                <w:t>bausara@hotmail.com</w:t>
              </w:r>
            </w:hyperlink>
            <w:r w:rsidR="00F77D3E" w:rsidRPr="00A51A25">
              <w:rPr>
                <w:rFonts w:cstheme="minorHAnsi"/>
                <w:sz w:val="21"/>
                <w:szCs w:val="21"/>
                <w:lang w:val="en-US"/>
              </w:rPr>
              <w:t>, Tel: 085-909 9492. He can grant an interview on how the project can track the achievement on carbon under the outcome 2, indicator 9-12.</w:t>
            </w:r>
          </w:p>
        </w:tc>
        <w:tc>
          <w:tcPr>
            <w:tcW w:w="4770" w:type="dxa"/>
          </w:tcPr>
          <w:p w14:paraId="74C1F903" w14:textId="42FA2344" w:rsidR="00E27B61" w:rsidRPr="009D4F6F" w:rsidRDefault="00E27B61" w:rsidP="00E27B61">
            <w:pPr>
              <w:rPr>
                <w:rFonts w:cstheme="minorHAnsi"/>
                <w:sz w:val="21"/>
                <w:szCs w:val="21"/>
                <w:lang w:val="en-US"/>
              </w:rPr>
            </w:pPr>
            <w:r w:rsidRPr="009D4F6F">
              <w:rPr>
                <w:rFonts w:cstheme="minorHAnsi"/>
                <w:sz w:val="21"/>
                <w:szCs w:val="21"/>
                <w:lang w:val="en-US"/>
              </w:rPr>
              <w:t xml:space="preserve">As described in the analysis of the RF indicators on p33, the indicator is not sufficiently specific to interpret what is meant by “under effective water table management regime”; also the TE team was unable to investigate site conditions on the ground to confirm whether water tables are actually being managed effectively over the 4,600 ha. </w:t>
            </w:r>
            <w:r w:rsidR="006674D7" w:rsidRPr="009D4F6F">
              <w:rPr>
                <w:rFonts w:cstheme="minorHAnsi"/>
                <w:sz w:val="21"/>
                <w:szCs w:val="21"/>
                <w:lang w:val="en-US"/>
              </w:rPr>
              <w:t xml:space="preserve">This is a key limitation for the assessment of this particular indicator. </w:t>
            </w:r>
            <w:r w:rsidR="00DA32D0" w:rsidRPr="009D4F6F">
              <w:rPr>
                <w:rFonts w:cstheme="minorHAnsi"/>
                <w:sz w:val="21"/>
                <w:szCs w:val="21"/>
                <w:lang w:val="en-US"/>
              </w:rPr>
              <w:t>The TE team has reviewed the</w:t>
            </w:r>
            <w:r w:rsidR="00D918C3" w:rsidRPr="009D4F6F">
              <w:rPr>
                <w:rFonts w:cstheme="minorHAnsi"/>
                <w:sz w:val="21"/>
                <w:szCs w:val="21"/>
                <w:lang w:val="en-US"/>
              </w:rPr>
              <w:t xml:space="preserve"> progress</w:t>
            </w:r>
            <w:r w:rsidR="00DA32D0" w:rsidRPr="009D4F6F">
              <w:rPr>
                <w:rFonts w:cstheme="minorHAnsi"/>
                <w:sz w:val="21"/>
                <w:szCs w:val="21"/>
                <w:lang w:val="en-US"/>
              </w:rPr>
              <w:t xml:space="preserve"> report provided, which </w:t>
            </w:r>
            <w:r w:rsidR="00D918C3" w:rsidRPr="009D4F6F">
              <w:rPr>
                <w:rFonts w:cstheme="minorHAnsi"/>
                <w:sz w:val="21"/>
                <w:szCs w:val="21"/>
                <w:lang w:val="en-US"/>
              </w:rPr>
              <w:t>gives</w:t>
            </w:r>
            <w:r w:rsidR="00704EC0" w:rsidRPr="009D4F6F">
              <w:rPr>
                <w:rFonts w:cstheme="minorHAnsi"/>
                <w:sz w:val="21"/>
                <w:szCs w:val="21"/>
                <w:lang w:val="en-US"/>
              </w:rPr>
              <w:t xml:space="preserve"> information on </w:t>
            </w:r>
            <w:r w:rsidR="004A20AD" w:rsidRPr="009D4F6F">
              <w:rPr>
                <w:rFonts w:cstheme="minorHAnsi"/>
                <w:sz w:val="21"/>
                <w:szCs w:val="21"/>
                <w:lang w:val="en-US"/>
              </w:rPr>
              <w:t>progress towards developing the peat swamp inventory</w:t>
            </w:r>
            <w:r w:rsidR="003D68ED" w:rsidRPr="009D4F6F">
              <w:rPr>
                <w:rFonts w:cstheme="minorHAnsi"/>
                <w:sz w:val="21"/>
                <w:szCs w:val="21"/>
                <w:lang w:val="en-US"/>
              </w:rPr>
              <w:t xml:space="preserve">, including results of a field survey </w:t>
            </w:r>
            <w:r w:rsidR="00927079" w:rsidRPr="009D4F6F">
              <w:rPr>
                <w:rFonts w:cstheme="minorHAnsi"/>
                <w:sz w:val="21"/>
                <w:szCs w:val="21"/>
                <w:lang w:val="en-US"/>
              </w:rPr>
              <w:t xml:space="preserve">of </w:t>
            </w:r>
            <w:r w:rsidR="00EC10B3" w:rsidRPr="009D4F6F">
              <w:rPr>
                <w:rFonts w:cstheme="minorHAnsi"/>
                <w:sz w:val="21"/>
                <w:szCs w:val="21"/>
                <w:lang w:val="en-US"/>
              </w:rPr>
              <w:t xml:space="preserve">peat soils at </w:t>
            </w:r>
            <w:r w:rsidR="00927079" w:rsidRPr="009D4F6F">
              <w:rPr>
                <w:rFonts w:cstheme="minorHAnsi"/>
                <w:sz w:val="21"/>
                <w:szCs w:val="21"/>
                <w:lang w:val="en-US"/>
              </w:rPr>
              <w:t xml:space="preserve">three stations in KKL </w:t>
            </w:r>
            <w:r w:rsidR="003D68ED" w:rsidRPr="009D4F6F">
              <w:rPr>
                <w:rFonts w:cstheme="minorHAnsi"/>
                <w:sz w:val="21"/>
                <w:szCs w:val="21"/>
                <w:lang w:val="en-US"/>
              </w:rPr>
              <w:t xml:space="preserve">conducted in April 2019. </w:t>
            </w:r>
            <w:r w:rsidR="0062464D" w:rsidRPr="009D4F6F">
              <w:rPr>
                <w:rFonts w:cstheme="minorHAnsi"/>
                <w:sz w:val="21"/>
                <w:szCs w:val="21"/>
                <w:lang w:val="en-US"/>
              </w:rPr>
              <w:t xml:space="preserve">The results of this field survey included the statement </w:t>
            </w:r>
            <w:r w:rsidR="00DA32D0" w:rsidRPr="009D4F6F">
              <w:rPr>
                <w:rFonts w:cstheme="minorHAnsi"/>
                <w:sz w:val="21"/>
                <w:szCs w:val="21"/>
                <w:lang w:val="en-US"/>
              </w:rPr>
              <w:t xml:space="preserve">that </w:t>
            </w:r>
            <w:r w:rsidR="001910B2" w:rsidRPr="009D4F6F">
              <w:rPr>
                <w:rFonts w:cstheme="minorHAnsi"/>
                <w:sz w:val="21"/>
                <w:szCs w:val="21"/>
                <w:lang w:val="en-US"/>
              </w:rPr>
              <w:t xml:space="preserve">“In 2019, the </w:t>
            </w:r>
            <w:r w:rsidR="00DA32D0" w:rsidRPr="009D4F6F">
              <w:rPr>
                <w:rFonts w:cstheme="minorHAnsi"/>
                <w:sz w:val="21"/>
                <w:szCs w:val="21"/>
                <w:lang w:val="en-US"/>
              </w:rPr>
              <w:t xml:space="preserve">water </w:t>
            </w:r>
            <w:r w:rsidR="001910B2" w:rsidRPr="009D4F6F">
              <w:rPr>
                <w:rFonts w:cstheme="minorHAnsi"/>
                <w:sz w:val="21"/>
                <w:szCs w:val="21"/>
                <w:lang w:val="en-US"/>
              </w:rPr>
              <w:t xml:space="preserve">table </w:t>
            </w:r>
            <w:r w:rsidR="00FC687C" w:rsidRPr="009D4F6F">
              <w:rPr>
                <w:rFonts w:cstheme="minorHAnsi"/>
                <w:sz w:val="21"/>
                <w:szCs w:val="21"/>
                <w:lang w:val="en-US"/>
              </w:rPr>
              <w:t xml:space="preserve">is 50 cm in the dry season (p93)”. </w:t>
            </w:r>
            <w:r w:rsidR="00DA32D0" w:rsidRPr="009D4F6F">
              <w:rPr>
                <w:rFonts w:cstheme="minorHAnsi"/>
                <w:sz w:val="21"/>
                <w:szCs w:val="21"/>
                <w:lang w:val="en-US"/>
              </w:rPr>
              <w:t xml:space="preserve"> </w:t>
            </w:r>
            <w:r w:rsidR="0062464D" w:rsidRPr="009D4F6F">
              <w:rPr>
                <w:rFonts w:cstheme="minorHAnsi"/>
                <w:sz w:val="21"/>
                <w:szCs w:val="21"/>
                <w:lang w:val="en-US"/>
              </w:rPr>
              <w:t xml:space="preserve">The TE team acknowledges this </w:t>
            </w:r>
            <w:r w:rsidR="0062464D" w:rsidRPr="009D4F6F">
              <w:rPr>
                <w:rFonts w:cstheme="minorHAnsi"/>
                <w:sz w:val="21"/>
                <w:szCs w:val="21"/>
                <w:lang w:val="en-US"/>
              </w:rPr>
              <w:lastRenderedPageBreak/>
              <w:t>result</w:t>
            </w:r>
            <w:r w:rsidR="00410F89" w:rsidRPr="009D4F6F">
              <w:rPr>
                <w:rFonts w:cstheme="minorHAnsi"/>
                <w:sz w:val="21"/>
                <w:szCs w:val="21"/>
                <w:lang w:val="en-US"/>
              </w:rPr>
              <w:t xml:space="preserve">, but in the absence of systematic water level monitoring data </w:t>
            </w:r>
            <w:r w:rsidR="0085527D" w:rsidRPr="009D4F6F">
              <w:rPr>
                <w:rFonts w:cstheme="minorHAnsi"/>
                <w:sz w:val="21"/>
                <w:szCs w:val="21"/>
                <w:lang w:val="en-US"/>
              </w:rPr>
              <w:t xml:space="preserve">that show a trend over time, it remains impossible to use this one observation as firm evidence of effective water management being in place. </w:t>
            </w:r>
            <w:r w:rsidR="00A11E3C" w:rsidRPr="009D4F6F">
              <w:rPr>
                <w:rFonts w:cstheme="minorHAnsi"/>
                <w:sz w:val="21"/>
                <w:szCs w:val="21"/>
                <w:lang w:val="en-US"/>
              </w:rPr>
              <w:t>Only a few months later, in July-August 2019, enormous fires swept through a large area of the KKL peat swamp</w:t>
            </w:r>
            <w:r w:rsidR="00773AC2" w:rsidRPr="009D4F6F">
              <w:rPr>
                <w:rFonts w:cstheme="minorHAnsi"/>
                <w:sz w:val="21"/>
                <w:szCs w:val="21"/>
                <w:lang w:val="en-US"/>
              </w:rPr>
              <w:t xml:space="preserve"> – if water levels had been maintained at an optimum </w:t>
            </w:r>
            <w:r w:rsidR="003476C2" w:rsidRPr="009D4F6F">
              <w:rPr>
                <w:rFonts w:cstheme="minorHAnsi"/>
                <w:sz w:val="21"/>
                <w:szCs w:val="21"/>
                <w:lang w:val="en-US"/>
              </w:rPr>
              <w:t>level, would these fires have had the same impact?</w:t>
            </w:r>
          </w:p>
          <w:p w14:paraId="51878D1F" w14:textId="7CFE435A" w:rsidR="00E27B61" w:rsidRDefault="00E27B61" w:rsidP="00E27B61">
            <w:pPr>
              <w:rPr>
                <w:rFonts w:cstheme="minorHAnsi"/>
                <w:sz w:val="21"/>
                <w:szCs w:val="21"/>
                <w:lang w:val="en-US"/>
              </w:rPr>
            </w:pPr>
            <w:r w:rsidRPr="009D4F6F">
              <w:rPr>
                <w:rFonts w:cstheme="minorHAnsi"/>
                <w:sz w:val="21"/>
                <w:szCs w:val="21"/>
              </w:rPr>
              <w:t xml:space="preserve">Following further consultations with ONEP and RECOFTC, the TE team maintains that this indicator cannot be rated for the reasons stated. Please refer to the qualitative information provided in Annex 12 for further details. It is acknowledged that </w:t>
            </w:r>
            <w:r w:rsidRPr="009D4F6F">
              <w:rPr>
                <w:rFonts w:cstheme="minorHAnsi"/>
                <w:sz w:val="21"/>
                <w:szCs w:val="21"/>
                <w:lang w:val="en-US"/>
              </w:rPr>
              <w:t>the project has completed the water modelling, guidelines for the use of the model, and short term water management measures have been made, but this has not been fully put into practice and</w:t>
            </w:r>
            <w:r w:rsidR="00967C29" w:rsidRPr="009D4F6F">
              <w:rPr>
                <w:rFonts w:cstheme="minorHAnsi"/>
                <w:sz w:val="21"/>
                <w:szCs w:val="21"/>
                <w:lang w:val="en-US"/>
              </w:rPr>
              <w:t xml:space="preserve"> TE interviews</w:t>
            </w:r>
            <w:r w:rsidRPr="009D4F6F">
              <w:rPr>
                <w:rFonts w:cstheme="minorHAnsi"/>
                <w:sz w:val="21"/>
                <w:szCs w:val="21"/>
                <w:lang w:val="en-US"/>
              </w:rPr>
              <w:t xml:space="preserve"> </w:t>
            </w:r>
            <w:r w:rsidR="00967C29" w:rsidRPr="009D4F6F">
              <w:rPr>
                <w:rFonts w:cstheme="minorHAnsi"/>
                <w:sz w:val="21"/>
                <w:szCs w:val="21"/>
                <w:lang w:val="en-US"/>
              </w:rPr>
              <w:t>indicated that</w:t>
            </w:r>
            <w:r w:rsidRPr="009D4F6F">
              <w:rPr>
                <w:rFonts w:cstheme="minorHAnsi"/>
                <w:sz w:val="21"/>
                <w:szCs w:val="21"/>
                <w:lang w:val="en-US"/>
              </w:rPr>
              <w:t xml:space="preserve"> </w:t>
            </w:r>
            <w:r w:rsidR="009D4F6F">
              <w:rPr>
                <w:rFonts w:cstheme="minorHAnsi"/>
                <w:sz w:val="21"/>
                <w:szCs w:val="21"/>
                <w:lang w:val="en-US"/>
              </w:rPr>
              <w:t xml:space="preserve">while </w:t>
            </w:r>
            <w:r w:rsidRPr="009D4F6F">
              <w:rPr>
                <w:rFonts w:cstheme="minorHAnsi"/>
                <w:sz w:val="21"/>
                <w:szCs w:val="21"/>
                <w:lang w:val="en-US"/>
              </w:rPr>
              <w:t xml:space="preserve">the main responsible agencies </w:t>
            </w:r>
            <w:r w:rsidR="009D4F6F">
              <w:rPr>
                <w:rFonts w:cstheme="minorHAnsi"/>
                <w:sz w:val="21"/>
                <w:szCs w:val="21"/>
                <w:lang w:val="en-US"/>
              </w:rPr>
              <w:t xml:space="preserve">appreciate the </w:t>
            </w:r>
            <w:r w:rsidR="00E55CD8" w:rsidRPr="009D4F6F">
              <w:rPr>
                <w:rFonts w:cstheme="minorHAnsi"/>
                <w:sz w:val="21"/>
                <w:szCs w:val="21"/>
                <w:lang w:val="en-US"/>
              </w:rPr>
              <w:t>approach promoted by the project</w:t>
            </w:r>
            <w:r w:rsidR="00E55CD8">
              <w:rPr>
                <w:rFonts w:cstheme="minorHAnsi"/>
                <w:sz w:val="21"/>
                <w:szCs w:val="21"/>
                <w:lang w:val="en-US"/>
              </w:rPr>
              <w:t xml:space="preserve">, they </w:t>
            </w:r>
            <w:r w:rsidRPr="009D4F6F">
              <w:rPr>
                <w:rFonts w:cstheme="minorHAnsi"/>
                <w:sz w:val="21"/>
                <w:szCs w:val="21"/>
                <w:lang w:val="en-US"/>
              </w:rPr>
              <w:t xml:space="preserve">are </w:t>
            </w:r>
            <w:r w:rsidR="00967C29" w:rsidRPr="009D4F6F">
              <w:rPr>
                <w:rFonts w:cstheme="minorHAnsi"/>
                <w:sz w:val="21"/>
                <w:szCs w:val="21"/>
                <w:lang w:val="en-US"/>
              </w:rPr>
              <w:t>not yet fully on board</w:t>
            </w:r>
            <w:r w:rsidR="00E55CD8">
              <w:rPr>
                <w:rFonts w:cstheme="minorHAnsi"/>
                <w:sz w:val="21"/>
                <w:szCs w:val="21"/>
                <w:lang w:val="en-US"/>
              </w:rPr>
              <w:t>.</w:t>
            </w:r>
          </w:p>
          <w:p w14:paraId="1542A19A" w14:textId="416AC5A9" w:rsidR="00E8228F" w:rsidRPr="009D4F6F" w:rsidRDefault="00AA3BB0" w:rsidP="00E27B61">
            <w:pPr>
              <w:rPr>
                <w:rFonts w:cstheme="minorHAnsi"/>
                <w:sz w:val="21"/>
                <w:szCs w:val="21"/>
                <w:lang w:val="en-US"/>
              </w:rPr>
            </w:pPr>
            <w:r>
              <w:rPr>
                <w:rFonts w:cstheme="minorHAnsi"/>
                <w:sz w:val="21"/>
                <w:szCs w:val="21"/>
                <w:lang w:val="en-US"/>
              </w:rPr>
              <w:t xml:space="preserve">The request for additional consultation was made </w:t>
            </w:r>
            <w:r w:rsidR="00095DE1">
              <w:rPr>
                <w:rFonts w:cstheme="minorHAnsi"/>
                <w:sz w:val="21"/>
                <w:szCs w:val="21"/>
                <w:lang w:val="en-US"/>
              </w:rPr>
              <w:t>several weeks</w:t>
            </w:r>
            <w:r>
              <w:rPr>
                <w:rFonts w:cstheme="minorHAnsi"/>
                <w:sz w:val="21"/>
                <w:szCs w:val="21"/>
                <w:lang w:val="en-US"/>
              </w:rPr>
              <w:t xml:space="preserve"> after the draft TE report had been </w:t>
            </w:r>
            <w:r w:rsidR="00095DE1">
              <w:rPr>
                <w:rFonts w:cstheme="minorHAnsi"/>
                <w:sz w:val="21"/>
                <w:szCs w:val="21"/>
                <w:lang w:val="en-US"/>
              </w:rPr>
              <w:t>submitted on 26 February 2021</w:t>
            </w:r>
            <w:r w:rsidR="00A5051A">
              <w:rPr>
                <w:rFonts w:cstheme="minorHAnsi"/>
                <w:sz w:val="21"/>
                <w:szCs w:val="21"/>
                <w:lang w:val="en-US"/>
              </w:rPr>
              <w:t xml:space="preserve">, therefore </w:t>
            </w:r>
            <w:r w:rsidR="00A033A2">
              <w:rPr>
                <w:rFonts w:cstheme="minorHAnsi"/>
                <w:sz w:val="21"/>
                <w:szCs w:val="21"/>
                <w:lang w:val="en-US"/>
              </w:rPr>
              <w:t xml:space="preserve">it </w:t>
            </w:r>
            <w:r w:rsidR="003823A1">
              <w:rPr>
                <w:rFonts w:cstheme="minorHAnsi"/>
                <w:sz w:val="21"/>
                <w:szCs w:val="21"/>
                <w:lang w:val="en-US"/>
              </w:rPr>
              <w:t xml:space="preserve">was </w:t>
            </w:r>
            <w:r w:rsidR="00A033A2">
              <w:rPr>
                <w:rFonts w:cstheme="minorHAnsi"/>
                <w:sz w:val="21"/>
                <w:szCs w:val="21"/>
                <w:lang w:val="en-US"/>
              </w:rPr>
              <w:t>not considered feasible to follow up</w:t>
            </w:r>
            <w:r w:rsidR="00C31ECA">
              <w:rPr>
                <w:rFonts w:cstheme="minorHAnsi"/>
                <w:sz w:val="21"/>
                <w:szCs w:val="21"/>
                <w:lang w:val="en-US"/>
              </w:rPr>
              <w:t>,</w:t>
            </w:r>
            <w:r w:rsidR="003823A1">
              <w:rPr>
                <w:rFonts w:cstheme="minorHAnsi"/>
                <w:sz w:val="21"/>
                <w:szCs w:val="21"/>
                <w:lang w:val="en-US"/>
              </w:rPr>
              <w:t xml:space="preserve"> in line with RTA guidance.</w:t>
            </w:r>
          </w:p>
        </w:tc>
      </w:tr>
      <w:tr w:rsidR="00E27B61" w:rsidRPr="00E27B61" w14:paraId="2882CC50" w14:textId="77777777" w:rsidTr="005F2F73">
        <w:trPr>
          <w:trHeight w:val="248"/>
        </w:trPr>
        <w:tc>
          <w:tcPr>
            <w:tcW w:w="1980" w:type="dxa"/>
          </w:tcPr>
          <w:p w14:paraId="47B41654" w14:textId="77777777" w:rsidR="00E27B61" w:rsidRPr="00E27B61" w:rsidRDefault="00E27B61" w:rsidP="00E27B61">
            <w:pPr>
              <w:jc w:val="center"/>
              <w:rPr>
                <w:rFonts w:cstheme="minorHAnsi"/>
                <w:sz w:val="21"/>
                <w:szCs w:val="21"/>
              </w:rPr>
            </w:pPr>
            <w:r w:rsidRPr="00E27B61">
              <w:rPr>
                <w:rFonts w:cstheme="minorHAnsi"/>
                <w:sz w:val="21"/>
                <w:szCs w:val="21"/>
              </w:rPr>
              <w:lastRenderedPageBreak/>
              <w:t>UNDP CO</w:t>
            </w:r>
          </w:p>
        </w:tc>
        <w:tc>
          <w:tcPr>
            <w:tcW w:w="540" w:type="dxa"/>
            <w:shd w:val="clear" w:color="auto" w:fill="auto"/>
          </w:tcPr>
          <w:p w14:paraId="62C974DF" w14:textId="77777777" w:rsidR="00E27B61" w:rsidRPr="00E27B61" w:rsidRDefault="00E27B61" w:rsidP="00E27B61">
            <w:pPr>
              <w:jc w:val="center"/>
              <w:rPr>
                <w:rFonts w:cstheme="minorHAnsi"/>
                <w:sz w:val="21"/>
                <w:szCs w:val="21"/>
              </w:rPr>
            </w:pPr>
            <w:r w:rsidRPr="00E27B61">
              <w:rPr>
                <w:rFonts w:cstheme="minorHAnsi"/>
                <w:sz w:val="21"/>
                <w:szCs w:val="21"/>
              </w:rPr>
              <w:t>29</w:t>
            </w:r>
          </w:p>
        </w:tc>
        <w:tc>
          <w:tcPr>
            <w:tcW w:w="2880" w:type="dxa"/>
          </w:tcPr>
          <w:p w14:paraId="65957F7A" w14:textId="28207A0C" w:rsidR="00E27B61" w:rsidRPr="00E27B61" w:rsidRDefault="00E27B61" w:rsidP="00E27B61">
            <w:pPr>
              <w:jc w:val="center"/>
              <w:rPr>
                <w:rFonts w:cstheme="minorHAnsi"/>
                <w:sz w:val="21"/>
                <w:szCs w:val="21"/>
              </w:rPr>
            </w:pPr>
            <w:r w:rsidRPr="00E27B61">
              <w:rPr>
                <w:rFonts w:cstheme="minorHAnsi"/>
                <w:sz w:val="21"/>
                <w:szCs w:val="21"/>
              </w:rPr>
              <w:t>Annex 12, Indicator 11</w:t>
            </w:r>
            <w:r w:rsidR="003320B6">
              <w:rPr>
                <w:rFonts w:cstheme="minorHAnsi"/>
                <w:sz w:val="21"/>
                <w:szCs w:val="21"/>
              </w:rPr>
              <w:t>, 12</w:t>
            </w:r>
          </w:p>
        </w:tc>
        <w:tc>
          <w:tcPr>
            <w:tcW w:w="4500" w:type="dxa"/>
          </w:tcPr>
          <w:p w14:paraId="33485DD0" w14:textId="06F6A6C9" w:rsidR="00E27B61" w:rsidRPr="00E27B61" w:rsidRDefault="00F77D3E" w:rsidP="00E27B61">
            <w:pPr>
              <w:rPr>
                <w:rFonts w:cstheme="minorHAnsi"/>
                <w:sz w:val="21"/>
                <w:szCs w:val="21"/>
              </w:rPr>
            </w:pPr>
            <w:r w:rsidRPr="003823A1">
              <w:rPr>
                <w:rFonts w:cstheme="minorHAnsi"/>
                <w:sz w:val="21"/>
                <w:szCs w:val="21"/>
                <w:lang w:val="en-US"/>
              </w:rPr>
              <w:t xml:space="preserve">The Kuan Kreng Peat Swamp report (Thai) prepared by Mr. </w:t>
            </w:r>
            <w:proofErr w:type="spellStart"/>
            <w:r w:rsidRPr="003823A1">
              <w:rPr>
                <w:rFonts w:cstheme="minorHAnsi"/>
                <w:sz w:val="21"/>
                <w:szCs w:val="21"/>
                <w:lang w:val="en-US"/>
              </w:rPr>
              <w:t>Suchart</w:t>
            </w:r>
            <w:proofErr w:type="spellEnd"/>
            <w:r w:rsidRPr="003823A1">
              <w:rPr>
                <w:rFonts w:cstheme="minorHAnsi"/>
                <w:sz w:val="21"/>
                <w:szCs w:val="21"/>
                <w:lang w:val="en-US"/>
              </w:rPr>
              <w:t xml:space="preserve"> provides information for indicator 11 measurement.  Also, the national TE consultant should talk to ONEP (Climate Change Coordination Department) for more insight re the calculation of the GHG emission and sequestration targets.</w:t>
            </w:r>
          </w:p>
        </w:tc>
        <w:tc>
          <w:tcPr>
            <w:tcW w:w="4770" w:type="dxa"/>
          </w:tcPr>
          <w:p w14:paraId="4FD42EBB" w14:textId="0CD9D8DF" w:rsidR="004F4C70" w:rsidRDefault="004F4C70" w:rsidP="00E27B61">
            <w:pPr>
              <w:rPr>
                <w:rFonts w:cstheme="minorHAnsi"/>
                <w:sz w:val="21"/>
                <w:szCs w:val="21"/>
              </w:rPr>
            </w:pPr>
            <w:r>
              <w:rPr>
                <w:rFonts w:cstheme="minorHAnsi"/>
                <w:sz w:val="21"/>
                <w:szCs w:val="21"/>
              </w:rPr>
              <w:t xml:space="preserve">The </w:t>
            </w:r>
            <w:r w:rsidR="006A476F">
              <w:rPr>
                <w:rFonts w:cstheme="minorHAnsi"/>
                <w:sz w:val="21"/>
                <w:szCs w:val="21"/>
              </w:rPr>
              <w:t xml:space="preserve">mentioned </w:t>
            </w:r>
            <w:r w:rsidR="005C6E47">
              <w:rPr>
                <w:rFonts w:cstheme="minorHAnsi"/>
                <w:sz w:val="21"/>
                <w:szCs w:val="21"/>
              </w:rPr>
              <w:t xml:space="preserve">progress </w:t>
            </w:r>
            <w:r w:rsidR="006A476F">
              <w:rPr>
                <w:rFonts w:cstheme="minorHAnsi"/>
                <w:sz w:val="21"/>
                <w:szCs w:val="21"/>
              </w:rPr>
              <w:t>report has been considered by the TE team</w:t>
            </w:r>
            <w:r w:rsidR="003F3085">
              <w:rPr>
                <w:rFonts w:cstheme="minorHAnsi"/>
                <w:sz w:val="21"/>
                <w:szCs w:val="21"/>
              </w:rPr>
              <w:t>. The carbon</w:t>
            </w:r>
            <w:r w:rsidR="00062A2F">
              <w:rPr>
                <w:rFonts w:cstheme="minorHAnsi"/>
                <w:sz w:val="21"/>
                <w:szCs w:val="21"/>
              </w:rPr>
              <w:t xml:space="preserve"> data presented were gathered in April 2019,</w:t>
            </w:r>
            <w:r w:rsidR="0003414F">
              <w:rPr>
                <w:rFonts w:cstheme="minorHAnsi"/>
                <w:sz w:val="21"/>
                <w:szCs w:val="21"/>
              </w:rPr>
              <w:t xml:space="preserve"> and</w:t>
            </w:r>
            <w:r w:rsidR="00062A2F">
              <w:rPr>
                <w:rFonts w:cstheme="minorHAnsi"/>
                <w:sz w:val="21"/>
                <w:szCs w:val="21"/>
              </w:rPr>
              <w:t xml:space="preserve"> therefore should have been included in the </w:t>
            </w:r>
            <w:r w:rsidR="00247A33">
              <w:rPr>
                <w:rFonts w:cstheme="minorHAnsi"/>
                <w:sz w:val="21"/>
                <w:szCs w:val="21"/>
              </w:rPr>
              <w:t xml:space="preserve">GEF CCM Tracking Tool at project completion (dated </w:t>
            </w:r>
            <w:r w:rsidR="007377D3">
              <w:rPr>
                <w:rFonts w:cstheme="minorHAnsi"/>
                <w:sz w:val="21"/>
                <w:szCs w:val="21"/>
              </w:rPr>
              <w:t xml:space="preserve">13 </w:t>
            </w:r>
            <w:r w:rsidR="00247A33">
              <w:rPr>
                <w:rFonts w:cstheme="minorHAnsi"/>
                <w:sz w:val="21"/>
                <w:szCs w:val="21"/>
              </w:rPr>
              <w:t xml:space="preserve">August 2020). </w:t>
            </w:r>
            <w:r w:rsidR="00F62107">
              <w:rPr>
                <w:rFonts w:cstheme="minorHAnsi"/>
                <w:sz w:val="21"/>
                <w:szCs w:val="21"/>
              </w:rPr>
              <w:t xml:space="preserve">The </w:t>
            </w:r>
            <w:r w:rsidR="00CA6B9B">
              <w:rPr>
                <w:rFonts w:cstheme="minorHAnsi"/>
                <w:sz w:val="21"/>
                <w:szCs w:val="21"/>
              </w:rPr>
              <w:t xml:space="preserve">relationship of the </w:t>
            </w:r>
            <w:r w:rsidR="0003611F">
              <w:rPr>
                <w:rFonts w:cstheme="minorHAnsi"/>
                <w:sz w:val="21"/>
                <w:szCs w:val="21"/>
              </w:rPr>
              <w:t>“</w:t>
            </w:r>
            <w:r w:rsidR="00CA6B9B">
              <w:rPr>
                <w:rFonts w:cstheme="minorHAnsi"/>
                <w:sz w:val="21"/>
                <w:szCs w:val="21"/>
              </w:rPr>
              <w:t>carbon restoration</w:t>
            </w:r>
            <w:r w:rsidR="0003611F">
              <w:rPr>
                <w:rFonts w:cstheme="minorHAnsi"/>
                <w:sz w:val="21"/>
                <w:szCs w:val="21"/>
              </w:rPr>
              <w:t>”</w:t>
            </w:r>
            <w:r w:rsidR="00CA6B9B">
              <w:rPr>
                <w:rFonts w:cstheme="minorHAnsi"/>
                <w:sz w:val="21"/>
                <w:szCs w:val="21"/>
              </w:rPr>
              <w:t xml:space="preserve"> results to specific indicators is not clearly established in the report</w:t>
            </w:r>
            <w:r w:rsidR="0003611F">
              <w:rPr>
                <w:rFonts w:cstheme="minorHAnsi"/>
                <w:sz w:val="21"/>
                <w:szCs w:val="21"/>
              </w:rPr>
              <w:t xml:space="preserve"> – </w:t>
            </w:r>
            <w:r w:rsidR="00E340A1">
              <w:rPr>
                <w:rFonts w:cstheme="minorHAnsi"/>
                <w:sz w:val="21"/>
                <w:szCs w:val="21"/>
              </w:rPr>
              <w:t xml:space="preserve">so </w:t>
            </w:r>
            <w:r w:rsidR="0003611F">
              <w:rPr>
                <w:rFonts w:cstheme="minorHAnsi"/>
                <w:sz w:val="21"/>
                <w:szCs w:val="21"/>
              </w:rPr>
              <w:t>although it is possible that the</w:t>
            </w:r>
            <w:r w:rsidR="00FD684C">
              <w:rPr>
                <w:rFonts w:cstheme="minorHAnsi"/>
                <w:sz w:val="21"/>
                <w:szCs w:val="21"/>
              </w:rPr>
              <w:t xml:space="preserve"> results do show a positive </w:t>
            </w:r>
            <w:r w:rsidR="00C37787">
              <w:rPr>
                <w:rFonts w:cstheme="minorHAnsi"/>
                <w:sz w:val="21"/>
                <w:szCs w:val="21"/>
              </w:rPr>
              <w:t>change</w:t>
            </w:r>
            <w:r w:rsidR="00FD684C">
              <w:rPr>
                <w:rFonts w:cstheme="minorHAnsi"/>
                <w:sz w:val="21"/>
                <w:szCs w:val="21"/>
              </w:rPr>
              <w:t xml:space="preserve"> in CO</w:t>
            </w:r>
            <w:r w:rsidR="00FD684C" w:rsidRPr="00FD684C">
              <w:rPr>
                <w:rFonts w:cstheme="minorHAnsi"/>
                <w:sz w:val="21"/>
                <w:szCs w:val="21"/>
                <w:vertAlign w:val="subscript"/>
              </w:rPr>
              <w:t>2</w:t>
            </w:r>
            <w:r w:rsidR="00FD684C">
              <w:rPr>
                <w:rFonts w:cstheme="minorHAnsi"/>
                <w:sz w:val="21"/>
                <w:szCs w:val="21"/>
              </w:rPr>
              <w:t xml:space="preserve"> emission reduction</w:t>
            </w:r>
            <w:r w:rsidR="00C37787">
              <w:rPr>
                <w:rFonts w:cstheme="minorHAnsi"/>
                <w:sz w:val="21"/>
                <w:szCs w:val="21"/>
              </w:rPr>
              <w:t xml:space="preserve"> </w:t>
            </w:r>
            <w:r w:rsidR="00C37787">
              <w:rPr>
                <w:rFonts w:cstheme="minorHAnsi"/>
                <w:sz w:val="21"/>
                <w:szCs w:val="21"/>
              </w:rPr>
              <w:lastRenderedPageBreak/>
              <w:t>over the baseline value</w:t>
            </w:r>
            <w:r w:rsidR="00E340A1">
              <w:rPr>
                <w:rFonts w:cstheme="minorHAnsi"/>
                <w:sz w:val="21"/>
                <w:szCs w:val="21"/>
              </w:rPr>
              <w:t>,</w:t>
            </w:r>
            <w:r w:rsidR="00FD684C">
              <w:rPr>
                <w:rFonts w:cstheme="minorHAnsi"/>
                <w:sz w:val="21"/>
                <w:szCs w:val="21"/>
              </w:rPr>
              <w:t xml:space="preserve"> it remains very difficult for the TE team to interpret this information</w:t>
            </w:r>
            <w:r w:rsidR="007F5E71">
              <w:rPr>
                <w:rFonts w:cstheme="minorHAnsi"/>
                <w:sz w:val="21"/>
                <w:szCs w:val="21"/>
              </w:rPr>
              <w:t xml:space="preserve"> meaningfully</w:t>
            </w:r>
            <w:r w:rsidR="00E340A1">
              <w:rPr>
                <w:rFonts w:cstheme="minorHAnsi"/>
                <w:sz w:val="21"/>
                <w:szCs w:val="21"/>
              </w:rPr>
              <w:t xml:space="preserve"> – also because this was a spot result and not part of a series of monitoring results over time that show a trend</w:t>
            </w:r>
            <w:r w:rsidR="00C05C49">
              <w:rPr>
                <w:rFonts w:cstheme="minorHAnsi"/>
                <w:sz w:val="21"/>
                <w:szCs w:val="21"/>
              </w:rPr>
              <w:t xml:space="preserve"> that can be related to water level management.</w:t>
            </w:r>
          </w:p>
          <w:p w14:paraId="144441C6" w14:textId="77777777" w:rsidR="00CD76FA" w:rsidRDefault="00E27B61" w:rsidP="00E27B61">
            <w:pPr>
              <w:rPr>
                <w:rFonts w:cstheme="minorHAnsi"/>
                <w:sz w:val="21"/>
                <w:szCs w:val="21"/>
              </w:rPr>
            </w:pPr>
            <w:r w:rsidRPr="003823A1">
              <w:rPr>
                <w:rFonts w:cstheme="minorHAnsi"/>
                <w:sz w:val="21"/>
                <w:szCs w:val="21"/>
              </w:rPr>
              <w:t>Following further consultations with ONEP and RECOFTC, the TE team maintains that this indicator cannot be rated for the reasons stated</w:t>
            </w:r>
            <w:r w:rsidR="00D51665">
              <w:rPr>
                <w:rFonts w:cstheme="minorHAnsi"/>
                <w:sz w:val="21"/>
                <w:szCs w:val="21"/>
              </w:rPr>
              <w:t xml:space="preserve"> in the report</w:t>
            </w:r>
            <w:r w:rsidRPr="003823A1">
              <w:rPr>
                <w:rFonts w:cstheme="minorHAnsi"/>
                <w:sz w:val="21"/>
                <w:szCs w:val="21"/>
              </w:rPr>
              <w:t xml:space="preserve">. Please refer to the qualitative information provided in Annex 12 for further information. </w:t>
            </w:r>
          </w:p>
          <w:p w14:paraId="767CB042" w14:textId="761D5CDC" w:rsidR="003823A1" w:rsidRPr="003823A1" w:rsidRDefault="00CD76FA" w:rsidP="00E27B61">
            <w:pPr>
              <w:rPr>
                <w:rFonts w:cstheme="minorHAnsi"/>
                <w:sz w:val="21"/>
                <w:szCs w:val="21"/>
              </w:rPr>
            </w:pPr>
            <w:r>
              <w:rPr>
                <w:rFonts w:cstheme="minorHAnsi"/>
                <w:sz w:val="21"/>
                <w:szCs w:val="21"/>
              </w:rPr>
              <w:t>It should also be noted that t</w:t>
            </w:r>
            <w:r w:rsidR="00E27B61" w:rsidRPr="003823A1">
              <w:rPr>
                <w:rFonts w:cstheme="minorHAnsi"/>
                <w:sz w:val="21"/>
                <w:szCs w:val="21"/>
              </w:rPr>
              <w:t xml:space="preserve">he role of the TE team is to evaluate the monitoring data provided </w:t>
            </w:r>
            <w:r>
              <w:rPr>
                <w:rFonts w:cstheme="minorHAnsi"/>
                <w:sz w:val="21"/>
                <w:szCs w:val="21"/>
              </w:rPr>
              <w:t xml:space="preserve">by the project team </w:t>
            </w:r>
            <w:r w:rsidR="00E27B61" w:rsidRPr="003823A1">
              <w:rPr>
                <w:rFonts w:cstheme="minorHAnsi"/>
                <w:sz w:val="21"/>
                <w:szCs w:val="21"/>
              </w:rPr>
              <w:t xml:space="preserve">against the RF targets, not to </w:t>
            </w:r>
            <w:r w:rsidR="00227D62">
              <w:rPr>
                <w:rFonts w:cstheme="minorHAnsi"/>
                <w:sz w:val="21"/>
                <w:szCs w:val="21"/>
              </w:rPr>
              <w:t xml:space="preserve">attempt to </w:t>
            </w:r>
            <w:r w:rsidR="00E27B61" w:rsidRPr="003823A1">
              <w:rPr>
                <w:rFonts w:cstheme="minorHAnsi"/>
                <w:sz w:val="21"/>
                <w:szCs w:val="21"/>
              </w:rPr>
              <w:t>calculate or in</w:t>
            </w:r>
            <w:r w:rsidR="004F4733" w:rsidRPr="003823A1">
              <w:rPr>
                <w:rFonts w:cstheme="minorHAnsi"/>
                <w:sz w:val="21"/>
                <w:szCs w:val="21"/>
              </w:rPr>
              <w:t>terpolate</w:t>
            </w:r>
            <w:r w:rsidR="00E27B61" w:rsidRPr="003823A1">
              <w:rPr>
                <w:rFonts w:cstheme="minorHAnsi"/>
                <w:sz w:val="21"/>
                <w:szCs w:val="21"/>
              </w:rPr>
              <w:t xml:space="preserve"> the monitoring data from different sources. </w:t>
            </w:r>
          </w:p>
        </w:tc>
      </w:tr>
      <w:tr w:rsidR="00F77D3E" w:rsidRPr="00E27B61" w14:paraId="098768AD" w14:textId="77777777" w:rsidTr="00FD6231">
        <w:trPr>
          <w:trHeight w:val="248"/>
        </w:trPr>
        <w:tc>
          <w:tcPr>
            <w:tcW w:w="1980" w:type="dxa"/>
          </w:tcPr>
          <w:p w14:paraId="15BB2DCD" w14:textId="32CAE67E" w:rsidR="00F77D3E" w:rsidRPr="0079437F" w:rsidRDefault="00F77D3E" w:rsidP="00F77D3E">
            <w:pPr>
              <w:jc w:val="center"/>
              <w:rPr>
                <w:rFonts w:cstheme="minorHAnsi"/>
                <w:sz w:val="21"/>
                <w:szCs w:val="21"/>
              </w:rPr>
            </w:pPr>
            <w:r w:rsidRPr="0079437F">
              <w:rPr>
                <w:rFonts w:cstheme="minorHAnsi"/>
                <w:sz w:val="21"/>
                <w:szCs w:val="21"/>
              </w:rPr>
              <w:lastRenderedPageBreak/>
              <w:t>UNDP CO</w:t>
            </w:r>
          </w:p>
        </w:tc>
        <w:tc>
          <w:tcPr>
            <w:tcW w:w="540" w:type="dxa"/>
          </w:tcPr>
          <w:p w14:paraId="48D8CD31" w14:textId="511381C4" w:rsidR="00F77D3E" w:rsidRPr="0079437F" w:rsidRDefault="00F77D3E" w:rsidP="00F77D3E">
            <w:pPr>
              <w:jc w:val="center"/>
              <w:rPr>
                <w:rFonts w:cstheme="minorHAnsi"/>
                <w:sz w:val="21"/>
                <w:szCs w:val="21"/>
              </w:rPr>
            </w:pPr>
            <w:r w:rsidRPr="0079437F">
              <w:rPr>
                <w:rFonts w:cstheme="minorHAnsi"/>
                <w:sz w:val="21"/>
                <w:szCs w:val="21"/>
              </w:rPr>
              <w:t>30</w:t>
            </w:r>
          </w:p>
        </w:tc>
        <w:tc>
          <w:tcPr>
            <w:tcW w:w="2880" w:type="dxa"/>
          </w:tcPr>
          <w:p w14:paraId="4044A1B9" w14:textId="2CF93143" w:rsidR="00F77D3E" w:rsidRPr="0079437F" w:rsidRDefault="00F77D3E" w:rsidP="00F77D3E">
            <w:pPr>
              <w:jc w:val="center"/>
              <w:rPr>
                <w:rFonts w:cstheme="minorHAnsi"/>
                <w:sz w:val="21"/>
                <w:szCs w:val="21"/>
              </w:rPr>
            </w:pPr>
            <w:r w:rsidRPr="0079437F">
              <w:rPr>
                <w:rFonts w:cstheme="minorHAnsi"/>
                <w:sz w:val="21"/>
                <w:szCs w:val="21"/>
              </w:rPr>
              <w:t>Page 3, Evaluation Ratings Table</w:t>
            </w:r>
          </w:p>
        </w:tc>
        <w:tc>
          <w:tcPr>
            <w:tcW w:w="4500" w:type="dxa"/>
          </w:tcPr>
          <w:p w14:paraId="6EE3A7BC" w14:textId="77777777" w:rsidR="00F77D3E" w:rsidRPr="0079437F" w:rsidRDefault="00F77D3E" w:rsidP="00F77D3E">
            <w:pPr>
              <w:spacing w:after="200" w:line="276" w:lineRule="auto"/>
              <w:jc w:val="both"/>
              <w:rPr>
                <w:rFonts w:eastAsia="Times New Roman"/>
              </w:rPr>
            </w:pPr>
            <w:r w:rsidRPr="0079437F">
              <w:rPr>
                <w:rFonts w:eastAsia="Times New Roman"/>
              </w:rPr>
              <w:t xml:space="preserve">The rating is in contrast with the rating for each indicator explained in the Annex 12. Please revisit. </w:t>
            </w:r>
          </w:p>
          <w:p w14:paraId="23FD16A4" w14:textId="77777777" w:rsidR="00F77D3E" w:rsidRPr="0079437F" w:rsidRDefault="00F77D3E" w:rsidP="00F77D3E">
            <w:pPr>
              <w:rPr>
                <w:rFonts w:cstheme="minorHAnsi"/>
                <w:sz w:val="21"/>
                <w:szCs w:val="21"/>
                <w:lang w:val="en-US"/>
              </w:rPr>
            </w:pPr>
          </w:p>
        </w:tc>
        <w:tc>
          <w:tcPr>
            <w:tcW w:w="4770" w:type="dxa"/>
          </w:tcPr>
          <w:p w14:paraId="3F5A62A7" w14:textId="5359CB94" w:rsidR="00F77D3E" w:rsidRPr="00E27B61" w:rsidRDefault="00B50F80" w:rsidP="004E20B6">
            <w:pPr>
              <w:rPr>
                <w:rFonts w:cstheme="minorHAnsi"/>
                <w:sz w:val="21"/>
                <w:szCs w:val="21"/>
                <w:highlight w:val="yellow"/>
              </w:rPr>
            </w:pPr>
            <w:r w:rsidRPr="004E20B6">
              <w:rPr>
                <w:rFonts w:cstheme="minorHAnsi"/>
                <w:sz w:val="21"/>
                <w:szCs w:val="21"/>
              </w:rPr>
              <w:t>It is not clear which specific rating or ratings this comment refers to</w:t>
            </w:r>
            <w:r w:rsidR="00F71E7C">
              <w:rPr>
                <w:rFonts w:cstheme="minorHAnsi"/>
                <w:sz w:val="21"/>
                <w:szCs w:val="21"/>
              </w:rPr>
              <w:t xml:space="preserve"> - presumably</w:t>
            </w:r>
            <w:r w:rsidR="00B617D8" w:rsidRPr="004E20B6">
              <w:rPr>
                <w:rFonts w:cstheme="minorHAnsi"/>
                <w:sz w:val="21"/>
                <w:szCs w:val="21"/>
              </w:rPr>
              <w:t xml:space="preserve"> Effectiveness</w:t>
            </w:r>
            <w:r w:rsidR="00F71E7C">
              <w:rPr>
                <w:rFonts w:cstheme="minorHAnsi"/>
                <w:sz w:val="21"/>
                <w:szCs w:val="21"/>
              </w:rPr>
              <w:t>, which</w:t>
            </w:r>
            <w:r w:rsidR="00B617D8" w:rsidRPr="004E20B6">
              <w:rPr>
                <w:rFonts w:cstheme="minorHAnsi"/>
                <w:sz w:val="21"/>
                <w:szCs w:val="21"/>
              </w:rPr>
              <w:t xml:space="preserve"> </w:t>
            </w:r>
            <w:r w:rsidR="00C35B1C" w:rsidRPr="004E20B6">
              <w:rPr>
                <w:rFonts w:cstheme="minorHAnsi"/>
                <w:sz w:val="21"/>
                <w:szCs w:val="21"/>
              </w:rPr>
              <w:t xml:space="preserve">takes account of </w:t>
            </w:r>
            <w:r w:rsidR="00B617D8" w:rsidRPr="004E20B6">
              <w:rPr>
                <w:rFonts w:cstheme="minorHAnsi"/>
                <w:sz w:val="21"/>
                <w:szCs w:val="21"/>
              </w:rPr>
              <w:t>progress towards the project objective</w:t>
            </w:r>
            <w:r w:rsidR="00C35B1C" w:rsidRPr="004E20B6">
              <w:rPr>
                <w:rFonts w:cstheme="minorHAnsi"/>
                <w:sz w:val="21"/>
                <w:szCs w:val="21"/>
              </w:rPr>
              <w:t xml:space="preserve"> based on the RF indicators</w:t>
            </w:r>
            <w:r w:rsidR="004E20B6" w:rsidRPr="004E20B6">
              <w:rPr>
                <w:rFonts w:cstheme="minorHAnsi"/>
                <w:sz w:val="21"/>
                <w:szCs w:val="21"/>
              </w:rPr>
              <w:t xml:space="preserve"> (as summarized in Annex 12)</w:t>
            </w:r>
            <w:r w:rsidR="00C35B1C" w:rsidRPr="004E20B6">
              <w:rPr>
                <w:rFonts w:cstheme="minorHAnsi"/>
                <w:sz w:val="21"/>
                <w:szCs w:val="21"/>
              </w:rPr>
              <w:t xml:space="preserve">. </w:t>
            </w:r>
            <w:r w:rsidR="0095788D">
              <w:rPr>
                <w:rFonts w:cstheme="minorHAnsi"/>
                <w:sz w:val="21"/>
                <w:szCs w:val="21"/>
              </w:rPr>
              <w:t>While progress was made towards the objective, and credit is due for th</w:t>
            </w:r>
            <w:r w:rsidR="007762DE">
              <w:rPr>
                <w:rFonts w:cstheme="minorHAnsi"/>
                <w:sz w:val="21"/>
                <w:szCs w:val="21"/>
              </w:rPr>
              <w:t>ese achievements</w:t>
            </w:r>
            <w:r w:rsidR="0095788D">
              <w:rPr>
                <w:rFonts w:cstheme="minorHAnsi"/>
                <w:sz w:val="21"/>
                <w:szCs w:val="21"/>
              </w:rPr>
              <w:t xml:space="preserve">, there were also shortcomings that the TE must take account of. </w:t>
            </w:r>
            <w:r w:rsidR="007762DE">
              <w:rPr>
                <w:rFonts w:cstheme="minorHAnsi"/>
                <w:sz w:val="21"/>
                <w:szCs w:val="21"/>
              </w:rPr>
              <w:t>These s</w:t>
            </w:r>
            <w:r w:rsidR="00C12BFE" w:rsidRPr="004E20B6">
              <w:rPr>
                <w:rFonts w:cstheme="minorHAnsi"/>
                <w:sz w:val="21"/>
                <w:szCs w:val="21"/>
              </w:rPr>
              <w:t xml:space="preserve">hortcomings are explained in the text of </w:t>
            </w:r>
            <w:r w:rsidR="006D1403" w:rsidRPr="004E20B6">
              <w:rPr>
                <w:rFonts w:cstheme="minorHAnsi"/>
                <w:sz w:val="21"/>
                <w:szCs w:val="21"/>
              </w:rPr>
              <w:t xml:space="preserve">Section 4.3.2 and summarized in Table 10. </w:t>
            </w:r>
            <w:r w:rsidR="00245BC6">
              <w:rPr>
                <w:rFonts w:cstheme="minorHAnsi"/>
                <w:sz w:val="21"/>
                <w:szCs w:val="21"/>
              </w:rPr>
              <w:t>Despite good progress on many fronts</w:t>
            </w:r>
            <w:r w:rsidR="00F71E7C">
              <w:rPr>
                <w:rFonts w:cstheme="minorHAnsi"/>
                <w:sz w:val="21"/>
                <w:szCs w:val="21"/>
              </w:rPr>
              <w:t xml:space="preserve"> (as reflected </w:t>
            </w:r>
            <w:r w:rsidR="006E7C84">
              <w:rPr>
                <w:rFonts w:cstheme="minorHAnsi"/>
                <w:sz w:val="21"/>
                <w:szCs w:val="21"/>
              </w:rPr>
              <w:t>by several</w:t>
            </w:r>
            <w:r w:rsidR="00F71E7C">
              <w:rPr>
                <w:rFonts w:cstheme="minorHAnsi"/>
                <w:sz w:val="21"/>
                <w:szCs w:val="21"/>
              </w:rPr>
              <w:t xml:space="preserve"> indicator</w:t>
            </w:r>
            <w:r w:rsidR="006E7C84">
              <w:rPr>
                <w:rFonts w:cstheme="minorHAnsi"/>
                <w:sz w:val="21"/>
                <w:szCs w:val="21"/>
              </w:rPr>
              <w:t>s)</w:t>
            </w:r>
            <w:r w:rsidR="00245BC6">
              <w:rPr>
                <w:rFonts w:cstheme="minorHAnsi"/>
                <w:sz w:val="21"/>
                <w:szCs w:val="21"/>
              </w:rPr>
              <w:t>, t</w:t>
            </w:r>
            <w:r w:rsidR="007766CE" w:rsidRPr="004E20B6">
              <w:rPr>
                <w:rFonts w:cstheme="minorHAnsi"/>
                <w:sz w:val="21"/>
                <w:szCs w:val="21"/>
              </w:rPr>
              <w:t xml:space="preserve">he shortcomings for Outcomes 1 and 2 </w:t>
            </w:r>
            <w:r w:rsidR="00245BC6">
              <w:rPr>
                <w:rFonts w:cstheme="minorHAnsi"/>
                <w:sz w:val="21"/>
                <w:szCs w:val="21"/>
              </w:rPr>
              <w:t>we</w:t>
            </w:r>
            <w:r w:rsidR="007766CE" w:rsidRPr="004E20B6">
              <w:rPr>
                <w:rFonts w:cstheme="minorHAnsi"/>
                <w:sz w:val="21"/>
                <w:szCs w:val="21"/>
              </w:rPr>
              <w:t xml:space="preserve">re significant and </w:t>
            </w:r>
            <w:r w:rsidR="000C3C66">
              <w:rPr>
                <w:rFonts w:cstheme="minorHAnsi"/>
                <w:sz w:val="21"/>
                <w:szCs w:val="21"/>
              </w:rPr>
              <w:t xml:space="preserve">overall </w:t>
            </w:r>
            <w:r w:rsidR="007766CE" w:rsidRPr="004E20B6">
              <w:rPr>
                <w:rFonts w:cstheme="minorHAnsi"/>
                <w:sz w:val="21"/>
                <w:szCs w:val="21"/>
              </w:rPr>
              <w:t>progress was below the expected level</w:t>
            </w:r>
            <w:r w:rsidR="000C38A0" w:rsidRPr="004E20B6">
              <w:rPr>
                <w:rFonts w:cstheme="minorHAnsi"/>
                <w:sz w:val="21"/>
                <w:szCs w:val="21"/>
              </w:rPr>
              <w:t xml:space="preserve"> in the view of the TE team</w:t>
            </w:r>
            <w:r w:rsidR="007766CE" w:rsidRPr="004E20B6">
              <w:rPr>
                <w:rFonts w:cstheme="minorHAnsi"/>
                <w:sz w:val="21"/>
                <w:szCs w:val="21"/>
              </w:rPr>
              <w:t>, therefore these are rated MU</w:t>
            </w:r>
            <w:r w:rsidR="000C38A0" w:rsidRPr="004E20B6">
              <w:rPr>
                <w:rFonts w:cstheme="minorHAnsi"/>
                <w:sz w:val="21"/>
                <w:szCs w:val="21"/>
              </w:rPr>
              <w:t xml:space="preserve"> – and therefore the overall Effectiveness rating is MU.</w:t>
            </w:r>
            <w:r w:rsidR="005657DD" w:rsidRPr="004E20B6">
              <w:rPr>
                <w:rFonts w:cstheme="minorHAnsi"/>
                <w:sz w:val="21"/>
                <w:szCs w:val="21"/>
              </w:rPr>
              <w:t xml:space="preserve"> </w:t>
            </w:r>
            <w:r w:rsidR="0099286F" w:rsidRPr="004E20B6">
              <w:rPr>
                <w:rFonts w:cstheme="minorHAnsi"/>
                <w:sz w:val="21"/>
                <w:szCs w:val="21"/>
              </w:rPr>
              <w:t>The TE acknowledges that much progress has been made, but the work was not completed</w:t>
            </w:r>
            <w:r w:rsidR="000C3C66">
              <w:rPr>
                <w:rFonts w:cstheme="minorHAnsi"/>
                <w:sz w:val="21"/>
                <w:szCs w:val="21"/>
              </w:rPr>
              <w:t xml:space="preserve"> within the project period</w:t>
            </w:r>
            <w:r w:rsidR="0079437F">
              <w:rPr>
                <w:rFonts w:cstheme="minorHAnsi"/>
                <w:sz w:val="21"/>
                <w:szCs w:val="21"/>
              </w:rPr>
              <w:t xml:space="preserve"> and will require follow up action.</w:t>
            </w:r>
          </w:p>
        </w:tc>
      </w:tr>
      <w:tr w:rsidR="00A969FB" w:rsidRPr="00E27B61" w14:paraId="28AF367C" w14:textId="77777777" w:rsidTr="00FD6231">
        <w:trPr>
          <w:trHeight w:val="248"/>
        </w:trPr>
        <w:tc>
          <w:tcPr>
            <w:tcW w:w="1980" w:type="dxa"/>
          </w:tcPr>
          <w:p w14:paraId="5DB1284D" w14:textId="31B3FB18" w:rsidR="00A969FB" w:rsidRPr="0079437F" w:rsidRDefault="00A969FB" w:rsidP="00F77D3E">
            <w:pPr>
              <w:jc w:val="center"/>
              <w:rPr>
                <w:rFonts w:cstheme="minorHAnsi"/>
                <w:sz w:val="21"/>
                <w:szCs w:val="21"/>
              </w:rPr>
            </w:pPr>
            <w:r>
              <w:rPr>
                <w:rFonts w:cstheme="minorHAnsi"/>
                <w:sz w:val="21"/>
                <w:szCs w:val="21"/>
              </w:rPr>
              <w:lastRenderedPageBreak/>
              <w:t>ONEP</w:t>
            </w:r>
            <w:r w:rsidR="001E01D8">
              <w:rPr>
                <w:rFonts w:cstheme="minorHAnsi"/>
                <w:sz w:val="21"/>
                <w:szCs w:val="21"/>
              </w:rPr>
              <w:t xml:space="preserve"> &amp; RECOFTC</w:t>
            </w:r>
          </w:p>
        </w:tc>
        <w:tc>
          <w:tcPr>
            <w:tcW w:w="540" w:type="dxa"/>
          </w:tcPr>
          <w:p w14:paraId="7063EF41" w14:textId="0953E2E8" w:rsidR="00A969FB" w:rsidRPr="0079437F" w:rsidRDefault="001E01D8" w:rsidP="00F77D3E">
            <w:pPr>
              <w:jc w:val="center"/>
              <w:rPr>
                <w:rFonts w:cstheme="minorHAnsi"/>
                <w:sz w:val="21"/>
                <w:szCs w:val="21"/>
              </w:rPr>
            </w:pPr>
            <w:r>
              <w:rPr>
                <w:rFonts w:cstheme="minorHAnsi"/>
                <w:sz w:val="21"/>
                <w:szCs w:val="21"/>
              </w:rPr>
              <w:t>31</w:t>
            </w:r>
          </w:p>
        </w:tc>
        <w:tc>
          <w:tcPr>
            <w:tcW w:w="2880" w:type="dxa"/>
          </w:tcPr>
          <w:p w14:paraId="44DE9649" w14:textId="2201F045" w:rsidR="00A969FB" w:rsidRPr="0079437F" w:rsidRDefault="001E01D8" w:rsidP="00F77D3E">
            <w:pPr>
              <w:jc w:val="center"/>
              <w:rPr>
                <w:rFonts w:cstheme="minorHAnsi"/>
                <w:sz w:val="21"/>
                <w:szCs w:val="21"/>
              </w:rPr>
            </w:pPr>
            <w:r>
              <w:rPr>
                <w:rFonts w:cstheme="minorHAnsi"/>
                <w:sz w:val="21"/>
                <w:szCs w:val="21"/>
              </w:rPr>
              <w:t>General Feedback</w:t>
            </w:r>
          </w:p>
        </w:tc>
        <w:tc>
          <w:tcPr>
            <w:tcW w:w="4500" w:type="dxa"/>
          </w:tcPr>
          <w:p w14:paraId="2A384A29" w14:textId="4B13DDD7" w:rsidR="00A969FB" w:rsidRPr="0079437F" w:rsidRDefault="00477532" w:rsidP="00F77D3E">
            <w:pPr>
              <w:spacing w:after="200" w:line="276" w:lineRule="auto"/>
              <w:jc w:val="both"/>
              <w:rPr>
                <w:rFonts w:eastAsia="Times New Roman"/>
              </w:rPr>
            </w:pPr>
            <w:r>
              <w:rPr>
                <w:rFonts w:eastAsia="Times New Roman"/>
              </w:rPr>
              <w:t xml:space="preserve">While no written comments have been provided by ONEP or RECOFTC, they have provided verbal feedback during the </w:t>
            </w:r>
            <w:r w:rsidR="00EE7699">
              <w:rPr>
                <w:rFonts w:eastAsia="Times New Roman"/>
              </w:rPr>
              <w:t>tele-</w:t>
            </w:r>
            <w:r>
              <w:rPr>
                <w:rFonts w:eastAsia="Times New Roman"/>
              </w:rPr>
              <w:t xml:space="preserve">briefing </w:t>
            </w:r>
            <w:r w:rsidR="00EE7699">
              <w:rPr>
                <w:rFonts w:eastAsia="Times New Roman"/>
              </w:rPr>
              <w:t xml:space="preserve">meeting </w:t>
            </w:r>
            <w:r w:rsidR="00180518">
              <w:rPr>
                <w:rFonts w:eastAsia="Times New Roman"/>
              </w:rPr>
              <w:t>on the TE findings on 19 March 2021</w:t>
            </w:r>
            <w:r w:rsidR="00AF2425">
              <w:rPr>
                <w:rFonts w:eastAsia="Times New Roman"/>
              </w:rPr>
              <w:t>, which should be taken into consideration by the TE consultants.</w:t>
            </w:r>
          </w:p>
        </w:tc>
        <w:tc>
          <w:tcPr>
            <w:tcW w:w="4770" w:type="dxa"/>
          </w:tcPr>
          <w:p w14:paraId="4C81BFFD" w14:textId="0F2B0DF2" w:rsidR="00A969FB" w:rsidRPr="004E20B6" w:rsidRDefault="00AF2425" w:rsidP="004E20B6">
            <w:pPr>
              <w:rPr>
                <w:rFonts w:cstheme="minorHAnsi"/>
                <w:sz w:val="21"/>
                <w:szCs w:val="21"/>
              </w:rPr>
            </w:pPr>
            <w:r>
              <w:rPr>
                <w:rFonts w:cstheme="minorHAnsi"/>
                <w:sz w:val="21"/>
                <w:szCs w:val="21"/>
              </w:rPr>
              <w:t>The verbal feedback provided by ONEP and RECOFTC w</w:t>
            </w:r>
            <w:r w:rsidR="00844696">
              <w:rPr>
                <w:rFonts w:cstheme="minorHAnsi"/>
                <w:sz w:val="21"/>
                <w:szCs w:val="21"/>
              </w:rPr>
              <w:t>as</w:t>
            </w:r>
            <w:r>
              <w:rPr>
                <w:rFonts w:cstheme="minorHAnsi"/>
                <w:sz w:val="21"/>
                <w:szCs w:val="21"/>
              </w:rPr>
              <w:t xml:space="preserve"> taken note of during the </w:t>
            </w:r>
            <w:r w:rsidR="00AB1AAB">
              <w:rPr>
                <w:rFonts w:cstheme="minorHAnsi"/>
                <w:sz w:val="21"/>
                <w:szCs w:val="21"/>
              </w:rPr>
              <w:t xml:space="preserve">briefing meeting and revisions </w:t>
            </w:r>
            <w:r w:rsidR="00844696">
              <w:rPr>
                <w:rFonts w:cstheme="minorHAnsi"/>
                <w:sz w:val="21"/>
                <w:szCs w:val="21"/>
              </w:rPr>
              <w:t xml:space="preserve">were </w:t>
            </w:r>
            <w:r w:rsidR="00AB1AAB">
              <w:rPr>
                <w:rFonts w:cstheme="minorHAnsi"/>
                <w:sz w:val="21"/>
                <w:szCs w:val="21"/>
              </w:rPr>
              <w:t>made</w:t>
            </w:r>
            <w:r w:rsidR="00844696">
              <w:rPr>
                <w:rFonts w:cstheme="minorHAnsi"/>
                <w:sz w:val="21"/>
                <w:szCs w:val="21"/>
              </w:rPr>
              <w:t xml:space="preserve"> subsequently</w:t>
            </w:r>
            <w:r w:rsidR="00AB1AAB">
              <w:rPr>
                <w:rFonts w:cstheme="minorHAnsi"/>
                <w:sz w:val="21"/>
                <w:szCs w:val="21"/>
              </w:rPr>
              <w:t xml:space="preserve"> to relevant parts of the TE Report. </w:t>
            </w:r>
          </w:p>
        </w:tc>
      </w:tr>
    </w:tbl>
    <w:p w14:paraId="65A29E7E" w14:textId="77777777" w:rsidR="00E27B61" w:rsidRDefault="00E27B61"/>
    <w:sectPr w:rsidR="00E27B61" w:rsidSect="00E27B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61"/>
    <w:rsid w:val="00021B79"/>
    <w:rsid w:val="0003414F"/>
    <w:rsid w:val="0003611F"/>
    <w:rsid w:val="00062A2F"/>
    <w:rsid w:val="00095DE1"/>
    <w:rsid w:val="000B0556"/>
    <w:rsid w:val="000C38A0"/>
    <w:rsid w:val="000C3C66"/>
    <w:rsid w:val="00180518"/>
    <w:rsid w:val="001910B2"/>
    <w:rsid w:val="001E01D8"/>
    <w:rsid w:val="001F5FB8"/>
    <w:rsid w:val="00227D62"/>
    <w:rsid w:val="00245BC6"/>
    <w:rsid w:val="00247A33"/>
    <w:rsid w:val="00287FBF"/>
    <w:rsid w:val="002D0530"/>
    <w:rsid w:val="003320B6"/>
    <w:rsid w:val="003476C2"/>
    <w:rsid w:val="003823A1"/>
    <w:rsid w:val="003D68ED"/>
    <w:rsid w:val="003F3085"/>
    <w:rsid w:val="00410F89"/>
    <w:rsid w:val="00477532"/>
    <w:rsid w:val="004A20AD"/>
    <w:rsid w:val="004E20B6"/>
    <w:rsid w:val="004F4733"/>
    <w:rsid w:val="004F4C70"/>
    <w:rsid w:val="005657DD"/>
    <w:rsid w:val="00585BA4"/>
    <w:rsid w:val="005C6E47"/>
    <w:rsid w:val="0062464D"/>
    <w:rsid w:val="006674D7"/>
    <w:rsid w:val="006916F9"/>
    <w:rsid w:val="006A476F"/>
    <w:rsid w:val="006B72FD"/>
    <w:rsid w:val="006D1403"/>
    <w:rsid w:val="006E7C84"/>
    <w:rsid w:val="00704EC0"/>
    <w:rsid w:val="00724B5E"/>
    <w:rsid w:val="00732CB1"/>
    <w:rsid w:val="007377D3"/>
    <w:rsid w:val="00773AC2"/>
    <w:rsid w:val="007762DE"/>
    <w:rsid w:val="007766CE"/>
    <w:rsid w:val="0079437F"/>
    <w:rsid w:val="007F5E71"/>
    <w:rsid w:val="0082288A"/>
    <w:rsid w:val="0083668B"/>
    <w:rsid w:val="00844696"/>
    <w:rsid w:val="0085527D"/>
    <w:rsid w:val="00927079"/>
    <w:rsid w:val="0095788D"/>
    <w:rsid w:val="00965E0E"/>
    <w:rsid w:val="00967C29"/>
    <w:rsid w:val="0099286F"/>
    <w:rsid w:val="009D4611"/>
    <w:rsid w:val="009D4F6F"/>
    <w:rsid w:val="00A033A2"/>
    <w:rsid w:val="00A11E3C"/>
    <w:rsid w:val="00A5051A"/>
    <w:rsid w:val="00A51A25"/>
    <w:rsid w:val="00A969FB"/>
    <w:rsid w:val="00AA3BB0"/>
    <w:rsid w:val="00AB1AAB"/>
    <w:rsid w:val="00AF2425"/>
    <w:rsid w:val="00B50F80"/>
    <w:rsid w:val="00B617D8"/>
    <w:rsid w:val="00B72C07"/>
    <w:rsid w:val="00C05C49"/>
    <w:rsid w:val="00C12BFE"/>
    <w:rsid w:val="00C31ECA"/>
    <w:rsid w:val="00C35B1C"/>
    <w:rsid w:val="00C37787"/>
    <w:rsid w:val="00CA6B9B"/>
    <w:rsid w:val="00CC6417"/>
    <w:rsid w:val="00CD76FA"/>
    <w:rsid w:val="00D51665"/>
    <w:rsid w:val="00D611F7"/>
    <w:rsid w:val="00D918C3"/>
    <w:rsid w:val="00DA32D0"/>
    <w:rsid w:val="00E27B61"/>
    <w:rsid w:val="00E340A1"/>
    <w:rsid w:val="00E55CD8"/>
    <w:rsid w:val="00E8228F"/>
    <w:rsid w:val="00EC10B3"/>
    <w:rsid w:val="00EE7699"/>
    <w:rsid w:val="00EF5EF8"/>
    <w:rsid w:val="00F15576"/>
    <w:rsid w:val="00F62107"/>
    <w:rsid w:val="00F71E7C"/>
    <w:rsid w:val="00F77D3E"/>
    <w:rsid w:val="00FC687C"/>
    <w:rsid w:val="00FD684C"/>
    <w:rsid w:val="00FE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E88E"/>
  <w15:chartTrackingRefBased/>
  <w15:docId w15:val="{14C09C63-FA4A-4841-90C4-506215D1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D3E"/>
    <w:rPr>
      <w:color w:val="0563C1" w:themeColor="hyperlink"/>
      <w:u w:val="single"/>
    </w:rPr>
  </w:style>
  <w:style w:type="character" w:styleId="UnresolvedMention">
    <w:name w:val="Unresolved Mention"/>
    <w:basedOn w:val="DefaultParagraphFont"/>
    <w:uiPriority w:val="99"/>
    <w:semiHidden/>
    <w:unhideWhenUsed/>
    <w:rsid w:val="00F7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usara@hotmail.com" TargetMode="External"/><Relationship Id="rId4" Type="http://schemas.openxmlformats.org/officeDocument/2006/relationships/hyperlink" Target="https://archive.recoftc.org/basic-page/social-inclusion-and-gender-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Prentice</dc:creator>
  <cp:keywords/>
  <dc:description/>
  <cp:lastModifiedBy>Crawford Prentice</cp:lastModifiedBy>
  <cp:revision>15</cp:revision>
  <dcterms:created xsi:type="dcterms:W3CDTF">2021-04-02T11:06:00Z</dcterms:created>
  <dcterms:modified xsi:type="dcterms:W3CDTF">2021-04-07T09:30:00Z</dcterms:modified>
</cp:coreProperties>
</file>