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134" w:type="dxa"/>
        <w:tblLayout w:type="fixed"/>
        <w:tblLook w:val="04A0" w:firstRow="1" w:lastRow="0" w:firstColumn="1" w:lastColumn="0" w:noHBand="0" w:noVBand="1"/>
      </w:tblPr>
      <w:tblGrid>
        <w:gridCol w:w="4786"/>
        <w:gridCol w:w="2126"/>
        <w:gridCol w:w="3237"/>
        <w:gridCol w:w="1299"/>
        <w:gridCol w:w="2126"/>
        <w:gridCol w:w="1560"/>
      </w:tblGrid>
      <w:tr w:rsidR="00655647" w:rsidRPr="009B5ECB" w14:paraId="2DF51524" w14:textId="77777777" w:rsidTr="003E4232">
        <w:trPr>
          <w:trHeight w:val="1380"/>
        </w:trPr>
        <w:tc>
          <w:tcPr>
            <w:tcW w:w="4786" w:type="dxa"/>
          </w:tcPr>
          <w:p w14:paraId="48B875B4" w14:textId="77777777" w:rsidR="00655647" w:rsidRPr="009B5ECB" w:rsidRDefault="00655647" w:rsidP="003E4232">
            <w:pPr>
              <w:jc w:val="both"/>
              <w:rPr>
                <w:b/>
              </w:rPr>
            </w:pPr>
          </w:p>
          <w:p w14:paraId="6788470A" w14:textId="77777777" w:rsidR="00655647" w:rsidRPr="009B5ECB" w:rsidRDefault="00655647" w:rsidP="003E4232">
            <w:pPr>
              <w:jc w:val="both"/>
              <w:rPr>
                <w:b/>
              </w:rPr>
            </w:pPr>
          </w:p>
          <w:p w14:paraId="721A43DD" w14:textId="77777777" w:rsidR="00655647" w:rsidRPr="009B5ECB" w:rsidRDefault="00655647" w:rsidP="003E4232">
            <w:pPr>
              <w:jc w:val="both"/>
              <w:rPr>
                <w:b/>
              </w:rPr>
            </w:pPr>
          </w:p>
          <w:p w14:paraId="74AA7170" w14:textId="77777777" w:rsidR="00655647" w:rsidRPr="009B5ECB" w:rsidRDefault="00655647" w:rsidP="003E4232">
            <w:pPr>
              <w:jc w:val="both"/>
              <w:rPr>
                <w:b/>
              </w:rPr>
            </w:pPr>
            <w:r w:rsidRPr="009B5ECB">
              <w:rPr>
                <w:b/>
              </w:rPr>
              <w:t>Recommandations</w:t>
            </w:r>
          </w:p>
        </w:tc>
        <w:tc>
          <w:tcPr>
            <w:tcW w:w="2126" w:type="dxa"/>
          </w:tcPr>
          <w:p w14:paraId="49CED524" w14:textId="77777777" w:rsidR="00655647" w:rsidRPr="009B5ECB" w:rsidRDefault="00655647" w:rsidP="003E4232">
            <w:pPr>
              <w:jc w:val="both"/>
              <w:rPr>
                <w:b/>
              </w:rPr>
            </w:pPr>
          </w:p>
          <w:p w14:paraId="1ED39EDF" w14:textId="77777777" w:rsidR="00655647" w:rsidRPr="009B5ECB" w:rsidRDefault="00655647" w:rsidP="003E4232">
            <w:pPr>
              <w:jc w:val="both"/>
              <w:rPr>
                <w:b/>
              </w:rPr>
            </w:pPr>
            <w:r w:rsidRPr="009B5ECB">
              <w:rPr>
                <w:b/>
              </w:rPr>
              <w:t>Commentaires du PNUD</w:t>
            </w:r>
          </w:p>
        </w:tc>
        <w:tc>
          <w:tcPr>
            <w:tcW w:w="3237" w:type="dxa"/>
          </w:tcPr>
          <w:p w14:paraId="37828DDB" w14:textId="77777777" w:rsidR="00655647" w:rsidRPr="009B5ECB" w:rsidRDefault="00655647" w:rsidP="003E4232">
            <w:pPr>
              <w:jc w:val="both"/>
              <w:rPr>
                <w:b/>
              </w:rPr>
            </w:pPr>
          </w:p>
          <w:p w14:paraId="2688D0EB" w14:textId="77777777" w:rsidR="00655647" w:rsidRPr="009B5ECB" w:rsidRDefault="00655647" w:rsidP="003E4232">
            <w:pPr>
              <w:jc w:val="both"/>
              <w:rPr>
                <w:b/>
              </w:rPr>
            </w:pPr>
            <w:r w:rsidRPr="009B5ECB">
              <w:rPr>
                <w:b/>
              </w:rPr>
              <w:t>Actions à planifier pour l’accomplissement des recommandations</w:t>
            </w:r>
          </w:p>
        </w:tc>
        <w:tc>
          <w:tcPr>
            <w:tcW w:w="1299" w:type="dxa"/>
          </w:tcPr>
          <w:p w14:paraId="69C39059" w14:textId="77777777" w:rsidR="00655647" w:rsidRPr="009B5ECB" w:rsidRDefault="00655647" w:rsidP="003E4232">
            <w:pPr>
              <w:jc w:val="both"/>
              <w:rPr>
                <w:b/>
              </w:rPr>
            </w:pPr>
          </w:p>
          <w:p w14:paraId="0E85A364" w14:textId="77777777" w:rsidR="00655647" w:rsidRPr="009B5ECB" w:rsidRDefault="00655647" w:rsidP="003E4232">
            <w:pPr>
              <w:jc w:val="both"/>
              <w:rPr>
                <w:b/>
              </w:rPr>
            </w:pPr>
            <w:r w:rsidRPr="009B5ECB">
              <w:rPr>
                <w:b/>
              </w:rPr>
              <w:t>Dates cibles</w:t>
            </w:r>
          </w:p>
        </w:tc>
        <w:tc>
          <w:tcPr>
            <w:tcW w:w="2126" w:type="dxa"/>
          </w:tcPr>
          <w:p w14:paraId="37D9ECE0" w14:textId="77777777" w:rsidR="00655647" w:rsidRPr="009B5ECB" w:rsidRDefault="00655647" w:rsidP="003E4232">
            <w:pPr>
              <w:jc w:val="both"/>
              <w:rPr>
                <w:b/>
              </w:rPr>
            </w:pPr>
          </w:p>
          <w:p w14:paraId="3E611408" w14:textId="77777777" w:rsidR="00655647" w:rsidRPr="009B5ECB" w:rsidRDefault="00655647" w:rsidP="003E4232">
            <w:pPr>
              <w:jc w:val="both"/>
              <w:rPr>
                <w:b/>
              </w:rPr>
            </w:pPr>
            <w:r w:rsidRPr="009B5ECB">
              <w:rPr>
                <w:b/>
              </w:rPr>
              <w:t>Responsables</w:t>
            </w:r>
          </w:p>
          <w:p w14:paraId="2D4A5BC3" w14:textId="77777777" w:rsidR="00655647" w:rsidRPr="009B5ECB" w:rsidRDefault="00655647" w:rsidP="003E4232">
            <w:pPr>
              <w:jc w:val="both"/>
              <w:rPr>
                <w:b/>
              </w:rPr>
            </w:pPr>
          </w:p>
          <w:p w14:paraId="18AF0E0D" w14:textId="77777777" w:rsidR="00655647" w:rsidRPr="009B5ECB" w:rsidRDefault="00655647" w:rsidP="003E4232">
            <w:pPr>
              <w:jc w:val="both"/>
              <w:rPr>
                <w:b/>
              </w:rPr>
            </w:pPr>
          </w:p>
        </w:tc>
        <w:tc>
          <w:tcPr>
            <w:tcW w:w="1560" w:type="dxa"/>
          </w:tcPr>
          <w:p w14:paraId="0EBAC3C5" w14:textId="77777777" w:rsidR="00655647" w:rsidRPr="009B5ECB" w:rsidRDefault="00655647" w:rsidP="003E4232">
            <w:pPr>
              <w:jc w:val="both"/>
              <w:rPr>
                <w:b/>
              </w:rPr>
            </w:pPr>
            <w:r w:rsidRPr="009B5ECB">
              <w:rPr>
                <w:b/>
              </w:rPr>
              <w:t>Etat de mise en œuvre</w:t>
            </w:r>
          </w:p>
        </w:tc>
      </w:tr>
      <w:tr w:rsidR="00655647" w:rsidRPr="00F855CE" w14:paraId="0284F7EC" w14:textId="77777777" w:rsidTr="003E4232">
        <w:trPr>
          <w:trHeight w:val="1380"/>
        </w:trPr>
        <w:tc>
          <w:tcPr>
            <w:tcW w:w="4786" w:type="dxa"/>
          </w:tcPr>
          <w:p w14:paraId="2E38BEE0" w14:textId="77777777" w:rsidR="00655647" w:rsidRPr="00F855CE" w:rsidRDefault="00655647" w:rsidP="003E4232">
            <w:pPr>
              <w:autoSpaceDE w:val="0"/>
              <w:autoSpaceDN w:val="0"/>
              <w:adjustRightInd w:val="0"/>
              <w:jc w:val="both"/>
              <w:rPr>
                <w:rFonts w:eastAsiaTheme="minorHAnsi"/>
                <w:lang w:eastAsia="en-US"/>
              </w:rPr>
            </w:pPr>
            <w:r w:rsidRPr="00F855CE">
              <w:rPr>
                <w:rFonts w:eastAsiaTheme="minorHAnsi"/>
                <w:lang w:eastAsia="en-US"/>
              </w:rPr>
              <w:t xml:space="preserve">Les collectivités territoriales et les services techniques doivent jouer effectivement leur rôle régalien de garant de l’intérêt général en affirmant davantage leur leadership et leur contrôle de qualité sur la gestion des COGES et le respect des engagements pris par chaque partie prenante. </w:t>
            </w:r>
          </w:p>
          <w:p w14:paraId="51FF6513" w14:textId="77777777" w:rsidR="00655647" w:rsidRPr="00F855CE" w:rsidRDefault="00655647" w:rsidP="003E4232">
            <w:pPr>
              <w:autoSpaceDE w:val="0"/>
              <w:autoSpaceDN w:val="0"/>
              <w:adjustRightInd w:val="0"/>
              <w:jc w:val="both"/>
              <w:rPr>
                <w:rFonts w:eastAsiaTheme="minorHAnsi"/>
                <w:lang w:eastAsia="en-US"/>
              </w:rPr>
            </w:pPr>
          </w:p>
          <w:p w14:paraId="4DD5719A" w14:textId="77777777" w:rsidR="00655647" w:rsidRPr="00F855CE" w:rsidRDefault="00655647" w:rsidP="003E4232">
            <w:pPr>
              <w:jc w:val="both"/>
              <w:rPr>
                <w:sz w:val="20"/>
                <w:szCs w:val="20"/>
              </w:rPr>
            </w:pPr>
          </w:p>
        </w:tc>
        <w:tc>
          <w:tcPr>
            <w:tcW w:w="2126" w:type="dxa"/>
          </w:tcPr>
          <w:p w14:paraId="107409C6" w14:textId="77777777" w:rsidR="00655647" w:rsidRPr="00F855CE" w:rsidRDefault="00655647" w:rsidP="003E4232">
            <w:pPr>
              <w:jc w:val="both"/>
              <w:rPr>
                <w:b/>
                <w:sz w:val="20"/>
                <w:szCs w:val="20"/>
              </w:rPr>
            </w:pPr>
            <w:r w:rsidRPr="00F855CE">
              <w:rPr>
                <w:b/>
                <w:sz w:val="20"/>
                <w:szCs w:val="20"/>
              </w:rPr>
              <w:t>Outils de formation élaborés/partagés et formation réalisée pour les 26 Communes</w:t>
            </w:r>
          </w:p>
          <w:p w14:paraId="4EA7A8D3" w14:textId="77777777" w:rsidR="00655647" w:rsidRPr="00F855CE" w:rsidRDefault="00655647" w:rsidP="003E4232">
            <w:pPr>
              <w:jc w:val="both"/>
              <w:rPr>
                <w:b/>
                <w:sz w:val="20"/>
                <w:szCs w:val="20"/>
              </w:rPr>
            </w:pPr>
          </w:p>
          <w:p w14:paraId="110493D3" w14:textId="77777777" w:rsidR="00655647" w:rsidRPr="00F855CE" w:rsidRDefault="00655647" w:rsidP="003E4232">
            <w:pPr>
              <w:jc w:val="both"/>
              <w:rPr>
                <w:b/>
                <w:sz w:val="20"/>
                <w:szCs w:val="20"/>
              </w:rPr>
            </w:pPr>
            <w:r w:rsidRPr="00F855CE">
              <w:rPr>
                <w:b/>
                <w:sz w:val="20"/>
                <w:szCs w:val="20"/>
              </w:rPr>
              <w:t>Financement dans le budget de l’UGC1 pour suite</w:t>
            </w:r>
          </w:p>
        </w:tc>
        <w:tc>
          <w:tcPr>
            <w:tcW w:w="3237" w:type="dxa"/>
          </w:tcPr>
          <w:p w14:paraId="77A7D213" w14:textId="77777777" w:rsidR="00655647" w:rsidRPr="00F855CE" w:rsidRDefault="00655647" w:rsidP="003E4232">
            <w:pPr>
              <w:jc w:val="both"/>
              <w:rPr>
                <w:sz w:val="20"/>
                <w:szCs w:val="20"/>
              </w:rPr>
            </w:pPr>
            <w:r w:rsidRPr="00F855CE">
              <w:rPr>
                <w:sz w:val="20"/>
                <w:szCs w:val="20"/>
              </w:rPr>
              <w:t xml:space="preserve"> Formation des Maires et des conseils municipaux sur la mise en place et le contrôle des COGES</w:t>
            </w:r>
          </w:p>
          <w:p w14:paraId="7C332D97" w14:textId="77777777" w:rsidR="00655647" w:rsidRPr="00F855CE" w:rsidRDefault="00655647" w:rsidP="003E4232">
            <w:pPr>
              <w:jc w:val="both"/>
              <w:rPr>
                <w:sz w:val="20"/>
                <w:szCs w:val="20"/>
              </w:rPr>
            </w:pPr>
          </w:p>
          <w:p w14:paraId="52690273" w14:textId="77777777" w:rsidR="00655647" w:rsidRPr="00F855CE" w:rsidRDefault="00655647" w:rsidP="003E4232">
            <w:pPr>
              <w:jc w:val="both"/>
              <w:rPr>
                <w:sz w:val="20"/>
                <w:szCs w:val="20"/>
              </w:rPr>
            </w:pPr>
            <w:r w:rsidRPr="00F855CE">
              <w:rPr>
                <w:sz w:val="20"/>
                <w:szCs w:val="20"/>
              </w:rPr>
              <w:t>Prévision de ressources financières dans les communes pour une assistance aux COGES</w:t>
            </w:r>
          </w:p>
        </w:tc>
        <w:tc>
          <w:tcPr>
            <w:tcW w:w="1299" w:type="dxa"/>
          </w:tcPr>
          <w:p w14:paraId="218FD4B7" w14:textId="77777777" w:rsidR="00655647" w:rsidRPr="00F855CE" w:rsidRDefault="00655647" w:rsidP="003E4232">
            <w:pPr>
              <w:jc w:val="both"/>
              <w:rPr>
                <w:sz w:val="20"/>
                <w:szCs w:val="20"/>
              </w:rPr>
            </w:pPr>
            <w:r w:rsidRPr="00F855CE">
              <w:rPr>
                <w:sz w:val="20"/>
                <w:szCs w:val="20"/>
              </w:rPr>
              <w:t xml:space="preserve"> Juin 2021</w:t>
            </w:r>
          </w:p>
        </w:tc>
        <w:tc>
          <w:tcPr>
            <w:tcW w:w="2126" w:type="dxa"/>
          </w:tcPr>
          <w:p w14:paraId="25E02947" w14:textId="77777777" w:rsidR="00655647" w:rsidRPr="00F855CE" w:rsidRDefault="00655647" w:rsidP="003E4232">
            <w:pPr>
              <w:jc w:val="both"/>
              <w:rPr>
                <w:sz w:val="20"/>
                <w:szCs w:val="20"/>
              </w:rPr>
            </w:pPr>
            <w:r w:rsidRPr="00F855CE">
              <w:rPr>
                <w:sz w:val="20"/>
                <w:szCs w:val="20"/>
              </w:rPr>
              <w:t xml:space="preserve"> </w:t>
            </w:r>
          </w:p>
          <w:p w14:paraId="239C567F" w14:textId="77777777" w:rsidR="00655647" w:rsidRPr="00F855CE" w:rsidRDefault="00655647" w:rsidP="003E4232">
            <w:pPr>
              <w:jc w:val="both"/>
              <w:rPr>
                <w:sz w:val="20"/>
                <w:szCs w:val="20"/>
              </w:rPr>
            </w:pPr>
          </w:p>
          <w:p w14:paraId="3FAF0779" w14:textId="77777777" w:rsidR="00655647" w:rsidRPr="00F855CE" w:rsidRDefault="00655647" w:rsidP="003E4232">
            <w:pPr>
              <w:jc w:val="both"/>
              <w:rPr>
                <w:sz w:val="20"/>
                <w:szCs w:val="20"/>
              </w:rPr>
            </w:pPr>
            <w:r w:rsidRPr="00F855CE">
              <w:rPr>
                <w:sz w:val="20"/>
                <w:szCs w:val="20"/>
              </w:rPr>
              <w:t>Maires des Communes</w:t>
            </w:r>
          </w:p>
        </w:tc>
        <w:tc>
          <w:tcPr>
            <w:tcW w:w="1560" w:type="dxa"/>
          </w:tcPr>
          <w:p w14:paraId="38BE95C8" w14:textId="77777777" w:rsidR="00655647" w:rsidRPr="00F855CE" w:rsidRDefault="00655647" w:rsidP="003E4232">
            <w:pPr>
              <w:jc w:val="both"/>
              <w:rPr>
                <w:sz w:val="20"/>
                <w:szCs w:val="20"/>
              </w:rPr>
            </w:pPr>
            <w:r w:rsidRPr="00F855CE">
              <w:rPr>
                <w:sz w:val="20"/>
                <w:szCs w:val="20"/>
              </w:rPr>
              <w:t>Début d’exécution</w:t>
            </w:r>
          </w:p>
        </w:tc>
      </w:tr>
      <w:tr w:rsidR="00655647" w:rsidRPr="00F855CE" w14:paraId="58697BB3" w14:textId="77777777" w:rsidTr="003E4232">
        <w:trPr>
          <w:trHeight w:val="1380"/>
        </w:trPr>
        <w:tc>
          <w:tcPr>
            <w:tcW w:w="4786" w:type="dxa"/>
          </w:tcPr>
          <w:p w14:paraId="4227B92E" w14:textId="77777777" w:rsidR="00655647" w:rsidRPr="00F855CE" w:rsidRDefault="00655647" w:rsidP="003E4232">
            <w:pPr>
              <w:autoSpaceDE w:val="0"/>
              <w:autoSpaceDN w:val="0"/>
              <w:adjustRightInd w:val="0"/>
              <w:jc w:val="both"/>
              <w:rPr>
                <w:rFonts w:eastAsiaTheme="minorHAnsi"/>
                <w:lang w:eastAsia="en-US"/>
              </w:rPr>
            </w:pPr>
            <w:r w:rsidRPr="00F855CE">
              <w:rPr>
                <w:rFonts w:eastAsiaTheme="minorHAnsi"/>
                <w:lang w:eastAsia="en-US"/>
              </w:rPr>
              <w:t xml:space="preserve">Veiller à une implication des services techniques déconcentrés de l’Etat du domaine pour leurs conseils avisés. </w:t>
            </w:r>
          </w:p>
          <w:p w14:paraId="08F7E625" w14:textId="77777777" w:rsidR="00655647" w:rsidRPr="00F855CE" w:rsidRDefault="00655647" w:rsidP="003E4232">
            <w:pPr>
              <w:autoSpaceDE w:val="0"/>
              <w:autoSpaceDN w:val="0"/>
              <w:adjustRightInd w:val="0"/>
              <w:jc w:val="both"/>
              <w:rPr>
                <w:rFonts w:eastAsiaTheme="minorHAnsi"/>
                <w:lang w:eastAsia="en-US"/>
              </w:rPr>
            </w:pPr>
          </w:p>
          <w:p w14:paraId="2944C80C" w14:textId="77777777" w:rsidR="00655647" w:rsidRPr="00F855CE" w:rsidRDefault="00655647" w:rsidP="003E4232">
            <w:pPr>
              <w:jc w:val="both"/>
              <w:rPr>
                <w:b/>
                <w:sz w:val="20"/>
                <w:szCs w:val="20"/>
              </w:rPr>
            </w:pPr>
          </w:p>
        </w:tc>
        <w:tc>
          <w:tcPr>
            <w:tcW w:w="2126" w:type="dxa"/>
          </w:tcPr>
          <w:p w14:paraId="4EBB4D73" w14:textId="77777777" w:rsidR="00655647" w:rsidRPr="00F855CE" w:rsidRDefault="00655647" w:rsidP="003E4232">
            <w:pPr>
              <w:jc w:val="both"/>
              <w:rPr>
                <w:b/>
                <w:sz w:val="20"/>
                <w:szCs w:val="20"/>
              </w:rPr>
            </w:pPr>
            <w:r w:rsidRPr="00F855CE">
              <w:rPr>
                <w:b/>
                <w:sz w:val="20"/>
                <w:szCs w:val="20"/>
              </w:rPr>
              <w:t>Ceci est effectif à travers la DREP (antenne régionale) et les Maires, avec un accompagnement des VNU du PADEL</w:t>
            </w:r>
          </w:p>
        </w:tc>
        <w:tc>
          <w:tcPr>
            <w:tcW w:w="3237" w:type="dxa"/>
          </w:tcPr>
          <w:p w14:paraId="02970D7F" w14:textId="77777777" w:rsidR="00655647" w:rsidRPr="00F855CE" w:rsidRDefault="00655647" w:rsidP="003E4232">
            <w:pPr>
              <w:jc w:val="both"/>
              <w:rPr>
                <w:sz w:val="20"/>
                <w:szCs w:val="20"/>
              </w:rPr>
            </w:pPr>
            <w:r w:rsidRPr="00F855CE">
              <w:rPr>
                <w:sz w:val="20"/>
                <w:szCs w:val="20"/>
              </w:rPr>
              <w:t>Formation des cadres des Ministères concernés sur la mise en place et le suivi-contrôle-assistance des COGES</w:t>
            </w:r>
          </w:p>
          <w:p w14:paraId="77ED7702" w14:textId="77777777" w:rsidR="00655647" w:rsidRPr="00F855CE" w:rsidRDefault="00655647" w:rsidP="003E4232">
            <w:pPr>
              <w:jc w:val="both"/>
              <w:rPr>
                <w:sz w:val="20"/>
                <w:szCs w:val="20"/>
              </w:rPr>
            </w:pPr>
          </w:p>
          <w:p w14:paraId="6BFB7892" w14:textId="77777777" w:rsidR="00655647" w:rsidRPr="00F855CE" w:rsidRDefault="00655647" w:rsidP="003E4232">
            <w:pPr>
              <w:jc w:val="both"/>
              <w:rPr>
                <w:sz w:val="20"/>
                <w:szCs w:val="20"/>
              </w:rPr>
            </w:pPr>
            <w:r w:rsidRPr="00F855CE">
              <w:rPr>
                <w:sz w:val="20"/>
                <w:szCs w:val="20"/>
              </w:rPr>
              <w:t>Prévision de ressources financières dans les ministères pour un accompagnement des COGES</w:t>
            </w:r>
          </w:p>
        </w:tc>
        <w:tc>
          <w:tcPr>
            <w:tcW w:w="1299" w:type="dxa"/>
          </w:tcPr>
          <w:p w14:paraId="294D58B9" w14:textId="77777777" w:rsidR="00655647" w:rsidRPr="00F855CE" w:rsidRDefault="00655647" w:rsidP="003E4232">
            <w:pPr>
              <w:jc w:val="both"/>
              <w:rPr>
                <w:sz w:val="20"/>
                <w:szCs w:val="20"/>
              </w:rPr>
            </w:pPr>
          </w:p>
        </w:tc>
        <w:tc>
          <w:tcPr>
            <w:tcW w:w="2126" w:type="dxa"/>
          </w:tcPr>
          <w:p w14:paraId="17518967" w14:textId="77777777" w:rsidR="00655647" w:rsidRPr="00F855CE" w:rsidRDefault="00655647" w:rsidP="003E4232">
            <w:pPr>
              <w:jc w:val="both"/>
              <w:rPr>
                <w:sz w:val="20"/>
                <w:szCs w:val="20"/>
              </w:rPr>
            </w:pPr>
            <w:r w:rsidRPr="00F855CE">
              <w:rPr>
                <w:sz w:val="20"/>
                <w:szCs w:val="20"/>
              </w:rPr>
              <w:t>MINEIFID et Ministère chargé de la décentralisation</w:t>
            </w:r>
          </w:p>
        </w:tc>
        <w:tc>
          <w:tcPr>
            <w:tcW w:w="1560" w:type="dxa"/>
          </w:tcPr>
          <w:p w14:paraId="2E10DFE1" w14:textId="77777777" w:rsidR="00655647" w:rsidRPr="00F855CE" w:rsidRDefault="00655647" w:rsidP="003E4232">
            <w:pPr>
              <w:jc w:val="both"/>
              <w:rPr>
                <w:sz w:val="20"/>
                <w:szCs w:val="20"/>
              </w:rPr>
            </w:pPr>
            <w:r w:rsidRPr="00F855CE">
              <w:rPr>
                <w:sz w:val="20"/>
                <w:szCs w:val="20"/>
              </w:rPr>
              <w:t>Début d’exécution</w:t>
            </w:r>
          </w:p>
        </w:tc>
      </w:tr>
      <w:tr w:rsidR="00655647" w:rsidRPr="00F855CE" w14:paraId="3B27AC9B" w14:textId="77777777" w:rsidTr="003E4232">
        <w:trPr>
          <w:trHeight w:val="1380"/>
        </w:trPr>
        <w:tc>
          <w:tcPr>
            <w:tcW w:w="4786" w:type="dxa"/>
          </w:tcPr>
          <w:p w14:paraId="61BB6E5F" w14:textId="77777777" w:rsidR="00655647" w:rsidRPr="00F855CE" w:rsidRDefault="00655647" w:rsidP="003E4232">
            <w:pPr>
              <w:autoSpaceDE w:val="0"/>
              <w:autoSpaceDN w:val="0"/>
              <w:adjustRightInd w:val="0"/>
              <w:jc w:val="both"/>
              <w:rPr>
                <w:rFonts w:eastAsiaTheme="minorHAnsi"/>
                <w:lang w:eastAsia="en-US"/>
              </w:rPr>
            </w:pPr>
            <w:r w:rsidRPr="00F855CE">
              <w:rPr>
                <w:rFonts w:eastAsiaTheme="minorHAnsi"/>
                <w:lang w:eastAsia="en-US"/>
              </w:rPr>
              <w:t>Mettre en place des mécanismes d’audit périodique de la gestion des COGES pour renforcer la transparence et promouvoir la bonne gouvernance dans la gestion des infrastructures.</w:t>
            </w:r>
          </w:p>
          <w:p w14:paraId="6E862560" w14:textId="77777777" w:rsidR="00655647" w:rsidRPr="00F855CE" w:rsidRDefault="00655647" w:rsidP="003E4232">
            <w:pPr>
              <w:autoSpaceDE w:val="0"/>
              <w:autoSpaceDN w:val="0"/>
              <w:adjustRightInd w:val="0"/>
              <w:jc w:val="both"/>
              <w:rPr>
                <w:rFonts w:eastAsiaTheme="minorHAnsi"/>
                <w:lang w:eastAsia="en-US"/>
              </w:rPr>
            </w:pPr>
          </w:p>
          <w:p w14:paraId="2B54BF2D" w14:textId="77777777" w:rsidR="00655647" w:rsidRPr="00F855CE" w:rsidRDefault="00655647" w:rsidP="003E4232">
            <w:pPr>
              <w:autoSpaceDE w:val="0"/>
              <w:autoSpaceDN w:val="0"/>
              <w:adjustRightInd w:val="0"/>
              <w:jc w:val="both"/>
              <w:rPr>
                <w:sz w:val="20"/>
                <w:szCs w:val="20"/>
              </w:rPr>
            </w:pPr>
          </w:p>
        </w:tc>
        <w:tc>
          <w:tcPr>
            <w:tcW w:w="2126" w:type="dxa"/>
          </w:tcPr>
          <w:p w14:paraId="6D36D904" w14:textId="77777777" w:rsidR="00655647" w:rsidRPr="00F855CE" w:rsidRDefault="00655647" w:rsidP="003E4232">
            <w:pPr>
              <w:jc w:val="both"/>
              <w:rPr>
                <w:b/>
                <w:sz w:val="20"/>
                <w:szCs w:val="20"/>
              </w:rPr>
            </w:pPr>
            <w:r w:rsidRPr="00F855CE">
              <w:rPr>
                <w:b/>
                <w:sz w:val="20"/>
                <w:szCs w:val="20"/>
              </w:rPr>
              <w:t>UGC1</w:t>
            </w:r>
          </w:p>
        </w:tc>
        <w:tc>
          <w:tcPr>
            <w:tcW w:w="3237" w:type="dxa"/>
          </w:tcPr>
          <w:p w14:paraId="6C306D14" w14:textId="77777777" w:rsidR="00655647" w:rsidRPr="00F855CE" w:rsidRDefault="00655647" w:rsidP="003E4232">
            <w:pPr>
              <w:jc w:val="both"/>
              <w:rPr>
                <w:sz w:val="20"/>
                <w:szCs w:val="20"/>
              </w:rPr>
            </w:pPr>
            <w:r w:rsidRPr="00F855CE">
              <w:rPr>
                <w:sz w:val="20"/>
                <w:szCs w:val="20"/>
              </w:rPr>
              <w:t>Sélectionner des cabinets d’audit organisationnel et financier</w:t>
            </w:r>
          </w:p>
          <w:p w14:paraId="18D59792" w14:textId="77777777" w:rsidR="00655647" w:rsidRPr="00F855CE" w:rsidRDefault="00655647" w:rsidP="003E4232">
            <w:pPr>
              <w:jc w:val="both"/>
              <w:rPr>
                <w:sz w:val="20"/>
                <w:szCs w:val="20"/>
              </w:rPr>
            </w:pPr>
          </w:p>
          <w:p w14:paraId="552486E4" w14:textId="77777777" w:rsidR="00655647" w:rsidRPr="00F855CE" w:rsidRDefault="00655647" w:rsidP="003E4232">
            <w:pPr>
              <w:jc w:val="both"/>
              <w:rPr>
                <w:sz w:val="20"/>
                <w:szCs w:val="20"/>
              </w:rPr>
            </w:pPr>
            <w:r w:rsidRPr="00F855CE">
              <w:rPr>
                <w:sz w:val="20"/>
                <w:szCs w:val="20"/>
              </w:rPr>
              <w:t>Prévoir les ressources financières pour les audits</w:t>
            </w:r>
          </w:p>
          <w:p w14:paraId="7557C446" w14:textId="77777777" w:rsidR="00655647" w:rsidRPr="00F855CE" w:rsidRDefault="00655647" w:rsidP="003E4232">
            <w:pPr>
              <w:jc w:val="both"/>
              <w:rPr>
                <w:sz w:val="20"/>
                <w:szCs w:val="20"/>
              </w:rPr>
            </w:pPr>
          </w:p>
          <w:p w14:paraId="43119D67" w14:textId="77777777" w:rsidR="00655647" w:rsidRPr="00F855CE" w:rsidRDefault="00655647" w:rsidP="003E4232">
            <w:pPr>
              <w:jc w:val="both"/>
              <w:rPr>
                <w:sz w:val="20"/>
                <w:szCs w:val="20"/>
              </w:rPr>
            </w:pPr>
            <w:r w:rsidRPr="00F855CE">
              <w:rPr>
                <w:sz w:val="20"/>
                <w:szCs w:val="20"/>
              </w:rPr>
              <w:t>Réaliser périodiquement les audits</w:t>
            </w:r>
          </w:p>
        </w:tc>
        <w:tc>
          <w:tcPr>
            <w:tcW w:w="1299" w:type="dxa"/>
          </w:tcPr>
          <w:p w14:paraId="15D04885" w14:textId="77777777" w:rsidR="00655647" w:rsidRPr="00F855CE" w:rsidRDefault="00655647" w:rsidP="003E4232">
            <w:pPr>
              <w:jc w:val="both"/>
              <w:rPr>
                <w:sz w:val="20"/>
                <w:szCs w:val="20"/>
              </w:rPr>
            </w:pPr>
            <w:r w:rsidRPr="00F855CE">
              <w:rPr>
                <w:sz w:val="20"/>
                <w:szCs w:val="20"/>
              </w:rPr>
              <w:t>Juin 2021</w:t>
            </w:r>
          </w:p>
        </w:tc>
        <w:tc>
          <w:tcPr>
            <w:tcW w:w="2126" w:type="dxa"/>
          </w:tcPr>
          <w:p w14:paraId="727AD075" w14:textId="77777777" w:rsidR="00655647" w:rsidRPr="00F855CE" w:rsidRDefault="00655647" w:rsidP="003E4232">
            <w:pPr>
              <w:jc w:val="both"/>
              <w:rPr>
                <w:sz w:val="20"/>
                <w:szCs w:val="20"/>
              </w:rPr>
            </w:pPr>
            <w:r w:rsidRPr="00F855CE">
              <w:rPr>
                <w:sz w:val="20"/>
                <w:szCs w:val="20"/>
              </w:rPr>
              <w:t>Ministères concernés et Communes</w:t>
            </w:r>
          </w:p>
        </w:tc>
        <w:tc>
          <w:tcPr>
            <w:tcW w:w="1560" w:type="dxa"/>
          </w:tcPr>
          <w:p w14:paraId="6C9C16E8" w14:textId="77777777" w:rsidR="00655647" w:rsidRPr="00F855CE" w:rsidRDefault="00655647" w:rsidP="003E4232">
            <w:pPr>
              <w:jc w:val="both"/>
              <w:rPr>
                <w:sz w:val="20"/>
                <w:szCs w:val="20"/>
              </w:rPr>
            </w:pPr>
            <w:r w:rsidRPr="00F855CE">
              <w:rPr>
                <w:sz w:val="20"/>
                <w:szCs w:val="20"/>
              </w:rPr>
              <w:t>Pas de début d’exécution</w:t>
            </w:r>
          </w:p>
        </w:tc>
      </w:tr>
      <w:tr w:rsidR="00655647" w:rsidRPr="00F855CE" w14:paraId="223B4B98" w14:textId="77777777" w:rsidTr="003E4232">
        <w:trPr>
          <w:trHeight w:val="1380"/>
        </w:trPr>
        <w:tc>
          <w:tcPr>
            <w:tcW w:w="4786" w:type="dxa"/>
          </w:tcPr>
          <w:p w14:paraId="7C15868E" w14:textId="77777777" w:rsidR="00655647" w:rsidRPr="00F855CE" w:rsidRDefault="00655647" w:rsidP="003E4232">
            <w:pPr>
              <w:autoSpaceDE w:val="0"/>
              <w:autoSpaceDN w:val="0"/>
              <w:adjustRightInd w:val="0"/>
              <w:jc w:val="both"/>
              <w:rPr>
                <w:rFonts w:eastAsiaTheme="minorHAnsi"/>
                <w:lang w:eastAsia="en-US"/>
              </w:rPr>
            </w:pPr>
            <w:r w:rsidRPr="00F855CE">
              <w:rPr>
                <w:rFonts w:eastAsiaTheme="minorHAnsi"/>
                <w:lang w:eastAsia="en-US"/>
              </w:rPr>
              <w:t xml:space="preserve">Systématiser les actions de formation, de sensibilisation des responsables des COGES ainsi que les bénéficiaires directs à la gestion des infrastructures pour renforcer l’adhésion des populations aux orientations et aux décisions entreprises pour la gestion des infrastructures. </w:t>
            </w:r>
          </w:p>
          <w:p w14:paraId="60D7E407" w14:textId="77777777" w:rsidR="00655647" w:rsidRPr="00F855CE" w:rsidRDefault="00655647" w:rsidP="003E4232">
            <w:pPr>
              <w:autoSpaceDE w:val="0"/>
              <w:autoSpaceDN w:val="0"/>
              <w:adjustRightInd w:val="0"/>
              <w:jc w:val="both"/>
              <w:rPr>
                <w:rFonts w:eastAsiaTheme="minorHAnsi"/>
                <w:lang w:eastAsia="en-US"/>
              </w:rPr>
            </w:pPr>
          </w:p>
          <w:p w14:paraId="5553D6DB" w14:textId="77777777" w:rsidR="00655647" w:rsidRPr="00F855CE" w:rsidRDefault="00655647" w:rsidP="003E4232">
            <w:pPr>
              <w:jc w:val="both"/>
              <w:rPr>
                <w:b/>
                <w:sz w:val="20"/>
                <w:szCs w:val="20"/>
              </w:rPr>
            </w:pPr>
          </w:p>
        </w:tc>
        <w:tc>
          <w:tcPr>
            <w:tcW w:w="2126" w:type="dxa"/>
          </w:tcPr>
          <w:p w14:paraId="0C666222" w14:textId="77777777" w:rsidR="00655647" w:rsidRPr="00F855CE" w:rsidRDefault="00655647" w:rsidP="003E4232">
            <w:pPr>
              <w:jc w:val="both"/>
              <w:rPr>
                <w:b/>
                <w:sz w:val="20"/>
                <w:szCs w:val="20"/>
              </w:rPr>
            </w:pPr>
            <w:r w:rsidRPr="00F855CE">
              <w:rPr>
                <w:b/>
                <w:sz w:val="20"/>
                <w:szCs w:val="20"/>
              </w:rPr>
              <w:lastRenderedPageBreak/>
              <w:t>UGC1</w:t>
            </w:r>
          </w:p>
        </w:tc>
        <w:tc>
          <w:tcPr>
            <w:tcW w:w="3237" w:type="dxa"/>
          </w:tcPr>
          <w:p w14:paraId="4ECF6C45" w14:textId="77777777" w:rsidR="00655647" w:rsidRPr="00F855CE" w:rsidRDefault="00655647" w:rsidP="003E4232">
            <w:pPr>
              <w:jc w:val="both"/>
              <w:rPr>
                <w:sz w:val="20"/>
                <w:szCs w:val="20"/>
              </w:rPr>
            </w:pPr>
            <w:r w:rsidRPr="00F855CE">
              <w:rPr>
                <w:sz w:val="20"/>
                <w:szCs w:val="20"/>
              </w:rPr>
              <w:t>Mettre au point des modules de formation</w:t>
            </w:r>
          </w:p>
          <w:p w14:paraId="06797C92" w14:textId="77777777" w:rsidR="00655647" w:rsidRPr="00F855CE" w:rsidRDefault="00655647" w:rsidP="003E4232">
            <w:pPr>
              <w:jc w:val="both"/>
              <w:rPr>
                <w:sz w:val="20"/>
                <w:szCs w:val="20"/>
              </w:rPr>
            </w:pPr>
          </w:p>
          <w:p w14:paraId="7DAC96EC" w14:textId="77777777" w:rsidR="00655647" w:rsidRPr="00F855CE" w:rsidRDefault="00655647" w:rsidP="003E4232">
            <w:pPr>
              <w:jc w:val="both"/>
              <w:rPr>
                <w:sz w:val="20"/>
                <w:szCs w:val="20"/>
              </w:rPr>
            </w:pPr>
            <w:r w:rsidRPr="00F855CE">
              <w:rPr>
                <w:sz w:val="20"/>
                <w:szCs w:val="20"/>
              </w:rPr>
              <w:t>Identifier formateurs</w:t>
            </w:r>
          </w:p>
          <w:p w14:paraId="6126CA2D" w14:textId="77777777" w:rsidR="00655647" w:rsidRPr="00F855CE" w:rsidRDefault="00655647" w:rsidP="003E4232">
            <w:pPr>
              <w:jc w:val="both"/>
              <w:rPr>
                <w:sz w:val="20"/>
                <w:szCs w:val="20"/>
              </w:rPr>
            </w:pPr>
          </w:p>
          <w:p w14:paraId="282716A9" w14:textId="77777777" w:rsidR="00655647" w:rsidRPr="00F855CE" w:rsidRDefault="00655647" w:rsidP="003E4232">
            <w:pPr>
              <w:jc w:val="both"/>
              <w:rPr>
                <w:sz w:val="20"/>
                <w:szCs w:val="20"/>
              </w:rPr>
            </w:pPr>
            <w:r w:rsidRPr="00F855CE">
              <w:rPr>
                <w:sz w:val="20"/>
                <w:szCs w:val="20"/>
              </w:rPr>
              <w:t>Elaborer un programme de formation</w:t>
            </w:r>
          </w:p>
          <w:p w14:paraId="7E9D23F6" w14:textId="77777777" w:rsidR="00655647" w:rsidRPr="00F855CE" w:rsidRDefault="00655647" w:rsidP="003E4232">
            <w:pPr>
              <w:jc w:val="both"/>
              <w:rPr>
                <w:sz w:val="20"/>
                <w:szCs w:val="20"/>
              </w:rPr>
            </w:pPr>
          </w:p>
          <w:p w14:paraId="6D799B03" w14:textId="77777777" w:rsidR="00655647" w:rsidRPr="00F855CE" w:rsidRDefault="00655647" w:rsidP="003E4232">
            <w:pPr>
              <w:jc w:val="both"/>
              <w:rPr>
                <w:sz w:val="20"/>
                <w:szCs w:val="20"/>
              </w:rPr>
            </w:pPr>
            <w:r w:rsidRPr="00F855CE">
              <w:rPr>
                <w:sz w:val="20"/>
                <w:szCs w:val="20"/>
              </w:rPr>
              <w:lastRenderedPageBreak/>
              <w:t>Réaliser les formations</w:t>
            </w:r>
          </w:p>
        </w:tc>
        <w:tc>
          <w:tcPr>
            <w:tcW w:w="1299" w:type="dxa"/>
          </w:tcPr>
          <w:p w14:paraId="6D3CABA9" w14:textId="77777777" w:rsidR="00655647" w:rsidRPr="00F855CE" w:rsidRDefault="00655647" w:rsidP="003E4232">
            <w:pPr>
              <w:jc w:val="both"/>
              <w:rPr>
                <w:sz w:val="20"/>
                <w:szCs w:val="20"/>
              </w:rPr>
            </w:pPr>
            <w:r w:rsidRPr="00F855CE">
              <w:rPr>
                <w:sz w:val="20"/>
                <w:szCs w:val="20"/>
              </w:rPr>
              <w:lastRenderedPageBreak/>
              <w:t xml:space="preserve"> Juin 2021</w:t>
            </w:r>
          </w:p>
        </w:tc>
        <w:tc>
          <w:tcPr>
            <w:tcW w:w="2126" w:type="dxa"/>
          </w:tcPr>
          <w:p w14:paraId="4B92700D" w14:textId="77777777" w:rsidR="00655647" w:rsidRPr="00F855CE" w:rsidRDefault="00655647" w:rsidP="003E4232">
            <w:pPr>
              <w:jc w:val="both"/>
              <w:rPr>
                <w:sz w:val="20"/>
                <w:szCs w:val="20"/>
              </w:rPr>
            </w:pPr>
            <w:r w:rsidRPr="00F855CE">
              <w:rPr>
                <w:sz w:val="20"/>
                <w:szCs w:val="20"/>
              </w:rPr>
              <w:t>Ministères concernés et Communes</w:t>
            </w:r>
          </w:p>
        </w:tc>
        <w:tc>
          <w:tcPr>
            <w:tcW w:w="1560" w:type="dxa"/>
          </w:tcPr>
          <w:p w14:paraId="4BE16DBA" w14:textId="77777777" w:rsidR="00655647" w:rsidRPr="00F855CE" w:rsidRDefault="00655647" w:rsidP="003E4232">
            <w:pPr>
              <w:jc w:val="both"/>
              <w:rPr>
                <w:b/>
                <w:sz w:val="20"/>
                <w:szCs w:val="20"/>
              </w:rPr>
            </w:pPr>
            <w:r w:rsidRPr="00F855CE">
              <w:rPr>
                <w:b/>
                <w:sz w:val="20"/>
                <w:szCs w:val="20"/>
              </w:rPr>
              <w:t>Début d’exécution</w:t>
            </w:r>
          </w:p>
        </w:tc>
      </w:tr>
      <w:tr w:rsidR="00655647" w:rsidRPr="00F855CE" w14:paraId="6FEA98FB" w14:textId="77777777" w:rsidTr="003E4232">
        <w:trPr>
          <w:trHeight w:val="1380"/>
        </w:trPr>
        <w:tc>
          <w:tcPr>
            <w:tcW w:w="4786" w:type="dxa"/>
          </w:tcPr>
          <w:p w14:paraId="57CFC395" w14:textId="77777777" w:rsidR="00655647" w:rsidRPr="00F855CE" w:rsidRDefault="00655647" w:rsidP="003E4232">
            <w:pPr>
              <w:jc w:val="both"/>
              <w:rPr>
                <w:b/>
                <w:sz w:val="20"/>
                <w:szCs w:val="20"/>
              </w:rPr>
            </w:pPr>
            <w:r w:rsidRPr="00F855CE">
              <w:rPr>
                <w:rFonts w:eastAsiaTheme="minorHAnsi"/>
                <w:lang w:eastAsia="en-US"/>
              </w:rPr>
              <w:t xml:space="preserve">Veiller au respect d’un système de quota genre </w:t>
            </w:r>
            <w:r w:rsidRPr="00F855CE">
              <w:rPr>
                <w:sz w:val="23"/>
                <w:szCs w:val="23"/>
              </w:rPr>
              <w:t>dans les textes régissant la composition et le fonctionnement des COGES pour une meilleure prise en compte du genre</w:t>
            </w:r>
          </w:p>
        </w:tc>
        <w:tc>
          <w:tcPr>
            <w:tcW w:w="2126" w:type="dxa"/>
          </w:tcPr>
          <w:p w14:paraId="588F2244" w14:textId="77777777" w:rsidR="00655647" w:rsidRPr="00F855CE" w:rsidRDefault="00655647" w:rsidP="003E4232">
            <w:pPr>
              <w:jc w:val="both"/>
              <w:rPr>
                <w:b/>
                <w:sz w:val="20"/>
                <w:szCs w:val="20"/>
              </w:rPr>
            </w:pPr>
            <w:r w:rsidRPr="00F855CE">
              <w:rPr>
                <w:b/>
                <w:sz w:val="20"/>
                <w:szCs w:val="20"/>
              </w:rPr>
              <w:t>Déjà fait</w:t>
            </w:r>
          </w:p>
          <w:p w14:paraId="06225D34" w14:textId="77777777" w:rsidR="00655647" w:rsidRPr="00F855CE" w:rsidRDefault="00655647" w:rsidP="003E4232">
            <w:pPr>
              <w:jc w:val="both"/>
              <w:rPr>
                <w:b/>
                <w:sz w:val="20"/>
                <w:szCs w:val="20"/>
              </w:rPr>
            </w:pPr>
          </w:p>
          <w:p w14:paraId="6F5E46D7" w14:textId="77777777" w:rsidR="00655647" w:rsidRPr="00F855CE" w:rsidRDefault="00655647" w:rsidP="003E4232">
            <w:pPr>
              <w:jc w:val="both"/>
              <w:rPr>
                <w:b/>
                <w:sz w:val="20"/>
                <w:szCs w:val="20"/>
              </w:rPr>
            </w:pPr>
            <w:r w:rsidRPr="00F855CE">
              <w:rPr>
                <w:b/>
                <w:sz w:val="20"/>
                <w:szCs w:val="20"/>
              </w:rPr>
              <w:t>Suite par UGC1</w:t>
            </w:r>
          </w:p>
        </w:tc>
        <w:tc>
          <w:tcPr>
            <w:tcW w:w="3237" w:type="dxa"/>
          </w:tcPr>
          <w:p w14:paraId="0ED093BB" w14:textId="77777777" w:rsidR="00655647" w:rsidRPr="00F855CE" w:rsidRDefault="00655647" w:rsidP="003E4232">
            <w:pPr>
              <w:jc w:val="both"/>
              <w:rPr>
                <w:sz w:val="20"/>
                <w:szCs w:val="20"/>
              </w:rPr>
            </w:pPr>
            <w:r w:rsidRPr="00F855CE">
              <w:rPr>
                <w:sz w:val="20"/>
                <w:szCs w:val="20"/>
              </w:rPr>
              <w:t>Faire un plaidoyer sur le respect du quota genre</w:t>
            </w:r>
          </w:p>
          <w:p w14:paraId="72C01684" w14:textId="77777777" w:rsidR="00655647" w:rsidRPr="00F855CE" w:rsidRDefault="00655647" w:rsidP="003E4232">
            <w:pPr>
              <w:jc w:val="both"/>
              <w:rPr>
                <w:sz w:val="20"/>
                <w:szCs w:val="20"/>
              </w:rPr>
            </w:pPr>
          </w:p>
          <w:p w14:paraId="4E2CBEE3" w14:textId="77777777" w:rsidR="00655647" w:rsidRPr="00F855CE" w:rsidRDefault="00655647" w:rsidP="003E4232">
            <w:pPr>
              <w:jc w:val="both"/>
              <w:rPr>
                <w:sz w:val="20"/>
                <w:szCs w:val="20"/>
              </w:rPr>
            </w:pPr>
            <w:r w:rsidRPr="00F855CE">
              <w:rPr>
                <w:sz w:val="20"/>
                <w:szCs w:val="20"/>
              </w:rPr>
              <w:t>Respecter le quota genre lors de l’élaboration des textes</w:t>
            </w:r>
          </w:p>
          <w:p w14:paraId="25A3EAE6" w14:textId="77777777" w:rsidR="00655647" w:rsidRPr="00F855CE" w:rsidRDefault="00655647" w:rsidP="003E4232">
            <w:pPr>
              <w:jc w:val="both"/>
              <w:rPr>
                <w:sz w:val="20"/>
                <w:szCs w:val="20"/>
              </w:rPr>
            </w:pPr>
          </w:p>
          <w:p w14:paraId="1C774AA1" w14:textId="77777777" w:rsidR="00655647" w:rsidRPr="00F855CE" w:rsidRDefault="00655647" w:rsidP="003E4232">
            <w:pPr>
              <w:jc w:val="both"/>
              <w:rPr>
                <w:sz w:val="20"/>
                <w:szCs w:val="20"/>
              </w:rPr>
            </w:pPr>
            <w:r w:rsidRPr="00F855CE">
              <w:rPr>
                <w:sz w:val="20"/>
                <w:szCs w:val="20"/>
              </w:rPr>
              <w:t>Faire un suivi-contrôle du respect du quota genre dans les textes</w:t>
            </w:r>
          </w:p>
        </w:tc>
        <w:tc>
          <w:tcPr>
            <w:tcW w:w="1299" w:type="dxa"/>
          </w:tcPr>
          <w:p w14:paraId="2776CA7F" w14:textId="77777777" w:rsidR="00655647" w:rsidRPr="00F855CE" w:rsidRDefault="00655647" w:rsidP="003E4232">
            <w:pPr>
              <w:jc w:val="both"/>
              <w:rPr>
                <w:sz w:val="20"/>
                <w:szCs w:val="20"/>
              </w:rPr>
            </w:pPr>
            <w:r w:rsidRPr="00F855CE">
              <w:rPr>
                <w:sz w:val="20"/>
                <w:szCs w:val="20"/>
              </w:rPr>
              <w:t xml:space="preserve"> Juin 2021</w:t>
            </w:r>
          </w:p>
        </w:tc>
        <w:tc>
          <w:tcPr>
            <w:tcW w:w="2126" w:type="dxa"/>
          </w:tcPr>
          <w:p w14:paraId="134332F8" w14:textId="77777777" w:rsidR="00655647" w:rsidRPr="00F855CE" w:rsidRDefault="00655647" w:rsidP="003E4232">
            <w:pPr>
              <w:jc w:val="both"/>
              <w:rPr>
                <w:sz w:val="20"/>
                <w:szCs w:val="20"/>
              </w:rPr>
            </w:pPr>
            <w:r w:rsidRPr="00F855CE">
              <w:rPr>
                <w:sz w:val="20"/>
                <w:szCs w:val="20"/>
              </w:rPr>
              <w:t>Ministères concernés et communes</w:t>
            </w:r>
          </w:p>
        </w:tc>
        <w:tc>
          <w:tcPr>
            <w:tcW w:w="1560" w:type="dxa"/>
          </w:tcPr>
          <w:p w14:paraId="14071CDA" w14:textId="77777777" w:rsidR="00655647" w:rsidRPr="00F855CE" w:rsidRDefault="00655647" w:rsidP="003E4232">
            <w:pPr>
              <w:jc w:val="both"/>
              <w:rPr>
                <w:sz w:val="20"/>
                <w:szCs w:val="20"/>
              </w:rPr>
            </w:pPr>
            <w:r w:rsidRPr="00F855CE">
              <w:rPr>
                <w:sz w:val="20"/>
                <w:szCs w:val="20"/>
              </w:rPr>
              <w:t>Début d’exécution</w:t>
            </w:r>
          </w:p>
        </w:tc>
      </w:tr>
      <w:tr w:rsidR="00655647" w:rsidRPr="00F855CE" w14:paraId="4CC41A49" w14:textId="77777777" w:rsidTr="003E4232">
        <w:trPr>
          <w:trHeight w:val="1380"/>
        </w:trPr>
        <w:tc>
          <w:tcPr>
            <w:tcW w:w="4786" w:type="dxa"/>
          </w:tcPr>
          <w:p w14:paraId="15FBC175" w14:textId="77777777" w:rsidR="00655647" w:rsidRPr="00F855CE" w:rsidRDefault="00655647" w:rsidP="003E4232">
            <w:pPr>
              <w:autoSpaceDE w:val="0"/>
              <w:autoSpaceDN w:val="0"/>
              <w:adjustRightInd w:val="0"/>
              <w:jc w:val="both"/>
              <w:rPr>
                <w:rFonts w:eastAsiaTheme="minorHAnsi"/>
                <w:lang w:eastAsia="en-US"/>
              </w:rPr>
            </w:pPr>
            <w:r w:rsidRPr="00F855CE">
              <w:rPr>
                <w:rFonts w:eastAsiaTheme="minorHAnsi"/>
                <w:lang w:eastAsia="en-US"/>
              </w:rPr>
              <w:t xml:space="preserve">Mettre en place un dispositif d’accompagnement dégressif de durée limitée (un an par exemple) des acteurs (COGES, bénéficiaires), orienté essentiellement vers le développement et l’implémentation des outils techniques de gestion et du renforcement des capacités des acteurs sur la gouvernance. Au regard de l’envergure des interventions du projet, cet accompagnement peut être envisagé par regroupement des acteurs suivants les niveaux de structurations territoriales ou administratives (Commune, Province ou région). </w:t>
            </w:r>
          </w:p>
          <w:p w14:paraId="76396B1C" w14:textId="77777777" w:rsidR="00655647" w:rsidRPr="00F855CE" w:rsidRDefault="00655647" w:rsidP="003E4232">
            <w:pPr>
              <w:jc w:val="both"/>
            </w:pPr>
          </w:p>
          <w:p w14:paraId="13CF0790" w14:textId="77777777" w:rsidR="00655647" w:rsidRPr="00F855CE" w:rsidRDefault="00655647" w:rsidP="003E4232">
            <w:pPr>
              <w:jc w:val="both"/>
              <w:rPr>
                <w:sz w:val="20"/>
                <w:szCs w:val="20"/>
              </w:rPr>
            </w:pPr>
          </w:p>
        </w:tc>
        <w:tc>
          <w:tcPr>
            <w:tcW w:w="2126" w:type="dxa"/>
          </w:tcPr>
          <w:p w14:paraId="0861D27E" w14:textId="77777777" w:rsidR="00655647" w:rsidRPr="00F855CE" w:rsidRDefault="00655647" w:rsidP="003E4232">
            <w:pPr>
              <w:jc w:val="both"/>
              <w:rPr>
                <w:b/>
                <w:sz w:val="20"/>
                <w:szCs w:val="20"/>
              </w:rPr>
            </w:pPr>
            <w:r w:rsidRPr="00F855CE">
              <w:rPr>
                <w:b/>
                <w:sz w:val="20"/>
                <w:szCs w:val="20"/>
              </w:rPr>
              <w:t>UGC1</w:t>
            </w:r>
          </w:p>
        </w:tc>
        <w:tc>
          <w:tcPr>
            <w:tcW w:w="3237" w:type="dxa"/>
          </w:tcPr>
          <w:p w14:paraId="2BD4E193" w14:textId="77777777" w:rsidR="00655647" w:rsidRPr="00F855CE" w:rsidRDefault="00655647" w:rsidP="003E4232">
            <w:pPr>
              <w:jc w:val="both"/>
              <w:rPr>
                <w:sz w:val="20"/>
                <w:szCs w:val="20"/>
              </w:rPr>
            </w:pPr>
            <w:r w:rsidRPr="00F855CE">
              <w:rPr>
                <w:sz w:val="20"/>
                <w:szCs w:val="20"/>
              </w:rPr>
              <w:t>Concevoir un dispositif d’accompagnement dégressif des COGES</w:t>
            </w:r>
          </w:p>
          <w:p w14:paraId="20DE87EA" w14:textId="77777777" w:rsidR="00655647" w:rsidRPr="00F855CE" w:rsidRDefault="00655647" w:rsidP="003E4232">
            <w:pPr>
              <w:jc w:val="both"/>
              <w:rPr>
                <w:sz w:val="20"/>
                <w:szCs w:val="20"/>
              </w:rPr>
            </w:pPr>
          </w:p>
          <w:p w14:paraId="1410E8BD" w14:textId="77777777" w:rsidR="00655647" w:rsidRPr="00F855CE" w:rsidRDefault="00655647" w:rsidP="003E4232">
            <w:pPr>
              <w:jc w:val="both"/>
              <w:rPr>
                <w:sz w:val="20"/>
                <w:szCs w:val="20"/>
              </w:rPr>
            </w:pPr>
            <w:r w:rsidRPr="00F855CE">
              <w:rPr>
                <w:sz w:val="20"/>
                <w:szCs w:val="20"/>
              </w:rPr>
              <w:t>Prévoir les ressources pour le fonctionnement du dispositif</w:t>
            </w:r>
          </w:p>
        </w:tc>
        <w:tc>
          <w:tcPr>
            <w:tcW w:w="1299" w:type="dxa"/>
          </w:tcPr>
          <w:p w14:paraId="67BD4E22" w14:textId="77777777" w:rsidR="00655647" w:rsidRPr="00F855CE" w:rsidRDefault="00655647" w:rsidP="003E4232">
            <w:pPr>
              <w:jc w:val="both"/>
              <w:rPr>
                <w:sz w:val="20"/>
                <w:szCs w:val="20"/>
              </w:rPr>
            </w:pPr>
            <w:r w:rsidRPr="00F855CE">
              <w:rPr>
                <w:sz w:val="20"/>
                <w:szCs w:val="20"/>
              </w:rPr>
              <w:t xml:space="preserve"> Septembre 2021</w:t>
            </w:r>
          </w:p>
        </w:tc>
        <w:tc>
          <w:tcPr>
            <w:tcW w:w="2126" w:type="dxa"/>
          </w:tcPr>
          <w:p w14:paraId="646B6663" w14:textId="77777777" w:rsidR="00655647" w:rsidRPr="00F855CE" w:rsidRDefault="00655647" w:rsidP="003E4232">
            <w:pPr>
              <w:jc w:val="both"/>
              <w:rPr>
                <w:sz w:val="20"/>
                <w:szCs w:val="20"/>
              </w:rPr>
            </w:pPr>
            <w:r w:rsidRPr="00F855CE">
              <w:rPr>
                <w:sz w:val="20"/>
                <w:szCs w:val="20"/>
              </w:rPr>
              <w:t>Ministères concernés et communes</w:t>
            </w:r>
          </w:p>
        </w:tc>
        <w:tc>
          <w:tcPr>
            <w:tcW w:w="1560" w:type="dxa"/>
          </w:tcPr>
          <w:p w14:paraId="0743BD5C" w14:textId="77777777" w:rsidR="00655647" w:rsidRPr="00F855CE" w:rsidRDefault="00655647" w:rsidP="003E4232">
            <w:pPr>
              <w:jc w:val="both"/>
              <w:rPr>
                <w:sz w:val="20"/>
                <w:szCs w:val="20"/>
              </w:rPr>
            </w:pPr>
            <w:r w:rsidRPr="00F855CE">
              <w:rPr>
                <w:sz w:val="20"/>
                <w:szCs w:val="20"/>
              </w:rPr>
              <w:t>Pas de début d’exécution</w:t>
            </w:r>
          </w:p>
        </w:tc>
      </w:tr>
      <w:tr w:rsidR="00655647" w:rsidRPr="00F855CE" w14:paraId="729FF5D5" w14:textId="77777777" w:rsidTr="003E4232">
        <w:trPr>
          <w:trHeight w:val="1380"/>
        </w:trPr>
        <w:tc>
          <w:tcPr>
            <w:tcW w:w="4786" w:type="dxa"/>
          </w:tcPr>
          <w:p w14:paraId="1A312E46" w14:textId="77777777" w:rsidR="00655647" w:rsidRPr="00F855CE" w:rsidRDefault="00655647" w:rsidP="003E4232">
            <w:pPr>
              <w:jc w:val="both"/>
            </w:pPr>
            <w:r w:rsidRPr="00F855CE">
              <w:t xml:space="preserve"> Poursuivre le financement et la mise en œuvre de la composante 2 dans le cadre d’une deuxième phase, en revoyant, notamment, la structuration actuelle du PADEL pour accorder plus d’autonomie à la composante dont la gestion incombera au PNUD afin de tenir </w:t>
            </w:r>
            <w:r w:rsidRPr="00F855CE">
              <w:lastRenderedPageBreak/>
              <w:t>compte de la dimension de celle-ci de structure internationale de développement ayant des procédures d’intervention spécifiques.</w:t>
            </w:r>
          </w:p>
          <w:p w14:paraId="6BC8FF68" w14:textId="77777777" w:rsidR="00655647" w:rsidRPr="00F855CE" w:rsidRDefault="00655647" w:rsidP="003E4232">
            <w:pPr>
              <w:jc w:val="both"/>
            </w:pPr>
          </w:p>
          <w:p w14:paraId="18FB19AB" w14:textId="77777777" w:rsidR="00655647" w:rsidRPr="00F855CE" w:rsidRDefault="00655647" w:rsidP="003E4232">
            <w:pPr>
              <w:jc w:val="both"/>
              <w:rPr>
                <w:sz w:val="20"/>
                <w:szCs w:val="20"/>
              </w:rPr>
            </w:pPr>
          </w:p>
        </w:tc>
        <w:tc>
          <w:tcPr>
            <w:tcW w:w="2126" w:type="dxa"/>
          </w:tcPr>
          <w:p w14:paraId="74146359" w14:textId="77777777" w:rsidR="00655647" w:rsidRPr="00F855CE" w:rsidRDefault="00655647" w:rsidP="003E4232">
            <w:r w:rsidRPr="00F855CE">
              <w:rPr>
                <w:sz w:val="20"/>
                <w:szCs w:val="20"/>
              </w:rPr>
              <w:lastRenderedPageBreak/>
              <w:t xml:space="preserve">3% de GMS - Il s’agit du taux de GMS le plus bas de GMS, et conformément à la décision 2013/9 du Conseil d’Administration du </w:t>
            </w:r>
            <w:r w:rsidRPr="00F855CE">
              <w:rPr>
                <w:sz w:val="20"/>
                <w:szCs w:val="20"/>
              </w:rPr>
              <w:lastRenderedPageBreak/>
              <w:t xml:space="preserve">PNUD (GMS RATES Effective 1 </w:t>
            </w:r>
            <w:proofErr w:type="spellStart"/>
            <w:r w:rsidRPr="00F855CE">
              <w:rPr>
                <w:sz w:val="20"/>
                <w:szCs w:val="20"/>
              </w:rPr>
              <w:t>January</w:t>
            </w:r>
            <w:proofErr w:type="spellEnd"/>
            <w:r w:rsidRPr="00F855CE">
              <w:rPr>
                <w:sz w:val="20"/>
                <w:szCs w:val="20"/>
              </w:rPr>
              <w:t xml:space="preserve"> 2014 per EB </w:t>
            </w:r>
            <w:proofErr w:type="spellStart"/>
            <w:r w:rsidRPr="00F855CE">
              <w:rPr>
                <w:sz w:val="20"/>
                <w:szCs w:val="20"/>
              </w:rPr>
              <w:t>decision</w:t>
            </w:r>
            <w:proofErr w:type="spellEnd"/>
            <w:r w:rsidRPr="00F855CE">
              <w:rPr>
                <w:sz w:val="20"/>
                <w:szCs w:val="20"/>
              </w:rPr>
              <w:t xml:space="preserve"> 2013/9)</w:t>
            </w:r>
          </w:p>
          <w:p w14:paraId="4D34504E" w14:textId="77777777" w:rsidR="00655647" w:rsidRPr="00F855CE" w:rsidRDefault="00655647" w:rsidP="003E4232">
            <w:pPr>
              <w:jc w:val="both"/>
              <w:rPr>
                <w:sz w:val="20"/>
                <w:szCs w:val="20"/>
              </w:rPr>
            </w:pPr>
          </w:p>
        </w:tc>
        <w:tc>
          <w:tcPr>
            <w:tcW w:w="3237" w:type="dxa"/>
          </w:tcPr>
          <w:p w14:paraId="6AF9ADA7" w14:textId="77777777" w:rsidR="00655647" w:rsidRPr="00F855CE" w:rsidRDefault="00655647" w:rsidP="003E4232">
            <w:pPr>
              <w:jc w:val="both"/>
              <w:rPr>
                <w:sz w:val="20"/>
                <w:szCs w:val="20"/>
              </w:rPr>
            </w:pPr>
            <w:r w:rsidRPr="00F855CE">
              <w:rPr>
                <w:sz w:val="20"/>
                <w:szCs w:val="20"/>
              </w:rPr>
              <w:lastRenderedPageBreak/>
              <w:t>Faire une étude sur les frais de gestion</w:t>
            </w:r>
          </w:p>
          <w:p w14:paraId="0787E066" w14:textId="77777777" w:rsidR="00655647" w:rsidRPr="00F855CE" w:rsidRDefault="00655647" w:rsidP="003E4232">
            <w:pPr>
              <w:jc w:val="both"/>
              <w:rPr>
                <w:sz w:val="20"/>
                <w:szCs w:val="20"/>
              </w:rPr>
            </w:pPr>
          </w:p>
          <w:p w14:paraId="02B85EEF" w14:textId="77777777" w:rsidR="00655647" w:rsidRPr="00F855CE" w:rsidRDefault="00655647" w:rsidP="003E4232">
            <w:pPr>
              <w:jc w:val="both"/>
              <w:rPr>
                <w:sz w:val="20"/>
                <w:szCs w:val="20"/>
              </w:rPr>
            </w:pPr>
            <w:r w:rsidRPr="00F855CE">
              <w:rPr>
                <w:sz w:val="20"/>
                <w:szCs w:val="20"/>
              </w:rPr>
              <w:t>Faire un plaidoyer pour expliquer les bases des frais de gestion</w:t>
            </w:r>
          </w:p>
        </w:tc>
        <w:tc>
          <w:tcPr>
            <w:tcW w:w="1299" w:type="dxa"/>
          </w:tcPr>
          <w:p w14:paraId="761E9AF0" w14:textId="77777777" w:rsidR="00655647" w:rsidRPr="00F855CE" w:rsidRDefault="00655647" w:rsidP="003E4232">
            <w:pPr>
              <w:jc w:val="both"/>
              <w:rPr>
                <w:sz w:val="20"/>
                <w:szCs w:val="20"/>
              </w:rPr>
            </w:pPr>
            <w:r w:rsidRPr="00F855CE">
              <w:rPr>
                <w:sz w:val="20"/>
                <w:szCs w:val="20"/>
              </w:rPr>
              <w:t xml:space="preserve"> Juin 2021</w:t>
            </w:r>
          </w:p>
        </w:tc>
        <w:tc>
          <w:tcPr>
            <w:tcW w:w="2126" w:type="dxa"/>
          </w:tcPr>
          <w:p w14:paraId="0F2AD829" w14:textId="77777777" w:rsidR="00655647" w:rsidRPr="00F855CE" w:rsidRDefault="00655647" w:rsidP="003E4232">
            <w:pPr>
              <w:jc w:val="both"/>
              <w:rPr>
                <w:sz w:val="20"/>
                <w:szCs w:val="20"/>
              </w:rPr>
            </w:pPr>
            <w:r w:rsidRPr="00F855CE">
              <w:rPr>
                <w:sz w:val="20"/>
                <w:szCs w:val="20"/>
              </w:rPr>
              <w:t>PNUD</w:t>
            </w:r>
          </w:p>
        </w:tc>
        <w:tc>
          <w:tcPr>
            <w:tcW w:w="1560" w:type="dxa"/>
          </w:tcPr>
          <w:p w14:paraId="79B367BF" w14:textId="77777777" w:rsidR="00655647" w:rsidRPr="00F855CE" w:rsidRDefault="00655647" w:rsidP="003E4232">
            <w:pPr>
              <w:jc w:val="both"/>
              <w:rPr>
                <w:sz w:val="20"/>
                <w:szCs w:val="20"/>
              </w:rPr>
            </w:pPr>
            <w:r w:rsidRPr="00F855CE">
              <w:rPr>
                <w:sz w:val="20"/>
                <w:szCs w:val="20"/>
              </w:rPr>
              <w:t>Pas de début d’exécution</w:t>
            </w:r>
          </w:p>
        </w:tc>
      </w:tr>
      <w:tr w:rsidR="00655647" w:rsidRPr="00F855CE" w14:paraId="1AEDDACE" w14:textId="77777777" w:rsidTr="003E4232">
        <w:trPr>
          <w:trHeight w:val="1380"/>
        </w:trPr>
        <w:tc>
          <w:tcPr>
            <w:tcW w:w="4786" w:type="dxa"/>
          </w:tcPr>
          <w:p w14:paraId="7DA6D87F" w14:textId="77777777" w:rsidR="00655647" w:rsidRPr="00F855CE" w:rsidRDefault="00655647" w:rsidP="003E4232">
            <w:pPr>
              <w:jc w:val="both"/>
            </w:pPr>
            <w:r w:rsidRPr="00F855CE">
              <w:t>Capitaliser l’expérience acquise par le PNUD et le Gouvernement dans le cadre de la mise en œuvre de la composante 2 du PADEL pour la valoriser à l’avenir dans le cadre de projets similaires relatifs à la réalisation d’infrastructures socio-économiques de base.</w:t>
            </w:r>
          </w:p>
          <w:p w14:paraId="04CC848A" w14:textId="77777777" w:rsidR="00655647" w:rsidRPr="00F855CE" w:rsidRDefault="00655647" w:rsidP="003E4232">
            <w:pPr>
              <w:jc w:val="both"/>
            </w:pPr>
          </w:p>
          <w:p w14:paraId="3505541C" w14:textId="77777777" w:rsidR="00655647" w:rsidRPr="00F855CE" w:rsidRDefault="00655647" w:rsidP="003E4232">
            <w:pPr>
              <w:jc w:val="both"/>
              <w:rPr>
                <w:sz w:val="20"/>
                <w:szCs w:val="20"/>
              </w:rPr>
            </w:pPr>
          </w:p>
        </w:tc>
        <w:tc>
          <w:tcPr>
            <w:tcW w:w="2126" w:type="dxa"/>
          </w:tcPr>
          <w:p w14:paraId="287895EF" w14:textId="77777777" w:rsidR="00655647" w:rsidRPr="00F855CE" w:rsidRDefault="00655647" w:rsidP="003E4232">
            <w:pPr>
              <w:jc w:val="both"/>
              <w:rPr>
                <w:sz w:val="20"/>
                <w:szCs w:val="20"/>
              </w:rPr>
            </w:pPr>
            <w:r w:rsidRPr="00F855CE">
              <w:rPr>
                <w:sz w:val="20"/>
                <w:szCs w:val="20"/>
              </w:rPr>
              <w:t>Rôle mandat PNUD non clarifiés</w:t>
            </w:r>
          </w:p>
          <w:p w14:paraId="351CAA8C" w14:textId="77777777" w:rsidR="00655647" w:rsidRPr="00F855CE" w:rsidRDefault="00655647" w:rsidP="003E4232">
            <w:pPr>
              <w:jc w:val="both"/>
              <w:rPr>
                <w:sz w:val="20"/>
                <w:szCs w:val="20"/>
              </w:rPr>
            </w:pPr>
            <w:r w:rsidRPr="00F855CE">
              <w:rPr>
                <w:sz w:val="20"/>
                <w:szCs w:val="20"/>
              </w:rPr>
              <w:t>Risques duplications avec le Ministère</w:t>
            </w:r>
          </w:p>
        </w:tc>
        <w:tc>
          <w:tcPr>
            <w:tcW w:w="3237" w:type="dxa"/>
          </w:tcPr>
          <w:p w14:paraId="27C78398" w14:textId="77777777" w:rsidR="00655647" w:rsidRPr="00F855CE" w:rsidRDefault="00655647" w:rsidP="003E4232">
            <w:pPr>
              <w:jc w:val="both"/>
              <w:rPr>
                <w:sz w:val="20"/>
                <w:szCs w:val="20"/>
              </w:rPr>
            </w:pPr>
            <w:r w:rsidRPr="00F855CE">
              <w:rPr>
                <w:sz w:val="20"/>
                <w:szCs w:val="20"/>
              </w:rPr>
              <w:t>Organiser des tables rondes des PTF</w:t>
            </w:r>
          </w:p>
          <w:p w14:paraId="2C1023AE" w14:textId="77777777" w:rsidR="00655647" w:rsidRPr="00F855CE" w:rsidRDefault="00655647" w:rsidP="003E4232">
            <w:pPr>
              <w:jc w:val="both"/>
              <w:rPr>
                <w:sz w:val="20"/>
                <w:szCs w:val="20"/>
              </w:rPr>
            </w:pPr>
          </w:p>
          <w:p w14:paraId="02358C4D" w14:textId="77777777" w:rsidR="00655647" w:rsidRPr="00F855CE" w:rsidRDefault="00655647" w:rsidP="003E4232">
            <w:pPr>
              <w:jc w:val="both"/>
              <w:rPr>
                <w:sz w:val="20"/>
                <w:szCs w:val="20"/>
              </w:rPr>
            </w:pPr>
            <w:r w:rsidRPr="00F855CE">
              <w:rPr>
                <w:sz w:val="20"/>
                <w:szCs w:val="20"/>
              </w:rPr>
              <w:t>Faires des plaidoyers</w:t>
            </w:r>
          </w:p>
        </w:tc>
        <w:tc>
          <w:tcPr>
            <w:tcW w:w="1299" w:type="dxa"/>
          </w:tcPr>
          <w:p w14:paraId="5B542164" w14:textId="77777777" w:rsidR="00655647" w:rsidRPr="00F855CE" w:rsidRDefault="00655647" w:rsidP="003E4232">
            <w:pPr>
              <w:jc w:val="both"/>
              <w:rPr>
                <w:sz w:val="20"/>
                <w:szCs w:val="20"/>
              </w:rPr>
            </w:pPr>
            <w:r w:rsidRPr="00F855CE">
              <w:rPr>
                <w:sz w:val="20"/>
                <w:szCs w:val="20"/>
              </w:rPr>
              <w:t>Juin 2021</w:t>
            </w:r>
          </w:p>
        </w:tc>
        <w:tc>
          <w:tcPr>
            <w:tcW w:w="2126" w:type="dxa"/>
          </w:tcPr>
          <w:p w14:paraId="4591D4BE" w14:textId="77777777" w:rsidR="00655647" w:rsidRPr="00F855CE" w:rsidRDefault="00655647" w:rsidP="003E4232">
            <w:pPr>
              <w:jc w:val="both"/>
              <w:rPr>
                <w:sz w:val="20"/>
                <w:szCs w:val="20"/>
              </w:rPr>
            </w:pPr>
            <w:r w:rsidRPr="00F855CE">
              <w:rPr>
                <w:sz w:val="20"/>
                <w:szCs w:val="20"/>
              </w:rPr>
              <w:t>MINEFID</w:t>
            </w:r>
          </w:p>
          <w:p w14:paraId="069B5E95" w14:textId="77777777" w:rsidR="00655647" w:rsidRPr="00F855CE" w:rsidRDefault="00655647" w:rsidP="003E4232">
            <w:pPr>
              <w:jc w:val="both"/>
              <w:rPr>
                <w:sz w:val="20"/>
                <w:szCs w:val="20"/>
              </w:rPr>
            </w:pPr>
            <w:r w:rsidRPr="00F855CE">
              <w:rPr>
                <w:sz w:val="20"/>
                <w:szCs w:val="20"/>
              </w:rPr>
              <w:t>Communes</w:t>
            </w:r>
          </w:p>
          <w:p w14:paraId="118840A4" w14:textId="77777777" w:rsidR="00655647" w:rsidRPr="00F855CE" w:rsidRDefault="00655647" w:rsidP="003E4232">
            <w:pPr>
              <w:jc w:val="both"/>
              <w:rPr>
                <w:sz w:val="20"/>
                <w:szCs w:val="20"/>
              </w:rPr>
            </w:pPr>
            <w:r w:rsidRPr="00F855CE">
              <w:rPr>
                <w:sz w:val="20"/>
                <w:szCs w:val="20"/>
              </w:rPr>
              <w:t>PNUD</w:t>
            </w:r>
          </w:p>
        </w:tc>
        <w:tc>
          <w:tcPr>
            <w:tcW w:w="1560" w:type="dxa"/>
          </w:tcPr>
          <w:p w14:paraId="33248422" w14:textId="77777777" w:rsidR="00655647" w:rsidRPr="00F855CE" w:rsidRDefault="00655647" w:rsidP="003E4232">
            <w:pPr>
              <w:jc w:val="both"/>
              <w:rPr>
                <w:sz w:val="20"/>
                <w:szCs w:val="20"/>
              </w:rPr>
            </w:pPr>
            <w:r w:rsidRPr="00F855CE">
              <w:rPr>
                <w:sz w:val="20"/>
                <w:szCs w:val="20"/>
              </w:rPr>
              <w:t>Début d’exécution</w:t>
            </w:r>
          </w:p>
        </w:tc>
      </w:tr>
      <w:tr w:rsidR="00655647" w:rsidRPr="00F855CE" w14:paraId="11E18E82" w14:textId="77777777" w:rsidTr="003E4232">
        <w:trPr>
          <w:trHeight w:val="1380"/>
        </w:trPr>
        <w:tc>
          <w:tcPr>
            <w:tcW w:w="4786" w:type="dxa"/>
          </w:tcPr>
          <w:p w14:paraId="31EFCB22" w14:textId="77777777" w:rsidR="00655647" w:rsidRPr="00F855CE" w:rsidRDefault="00655647" w:rsidP="003E4232"/>
          <w:p w14:paraId="575096F7" w14:textId="77777777" w:rsidR="00655647" w:rsidRPr="00F855CE" w:rsidRDefault="00655647" w:rsidP="003E4232">
            <w:r w:rsidRPr="00F855CE">
              <w:t>Elargir le choix des entreprises en intégrant davantage les entreprises locales.</w:t>
            </w:r>
          </w:p>
          <w:p w14:paraId="49BC63BD" w14:textId="77777777" w:rsidR="00655647" w:rsidRPr="00F855CE" w:rsidRDefault="00655647" w:rsidP="003E4232"/>
          <w:p w14:paraId="5B4B139D" w14:textId="77777777" w:rsidR="00655647" w:rsidRPr="00F855CE" w:rsidRDefault="00655647" w:rsidP="003E4232">
            <w:pPr>
              <w:jc w:val="both"/>
            </w:pPr>
            <w:r w:rsidRPr="00F855CE">
              <w:t xml:space="preserve">   </w:t>
            </w:r>
          </w:p>
          <w:p w14:paraId="6A3C5296" w14:textId="77777777" w:rsidR="00655647" w:rsidRPr="00F855CE" w:rsidRDefault="00655647" w:rsidP="003E4232">
            <w:pPr>
              <w:jc w:val="both"/>
              <w:rPr>
                <w:bCs/>
                <w:sz w:val="20"/>
                <w:szCs w:val="20"/>
              </w:rPr>
            </w:pPr>
          </w:p>
        </w:tc>
        <w:tc>
          <w:tcPr>
            <w:tcW w:w="2126" w:type="dxa"/>
          </w:tcPr>
          <w:p w14:paraId="27393B8E" w14:textId="77777777" w:rsidR="00655647" w:rsidRPr="00F855CE" w:rsidRDefault="00655647" w:rsidP="003E4232">
            <w:pPr>
              <w:jc w:val="both"/>
              <w:rPr>
                <w:sz w:val="20"/>
                <w:szCs w:val="20"/>
              </w:rPr>
            </w:pPr>
          </w:p>
        </w:tc>
        <w:tc>
          <w:tcPr>
            <w:tcW w:w="3237" w:type="dxa"/>
          </w:tcPr>
          <w:p w14:paraId="59AE821D" w14:textId="77777777" w:rsidR="00655647" w:rsidRPr="00F855CE" w:rsidRDefault="00655647" w:rsidP="003E4232">
            <w:pPr>
              <w:jc w:val="both"/>
              <w:rPr>
                <w:sz w:val="20"/>
                <w:szCs w:val="20"/>
              </w:rPr>
            </w:pPr>
          </w:p>
          <w:p w14:paraId="16C26FF9" w14:textId="77777777" w:rsidR="00655647" w:rsidRPr="00F855CE" w:rsidRDefault="00655647" w:rsidP="003E4232">
            <w:pPr>
              <w:jc w:val="both"/>
              <w:rPr>
                <w:sz w:val="20"/>
                <w:szCs w:val="20"/>
              </w:rPr>
            </w:pPr>
            <w:r w:rsidRPr="00F855CE">
              <w:rPr>
                <w:sz w:val="20"/>
                <w:szCs w:val="20"/>
              </w:rPr>
              <w:t>Etablir une liste des entreprises du Sahel</w:t>
            </w:r>
          </w:p>
          <w:p w14:paraId="3C4E6A57" w14:textId="77777777" w:rsidR="00655647" w:rsidRPr="00F855CE" w:rsidRDefault="00655647" w:rsidP="003E4232">
            <w:pPr>
              <w:jc w:val="both"/>
              <w:rPr>
                <w:sz w:val="20"/>
                <w:szCs w:val="20"/>
              </w:rPr>
            </w:pPr>
          </w:p>
          <w:p w14:paraId="27525F01" w14:textId="77777777" w:rsidR="00655647" w:rsidRPr="00F855CE" w:rsidRDefault="00655647" w:rsidP="003E4232">
            <w:pPr>
              <w:jc w:val="both"/>
              <w:rPr>
                <w:sz w:val="20"/>
                <w:szCs w:val="20"/>
              </w:rPr>
            </w:pPr>
            <w:r w:rsidRPr="00F855CE">
              <w:rPr>
                <w:sz w:val="20"/>
                <w:szCs w:val="20"/>
              </w:rPr>
              <w:t>Les informer sur les appels d’offres</w:t>
            </w:r>
          </w:p>
        </w:tc>
        <w:tc>
          <w:tcPr>
            <w:tcW w:w="1299" w:type="dxa"/>
          </w:tcPr>
          <w:p w14:paraId="1E136336" w14:textId="77777777" w:rsidR="00655647" w:rsidRPr="00F855CE" w:rsidRDefault="00655647" w:rsidP="003E4232">
            <w:pPr>
              <w:jc w:val="both"/>
              <w:rPr>
                <w:sz w:val="20"/>
                <w:szCs w:val="20"/>
              </w:rPr>
            </w:pPr>
          </w:p>
          <w:p w14:paraId="68D1CAC8" w14:textId="77777777" w:rsidR="00655647" w:rsidRPr="00F855CE" w:rsidRDefault="00655647" w:rsidP="003E4232">
            <w:pPr>
              <w:jc w:val="both"/>
              <w:rPr>
                <w:sz w:val="20"/>
                <w:szCs w:val="20"/>
              </w:rPr>
            </w:pPr>
            <w:r w:rsidRPr="00F855CE">
              <w:rPr>
                <w:sz w:val="20"/>
                <w:szCs w:val="20"/>
              </w:rPr>
              <w:t>Juin 2021</w:t>
            </w:r>
          </w:p>
        </w:tc>
        <w:tc>
          <w:tcPr>
            <w:tcW w:w="2126" w:type="dxa"/>
          </w:tcPr>
          <w:p w14:paraId="535D5563" w14:textId="77777777" w:rsidR="00655647" w:rsidRPr="00F855CE" w:rsidRDefault="00655647" w:rsidP="003E4232">
            <w:pPr>
              <w:jc w:val="both"/>
              <w:rPr>
                <w:sz w:val="20"/>
                <w:szCs w:val="20"/>
              </w:rPr>
            </w:pPr>
          </w:p>
          <w:p w14:paraId="3EA1A509" w14:textId="77777777" w:rsidR="00655647" w:rsidRPr="00F855CE" w:rsidRDefault="00655647" w:rsidP="003E4232">
            <w:pPr>
              <w:jc w:val="both"/>
              <w:rPr>
                <w:sz w:val="20"/>
                <w:szCs w:val="20"/>
              </w:rPr>
            </w:pPr>
            <w:r w:rsidRPr="00F855CE">
              <w:rPr>
                <w:sz w:val="20"/>
                <w:szCs w:val="20"/>
              </w:rPr>
              <w:t>MINEFID</w:t>
            </w:r>
          </w:p>
          <w:p w14:paraId="5A451D97" w14:textId="77777777" w:rsidR="00655647" w:rsidRPr="00F855CE" w:rsidRDefault="00655647" w:rsidP="003E4232">
            <w:pPr>
              <w:jc w:val="both"/>
              <w:rPr>
                <w:sz w:val="20"/>
                <w:szCs w:val="20"/>
              </w:rPr>
            </w:pPr>
            <w:r w:rsidRPr="00F855CE">
              <w:rPr>
                <w:sz w:val="20"/>
                <w:szCs w:val="20"/>
              </w:rPr>
              <w:t>Communes</w:t>
            </w:r>
          </w:p>
          <w:p w14:paraId="288D0319" w14:textId="77777777" w:rsidR="00655647" w:rsidRPr="00F855CE" w:rsidRDefault="00655647" w:rsidP="003E4232">
            <w:pPr>
              <w:jc w:val="both"/>
              <w:rPr>
                <w:sz w:val="20"/>
                <w:szCs w:val="20"/>
              </w:rPr>
            </w:pPr>
            <w:r w:rsidRPr="00F855CE">
              <w:rPr>
                <w:sz w:val="20"/>
                <w:szCs w:val="20"/>
              </w:rPr>
              <w:t>PNUD</w:t>
            </w:r>
          </w:p>
        </w:tc>
        <w:tc>
          <w:tcPr>
            <w:tcW w:w="1560" w:type="dxa"/>
          </w:tcPr>
          <w:p w14:paraId="44BC965F" w14:textId="77777777" w:rsidR="00655647" w:rsidRPr="00F855CE" w:rsidRDefault="00655647" w:rsidP="003E4232">
            <w:pPr>
              <w:jc w:val="both"/>
              <w:rPr>
                <w:sz w:val="20"/>
                <w:szCs w:val="20"/>
              </w:rPr>
            </w:pPr>
            <w:r w:rsidRPr="00F855CE">
              <w:rPr>
                <w:sz w:val="20"/>
                <w:szCs w:val="20"/>
              </w:rPr>
              <w:t>Début d’exécution</w:t>
            </w:r>
          </w:p>
        </w:tc>
      </w:tr>
      <w:tr w:rsidR="00655647" w:rsidRPr="00F855CE" w14:paraId="460BB722" w14:textId="77777777" w:rsidTr="003E4232">
        <w:trPr>
          <w:trHeight w:val="1380"/>
        </w:trPr>
        <w:tc>
          <w:tcPr>
            <w:tcW w:w="4786" w:type="dxa"/>
          </w:tcPr>
          <w:p w14:paraId="1524DC75" w14:textId="77777777" w:rsidR="00655647" w:rsidRPr="00F855CE" w:rsidRDefault="00655647" w:rsidP="003E4232">
            <w:pPr>
              <w:spacing w:after="200"/>
              <w:jc w:val="both"/>
            </w:pPr>
            <w:r w:rsidRPr="00F855CE">
              <w:t xml:space="preserve"> Etablir une situation de référence pour chaque commune d’intervention du PADEL sous la coordination de l’UCN de manière à affiner davantage les résultats attendus et la contribution du PADEL à l’amélioration des conditions de vie des populations bénéficiaires.</w:t>
            </w:r>
          </w:p>
          <w:p w14:paraId="422A3611" w14:textId="77777777" w:rsidR="00655647" w:rsidRPr="00F855CE" w:rsidRDefault="00655647" w:rsidP="003E4232">
            <w:pPr>
              <w:spacing w:after="200"/>
              <w:jc w:val="both"/>
              <w:rPr>
                <w:bCs/>
                <w:sz w:val="20"/>
                <w:szCs w:val="20"/>
              </w:rPr>
            </w:pPr>
          </w:p>
        </w:tc>
        <w:tc>
          <w:tcPr>
            <w:tcW w:w="2126" w:type="dxa"/>
          </w:tcPr>
          <w:p w14:paraId="6869018A" w14:textId="77777777" w:rsidR="00655647" w:rsidRPr="00F855CE" w:rsidRDefault="00655647" w:rsidP="003E4232">
            <w:pPr>
              <w:jc w:val="both"/>
              <w:rPr>
                <w:sz w:val="20"/>
                <w:szCs w:val="20"/>
              </w:rPr>
            </w:pPr>
          </w:p>
        </w:tc>
        <w:tc>
          <w:tcPr>
            <w:tcW w:w="3237" w:type="dxa"/>
          </w:tcPr>
          <w:p w14:paraId="1F6D0365" w14:textId="77777777" w:rsidR="00655647" w:rsidRPr="00F855CE" w:rsidRDefault="00655647" w:rsidP="003E4232">
            <w:pPr>
              <w:jc w:val="both"/>
              <w:rPr>
                <w:sz w:val="20"/>
                <w:szCs w:val="20"/>
              </w:rPr>
            </w:pPr>
            <w:r w:rsidRPr="00F855CE">
              <w:rPr>
                <w:sz w:val="20"/>
                <w:szCs w:val="20"/>
              </w:rPr>
              <w:t>Elaborer les TDR de l’étude de référence</w:t>
            </w:r>
          </w:p>
          <w:p w14:paraId="342801A0" w14:textId="77777777" w:rsidR="00655647" w:rsidRPr="00F855CE" w:rsidRDefault="00655647" w:rsidP="003E4232">
            <w:pPr>
              <w:jc w:val="both"/>
              <w:rPr>
                <w:sz w:val="20"/>
                <w:szCs w:val="20"/>
              </w:rPr>
            </w:pPr>
          </w:p>
          <w:p w14:paraId="7DD318FC" w14:textId="77777777" w:rsidR="00655647" w:rsidRPr="00F855CE" w:rsidRDefault="00655647" w:rsidP="003E4232">
            <w:pPr>
              <w:jc w:val="both"/>
              <w:rPr>
                <w:sz w:val="20"/>
                <w:szCs w:val="20"/>
              </w:rPr>
            </w:pPr>
            <w:r w:rsidRPr="00F855CE">
              <w:rPr>
                <w:sz w:val="20"/>
                <w:szCs w:val="20"/>
              </w:rPr>
              <w:t>Prévoir un budget</w:t>
            </w:r>
          </w:p>
          <w:p w14:paraId="26726ECA" w14:textId="77777777" w:rsidR="00655647" w:rsidRPr="00F855CE" w:rsidRDefault="00655647" w:rsidP="003E4232">
            <w:pPr>
              <w:jc w:val="both"/>
              <w:rPr>
                <w:sz w:val="20"/>
                <w:szCs w:val="20"/>
              </w:rPr>
            </w:pPr>
          </w:p>
          <w:p w14:paraId="0F10FCF3" w14:textId="77777777" w:rsidR="00655647" w:rsidRPr="00F855CE" w:rsidRDefault="00655647" w:rsidP="003E4232">
            <w:pPr>
              <w:jc w:val="both"/>
              <w:rPr>
                <w:sz w:val="20"/>
                <w:szCs w:val="20"/>
              </w:rPr>
            </w:pPr>
            <w:r w:rsidRPr="00F855CE">
              <w:rPr>
                <w:sz w:val="20"/>
                <w:szCs w:val="20"/>
              </w:rPr>
              <w:t>Sélectionner des consultants</w:t>
            </w:r>
          </w:p>
          <w:p w14:paraId="19C4A748" w14:textId="77777777" w:rsidR="00655647" w:rsidRPr="00F855CE" w:rsidRDefault="00655647" w:rsidP="003E4232">
            <w:pPr>
              <w:jc w:val="both"/>
              <w:rPr>
                <w:sz w:val="20"/>
                <w:szCs w:val="20"/>
              </w:rPr>
            </w:pPr>
          </w:p>
          <w:p w14:paraId="2852470E" w14:textId="77777777" w:rsidR="00655647" w:rsidRPr="00F855CE" w:rsidRDefault="00655647" w:rsidP="003E4232">
            <w:pPr>
              <w:jc w:val="both"/>
              <w:rPr>
                <w:sz w:val="20"/>
                <w:szCs w:val="20"/>
              </w:rPr>
            </w:pPr>
            <w:r w:rsidRPr="00F855CE">
              <w:rPr>
                <w:sz w:val="20"/>
                <w:szCs w:val="20"/>
              </w:rPr>
              <w:t>Organiser les études</w:t>
            </w:r>
          </w:p>
          <w:p w14:paraId="777CAC04" w14:textId="77777777" w:rsidR="00655647" w:rsidRPr="00F855CE" w:rsidRDefault="00655647" w:rsidP="003E4232">
            <w:pPr>
              <w:jc w:val="both"/>
              <w:rPr>
                <w:sz w:val="20"/>
                <w:szCs w:val="20"/>
              </w:rPr>
            </w:pPr>
          </w:p>
          <w:p w14:paraId="04DFFDAF" w14:textId="77777777" w:rsidR="00655647" w:rsidRPr="00F855CE" w:rsidRDefault="00655647" w:rsidP="003E4232">
            <w:pPr>
              <w:jc w:val="both"/>
              <w:rPr>
                <w:sz w:val="20"/>
                <w:szCs w:val="20"/>
              </w:rPr>
            </w:pPr>
            <w:r w:rsidRPr="00F855CE">
              <w:rPr>
                <w:sz w:val="20"/>
                <w:szCs w:val="20"/>
              </w:rPr>
              <w:t>Exploiter les résultats des études</w:t>
            </w:r>
          </w:p>
        </w:tc>
        <w:tc>
          <w:tcPr>
            <w:tcW w:w="1299" w:type="dxa"/>
          </w:tcPr>
          <w:p w14:paraId="2013C92A" w14:textId="77777777" w:rsidR="00655647" w:rsidRPr="00F855CE" w:rsidRDefault="00655647" w:rsidP="003E4232">
            <w:pPr>
              <w:jc w:val="both"/>
              <w:rPr>
                <w:sz w:val="20"/>
                <w:szCs w:val="20"/>
              </w:rPr>
            </w:pPr>
            <w:r w:rsidRPr="00F855CE">
              <w:rPr>
                <w:sz w:val="20"/>
                <w:szCs w:val="20"/>
              </w:rPr>
              <w:t>Juin 2021</w:t>
            </w:r>
          </w:p>
        </w:tc>
        <w:tc>
          <w:tcPr>
            <w:tcW w:w="2126" w:type="dxa"/>
          </w:tcPr>
          <w:p w14:paraId="321918A4" w14:textId="77777777" w:rsidR="00655647" w:rsidRPr="00F855CE" w:rsidRDefault="00655647" w:rsidP="003E4232">
            <w:pPr>
              <w:jc w:val="both"/>
              <w:rPr>
                <w:sz w:val="20"/>
                <w:szCs w:val="20"/>
              </w:rPr>
            </w:pPr>
            <w:r w:rsidRPr="00F855CE">
              <w:rPr>
                <w:sz w:val="20"/>
                <w:szCs w:val="20"/>
              </w:rPr>
              <w:t>Gouvernement</w:t>
            </w:r>
          </w:p>
          <w:p w14:paraId="07D310E4" w14:textId="77777777" w:rsidR="00655647" w:rsidRPr="00F855CE" w:rsidRDefault="00655647" w:rsidP="003E4232">
            <w:pPr>
              <w:jc w:val="both"/>
              <w:rPr>
                <w:sz w:val="20"/>
                <w:szCs w:val="20"/>
              </w:rPr>
            </w:pPr>
          </w:p>
          <w:p w14:paraId="473BAEFA" w14:textId="77777777" w:rsidR="00655647" w:rsidRPr="00F855CE" w:rsidRDefault="00655647" w:rsidP="003E4232">
            <w:pPr>
              <w:jc w:val="both"/>
              <w:rPr>
                <w:sz w:val="20"/>
                <w:szCs w:val="20"/>
              </w:rPr>
            </w:pPr>
            <w:r w:rsidRPr="00F855CE">
              <w:rPr>
                <w:sz w:val="20"/>
                <w:szCs w:val="20"/>
              </w:rPr>
              <w:t>PNUD</w:t>
            </w:r>
          </w:p>
        </w:tc>
        <w:tc>
          <w:tcPr>
            <w:tcW w:w="1560" w:type="dxa"/>
          </w:tcPr>
          <w:p w14:paraId="57B496D8" w14:textId="77777777" w:rsidR="00655647" w:rsidRPr="00F855CE" w:rsidRDefault="00655647" w:rsidP="003E4232">
            <w:pPr>
              <w:jc w:val="both"/>
              <w:rPr>
                <w:sz w:val="20"/>
                <w:szCs w:val="20"/>
              </w:rPr>
            </w:pPr>
            <w:r w:rsidRPr="00F855CE">
              <w:rPr>
                <w:sz w:val="20"/>
                <w:szCs w:val="20"/>
              </w:rPr>
              <w:t>Pas de début d’examen</w:t>
            </w:r>
          </w:p>
        </w:tc>
      </w:tr>
      <w:tr w:rsidR="00655647" w:rsidRPr="00F855CE" w14:paraId="278AD4F8" w14:textId="77777777" w:rsidTr="003E4232">
        <w:trPr>
          <w:trHeight w:val="1380"/>
        </w:trPr>
        <w:tc>
          <w:tcPr>
            <w:tcW w:w="4786" w:type="dxa"/>
          </w:tcPr>
          <w:p w14:paraId="4A7D64F3" w14:textId="77777777" w:rsidR="00655647" w:rsidRPr="00F855CE" w:rsidRDefault="00655647" w:rsidP="003E4232">
            <w:pPr>
              <w:spacing w:after="200"/>
              <w:jc w:val="both"/>
            </w:pPr>
            <w:r w:rsidRPr="00F855CE">
              <w:t xml:space="preserve">Organiser de manière plus régulière des missions conjointes de Composantes, dès les phases initiales afin d’améliorer les synergies d’actions ainsi que l’appropriation du PADEL </w:t>
            </w:r>
            <w:r w:rsidRPr="00F855CE">
              <w:lastRenderedPageBreak/>
              <w:t>par les communes en tant que programme intégré.</w:t>
            </w:r>
          </w:p>
          <w:p w14:paraId="479690B3" w14:textId="77777777" w:rsidR="00655647" w:rsidRPr="00F855CE" w:rsidRDefault="00655647" w:rsidP="003E4232">
            <w:pPr>
              <w:jc w:val="both"/>
              <w:rPr>
                <w:bCs/>
                <w:sz w:val="20"/>
                <w:szCs w:val="20"/>
              </w:rPr>
            </w:pPr>
          </w:p>
        </w:tc>
        <w:tc>
          <w:tcPr>
            <w:tcW w:w="2126" w:type="dxa"/>
          </w:tcPr>
          <w:p w14:paraId="7639F55F" w14:textId="77777777" w:rsidR="00655647" w:rsidRPr="00F855CE" w:rsidRDefault="00655647" w:rsidP="003E4232">
            <w:pPr>
              <w:jc w:val="both"/>
              <w:rPr>
                <w:sz w:val="20"/>
                <w:szCs w:val="20"/>
              </w:rPr>
            </w:pPr>
          </w:p>
        </w:tc>
        <w:tc>
          <w:tcPr>
            <w:tcW w:w="3237" w:type="dxa"/>
          </w:tcPr>
          <w:p w14:paraId="28872F41" w14:textId="77777777" w:rsidR="00655647" w:rsidRPr="00F855CE" w:rsidRDefault="00655647" w:rsidP="003E4232">
            <w:pPr>
              <w:jc w:val="both"/>
              <w:rPr>
                <w:sz w:val="20"/>
                <w:szCs w:val="20"/>
              </w:rPr>
            </w:pPr>
            <w:r w:rsidRPr="00F855CE">
              <w:rPr>
                <w:sz w:val="20"/>
                <w:szCs w:val="20"/>
              </w:rPr>
              <w:t>Elaborer un calendrier de missions</w:t>
            </w:r>
          </w:p>
          <w:p w14:paraId="652CA043" w14:textId="77777777" w:rsidR="00655647" w:rsidRPr="00F855CE" w:rsidRDefault="00655647" w:rsidP="003E4232">
            <w:pPr>
              <w:jc w:val="both"/>
              <w:rPr>
                <w:sz w:val="20"/>
                <w:szCs w:val="20"/>
              </w:rPr>
            </w:pPr>
          </w:p>
          <w:p w14:paraId="7C0D0766" w14:textId="77777777" w:rsidR="00655647" w:rsidRPr="00F855CE" w:rsidRDefault="00655647" w:rsidP="003E4232">
            <w:pPr>
              <w:jc w:val="both"/>
              <w:rPr>
                <w:sz w:val="20"/>
                <w:szCs w:val="20"/>
              </w:rPr>
            </w:pPr>
            <w:r w:rsidRPr="00F855CE">
              <w:rPr>
                <w:sz w:val="20"/>
                <w:szCs w:val="20"/>
              </w:rPr>
              <w:t>Prévoir un budget des missions</w:t>
            </w:r>
          </w:p>
          <w:p w14:paraId="1AE1C4D3" w14:textId="77777777" w:rsidR="00655647" w:rsidRPr="00F855CE" w:rsidRDefault="00655647" w:rsidP="003E4232">
            <w:pPr>
              <w:jc w:val="both"/>
              <w:rPr>
                <w:sz w:val="20"/>
                <w:szCs w:val="20"/>
              </w:rPr>
            </w:pPr>
          </w:p>
          <w:p w14:paraId="6248945D" w14:textId="77777777" w:rsidR="00655647" w:rsidRPr="00F855CE" w:rsidRDefault="00655647" w:rsidP="003E4232">
            <w:pPr>
              <w:jc w:val="both"/>
              <w:rPr>
                <w:sz w:val="20"/>
                <w:szCs w:val="20"/>
              </w:rPr>
            </w:pPr>
            <w:r w:rsidRPr="00F855CE">
              <w:rPr>
                <w:sz w:val="20"/>
                <w:szCs w:val="20"/>
              </w:rPr>
              <w:t>Organiser les missions</w:t>
            </w:r>
          </w:p>
          <w:p w14:paraId="15709917" w14:textId="77777777" w:rsidR="00655647" w:rsidRPr="00F855CE" w:rsidRDefault="00655647" w:rsidP="003E4232">
            <w:pPr>
              <w:jc w:val="both"/>
              <w:rPr>
                <w:sz w:val="20"/>
                <w:szCs w:val="20"/>
              </w:rPr>
            </w:pPr>
          </w:p>
          <w:p w14:paraId="1BADD103" w14:textId="77777777" w:rsidR="00655647" w:rsidRPr="00F855CE" w:rsidRDefault="00655647" w:rsidP="003E4232">
            <w:pPr>
              <w:jc w:val="both"/>
              <w:rPr>
                <w:sz w:val="20"/>
                <w:szCs w:val="20"/>
              </w:rPr>
            </w:pPr>
            <w:r w:rsidRPr="00F855CE">
              <w:rPr>
                <w:sz w:val="20"/>
                <w:szCs w:val="20"/>
              </w:rPr>
              <w:lastRenderedPageBreak/>
              <w:t>Mettre en œuvre les recommandations des missions</w:t>
            </w:r>
          </w:p>
        </w:tc>
        <w:tc>
          <w:tcPr>
            <w:tcW w:w="1299" w:type="dxa"/>
          </w:tcPr>
          <w:p w14:paraId="763828C4" w14:textId="77777777" w:rsidR="00655647" w:rsidRPr="00F855CE" w:rsidRDefault="00655647" w:rsidP="003E4232">
            <w:pPr>
              <w:jc w:val="both"/>
              <w:rPr>
                <w:sz w:val="20"/>
                <w:szCs w:val="20"/>
              </w:rPr>
            </w:pPr>
            <w:r w:rsidRPr="00F855CE">
              <w:rPr>
                <w:sz w:val="20"/>
                <w:szCs w:val="20"/>
              </w:rPr>
              <w:lastRenderedPageBreak/>
              <w:t>Juin 2021</w:t>
            </w:r>
          </w:p>
        </w:tc>
        <w:tc>
          <w:tcPr>
            <w:tcW w:w="2126" w:type="dxa"/>
          </w:tcPr>
          <w:p w14:paraId="6380EEBF" w14:textId="77777777" w:rsidR="00655647" w:rsidRPr="00F855CE" w:rsidRDefault="00655647" w:rsidP="003E4232">
            <w:pPr>
              <w:jc w:val="both"/>
              <w:rPr>
                <w:sz w:val="20"/>
                <w:szCs w:val="20"/>
              </w:rPr>
            </w:pPr>
            <w:r w:rsidRPr="00F855CE">
              <w:rPr>
                <w:sz w:val="20"/>
                <w:szCs w:val="20"/>
              </w:rPr>
              <w:t>Gouvernement</w:t>
            </w:r>
          </w:p>
          <w:p w14:paraId="645405DA" w14:textId="77777777" w:rsidR="00655647" w:rsidRPr="00F855CE" w:rsidRDefault="00655647" w:rsidP="003E4232">
            <w:pPr>
              <w:jc w:val="both"/>
              <w:rPr>
                <w:sz w:val="20"/>
                <w:szCs w:val="20"/>
              </w:rPr>
            </w:pPr>
          </w:p>
          <w:p w14:paraId="06716EB1" w14:textId="77777777" w:rsidR="00655647" w:rsidRPr="00F855CE" w:rsidRDefault="00655647" w:rsidP="003E4232">
            <w:pPr>
              <w:jc w:val="both"/>
              <w:rPr>
                <w:sz w:val="20"/>
                <w:szCs w:val="20"/>
              </w:rPr>
            </w:pPr>
            <w:r w:rsidRPr="00F855CE">
              <w:rPr>
                <w:sz w:val="20"/>
                <w:szCs w:val="20"/>
              </w:rPr>
              <w:t>PNUD</w:t>
            </w:r>
          </w:p>
        </w:tc>
        <w:tc>
          <w:tcPr>
            <w:tcW w:w="1560" w:type="dxa"/>
          </w:tcPr>
          <w:p w14:paraId="48B01E65" w14:textId="77777777" w:rsidR="00655647" w:rsidRPr="00F855CE" w:rsidRDefault="00655647" w:rsidP="003E4232">
            <w:pPr>
              <w:jc w:val="both"/>
              <w:rPr>
                <w:sz w:val="20"/>
                <w:szCs w:val="20"/>
              </w:rPr>
            </w:pPr>
            <w:r w:rsidRPr="00F855CE">
              <w:rPr>
                <w:sz w:val="20"/>
                <w:szCs w:val="20"/>
              </w:rPr>
              <w:t>Début d’exécution</w:t>
            </w:r>
          </w:p>
        </w:tc>
      </w:tr>
    </w:tbl>
    <w:p w14:paraId="1ABCF3F5" w14:textId="77777777" w:rsidR="003A6A55" w:rsidRDefault="003A6A55"/>
    <w:sectPr w:rsidR="003A6A55" w:rsidSect="00655647">
      <w:headerReference w:type="default" r:id="rId6"/>
      <w:footerReference w:type="even" r:id="rId7"/>
      <w:footerReference w:type="default" r:id="rId8"/>
      <w:headerReference w:type="first" r:id="rId9"/>
      <w:foot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D30F" w14:textId="77777777" w:rsidR="00A539A2" w:rsidRDefault="00A539A2" w:rsidP="00655647">
      <w:r>
        <w:separator/>
      </w:r>
    </w:p>
  </w:endnote>
  <w:endnote w:type="continuationSeparator" w:id="0">
    <w:p w14:paraId="4F81A87F" w14:textId="77777777" w:rsidR="00A539A2" w:rsidRDefault="00A539A2" w:rsidP="0065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759" w14:textId="77777777" w:rsidR="00050695" w:rsidRDefault="00A539A2" w:rsidP="00C5485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965EC70" w14:textId="77777777" w:rsidR="00050695" w:rsidRDefault="00A539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15BE" w14:textId="77777777" w:rsidR="00050695" w:rsidRDefault="00A539A2" w:rsidP="00C5485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17CA1762" w14:textId="77777777" w:rsidR="00050695" w:rsidRDefault="00A539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50695" w14:paraId="7ACC92FD" w14:textId="77777777" w:rsidTr="00F666C8">
      <w:tc>
        <w:tcPr>
          <w:tcW w:w="3115" w:type="dxa"/>
        </w:tcPr>
        <w:p w14:paraId="424E63EA" w14:textId="77777777" w:rsidR="00050695" w:rsidRDefault="00A539A2" w:rsidP="00F666C8">
          <w:pPr>
            <w:pStyle w:val="En-tte"/>
            <w:ind w:left="-115"/>
          </w:pPr>
        </w:p>
      </w:tc>
      <w:tc>
        <w:tcPr>
          <w:tcW w:w="3115" w:type="dxa"/>
        </w:tcPr>
        <w:p w14:paraId="545BCD77" w14:textId="77777777" w:rsidR="00050695" w:rsidRDefault="00A539A2" w:rsidP="00F666C8">
          <w:pPr>
            <w:pStyle w:val="En-tte"/>
            <w:jc w:val="center"/>
          </w:pPr>
        </w:p>
      </w:tc>
      <w:tc>
        <w:tcPr>
          <w:tcW w:w="3115" w:type="dxa"/>
        </w:tcPr>
        <w:p w14:paraId="60E636AE" w14:textId="77777777" w:rsidR="00050695" w:rsidRDefault="00A539A2" w:rsidP="00F666C8">
          <w:pPr>
            <w:pStyle w:val="En-tte"/>
            <w:ind w:right="-115"/>
            <w:jc w:val="right"/>
          </w:pPr>
        </w:p>
      </w:tc>
    </w:tr>
  </w:tbl>
  <w:p w14:paraId="152FF5B0" w14:textId="77777777" w:rsidR="00050695" w:rsidRDefault="00A539A2" w:rsidP="00F66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0AC7" w14:textId="77777777" w:rsidR="00A539A2" w:rsidRDefault="00A539A2" w:rsidP="00655647">
      <w:r>
        <w:separator/>
      </w:r>
    </w:p>
  </w:footnote>
  <w:footnote w:type="continuationSeparator" w:id="0">
    <w:p w14:paraId="4D60A9B9" w14:textId="77777777" w:rsidR="00A539A2" w:rsidRDefault="00A539A2" w:rsidP="0065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56CF" w14:textId="116D3F95" w:rsidR="00655647" w:rsidRDefault="00655647">
    <w:pPr>
      <w:pStyle w:val="En-tte"/>
    </w:pPr>
    <w:r w:rsidRPr="009B5ECB">
      <w:rPr>
        <w:b/>
      </w:rPr>
      <w:t xml:space="preserve">PLAN D’ACTION POUR LA MISE EN ŒUVRE DES </w:t>
    </w:r>
    <w:proofErr w:type="gramStart"/>
    <w:r w:rsidRPr="009B5ECB">
      <w:rPr>
        <w:b/>
      </w:rPr>
      <w:t>RECOMMANDATIONS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50695" w14:paraId="2397BDC7" w14:textId="77777777" w:rsidTr="00F666C8">
      <w:tc>
        <w:tcPr>
          <w:tcW w:w="3115" w:type="dxa"/>
        </w:tcPr>
        <w:p w14:paraId="0DB51E71" w14:textId="77777777" w:rsidR="00050695" w:rsidRDefault="00A539A2" w:rsidP="00F666C8">
          <w:pPr>
            <w:pStyle w:val="En-tte"/>
            <w:ind w:left="-115"/>
          </w:pPr>
        </w:p>
      </w:tc>
      <w:tc>
        <w:tcPr>
          <w:tcW w:w="3115" w:type="dxa"/>
        </w:tcPr>
        <w:p w14:paraId="785D90EA" w14:textId="77777777" w:rsidR="00050695" w:rsidRDefault="00A539A2" w:rsidP="00F666C8">
          <w:pPr>
            <w:pStyle w:val="En-tte"/>
            <w:jc w:val="center"/>
          </w:pPr>
        </w:p>
      </w:tc>
      <w:tc>
        <w:tcPr>
          <w:tcW w:w="3115" w:type="dxa"/>
        </w:tcPr>
        <w:p w14:paraId="388D663B" w14:textId="77777777" w:rsidR="00050695" w:rsidRDefault="00A539A2" w:rsidP="00F666C8">
          <w:pPr>
            <w:pStyle w:val="En-tte"/>
            <w:ind w:right="-115"/>
            <w:jc w:val="right"/>
          </w:pPr>
        </w:p>
      </w:tc>
    </w:tr>
  </w:tbl>
  <w:p w14:paraId="0F5834B1" w14:textId="77777777" w:rsidR="00050695" w:rsidRDefault="00A539A2" w:rsidP="00F666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47"/>
    <w:rsid w:val="003A6A55"/>
    <w:rsid w:val="00655647"/>
    <w:rsid w:val="00A539A2"/>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A85F"/>
  <w15:chartTrackingRefBased/>
  <w15:docId w15:val="{56D547D7-384D-4B27-9132-D629050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4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564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655647"/>
    <w:pPr>
      <w:tabs>
        <w:tab w:val="center" w:pos="4536"/>
        <w:tab w:val="right" w:pos="9072"/>
      </w:tabs>
    </w:pPr>
  </w:style>
  <w:style w:type="character" w:customStyle="1" w:styleId="PieddepageCar">
    <w:name w:val="Pied de page Car"/>
    <w:basedOn w:val="Policepardfaut"/>
    <w:link w:val="Pieddepage"/>
    <w:uiPriority w:val="99"/>
    <w:rsid w:val="00655647"/>
    <w:rPr>
      <w:rFonts w:ascii="Times New Roman" w:eastAsia="Times New Roman" w:hAnsi="Times New Roman" w:cs="Times New Roman"/>
      <w:sz w:val="24"/>
      <w:szCs w:val="24"/>
      <w:lang w:val="fr-FR" w:eastAsia="fr-FR"/>
    </w:rPr>
  </w:style>
  <w:style w:type="character" w:styleId="Numrodepage">
    <w:name w:val="page number"/>
    <w:basedOn w:val="Policepardfaut"/>
    <w:rsid w:val="00655647"/>
  </w:style>
  <w:style w:type="paragraph" w:styleId="En-tte">
    <w:name w:val="header"/>
    <w:basedOn w:val="Normal"/>
    <w:link w:val="En-tteCar"/>
    <w:rsid w:val="00655647"/>
    <w:pPr>
      <w:tabs>
        <w:tab w:val="center" w:pos="4536"/>
        <w:tab w:val="right" w:pos="9072"/>
      </w:tabs>
    </w:pPr>
    <w:rPr>
      <w:szCs w:val="20"/>
      <w:lang w:val="en-US" w:eastAsia="en-US"/>
    </w:rPr>
  </w:style>
  <w:style w:type="character" w:customStyle="1" w:styleId="En-tteCar">
    <w:name w:val="En-tête Car"/>
    <w:basedOn w:val="Policepardfaut"/>
    <w:link w:val="En-tte"/>
    <w:rsid w:val="0065564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Salifou Zoungrana</dc:creator>
  <cp:keywords/>
  <dc:description/>
  <cp:lastModifiedBy>Salifou Zoungrana</cp:lastModifiedBy>
  <cp:revision>1</cp:revision>
  <dcterms:created xsi:type="dcterms:W3CDTF">2021-04-22T12:21:00Z</dcterms:created>
  <dcterms:modified xsi:type="dcterms:W3CDTF">2021-04-22T12:24:00Z</dcterms:modified>
</cp:coreProperties>
</file>