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211D" w14:textId="567F5764" w:rsidR="00AD67C7" w:rsidRPr="004B71E7" w:rsidRDefault="00000F9B" w:rsidP="004B71E7">
      <w:pPr>
        <w:spacing w:after="0" w:line="240" w:lineRule="auto"/>
        <w:rPr>
          <w:rFonts w:ascii="Myriad Pro" w:hAnsi="Myriad Pro"/>
          <w:b/>
          <w:bCs/>
          <w:sz w:val="30"/>
          <w:szCs w:val="30"/>
        </w:rPr>
      </w:pPr>
      <w:r w:rsidRPr="004B71E7">
        <w:rPr>
          <w:rFonts w:ascii="Myriad Pro" w:hAnsi="Myriad Pro"/>
          <w:b/>
          <w:bCs/>
          <w:sz w:val="30"/>
          <w:szCs w:val="30"/>
        </w:rPr>
        <w:t>Terminal Evaluation Terms of Reference</w:t>
      </w:r>
      <w:r w:rsidR="002D07E5" w:rsidRPr="004B71E7">
        <w:rPr>
          <w:rFonts w:ascii="Myriad Pro" w:hAnsi="Myriad Pro"/>
          <w:b/>
          <w:bCs/>
          <w:sz w:val="30"/>
          <w:szCs w:val="30"/>
        </w:rPr>
        <w:t xml:space="preserve"> (</w:t>
      </w:r>
      <w:proofErr w:type="spellStart"/>
      <w:r w:rsidR="002D07E5" w:rsidRPr="004B71E7">
        <w:rPr>
          <w:rFonts w:ascii="Myriad Pro" w:hAnsi="Myriad Pro"/>
          <w:b/>
          <w:bCs/>
          <w:sz w:val="30"/>
          <w:szCs w:val="30"/>
        </w:rPr>
        <w:t>ToR</w:t>
      </w:r>
      <w:proofErr w:type="spellEnd"/>
      <w:r w:rsidR="002D07E5" w:rsidRPr="004B71E7">
        <w:rPr>
          <w:rFonts w:ascii="Myriad Pro" w:hAnsi="Myriad Pro"/>
          <w:b/>
          <w:bCs/>
          <w:sz w:val="30"/>
          <w:szCs w:val="30"/>
        </w:rPr>
        <w:t>)</w:t>
      </w:r>
      <w:r w:rsidR="00BC45D5" w:rsidRPr="004B71E7">
        <w:rPr>
          <w:rFonts w:ascii="Myriad Pro" w:hAnsi="Myriad Pro"/>
          <w:b/>
          <w:bCs/>
          <w:sz w:val="30"/>
          <w:szCs w:val="30"/>
        </w:rPr>
        <w:t xml:space="preserve"> </w:t>
      </w:r>
    </w:p>
    <w:p w14:paraId="1ABC6530" w14:textId="3161BEAF" w:rsidR="00000F9B" w:rsidRDefault="00BC45D5" w:rsidP="00000F9B">
      <w:pPr>
        <w:spacing w:after="0" w:line="240" w:lineRule="auto"/>
        <w:rPr>
          <w:rFonts w:ascii="Myriad Pro" w:hAnsi="Myriad Pro"/>
          <w:b/>
          <w:bCs/>
          <w:sz w:val="30"/>
          <w:szCs w:val="30"/>
        </w:rPr>
      </w:pPr>
      <w:r>
        <w:rPr>
          <w:rFonts w:ascii="Myriad Pro" w:hAnsi="Myriad Pro"/>
          <w:b/>
          <w:bCs/>
          <w:sz w:val="30"/>
          <w:szCs w:val="30"/>
        </w:rPr>
        <w:t>for UNDP-supported GEF-financed project</w:t>
      </w:r>
    </w:p>
    <w:p w14:paraId="0DDD082C" w14:textId="5F799ECF" w:rsidR="00FE1418" w:rsidRDefault="00FE1418" w:rsidP="00000F9B">
      <w:pPr>
        <w:spacing w:after="0" w:line="240" w:lineRule="auto"/>
        <w:rPr>
          <w:rFonts w:ascii="Myriad Pro" w:hAnsi="Myriad Pro"/>
          <w:b/>
          <w:bCs/>
          <w:sz w:val="30"/>
          <w:szCs w:val="30"/>
        </w:rPr>
      </w:pPr>
    </w:p>
    <w:p w14:paraId="57CE64A8" w14:textId="77777777" w:rsidR="00442020" w:rsidRDefault="00442020" w:rsidP="00000F9B">
      <w:pPr>
        <w:spacing w:after="0" w:line="240" w:lineRule="auto"/>
        <w:rPr>
          <w:rFonts w:ascii="Myriad Pro" w:hAnsi="Myriad Pro"/>
          <w:b/>
          <w:bCs/>
          <w:sz w:val="30"/>
          <w:szCs w:val="30"/>
        </w:rPr>
      </w:pPr>
    </w:p>
    <w:p w14:paraId="355F0B99" w14:textId="77777777" w:rsidR="00C4289A" w:rsidRDefault="00C4289A" w:rsidP="00C4289A">
      <w:pPr>
        <w:spacing w:after="120"/>
        <w:jc w:val="both"/>
        <w:rPr>
          <w:b/>
          <w:bCs/>
          <w:lang w:val="en-GB" w:eastAsia="es-ES"/>
        </w:rPr>
      </w:pPr>
    </w:p>
    <w:p w14:paraId="1A4CAB99" w14:textId="2264BEA8" w:rsidR="00C4289A" w:rsidRPr="00920262" w:rsidRDefault="00C4289A" w:rsidP="00C4289A">
      <w:pPr>
        <w:spacing w:after="120"/>
        <w:jc w:val="both"/>
        <w:rPr>
          <w:b/>
          <w:bCs/>
          <w:lang w:val="en-GB" w:eastAsia="es-ES"/>
        </w:rPr>
      </w:pPr>
      <w:r w:rsidRPr="00920262">
        <w:rPr>
          <w:b/>
          <w:bCs/>
          <w:lang w:val="en-GB" w:eastAsia="es-ES"/>
        </w:rPr>
        <w:t xml:space="preserve">Job title: </w:t>
      </w:r>
      <w:r w:rsidRPr="00920262">
        <w:rPr>
          <w:b/>
          <w:bCs/>
          <w:lang w:val="en-GB" w:eastAsia="es-ES"/>
        </w:rPr>
        <w:tab/>
      </w:r>
      <w:r w:rsidRPr="00920262">
        <w:rPr>
          <w:b/>
          <w:bCs/>
          <w:lang w:val="en-GB" w:eastAsia="es-ES"/>
        </w:rPr>
        <w:tab/>
        <w:t xml:space="preserve">International Consultant on </w:t>
      </w:r>
      <w:r w:rsidR="00EB5415">
        <w:rPr>
          <w:b/>
          <w:bCs/>
          <w:lang w:val="en-GB" w:eastAsia="es-ES"/>
        </w:rPr>
        <w:t xml:space="preserve">Project </w:t>
      </w:r>
      <w:r w:rsidRPr="00920262">
        <w:rPr>
          <w:b/>
          <w:bCs/>
          <w:lang w:val="en-GB" w:eastAsia="es-ES"/>
        </w:rPr>
        <w:t>Terminal Evaluation</w:t>
      </w:r>
    </w:p>
    <w:p w14:paraId="0A5FDD35" w14:textId="4CA93E8E" w:rsidR="00C4289A" w:rsidRPr="00920262" w:rsidRDefault="00C4289A" w:rsidP="00C4289A">
      <w:pPr>
        <w:spacing w:after="120"/>
        <w:ind w:left="2160" w:hanging="2160"/>
        <w:jc w:val="both"/>
        <w:rPr>
          <w:rFonts w:cstheme="minorHAnsi"/>
          <w:b/>
          <w:lang w:eastAsia="es-ES"/>
        </w:rPr>
      </w:pPr>
      <w:r w:rsidRPr="00920262">
        <w:rPr>
          <w:b/>
          <w:bCs/>
          <w:lang w:val="en-GB" w:eastAsia="es-ES"/>
        </w:rPr>
        <w:t>Project title:</w:t>
      </w:r>
      <w:bookmarkStart w:id="0" w:name="_Hlk496888786"/>
      <w:r w:rsidRPr="00920262">
        <w:rPr>
          <w:b/>
          <w:bCs/>
          <w:lang w:val="en-GB" w:eastAsia="es-ES"/>
        </w:rPr>
        <w:t xml:space="preserve">              </w:t>
      </w:r>
      <w:r w:rsidRPr="00920262">
        <w:rPr>
          <w:b/>
          <w:bCs/>
          <w:lang w:val="en-GB" w:eastAsia="es-ES"/>
        </w:rPr>
        <w:tab/>
      </w:r>
      <w:bookmarkEnd w:id="0"/>
      <w:r w:rsidR="00305069" w:rsidRPr="003A67E5">
        <w:rPr>
          <w:b/>
          <w:bCs/>
          <w:lang w:val="en-GB" w:eastAsia="es-ES"/>
        </w:rPr>
        <w:t>Elimination of obsolete pesticide stockpiles and addressing POPs contaminated sites within a sound chemicals management framework</w:t>
      </w:r>
      <w:r w:rsidR="00F70FD0">
        <w:rPr>
          <w:b/>
          <w:bCs/>
          <w:lang w:val="en-GB" w:eastAsia="es-ES"/>
        </w:rPr>
        <w:t xml:space="preserve"> (PIMS #4905)</w:t>
      </w:r>
    </w:p>
    <w:p w14:paraId="1AB5FED1" w14:textId="27F70EFC" w:rsidR="00C4289A" w:rsidRPr="00920262" w:rsidRDefault="00C4289A" w:rsidP="00C4289A">
      <w:pPr>
        <w:spacing w:after="120"/>
        <w:jc w:val="both"/>
        <w:rPr>
          <w:b/>
          <w:bCs/>
          <w:lang w:eastAsia="es-ES"/>
        </w:rPr>
      </w:pPr>
      <w:bookmarkStart w:id="1" w:name="_Hlk66357660"/>
      <w:bookmarkStart w:id="2" w:name="_Hlk788805"/>
      <w:r w:rsidRPr="00920262">
        <w:rPr>
          <w:b/>
          <w:bCs/>
          <w:lang w:val="en-GB" w:eastAsia="es-ES"/>
        </w:rPr>
        <w:t>Project:</w:t>
      </w:r>
      <w:r w:rsidRPr="00920262">
        <w:rPr>
          <w:b/>
          <w:bCs/>
          <w:lang w:val="en-GB" w:eastAsia="es-ES"/>
        </w:rPr>
        <w:tab/>
      </w:r>
      <w:r w:rsidRPr="00920262">
        <w:rPr>
          <w:b/>
          <w:bCs/>
          <w:lang w:val="en-GB" w:eastAsia="es-ES"/>
        </w:rPr>
        <w:tab/>
      </w:r>
      <w:r w:rsidRPr="00920262">
        <w:rPr>
          <w:b/>
          <w:bCs/>
          <w:lang w:val="en-GB" w:eastAsia="es-ES"/>
        </w:rPr>
        <w:tab/>
      </w:r>
      <w:r w:rsidR="00920262">
        <w:rPr>
          <w:b/>
          <w:bCs/>
          <w:lang w:val="en-GB" w:eastAsia="es-ES"/>
        </w:rPr>
        <w:t xml:space="preserve">Output ID: </w:t>
      </w:r>
      <w:r w:rsidR="00920262" w:rsidRPr="00920262">
        <w:rPr>
          <w:b/>
          <w:bCs/>
          <w:lang w:val="en-GB" w:eastAsia="es-ES"/>
        </w:rPr>
        <w:t>00091031</w:t>
      </w:r>
      <w:r w:rsidR="00920262">
        <w:rPr>
          <w:b/>
          <w:bCs/>
          <w:lang w:val="en-GB" w:eastAsia="es-ES"/>
        </w:rPr>
        <w:t xml:space="preserve"> </w:t>
      </w:r>
      <w:r w:rsidRPr="00920262">
        <w:rPr>
          <w:b/>
          <w:bCs/>
          <w:lang w:val="en-GB" w:eastAsia="es-ES"/>
        </w:rPr>
        <w:t>/</w:t>
      </w:r>
      <w:r w:rsidR="00920262">
        <w:rPr>
          <w:b/>
          <w:bCs/>
          <w:lang w:val="en-GB" w:eastAsia="es-ES"/>
        </w:rPr>
        <w:t xml:space="preserve"> Project ID: </w:t>
      </w:r>
      <w:r w:rsidR="00920262" w:rsidRPr="00920262">
        <w:rPr>
          <w:b/>
          <w:bCs/>
          <w:lang w:val="en-GB" w:eastAsia="es-ES"/>
        </w:rPr>
        <w:t>00081909</w:t>
      </w:r>
    </w:p>
    <w:bookmarkEnd w:id="1"/>
    <w:p w14:paraId="52FD531E" w14:textId="77777777" w:rsidR="00C4289A" w:rsidRPr="00920262" w:rsidRDefault="00C4289A" w:rsidP="00C4289A">
      <w:pPr>
        <w:spacing w:after="120"/>
        <w:jc w:val="both"/>
        <w:rPr>
          <w:b/>
          <w:bCs/>
          <w:lang w:val="en-GB" w:eastAsia="es-ES"/>
        </w:rPr>
      </w:pPr>
      <w:r w:rsidRPr="00920262">
        <w:rPr>
          <w:b/>
          <w:bCs/>
          <w:lang w:val="en-GB" w:eastAsia="es-ES"/>
        </w:rPr>
        <w:t>Contract modality:</w:t>
      </w:r>
      <w:r w:rsidRPr="00920262">
        <w:rPr>
          <w:b/>
          <w:bCs/>
          <w:lang w:val="en-GB" w:eastAsia="es-ES"/>
        </w:rPr>
        <w:tab/>
        <w:t xml:space="preserve">Individual Contract (IC) </w:t>
      </w:r>
    </w:p>
    <w:bookmarkEnd w:id="2"/>
    <w:p w14:paraId="5B6A92C5" w14:textId="27C804A0" w:rsidR="00C4289A" w:rsidRPr="00920262" w:rsidRDefault="00C4289A" w:rsidP="00C4289A">
      <w:pPr>
        <w:spacing w:after="120"/>
        <w:jc w:val="both"/>
        <w:rPr>
          <w:b/>
          <w:bCs/>
          <w:lang w:val="en-GB" w:eastAsia="es-ES"/>
        </w:rPr>
      </w:pPr>
      <w:r w:rsidRPr="00920262">
        <w:rPr>
          <w:b/>
          <w:bCs/>
          <w:lang w:val="en-GB" w:eastAsia="es-ES"/>
        </w:rPr>
        <w:t xml:space="preserve">Duration: </w:t>
      </w:r>
      <w:r w:rsidRPr="00920262">
        <w:rPr>
          <w:b/>
          <w:bCs/>
          <w:lang w:val="en-GB" w:eastAsia="es-ES"/>
        </w:rPr>
        <w:tab/>
      </w:r>
      <w:r w:rsidRPr="00920262">
        <w:rPr>
          <w:b/>
          <w:bCs/>
          <w:lang w:val="en-GB" w:eastAsia="es-ES"/>
        </w:rPr>
        <w:tab/>
      </w:r>
      <w:r w:rsidR="004C13A4">
        <w:rPr>
          <w:b/>
          <w:bCs/>
          <w:lang w:val="en-GB" w:eastAsia="es-ES"/>
        </w:rPr>
        <w:t>mid-</w:t>
      </w:r>
      <w:r w:rsidR="00D97BB2">
        <w:rPr>
          <w:b/>
          <w:bCs/>
          <w:lang w:val="en-GB" w:eastAsia="es-ES"/>
        </w:rPr>
        <w:t>April</w:t>
      </w:r>
      <w:r w:rsidRPr="00920262">
        <w:rPr>
          <w:b/>
          <w:bCs/>
          <w:lang w:val="en-GB" w:eastAsia="es-ES"/>
        </w:rPr>
        <w:t xml:space="preserve"> – </w:t>
      </w:r>
      <w:r w:rsidR="004C13A4">
        <w:rPr>
          <w:b/>
          <w:bCs/>
          <w:lang w:val="en-GB" w:eastAsia="es-ES"/>
        </w:rPr>
        <w:t>mid-</w:t>
      </w:r>
      <w:r w:rsidR="00D97BB2">
        <w:rPr>
          <w:b/>
          <w:bCs/>
          <w:lang w:val="en-GB" w:eastAsia="es-ES"/>
        </w:rPr>
        <w:t xml:space="preserve">September </w:t>
      </w:r>
      <w:r w:rsidRPr="00920262">
        <w:rPr>
          <w:b/>
          <w:bCs/>
          <w:lang w:val="en-GB" w:eastAsia="es-ES"/>
        </w:rPr>
        <w:t>202</w:t>
      </w:r>
      <w:r w:rsidR="00D97BB2">
        <w:rPr>
          <w:b/>
          <w:bCs/>
          <w:lang w:val="en-GB" w:eastAsia="es-ES"/>
        </w:rPr>
        <w:t>1</w:t>
      </w:r>
      <w:r w:rsidRPr="00920262">
        <w:rPr>
          <w:b/>
          <w:bCs/>
          <w:lang w:val="en-GB" w:eastAsia="es-ES"/>
        </w:rPr>
        <w:t xml:space="preserve"> (estimated 2</w:t>
      </w:r>
      <w:r w:rsidR="00D97BB2">
        <w:rPr>
          <w:b/>
          <w:bCs/>
          <w:lang w:val="en-GB" w:eastAsia="es-ES"/>
        </w:rPr>
        <w:t>5</w:t>
      </w:r>
      <w:r w:rsidRPr="00920262">
        <w:rPr>
          <w:b/>
          <w:bCs/>
          <w:lang w:val="en-GB" w:eastAsia="es-ES"/>
        </w:rPr>
        <w:t xml:space="preserve"> consultancy days)</w:t>
      </w:r>
    </w:p>
    <w:p w14:paraId="25A17180" w14:textId="243F0D0C" w:rsidR="00C4289A" w:rsidRDefault="00C4289A" w:rsidP="00095CF5">
      <w:pPr>
        <w:spacing w:after="0" w:line="240" w:lineRule="auto"/>
        <w:ind w:left="2160" w:hanging="2160"/>
        <w:jc w:val="both"/>
        <w:rPr>
          <w:b/>
          <w:bCs/>
          <w:lang w:val="en-GB" w:eastAsia="es-ES"/>
        </w:rPr>
      </w:pPr>
      <w:r w:rsidRPr="00920262">
        <w:rPr>
          <w:b/>
          <w:bCs/>
          <w:lang w:val="en-GB" w:eastAsia="es-ES"/>
        </w:rPr>
        <w:t>Duty station:</w:t>
      </w:r>
      <w:r w:rsidRPr="00920262">
        <w:rPr>
          <w:b/>
          <w:bCs/>
          <w:lang w:val="en-GB" w:eastAsia="es-ES"/>
        </w:rPr>
        <w:tab/>
        <w:t xml:space="preserve">Home based and one mission to Armenia (alternatively distant </w:t>
      </w:r>
      <w:proofErr w:type="gramStart"/>
      <w:r w:rsidRPr="00920262">
        <w:rPr>
          <w:b/>
          <w:bCs/>
          <w:lang w:val="en-GB" w:eastAsia="es-ES"/>
        </w:rPr>
        <w:t>support</w:t>
      </w:r>
      <w:r w:rsidR="00D97BB2">
        <w:rPr>
          <w:b/>
          <w:bCs/>
          <w:lang w:val="en-GB" w:eastAsia="es-ES"/>
        </w:rPr>
        <w:t>,</w:t>
      </w:r>
      <w:r w:rsidRPr="00920262">
        <w:rPr>
          <w:b/>
          <w:bCs/>
          <w:lang w:val="en-GB" w:eastAsia="es-ES"/>
        </w:rPr>
        <w:t xml:space="preserve">   </w:t>
      </w:r>
      <w:proofErr w:type="gramEnd"/>
      <w:r w:rsidRPr="00920262">
        <w:rPr>
          <w:b/>
          <w:bCs/>
          <w:lang w:val="en-GB" w:eastAsia="es-ES"/>
        </w:rPr>
        <w:t xml:space="preserve">                  </w:t>
      </w:r>
      <w:r w:rsidRPr="00920262">
        <w:t xml:space="preserve">           </w:t>
      </w:r>
      <w:r w:rsidRPr="00920262">
        <w:rPr>
          <w:b/>
          <w:bCs/>
        </w:rPr>
        <w:t xml:space="preserve"> depending on COVID-19 restrictions</w:t>
      </w:r>
      <w:r w:rsidRPr="00920262">
        <w:rPr>
          <w:b/>
          <w:bCs/>
          <w:lang w:val="en-GB" w:eastAsia="es-ES"/>
        </w:rPr>
        <w:t>)</w:t>
      </w:r>
      <w:r w:rsidRPr="00463458">
        <w:rPr>
          <w:b/>
          <w:bCs/>
          <w:lang w:val="en-GB" w:eastAsia="es-ES"/>
        </w:rPr>
        <w:t xml:space="preserve"> </w:t>
      </w:r>
    </w:p>
    <w:p w14:paraId="7E71117C" w14:textId="77777777" w:rsidR="00000F9B" w:rsidRPr="00CC0AF7" w:rsidRDefault="00000F9B" w:rsidP="00D654A7">
      <w:pPr>
        <w:pStyle w:val="ListParagraph"/>
        <w:numPr>
          <w:ilvl w:val="0"/>
          <w:numId w:val="1"/>
        </w:numPr>
        <w:spacing w:before="600" w:after="240" w:line="240" w:lineRule="auto"/>
        <w:ind w:left="360"/>
        <w:contextualSpacing w:val="0"/>
        <w:rPr>
          <w:rFonts w:ascii="Myriad Pro" w:hAnsi="Myriad Pro"/>
          <w:b/>
          <w:bCs/>
          <w:sz w:val="26"/>
          <w:szCs w:val="26"/>
        </w:rPr>
      </w:pPr>
      <w:r w:rsidRPr="00CC0AF7">
        <w:rPr>
          <w:rFonts w:ascii="Myriad Pro" w:hAnsi="Myriad Pro"/>
          <w:b/>
          <w:bCs/>
          <w:sz w:val="26"/>
          <w:szCs w:val="26"/>
        </w:rPr>
        <w:t>INTRODUCTION</w:t>
      </w:r>
    </w:p>
    <w:p w14:paraId="138853DE" w14:textId="56207A01" w:rsidR="00000F9B" w:rsidRPr="00CB009F" w:rsidRDefault="00000F9B" w:rsidP="00D654A7">
      <w:pPr>
        <w:spacing w:after="0" w:line="240" w:lineRule="auto"/>
        <w:jc w:val="both"/>
        <w:rPr>
          <w:rFonts w:ascii="Myriad Pro" w:hAnsi="Myriad Pro"/>
          <w:color w:val="000000"/>
          <w:sz w:val="21"/>
          <w:szCs w:val="21"/>
        </w:rPr>
      </w:pPr>
      <w:r w:rsidRPr="00CB009F">
        <w:rPr>
          <w:rFonts w:ascii="Myriad Pro" w:hAnsi="Myriad Pro"/>
          <w:color w:val="000000"/>
          <w:sz w:val="21"/>
          <w:szCs w:val="21"/>
        </w:rPr>
        <w:t xml:space="preserve">In accordance with UNDP and GEF M&amp;E policies and procedures, all full- and medium-sized UNDP-supported GEF-financed projects are </w:t>
      </w:r>
      <w:r w:rsidRPr="001C3CBA">
        <w:rPr>
          <w:rFonts w:ascii="Myriad Pro" w:hAnsi="Myriad Pro"/>
          <w:color w:val="000000"/>
          <w:sz w:val="21"/>
          <w:szCs w:val="21"/>
        </w:rPr>
        <w:t>required to undergo a Terminal Evaluation (TE) at the end of the project. This Terms of Reference (</w:t>
      </w:r>
      <w:proofErr w:type="spellStart"/>
      <w:r w:rsidRPr="001C3CBA">
        <w:rPr>
          <w:rFonts w:ascii="Myriad Pro" w:hAnsi="Myriad Pro"/>
          <w:color w:val="000000"/>
          <w:sz w:val="21"/>
          <w:szCs w:val="21"/>
        </w:rPr>
        <w:t>ToR</w:t>
      </w:r>
      <w:proofErr w:type="spellEnd"/>
      <w:r w:rsidRPr="001C3CBA">
        <w:rPr>
          <w:rFonts w:ascii="Myriad Pro" w:hAnsi="Myriad Pro"/>
          <w:color w:val="000000"/>
          <w:sz w:val="21"/>
          <w:szCs w:val="21"/>
        </w:rPr>
        <w:t xml:space="preserve">) sets out the expectations for the TE of the full-sized project titled </w:t>
      </w:r>
      <w:r w:rsidR="001C3CBA" w:rsidRPr="001C3CBA">
        <w:rPr>
          <w:rFonts w:ascii="Myriad Pro" w:hAnsi="Myriad Pro"/>
          <w:color w:val="000000"/>
          <w:sz w:val="21"/>
          <w:szCs w:val="21"/>
        </w:rPr>
        <w:t>“</w:t>
      </w:r>
      <w:r w:rsidR="001C3CBA" w:rsidRPr="00C4289A">
        <w:rPr>
          <w:rFonts w:ascii="Myriad Pro" w:hAnsi="Myriad Pro"/>
          <w:b/>
          <w:bCs/>
          <w:color w:val="000000"/>
          <w:sz w:val="21"/>
          <w:szCs w:val="21"/>
        </w:rPr>
        <w:t xml:space="preserve">Elimination of obsolete pesticide stockpiles and addressing POPs contaminated sites within a sound chemicals management framework” </w:t>
      </w:r>
      <w:r w:rsidRPr="00C4289A">
        <w:rPr>
          <w:rFonts w:ascii="Myriad Pro" w:hAnsi="Myriad Pro"/>
          <w:b/>
          <w:bCs/>
          <w:color w:val="000000"/>
          <w:sz w:val="21"/>
          <w:szCs w:val="21"/>
        </w:rPr>
        <w:t>(PIMS #</w:t>
      </w:r>
      <w:r w:rsidR="001C3CBA" w:rsidRPr="00C4289A">
        <w:rPr>
          <w:rFonts w:ascii="Myriad Pro" w:hAnsi="Myriad Pro"/>
          <w:b/>
          <w:bCs/>
          <w:color w:val="000000"/>
          <w:sz w:val="21"/>
          <w:szCs w:val="21"/>
        </w:rPr>
        <w:t>4905</w:t>
      </w:r>
      <w:r w:rsidRPr="00C4289A">
        <w:rPr>
          <w:rFonts w:ascii="Myriad Pro" w:hAnsi="Myriad Pro"/>
          <w:b/>
          <w:bCs/>
          <w:color w:val="000000"/>
          <w:sz w:val="21"/>
          <w:szCs w:val="21"/>
        </w:rPr>
        <w:t>)</w:t>
      </w:r>
      <w:r w:rsidRPr="001C3CBA">
        <w:rPr>
          <w:rFonts w:ascii="Myriad Pro" w:hAnsi="Myriad Pro"/>
          <w:color w:val="000000"/>
          <w:sz w:val="21"/>
          <w:szCs w:val="21"/>
        </w:rPr>
        <w:t xml:space="preserve"> implemented</w:t>
      </w:r>
      <w:r w:rsidRPr="00CB009F">
        <w:rPr>
          <w:rFonts w:ascii="Myriad Pro" w:hAnsi="Myriad Pro"/>
          <w:color w:val="000000"/>
          <w:sz w:val="21"/>
          <w:szCs w:val="21"/>
        </w:rPr>
        <w:t xml:space="preserve"> through the</w:t>
      </w:r>
      <w:r w:rsidR="001C3CBA">
        <w:rPr>
          <w:rFonts w:ascii="Myriad Pro" w:hAnsi="Myriad Pro"/>
          <w:color w:val="000000"/>
          <w:sz w:val="21"/>
          <w:szCs w:val="21"/>
        </w:rPr>
        <w:t xml:space="preserve"> UNDP jointly with the </w:t>
      </w:r>
      <w:r w:rsidR="001C3CBA" w:rsidRPr="001C3CBA">
        <w:rPr>
          <w:rFonts w:ascii="Myriad Pro" w:hAnsi="Myriad Pro"/>
          <w:color w:val="000000"/>
          <w:sz w:val="21"/>
          <w:szCs w:val="21"/>
        </w:rPr>
        <w:t xml:space="preserve">Ministry of </w:t>
      </w:r>
      <w:r w:rsidR="001C3CBA">
        <w:rPr>
          <w:rFonts w:ascii="Myriad Pro" w:hAnsi="Myriad Pro"/>
          <w:color w:val="000000"/>
          <w:sz w:val="21"/>
          <w:szCs w:val="21"/>
        </w:rPr>
        <w:t>Environment</w:t>
      </w:r>
      <w:r w:rsidR="001C3CBA" w:rsidRPr="001C3CBA">
        <w:rPr>
          <w:rFonts w:ascii="Myriad Pro" w:hAnsi="Myriad Pro"/>
          <w:color w:val="000000"/>
          <w:sz w:val="21"/>
          <w:szCs w:val="21"/>
        </w:rPr>
        <w:t xml:space="preserve"> and the Ministry of Emergency Situations</w:t>
      </w:r>
      <w:r w:rsidR="001C3CBA">
        <w:rPr>
          <w:rFonts w:ascii="Myriad Pro" w:hAnsi="Myriad Pro"/>
          <w:color w:val="000000"/>
          <w:sz w:val="21"/>
          <w:szCs w:val="21"/>
        </w:rPr>
        <w:t>,</w:t>
      </w:r>
      <w:r w:rsidR="001C3CBA" w:rsidRPr="001C3CBA">
        <w:rPr>
          <w:rFonts w:ascii="Myriad Pro" w:hAnsi="Myriad Pro"/>
          <w:color w:val="000000"/>
          <w:sz w:val="21"/>
          <w:szCs w:val="21"/>
        </w:rPr>
        <w:t xml:space="preserve"> in partnership with the</w:t>
      </w:r>
      <w:r w:rsidR="00A24CA9">
        <w:rPr>
          <w:rFonts w:ascii="Myriad Pro" w:hAnsi="Myriad Pro"/>
          <w:color w:val="000000"/>
          <w:sz w:val="21"/>
          <w:szCs w:val="21"/>
        </w:rPr>
        <w:t xml:space="preserve"> staff of the</w:t>
      </w:r>
      <w:r w:rsidR="001C3CBA" w:rsidRPr="001C3CBA">
        <w:rPr>
          <w:rFonts w:ascii="Myriad Pro" w:hAnsi="Myriad Pro"/>
          <w:color w:val="000000"/>
          <w:sz w:val="21"/>
          <w:szCs w:val="21"/>
        </w:rPr>
        <w:t xml:space="preserve"> </w:t>
      </w:r>
      <w:r w:rsidR="001C3CBA">
        <w:rPr>
          <w:rFonts w:ascii="Myriad Pro" w:hAnsi="Myriad Pro"/>
          <w:color w:val="000000"/>
          <w:sz w:val="21"/>
          <w:szCs w:val="21"/>
        </w:rPr>
        <w:t xml:space="preserve">Deputy Prime Minister’s </w:t>
      </w:r>
      <w:r w:rsidR="00A24CA9">
        <w:rPr>
          <w:rFonts w:ascii="Myriad Pro" w:hAnsi="Myriad Pro"/>
          <w:color w:val="000000"/>
          <w:sz w:val="21"/>
          <w:szCs w:val="21"/>
        </w:rPr>
        <w:t>office</w:t>
      </w:r>
      <w:r w:rsidR="001C3CBA">
        <w:rPr>
          <w:rFonts w:ascii="Myriad Pro" w:hAnsi="Myriad Pro"/>
          <w:color w:val="000000"/>
          <w:sz w:val="21"/>
          <w:szCs w:val="21"/>
        </w:rPr>
        <w:t xml:space="preserve">, Ministry of Foreign Affairs of </w:t>
      </w:r>
      <w:r w:rsidR="001C3CBA" w:rsidRPr="001C3CBA">
        <w:rPr>
          <w:rFonts w:ascii="Myriad Pro" w:hAnsi="Myriad Pro"/>
          <w:color w:val="000000"/>
          <w:sz w:val="21"/>
          <w:szCs w:val="21"/>
        </w:rPr>
        <w:t>the Republic of Armenia</w:t>
      </w:r>
      <w:r w:rsidR="006078B0" w:rsidRPr="006078B0">
        <w:rPr>
          <w:rFonts w:ascii="Myriad Pro" w:hAnsi="Myriad Pro"/>
          <w:color w:val="000000"/>
          <w:sz w:val="21"/>
          <w:szCs w:val="21"/>
        </w:rPr>
        <w:t xml:space="preserve">, </w:t>
      </w:r>
      <w:r w:rsidR="006078B0">
        <w:rPr>
          <w:rFonts w:ascii="Myriad Pro" w:hAnsi="Myriad Pro"/>
          <w:color w:val="000000"/>
          <w:sz w:val="21"/>
          <w:szCs w:val="21"/>
        </w:rPr>
        <w:t>with other line ministries</w:t>
      </w:r>
      <w:r w:rsidR="001C3CBA" w:rsidRPr="001C3CBA">
        <w:rPr>
          <w:rFonts w:ascii="Myriad Pro" w:hAnsi="Myriad Pro"/>
          <w:color w:val="000000"/>
          <w:sz w:val="21"/>
          <w:szCs w:val="21"/>
        </w:rPr>
        <w:t xml:space="preserve"> and with Yerevan Municipality</w:t>
      </w:r>
      <w:r w:rsidRPr="00CB009F">
        <w:rPr>
          <w:rFonts w:ascii="Myriad Pro" w:hAnsi="Myriad Pro"/>
          <w:color w:val="000000"/>
          <w:sz w:val="21"/>
          <w:szCs w:val="21"/>
        </w:rPr>
        <w:t xml:space="preserve">. The project started on </w:t>
      </w:r>
      <w:r w:rsidR="00A24CA9" w:rsidRPr="006078B0">
        <w:rPr>
          <w:rFonts w:ascii="Myriad Pro" w:hAnsi="Myriad Pro"/>
          <w:color w:val="000000"/>
          <w:sz w:val="21"/>
          <w:szCs w:val="21"/>
        </w:rPr>
        <w:t xml:space="preserve">May 26, 2015 and </w:t>
      </w:r>
      <w:r w:rsidR="001D322C">
        <w:rPr>
          <w:rFonts w:ascii="Myriad Pro" w:hAnsi="Myriad Pro"/>
          <w:color w:val="000000"/>
          <w:sz w:val="21"/>
          <w:szCs w:val="21"/>
        </w:rPr>
        <w:t xml:space="preserve">is in </w:t>
      </w:r>
      <w:r w:rsidR="00786B96">
        <w:rPr>
          <w:rFonts w:ascii="Myriad Pro" w:hAnsi="Myriad Pro"/>
          <w:color w:val="000000"/>
          <w:sz w:val="21"/>
          <w:szCs w:val="21"/>
        </w:rPr>
        <w:t>its</w:t>
      </w:r>
      <w:r w:rsidR="00A24CA9" w:rsidRPr="006078B0">
        <w:rPr>
          <w:rFonts w:ascii="Myriad Pro" w:hAnsi="Myriad Pro"/>
          <w:color w:val="000000"/>
          <w:sz w:val="21"/>
          <w:szCs w:val="21"/>
        </w:rPr>
        <w:t xml:space="preserve"> sixth year of implementation</w:t>
      </w:r>
      <w:r w:rsidRPr="00CB009F">
        <w:rPr>
          <w:rFonts w:ascii="Myriad Pro" w:hAnsi="Myriad Pro"/>
          <w:color w:val="000000"/>
          <w:sz w:val="21"/>
          <w:szCs w:val="21"/>
        </w:rPr>
        <w:t xml:space="preserve">. The TE process must follow the guidance outlined in the document ‘Guidance </w:t>
      </w:r>
      <w:r w:rsidR="00B90CA6" w:rsidRPr="00CB009F">
        <w:rPr>
          <w:rFonts w:ascii="Myriad Pro" w:hAnsi="Myriad Pro"/>
          <w:color w:val="000000"/>
          <w:sz w:val="21"/>
          <w:szCs w:val="21"/>
        </w:rPr>
        <w:t>for</w:t>
      </w:r>
      <w:r w:rsidRPr="00CB009F">
        <w:rPr>
          <w:rFonts w:ascii="Myriad Pro" w:hAnsi="Myriad Pro"/>
          <w:color w:val="000000"/>
          <w:sz w:val="21"/>
          <w:szCs w:val="21"/>
        </w:rPr>
        <w:t xml:space="preserve"> Conducting Terminal Evaluations of UNDP-Supported, GEF-Financed Projects’ (</w:t>
      </w:r>
      <w:hyperlink r:id="rId11" w:history="1">
        <w:r w:rsidR="00A24CA9" w:rsidRPr="00265265">
          <w:rPr>
            <w:rStyle w:val="Hyperlink"/>
            <w:rFonts w:ascii="Myriad Pro" w:hAnsi="Myriad Pro"/>
            <w:sz w:val="21"/>
            <w:szCs w:val="21"/>
          </w:rPr>
          <w:t>http://web.undp.org/evaluation/guideline/documents/GEF/TE_GuidanceforUNDP-supportedGEF-financedProjects.pdf</w:t>
        </w:r>
      </w:hyperlink>
      <w:r w:rsidR="00A24CA9">
        <w:rPr>
          <w:rFonts w:ascii="Myriad Pro" w:hAnsi="Myriad Pro"/>
          <w:color w:val="000000"/>
          <w:sz w:val="21"/>
          <w:szCs w:val="21"/>
        </w:rPr>
        <w:t xml:space="preserve"> </w:t>
      </w:r>
      <w:r w:rsidRPr="00CB009F">
        <w:rPr>
          <w:rFonts w:ascii="Myriad Pro" w:hAnsi="Myriad Pro"/>
          <w:color w:val="000000"/>
          <w:sz w:val="21"/>
          <w:szCs w:val="21"/>
        </w:rPr>
        <w:t>).</w:t>
      </w:r>
    </w:p>
    <w:p w14:paraId="363DFC4A" w14:textId="5379C381" w:rsidR="00000F9B" w:rsidRPr="00006957" w:rsidRDefault="00000F9B" w:rsidP="00D654A7">
      <w:pPr>
        <w:pStyle w:val="ListParagraph"/>
        <w:numPr>
          <w:ilvl w:val="0"/>
          <w:numId w:val="1"/>
        </w:numPr>
        <w:spacing w:before="600" w:after="240" w:line="240" w:lineRule="auto"/>
        <w:ind w:left="360"/>
        <w:contextualSpacing w:val="0"/>
        <w:rPr>
          <w:b/>
          <w:sz w:val="30"/>
          <w:szCs w:val="30"/>
        </w:rPr>
      </w:pPr>
      <w:r w:rsidRPr="00CC0AF7">
        <w:rPr>
          <w:rFonts w:ascii="Myriad Pro" w:hAnsi="Myriad Pro"/>
          <w:b/>
          <w:bCs/>
          <w:sz w:val="26"/>
          <w:szCs w:val="26"/>
        </w:rPr>
        <w:t>PROJECT BACKGROUND AND CONTEXT</w:t>
      </w:r>
    </w:p>
    <w:p w14:paraId="741A4631" w14:textId="716F4677" w:rsidR="00FC77AD" w:rsidRDefault="00FC77AD" w:rsidP="006078B0">
      <w:pPr>
        <w:tabs>
          <w:tab w:val="left" w:pos="4680"/>
        </w:tabs>
        <w:jc w:val="both"/>
        <w:rPr>
          <w:rFonts w:ascii="Myriad Pro" w:hAnsi="Myriad Pro"/>
          <w:color w:val="000000"/>
          <w:sz w:val="21"/>
          <w:szCs w:val="21"/>
        </w:rPr>
      </w:pPr>
      <w:bookmarkStart w:id="3" w:name="_Hlk66357755"/>
      <w:r w:rsidRPr="006078B0">
        <w:rPr>
          <w:rFonts w:ascii="Myriad Pro" w:hAnsi="Myriad Pro"/>
          <w:color w:val="000000"/>
          <w:sz w:val="21"/>
          <w:szCs w:val="21"/>
        </w:rPr>
        <w:t xml:space="preserve">The objective of the project is to protect human health and the environment globally as well as locally through elimination of </w:t>
      </w:r>
      <w:r w:rsidR="000D3FC9">
        <w:rPr>
          <w:rFonts w:ascii="Myriad Pro" w:hAnsi="Myriad Pro"/>
          <w:color w:val="000000"/>
          <w:sz w:val="21"/>
          <w:szCs w:val="21"/>
        </w:rPr>
        <w:t>persistent organic pollutants</w:t>
      </w:r>
      <w:r w:rsidR="000D3FC9" w:rsidRPr="006078B0">
        <w:rPr>
          <w:rFonts w:ascii="Myriad Pro" w:hAnsi="Myriad Pro"/>
          <w:color w:val="000000"/>
          <w:sz w:val="21"/>
          <w:szCs w:val="21"/>
        </w:rPr>
        <w:t xml:space="preserve"> </w:t>
      </w:r>
      <w:r w:rsidR="00AD3B40">
        <w:rPr>
          <w:rFonts w:ascii="Myriad Pro" w:hAnsi="Myriad Pro"/>
          <w:color w:val="000000"/>
          <w:sz w:val="21"/>
          <w:szCs w:val="21"/>
        </w:rPr>
        <w:t>(</w:t>
      </w:r>
      <w:r w:rsidR="000D3FC9" w:rsidRPr="006078B0">
        <w:rPr>
          <w:rFonts w:ascii="Myriad Pro" w:hAnsi="Myriad Pro"/>
          <w:color w:val="000000"/>
          <w:sz w:val="21"/>
          <w:szCs w:val="21"/>
        </w:rPr>
        <w:t>POPs</w:t>
      </w:r>
      <w:r w:rsidR="00AD3B40">
        <w:rPr>
          <w:rFonts w:ascii="Myriad Pro" w:hAnsi="Myriad Pro"/>
          <w:color w:val="000000"/>
          <w:sz w:val="21"/>
          <w:szCs w:val="21"/>
        </w:rPr>
        <w:t xml:space="preserve">) </w:t>
      </w:r>
      <w:r w:rsidRPr="006078B0">
        <w:rPr>
          <w:rFonts w:ascii="Myriad Pro" w:hAnsi="Myriad Pro"/>
          <w:color w:val="000000"/>
          <w:sz w:val="21"/>
          <w:szCs w:val="21"/>
        </w:rPr>
        <w:t xml:space="preserve">and obsolete pesticide (OP) stockpiles and addressing associated contaminated sites within a sound chemical’s management framework. The project is directed jointly by the Ministry of Environment and the Ministry Emergency Situations in partnership with </w:t>
      </w:r>
      <w:r w:rsidR="00F70FD0">
        <w:rPr>
          <w:rFonts w:ascii="Myriad Pro" w:hAnsi="Myriad Pro"/>
          <w:color w:val="000000"/>
          <w:sz w:val="21"/>
          <w:szCs w:val="21"/>
        </w:rPr>
        <w:t xml:space="preserve">Yerevan </w:t>
      </w:r>
      <w:r w:rsidRPr="006078B0">
        <w:rPr>
          <w:rFonts w:ascii="Myriad Pro" w:hAnsi="Myriad Pro"/>
          <w:color w:val="000000"/>
          <w:sz w:val="21"/>
          <w:szCs w:val="21"/>
        </w:rPr>
        <w:t>Municipality</w:t>
      </w:r>
      <w:r w:rsidR="00297C71">
        <w:rPr>
          <w:rFonts w:ascii="Myriad Pro" w:hAnsi="Myriad Pro"/>
          <w:color w:val="000000"/>
          <w:sz w:val="21"/>
          <w:szCs w:val="21"/>
        </w:rPr>
        <w:t xml:space="preserve">, Ministry of Foreign Affairs, </w:t>
      </w:r>
      <w:r w:rsidRPr="006078B0">
        <w:rPr>
          <w:rFonts w:ascii="Myriad Pro" w:hAnsi="Myriad Pro"/>
          <w:color w:val="000000"/>
          <w:sz w:val="21"/>
          <w:szCs w:val="21"/>
        </w:rPr>
        <w:t>Ministry of Agriculture</w:t>
      </w:r>
      <w:r w:rsidR="00297C71">
        <w:rPr>
          <w:rFonts w:ascii="Myriad Pro" w:hAnsi="Myriad Pro"/>
          <w:color w:val="000000"/>
          <w:sz w:val="21"/>
          <w:szCs w:val="21"/>
        </w:rPr>
        <w:t>, Ministry of Health</w:t>
      </w:r>
      <w:r w:rsidRPr="006078B0">
        <w:rPr>
          <w:rFonts w:ascii="Myriad Pro" w:hAnsi="Myriad Pro"/>
          <w:color w:val="000000"/>
          <w:sz w:val="21"/>
          <w:szCs w:val="21"/>
        </w:rPr>
        <w:t xml:space="preserve">. </w:t>
      </w:r>
      <w:r w:rsidR="00232501">
        <w:rPr>
          <w:rFonts w:ascii="Myriad Pro" w:hAnsi="Myriad Pro"/>
          <w:color w:val="000000"/>
          <w:sz w:val="21"/>
          <w:szCs w:val="21"/>
        </w:rPr>
        <w:t xml:space="preserve">The project </w:t>
      </w:r>
      <w:r w:rsidR="00974433">
        <w:rPr>
          <w:rFonts w:ascii="Myriad Pro" w:hAnsi="Myriad Pro"/>
          <w:color w:val="000000"/>
          <w:sz w:val="21"/>
          <w:szCs w:val="21"/>
        </w:rPr>
        <w:t>was</w:t>
      </w:r>
      <w:r w:rsidR="000771B1">
        <w:rPr>
          <w:rFonts w:ascii="Myriad Pro" w:hAnsi="Myriad Pro"/>
          <w:color w:val="000000"/>
          <w:sz w:val="21"/>
          <w:szCs w:val="21"/>
        </w:rPr>
        <w:t xml:space="preserve"> </w:t>
      </w:r>
      <w:r w:rsidR="00DD0A7D">
        <w:rPr>
          <w:rFonts w:ascii="Myriad Pro" w:hAnsi="Myriad Pro"/>
          <w:color w:val="000000"/>
          <w:sz w:val="21"/>
          <w:szCs w:val="21"/>
        </w:rPr>
        <w:t>designed</w:t>
      </w:r>
      <w:r w:rsidR="00232501">
        <w:rPr>
          <w:rFonts w:ascii="Myriad Pro" w:hAnsi="Myriad Pro"/>
          <w:color w:val="000000"/>
          <w:sz w:val="21"/>
          <w:szCs w:val="21"/>
        </w:rPr>
        <w:t xml:space="preserve"> </w:t>
      </w:r>
      <w:r w:rsidR="00232501" w:rsidRPr="00232501">
        <w:rPr>
          <w:rFonts w:ascii="Myriad Pro" w:hAnsi="Myriad Pro"/>
          <w:color w:val="000000"/>
          <w:sz w:val="21"/>
          <w:szCs w:val="21"/>
        </w:rPr>
        <w:t xml:space="preserve">to </w:t>
      </w:r>
      <w:r w:rsidRPr="00232501">
        <w:rPr>
          <w:rFonts w:ascii="Myriad Pro" w:hAnsi="Myriad Pro"/>
          <w:color w:val="000000"/>
          <w:sz w:val="21"/>
          <w:szCs w:val="21"/>
        </w:rPr>
        <w:t>meet</w:t>
      </w:r>
      <w:r w:rsidRPr="006078B0">
        <w:rPr>
          <w:rFonts w:ascii="Myriad Pro" w:hAnsi="Myriad Pro"/>
          <w:color w:val="000000"/>
          <w:sz w:val="21"/>
          <w:szCs w:val="21"/>
        </w:rPr>
        <w:t xml:space="preserve"> this objective by eliminating a large POPs pesticide burial site that represents the major POPs stockpile and waste legacy for the country. In total, approximately 4,123 tons of POPs </w:t>
      </w:r>
      <w:r w:rsidRPr="000771B1">
        <w:rPr>
          <w:rFonts w:ascii="Myriad Pro" w:hAnsi="Myriad Pro"/>
          <w:color w:val="000000"/>
          <w:sz w:val="21"/>
          <w:szCs w:val="21"/>
        </w:rPr>
        <w:t>waste in the form of heavily contaminated soil, 1,0</w:t>
      </w:r>
      <w:r w:rsidR="00BC54AB" w:rsidRPr="000771B1">
        <w:rPr>
          <w:rFonts w:ascii="Myriad Pro" w:hAnsi="Myriad Pro"/>
          <w:color w:val="000000"/>
          <w:sz w:val="21"/>
          <w:szCs w:val="21"/>
        </w:rPr>
        <w:t>5</w:t>
      </w:r>
      <w:r w:rsidR="00297C71" w:rsidRPr="000771B1">
        <w:rPr>
          <w:rFonts w:ascii="Myriad Pro" w:hAnsi="Myriad Pro"/>
          <w:color w:val="000000"/>
          <w:sz w:val="21"/>
          <w:szCs w:val="21"/>
        </w:rPr>
        <w:t>2</w:t>
      </w:r>
      <w:r w:rsidRPr="000771B1">
        <w:rPr>
          <w:rFonts w:ascii="Myriad Pro" w:hAnsi="Myriad Pro"/>
          <w:color w:val="000000"/>
          <w:sz w:val="21"/>
          <w:szCs w:val="21"/>
        </w:rPr>
        <w:t xml:space="preserve"> tons of POPs pesticides and other obsolete pesticides </w:t>
      </w:r>
      <w:r w:rsidR="00AB5C96" w:rsidRPr="000771B1">
        <w:rPr>
          <w:rFonts w:ascii="Myriad Pro" w:hAnsi="Myriad Pro"/>
          <w:color w:val="000000"/>
          <w:sz w:val="21"/>
          <w:szCs w:val="21"/>
        </w:rPr>
        <w:t xml:space="preserve">needed to </w:t>
      </w:r>
      <w:r w:rsidRPr="000771B1">
        <w:rPr>
          <w:rFonts w:ascii="Myriad Pro" w:hAnsi="Myriad Pro"/>
          <w:color w:val="000000"/>
          <w:sz w:val="21"/>
          <w:szCs w:val="21"/>
        </w:rPr>
        <w:t xml:space="preserve">be recovered, </w:t>
      </w:r>
      <w:proofErr w:type="gramStart"/>
      <w:r w:rsidRPr="000771B1">
        <w:rPr>
          <w:rFonts w:ascii="Myriad Pro" w:hAnsi="Myriad Pro"/>
          <w:color w:val="000000"/>
          <w:sz w:val="21"/>
          <w:szCs w:val="21"/>
        </w:rPr>
        <w:t>secured</w:t>
      </w:r>
      <w:proofErr w:type="gramEnd"/>
      <w:r w:rsidRPr="000771B1">
        <w:rPr>
          <w:rFonts w:ascii="Myriad Pro" w:hAnsi="Myriad Pro"/>
          <w:color w:val="000000"/>
          <w:sz w:val="21"/>
          <w:szCs w:val="21"/>
        </w:rPr>
        <w:t xml:space="preserve"> and ultimately treated and destroyed in an environmentally sound manner. A further 8,500 tons</w:t>
      </w:r>
      <w:r w:rsidRPr="006078B0">
        <w:rPr>
          <w:rFonts w:ascii="Myriad Pro" w:hAnsi="Myriad Pro"/>
          <w:color w:val="000000"/>
          <w:sz w:val="21"/>
          <w:szCs w:val="21"/>
        </w:rPr>
        <w:t xml:space="preserve"> of less severely POPs </w:t>
      </w:r>
      <w:r w:rsidRPr="000771B1">
        <w:rPr>
          <w:rFonts w:ascii="Myriad Pro" w:hAnsi="Myriad Pro"/>
          <w:color w:val="000000"/>
          <w:sz w:val="21"/>
          <w:szCs w:val="21"/>
        </w:rPr>
        <w:t xml:space="preserve">contaminated soil </w:t>
      </w:r>
      <w:r w:rsidR="00AB5C96" w:rsidRPr="000771B1">
        <w:rPr>
          <w:rFonts w:ascii="Myriad Pro" w:hAnsi="Myriad Pro"/>
          <w:color w:val="000000"/>
          <w:sz w:val="21"/>
          <w:szCs w:val="21"/>
        </w:rPr>
        <w:t xml:space="preserve">was identified to </w:t>
      </w:r>
      <w:r w:rsidRPr="000771B1">
        <w:rPr>
          <w:rFonts w:ascii="Myriad Pro" w:hAnsi="Myriad Pro"/>
          <w:color w:val="000000"/>
          <w:sz w:val="21"/>
          <w:szCs w:val="21"/>
        </w:rPr>
        <w:t xml:space="preserve">be securely </w:t>
      </w:r>
      <w:r w:rsidRPr="000771B1">
        <w:rPr>
          <w:rFonts w:ascii="Myriad Pro" w:hAnsi="Myriad Pro"/>
          <w:color w:val="000000"/>
          <w:sz w:val="21"/>
          <w:szCs w:val="21"/>
        </w:rPr>
        <w:lastRenderedPageBreak/>
        <w:t xml:space="preserve">contained. Additionally, the project </w:t>
      </w:r>
      <w:r w:rsidR="00AB5C96" w:rsidRPr="000771B1">
        <w:rPr>
          <w:rFonts w:ascii="Myriad Pro" w:hAnsi="Myriad Pro"/>
          <w:color w:val="000000"/>
          <w:sz w:val="21"/>
          <w:szCs w:val="21"/>
        </w:rPr>
        <w:t xml:space="preserve">intended to </w:t>
      </w:r>
      <w:r w:rsidRPr="000771B1">
        <w:rPr>
          <w:rFonts w:ascii="Myriad Pro" w:hAnsi="Myriad Pro"/>
          <w:color w:val="000000"/>
          <w:sz w:val="21"/>
          <w:szCs w:val="21"/>
        </w:rPr>
        <w:t xml:space="preserve">provide critically needed hazardous waste infrastructure and national technical capability for the ongoing management of POPs and other chemical hazardous wastes as well as supporting the strengthening of institutional and regulatory capacity within </w:t>
      </w:r>
      <w:r w:rsidR="00203CE8">
        <w:rPr>
          <w:rFonts w:ascii="Myriad Pro" w:hAnsi="Myriad Pro"/>
          <w:color w:val="000000"/>
          <w:sz w:val="21"/>
          <w:szCs w:val="21"/>
        </w:rPr>
        <w:t xml:space="preserve">the </w:t>
      </w:r>
      <w:r w:rsidRPr="000771B1">
        <w:rPr>
          <w:rFonts w:ascii="Myriad Pro" w:hAnsi="Myriad Pro"/>
          <w:color w:val="000000"/>
          <w:sz w:val="21"/>
          <w:szCs w:val="21"/>
        </w:rPr>
        <w:t xml:space="preserve">overall chemicals’ management framework. </w:t>
      </w:r>
    </w:p>
    <w:p w14:paraId="313F5CC3" w14:textId="168FA65D" w:rsidR="00FC77AD" w:rsidRPr="000771B1" w:rsidRDefault="00FC77AD" w:rsidP="006078B0">
      <w:pPr>
        <w:tabs>
          <w:tab w:val="left" w:pos="4680"/>
        </w:tabs>
        <w:jc w:val="both"/>
        <w:rPr>
          <w:rFonts w:ascii="Myriad Pro" w:hAnsi="Myriad Pro"/>
          <w:color w:val="000000"/>
          <w:sz w:val="21"/>
          <w:szCs w:val="21"/>
        </w:rPr>
      </w:pPr>
      <w:r w:rsidRPr="000771B1">
        <w:rPr>
          <w:rFonts w:ascii="Myriad Pro" w:hAnsi="Myriad Pro"/>
          <w:color w:val="000000"/>
          <w:sz w:val="21"/>
          <w:szCs w:val="21"/>
        </w:rPr>
        <w:t>The project objective</w:t>
      </w:r>
      <w:r w:rsidR="00AB5C96" w:rsidRPr="000771B1">
        <w:rPr>
          <w:rFonts w:ascii="Myriad Pro" w:hAnsi="Myriad Pro"/>
          <w:color w:val="000000"/>
          <w:sz w:val="21"/>
          <w:szCs w:val="21"/>
        </w:rPr>
        <w:t xml:space="preserve"> was planned to </w:t>
      </w:r>
      <w:r w:rsidRPr="000771B1">
        <w:rPr>
          <w:rFonts w:ascii="Myriad Pro" w:hAnsi="Myriad Pro"/>
          <w:color w:val="000000"/>
          <w:sz w:val="21"/>
          <w:szCs w:val="21"/>
        </w:rPr>
        <w:t xml:space="preserve">be achieved through the four main components: </w:t>
      </w:r>
    </w:p>
    <w:p w14:paraId="66D6807A" w14:textId="77777777" w:rsidR="00FC77AD" w:rsidRPr="006078B0" w:rsidRDefault="00FC77AD" w:rsidP="006078B0">
      <w:pPr>
        <w:tabs>
          <w:tab w:val="left" w:pos="900"/>
        </w:tabs>
        <w:spacing w:before="120" w:after="120" w:line="240" w:lineRule="auto"/>
        <w:ind w:left="1440" w:hanging="1440"/>
        <w:jc w:val="both"/>
        <w:rPr>
          <w:rFonts w:ascii="Myriad Pro" w:hAnsi="Myriad Pro"/>
          <w:color w:val="000000"/>
          <w:sz w:val="21"/>
          <w:szCs w:val="21"/>
        </w:rPr>
      </w:pPr>
      <w:r w:rsidRPr="000771B1">
        <w:rPr>
          <w:rFonts w:ascii="Myriad Pro" w:hAnsi="Myriad Pro"/>
          <w:b/>
          <w:bCs/>
          <w:color w:val="000000"/>
          <w:sz w:val="21"/>
          <w:szCs w:val="21"/>
        </w:rPr>
        <w:t>Component 1:</w:t>
      </w:r>
      <w:r w:rsidRPr="000771B1">
        <w:rPr>
          <w:rFonts w:ascii="Myriad Pro" w:hAnsi="Myriad Pro"/>
          <w:color w:val="000000"/>
          <w:sz w:val="21"/>
          <w:szCs w:val="21"/>
        </w:rPr>
        <w:t xml:space="preserve"> Capture and Containment of</w:t>
      </w:r>
      <w:r w:rsidRPr="006078B0">
        <w:rPr>
          <w:rFonts w:ascii="Myriad Pro" w:hAnsi="Myriad Pro"/>
          <w:color w:val="000000"/>
          <w:sz w:val="21"/>
          <w:szCs w:val="21"/>
        </w:rPr>
        <w:t xml:space="preserve"> Obsolete Pesticide Stockpiles and Wastes</w:t>
      </w:r>
      <w:r w:rsidRPr="006078B0">
        <w:rPr>
          <w:rFonts w:ascii="Myriad Pro" w:hAnsi="Myriad Pro"/>
          <w:color w:val="000000"/>
          <w:sz w:val="21"/>
          <w:szCs w:val="21"/>
        </w:rPr>
        <w:tab/>
      </w:r>
    </w:p>
    <w:p w14:paraId="4E0BA7C7" w14:textId="77777777" w:rsidR="00FC77AD" w:rsidRPr="006078B0" w:rsidRDefault="00FC77AD" w:rsidP="006078B0">
      <w:pPr>
        <w:tabs>
          <w:tab w:val="left" w:pos="900"/>
        </w:tabs>
        <w:spacing w:before="120" w:after="120" w:line="240" w:lineRule="auto"/>
        <w:ind w:left="1440" w:hanging="1440"/>
        <w:jc w:val="both"/>
        <w:rPr>
          <w:rFonts w:ascii="Myriad Pro" w:hAnsi="Myriad Pro"/>
          <w:color w:val="000000"/>
          <w:sz w:val="21"/>
          <w:szCs w:val="21"/>
        </w:rPr>
      </w:pPr>
      <w:r w:rsidRPr="006078B0">
        <w:rPr>
          <w:rFonts w:ascii="Myriad Pro" w:hAnsi="Myriad Pro"/>
          <w:b/>
          <w:bCs/>
          <w:color w:val="000000"/>
          <w:sz w:val="21"/>
          <w:szCs w:val="21"/>
        </w:rPr>
        <w:t>Component 2:</w:t>
      </w:r>
      <w:r w:rsidRPr="006078B0">
        <w:rPr>
          <w:rFonts w:ascii="Myriad Pro" w:hAnsi="Myriad Pro"/>
          <w:color w:val="000000"/>
          <w:sz w:val="21"/>
          <w:szCs w:val="21"/>
        </w:rPr>
        <w:t xml:space="preserve"> Obsolete Pesticide and POPs Waste Elimination</w:t>
      </w:r>
      <w:r w:rsidRPr="006078B0">
        <w:rPr>
          <w:rFonts w:ascii="Myriad Pro" w:hAnsi="Myriad Pro"/>
          <w:color w:val="000000"/>
          <w:sz w:val="21"/>
          <w:szCs w:val="21"/>
        </w:rPr>
        <w:tab/>
      </w:r>
    </w:p>
    <w:p w14:paraId="303066DE" w14:textId="77777777" w:rsidR="00FC77AD" w:rsidRPr="006078B0" w:rsidRDefault="00FC77AD" w:rsidP="006078B0">
      <w:pPr>
        <w:tabs>
          <w:tab w:val="left" w:pos="900"/>
        </w:tabs>
        <w:spacing w:before="120" w:after="120" w:line="240" w:lineRule="auto"/>
        <w:ind w:left="1440" w:hanging="1440"/>
        <w:jc w:val="both"/>
        <w:rPr>
          <w:rFonts w:ascii="Myriad Pro" w:hAnsi="Myriad Pro"/>
          <w:color w:val="000000"/>
          <w:sz w:val="21"/>
          <w:szCs w:val="21"/>
        </w:rPr>
      </w:pPr>
      <w:r w:rsidRPr="006078B0">
        <w:rPr>
          <w:rFonts w:ascii="Myriad Pro" w:hAnsi="Myriad Pro"/>
          <w:b/>
          <w:bCs/>
          <w:color w:val="000000"/>
          <w:sz w:val="21"/>
          <w:szCs w:val="21"/>
        </w:rPr>
        <w:t>Component 3:</w:t>
      </w:r>
      <w:r w:rsidRPr="006078B0">
        <w:rPr>
          <w:rFonts w:ascii="Myriad Pro" w:hAnsi="Myriad Pro"/>
          <w:color w:val="000000"/>
          <w:sz w:val="21"/>
          <w:szCs w:val="21"/>
        </w:rPr>
        <w:t xml:space="preserve"> Institutional and Regulatory Capacity Strengthening for Sound Chemicals management and Contaminated Sites</w:t>
      </w:r>
      <w:r w:rsidRPr="006078B0">
        <w:rPr>
          <w:rFonts w:ascii="Myriad Pro" w:hAnsi="Myriad Pro"/>
          <w:color w:val="000000"/>
          <w:sz w:val="21"/>
          <w:szCs w:val="21"/>
        </w:rPr>
        <w:tab/>
      </w:r>
    </w:p>
    <w:p w14:paraId="4BE729DD" w14:textId="77777777" w:rsidR="00FC77AD" w:rsidRPr="006078B0" w:rsidRDefault="00FC77AD" w:rsidP="006078B0">
      <w:pPr>
        <w:tabs>
          <w:tab w:val="left" w:pos="900"/>
        </w:tabs>
        <w:spacing w:before="120" w:after="120" w:line="240" w:lineRule="auto"/>
        <w:ind w:left="1440" w:hanging="1440"/>
        <w:jc w:val="both"/>
        <w:rPr>
          <w:rFonts w:ascii="Myriad Pro" w:hAnsi="Myriad Pro"/>
          <w:color w:val="000000"/>
          <w:sz w:val="21"/>
          <w:szCs w:val="21"/>
        </w:rPr>
      </w:pPr>
      <w:r w:rsidRPr="006078B0">
        <w:rPr>
          <w:rFonts w:ascii="Myriad Pro" w:hAnsi="Myriad Pro"/>
          <w:b/>
          <w:bCs/>
          <w:color w:val="000000"/>
          <w:sz w:val="21"/>
          <w:szCs w:val="21"/>
        </w:rPr>
        <w:t>Component 4:</w:t>
      </w:r>
      <w:r w:rsidRPr="006078B0">
        <w:rPr>
          <w:rFonts w:ascii="Myriad Pro" w:hAnsi="Myriad Pro"/>
          <w:color w:val="000000"/>
          <w:sz w:val="21"/>
          <w:szCs w:val="21"/>
        </w:rPr>
        <w:t xml:space="preserve"> Project Monitoring and Evaluation</w:t>
      </w:r>
    </w:p>
    <w:p w14:paraId="67AB6147" w14:textId="77777777" w:rsidR="00A803F4" w:rsidRPr="006A14C1" w:rsidRDefault="00A803F4" w:rsidP="00442020">
      <w:pPr>
        <w:tabs>
          <w:tab w:val="left" w:pos="4680"/>
        </w:tabs>
        <w:spacing w:before="480" w:after="120"/>
        <w:jc w:val="both"/>
        <w:rPr>
          <w:rFonts w:ascii="Myriad Pro" w:hAnsi="Myriad Pro" w:cs="Times New Roman"/>
          <w:color w:val="000000"/>
          <w:sz w:val="21"/>
          <w:szCs w:val="21"/>
        </w:rPr>
      </w:pPr>
      <w:r w:rsidRPr="006A14C1">
        <w:rPr>
          <w:rFonts w:ascii="Myriad Pro" w:hAnsi="Myriad Pro" w:cs="Times New Roman"/>
          <w:color w:val="000000"/>
          <w:sz w:val="21"/>
          <w:szCs w:val="21"/>
        </w:rPr>
        <w:t>The project contributes to:</w:t>
      </w:r>
    </w:p>
    <w:p w14:paraId="34BFCF03" w14:textId="77777777" w:rsidR="00A803F4" w:rsidRPr="006A14C1" w:rsidRDefault="00A803F4" w:rsidP="00442020">
      <w:pPr>
        <w:pStyle w:val="ListParagraph"/>
        <w:numPr>
          <w:ilvl w:val="0"/>
          <w:numId w:val="20"/>
        </w:numPr>
        <w:spacing w:before="120" w:after="120"/>
        <w:ind w:left="360"/>
        <w:contextualSpacing w:val="0"/>
        <w:jc w:val="both"/>
        <w:rPr>
          <w:rFonts w:ascii="Myriad Pro" w:hAnsi="Myriad Pro" w:cs="Times New Roman"/>
          <w:color w:val="000000"/>
          <w:sz w:val="21"/>
          <w:szCs w:val="21"/>
        </w:rPr>
      </w:pPr>
      <w:r w:rsidRPr="006A14C1">
        <w:rPr>
          <w:rFonts w:ascii="Myriad Pro" w:hAnsi="Myriad Pro" w:cs="Times New Roman"/>
          <w:b/>
          <w:bCs/>
          <w:color w:val="000000"/>
          <w:sz w:val="21"/>
          <w:szCs w:val="21"/>
        </w:rPr>
        <w:t>UNDAF Outcome 7 and CP Outcome 4 (13), CPAP Output 1.3</w:t>
      </w:r>
      <w:r w:rsidRPr="00C621BE">
        <w:rPr>
          <w:rFonts w:ascii="Calibri" w:hAnsi="Calibri" w:cs="Calibri"/>
          <w:bCs/>
        </w:rPr>
        <w:t>: “</w:t>
      </w:r>
      <w:r w:rsidRPr="006A14C1">
        <w:rPr>
          <w:rFonts w:ascii="Myriad Pro" w:hAnsi="Myriad Pro" w:cs="Times New Roman"/>
          <w:color w:val="000000"/>
          <w:sz w:val="21"/>
          <w:szCs w:val="21"/>
        </w:rPr>
        <w:t>By 2020, sustainable development principles and good practices for environmental sustainability resilience building, climate change adaptation and mitigation, and green economy are introduced and applied”.</w:t>
      </w:r>
    </w:p>
    <w:p w14:paraId="3D758759" w14:textId="77777777" w:rsidR="00A803F4" w:rsidRPr="006A14C1" w:rsidRDefault="00A803F4" w:rsidP="008B7B77">
      <w:pPr>
        <w:pStyle w:val="ListParagraph"/>
        <w:numPr>
          <w:ilvl w:val="0"/>
          <w:numId w:val="20"/>
        </w:numPr>
        <w:spacing w:before="240" w:after="120"/>
        <w:ind w:left="360"/>
        <w:contextualSpacing w:val="0"/>
        <w:jc w:val="both"/>
        <w:rPr>
          <w:rFonts w:ascii="Myriad Pro" w:hAnsi="Myriad Pro" w:cs="Times New Roman"/>
          <w:color w:val="000000"/>
          <w:sz w:val="21"/>
          <w:szCs w:val="21"/>
        </w:rPr>
      </w:pPr>
      <w:r w:rsidRPr="006A14C1">
        <w:rPr>
          <w:rFonts w:ascii="Myriad Pro" w:hAnsi="Myriad Pro" w:cs="Times New Roman"/>
          <w:b/>
          <w:bCs/>
          <w:color w:val="000000"/>
          <w:sz w:val="21"/>
          <w:szCs w:val="21"/>
        </w:rPr>
        <w:t>Strategic Plan 2018-21 Outcome 1:</w:t>
      </w:r>
      <w:r w:rsidRPr="00C621BE">
        <w:rPr>
          <w:rFonts w:ascii="Calibri" w:hAnsi="Calibri" w:cs="Calibri"/>
        </w:rPr>
        <w:t xml:space="preserve"> </w:t>
      </w:r>
      <w:r w:rsidRPr="006A14C1">
        <w:rPr>
          <w:rFonts w:ascii="Myriad Pro" w:hAnsi="Myriad Pro" w:cs="Times New Roman"/>
          <w:color w:val="000000"/>
          <w:sz w:val="21"/>
          <w:szCs w:val="21"/>
        </w:rPr>
        <w:t xml:space="preserve">Advance poverty eradication in all its forms and dimensions </w:t>
      </w:r>
    </w:p>
    <w:p w14:paraId="60D63254" w14:textId="77777777" w:rsidR="00A803F4" w:rsidRPr="006A14C1" w:rsidRDefault="00A803F4" w:rsidP="00A803F4">
      <w:pPr>
        <w:spacing w:before="120" w:after="120"/>
        <w:ind w:left="360"/>
        <w:jc w:val="both"/>
        <w:rPr>
          <w:rFonts w:ascii="Myriad Pro" w:hAnsi="Myriad Pro" w:cs="Times New Roman"/>
          <w:color w:val="000000"/>
          <w:sz w:val="21"/>
          <w:szCs w:val="21"/>
        </w:rPr>
      </w:pPr>
      <w:r w:rsidRPr="006A14C1">
        <w:rPr>
          <w:rFonts w:ascii="Myriad Pro" w:hAnsi="Myriad Pro" w:cs="Times New Roman"/>
          <w:b/>
          <w:bCs/>
          <w:color w:val="000000"/>
          <w:sz w:val="21"/>
          <w:szCs w:val="21"/>
        </w:rPr>
        <w:t>Output: 1.4.1.</w:t>
      </w:r>
      <w:r w:rsidRPr="00C621BE">
        <w:rPr>
          <w:rFonts w:ascii="Calibri" w:hAnsi="Calibri" w:cs="Calibri"/>
          <w:color w:val="000000"/>
        </w:rPr>
        <w:t xml:space="preserve"> </w:t>
      </w:r>
      <w:r w:rsidRPr="006A14C1">
        <w:rPr>
          <w:rFonts w:ascii="Myriad Pro" w:hAnsi="Myriad Pro" w:cs="Times New Roman"/>
          <w:color w:val="000000"/>
          <w:sz w:val="21"/>
          <w:szCs w:val="21"/>
        </w:rPr>
        <w:t>Solutions scaled up for sustainable management of natural resources, including sustainable commodities and green and inclusive value chains.</w:t>
      </w:r>
    </w:p>
    <w:p w14:paraId="1455A7EB" w14:textId="77777777" w:rsidR="00A803F4" w:rsidRPr="006A14C1" w:rsidRDefault="00A803F4" w:rsidP="00D535B5">
      <w:pPr>
        <w:spacing w:before="360" w:after="120"/>
        <w:rPr>
          <w:rFonts w:ascii="Myriad Pro" w:hAnsi="Myriad Pro" w:cs="Times New Roman"/>
          <w:color w:val="000000"/>
          <w:sz w:val="21"/>
          <w:szCs w:val="21"/>
        </w:rPr>
      </w:pPr>
      <w:r w:rsidRPr="006A14C1">
        <w:rPr>
          <w:rFonts w:ascii="Myriad Pro" w:hAnsi="Myriad Pro" w:cs="Times New Roman"/>
          <w:color w:val="000000"/>
          <w:sz w:val="21"/>
          <w:szCs w:val="21"/>
        </w:rPr>
        <w:t xml:space="preserve">The project contributes to the following </w:t>
      </w:r>
      <w:r w:rsidRPr="006A14C1">
        <w:rPr>
          <w:rFonts w:ascii="Myriad Pro" w:hAnsi="Myriad Pro" w:cs="Times New Roman"/>
          <w:b/>
          <w:bCs/>
          <w:color w:val="000000"/>
          <w:sz w:val="21"/>
          <w:szCs w:val="21"/>
        </w:rPr>
        <w:t>SDGs</w:t>
      </w:r>
      <w:r w:rsidRPr="006A14C1">
        <w:rPr>
          <w:rFonts w:ascii="Myriad Pro" w:hAnsi="Myriad Pro" w:cs="Times New Roman"/>
          <w:color w:val="000000"/>
          <w:sz w:val="21"/>
          <w:szCs w:val="21"/>
        </w:rPr>
        <w:t xml:space="preserve">:   </w:t>
      </w:r>
    </w:p>
    <w:p w14:paraId="3517AF53" w14:textId="77777777" w:rsidR="00A803F4" w:rsidRPr="006A14C1" w:rsidRDefault="00412BC5" w:rsidP="00442020">
      <w:pPr>
        <w:spacing w:before="120" w:after="120"/>
        <w:ind w:left="360"/>
        <w:jc w:val="both"/>
        <w:rPr>
          <w:rFonts w:ascii="Myriad Pro" w:hAnsi="Myriad Pro" w:cs="Times New Roman"/>
          <w:color w:val="000000"/>
          <w:sz w:val="21"/>
          <w:szCs w:val="21"/>
        </w:rPr>
      </w:pPr>
      <w:hyperlink r:id="rId12" w:history="1">
        <w:r w:rsidR="00A803F4" w:rsidRPr="006A14C1">
          <w:rPr>
            <w:rFonts w:ascii="Myriad Pro" w:hAnsi="Myriad Pro" w:cs="Times New Roman"/>
            <w:color w:val="000000"/>
            <w:sz w:val="21"/>
            <w:szCs w:val="21"/>
          </w:rPr>
          <w:t xml:space="preserve">Goal   9: Industry, </w:t>
        </w:r>
        <w:proofErr w:type="gramStart"/>
        <w:r w:rsidR="00A803F4" w:rsidRPr="006A14C1">
          <w:rPr>
            <w:rFonts w:ascii="Myriad Pro" w:hAnsi="Myriad Pro" w:cs="Times New Roman"/>
            <w:color w:val="000000"/>
            <w:sz w:val="21"/>
            <w:szCs w:val="21"/>
          </w:rPr>
          <w:t>Innovation</w:t>
        </w:r>
        <w:proofErr w:type="gramEnd"/>
        <w:r w:rsidR="00A803F4" w:rsidRPr="006A14C1">
          <w:rPr>
            <w:rFonts w:ascii="Myriad Pro" w:hAnsi="Myriad Pro" w:cs="Times New Roman"/>
            <w:color w:val="000000"/>
            <w:sz w:val="21"/>
            <w:szCs w:val="21"/>
          </w:rPr>
          <w:t xml:space="preserve"> and Infrastructure</w:t>
        </w:r>
      </w:hyperlink>
    </w:p>
    <w:p w14:paraId="68ADCB88" w14:textId="77777777" w:rsidR="00A803F4" w:rsidRPr="006A14C1" w:rsidRDefault="00412BC5" w:rsidP="00442020">
      <w:pPr>
        <w:spacing w:before="120" w:after="120"/>
        <w:ind w:left="360"/>
        <w:jc w:val="both"/>
        <w:rPr>
          <w:rFonts w:ascii="Myriad Pro" w:hAnsi="Myriad Pro" w:cs="Times New Roman"/>
          <w:color w:val="000000"/>
          <w:sz w:val="21"/>
          <w:szCs w:val="21"/>
        </w:rPr>
      </w:pPr>
      <w:hyperlink r:id="rId13" w:history="1">
        <w:r w:rsidR="00A803F4" w:rsidRPr="006A14C1">
          <w:rPr>
            <w:rFonts w:ascii="Myriad Pro" w:hAnsi="Myriad Pro" w:cs="Times New Roman"/>
            <w:color w:val="000000"/>
            <w:sz w:val="21"/>
            <w:szCs w:val="21"/>
          </w:rPr>
          <w:t>Goal 11: Sustainable Cities and Communities</w:t>
        </w:r>
      </w:hyperlink>
    </w:p>
    <w:p w14:paraId="0BC290C3" w14:textId="3B0B7F2F" w:rsidR="009F591C" w:rsidRDefault="00412BC5" w:rsidP="00442020">
      <w:pPr>
        <w:spacing w:before="120" w:after="120"/>
        <w:ind w:left="360"/>
        <w:jc w:val="both"/>
        <w:rPr>
          <w:rFonts w:ascii="Myriad Pro" w:hAnsi="Myriad Pro" w:cs="Times New Roman"/>
          <w:b/>
          <w:bCs/>
          <w:color w:val="000000"/>
          <w:sz w:val="21"/>
          <w:szCs w:val="21"/>
        </w:rPr>
      </w:pPr>
      <w:hyperlink r:id="rId14" w:history="1">
        <w:r w:rsidR="00A803F4" w:rsidRPr="006A14C1">
          <w:rPr>
            <w:rFonts w:ascii="Myriad Pro" w:hAnsi="Myriad Pro" w:cs="Times New Roman"/>
            <w:b/>
            <w:bCs/>
            <w:color w:val="000000"/>
            <w:sz w:val="21"/>
            <w:szCs w:val="21"/>
          </w:rPr>
          <w:t xml:space="preserve">Goal 12: </w:t>
        </w:r>
        <w:r w:rsidR="00A803F4" w:rsidRPr="009F591C">
          <w:rPr>
            <w:rFonts w:ascii="Myriad Pro" w:hAnsi="Myriad Pro" w:cs="Times New Roman"/>
            <w:b/>
            <w:bCs/>
            <w:color w:val="000000"/>
            <w:sz w:val="21"/>
            <w:szCs w:val="21"/>
          </w:rPr>
          <w:t>Responsible</w:t>
        </w:r>
        <w:r w:rsidR="00A803F4" w:rsidRPr="006A14C1">
          <w:rPr>
            <w:rFonts w:ascii="Myriad Pro" w:hAnsi="Myriad Pro" w:cs="Times New Roman"/>
            <w:b/>
            <w:bCs/>
            <w:color w:val="000000"/>
            <w:sz w:val="21"/>
            <w:szCs w:val="21"/>
          </w:rPr>
          <w:t xml:space="preserve"> Consumption and Production</w:t>
        </w:r>
      </w:hyperlink>
    </w:p>
    <w:p w14:paraId="32636894" w14:textId="3D9267B0" w:rsidR="00442020" w:rsidRDefault="00442020" w:rsidP="00442020">
      <w:pPr>
        <w:spacing w:after="0"/>
        <w:jc w:val="both"/>
        <w:rPr>
          <w:rFonts w:ascii="Myriad Pro" w:hAnsi="Myriad Pro" w:cs="Times New Roman"/>
          <w:b/>
          <w:bCs/>
          <w:color w:val="000000"/>
          <w:sz w:val="21"/>
          <w:szCs w:val="21"/>
        </w:rPr>
      </w:pPr>
    </w:p>
    <w:p w14:paraId="53191813" w14:textId="77777777" w:rsidR="00442020" w:rsidRPr="0098023E" w:rsidRDefault="00442020" w:rsidP="00442020">
      <w:pPr>
        <w:tabs>
          <w:tab w:val="left" w:pos="4680"/>
        </w:tabs>
        <w:spacing w:before="120" w:after="120"/>
        <w:jc w:val="both"/>
        <w:rPr>
          <w:rFonts w:ascii="Myriad Pro" w:hAnsi="Myriad Pro"/>
          <w:color w:val="000000"/>
          <w:sz w:val="21"/>
          <w:szCs w:val="21"/>
        </w:rPr>
      </w:pPr>
      <w:r w:rsidRPr="0098023E">
        <w:rPr>
          <w:rFonts w:ascii="Myriad Pro" w:hAnsi="Myriad Pro"/>
          <w:color w:val="000000"/>
          <w:sz w:val="21"/>
          <w:szCs w:val="21"/>
        </w:rPr>
        <w:t xml:space="preserve">The project runs on allocations of 4,700,000 USD from GEF and additional input of 200,000 USD from UNDP and committed 16,020,000 USD as in-kind and cash co-financing of contributions from the Government of the Republic of Armenia. </w:t>
      </w:r>
    </w:p>
    <w:p w14:paraId="04BD8532" w14:textId="77777777" w:rsidR="00442020" w:rsidRDefault="00442020" w:rsidP="00442020">
      <w:pPr>
        <w:tabs>
          <w:tab w:val="left" w:pos="4680"/>
        </w:tabs>
        <w:spacing w:before="120" w:after="120"/>
        <w:jc w:val="both"/>
        <w:rPr>
          <w:rFonts w:ascii="Myriad Pro" w:hAnsi="Myriad Pro"/>
          <w:color w:val="000000"/>
          <w:sz w:val="21"/>
          <w:szCs w:val="21"/>
        </w:rPr>
      </w:pPr>
      <w:r w:rsidRPr="0098023E">
        <w:rPr>
          <w:rFonts w:ascii="Myriad Pro" w:hAnsi="Myriad Pro"/>
          <w:color w:val="000000"/>
          <w:sz w:val="21"/>
          <w:szCs w:val="21"/>
        </w:rPr>
        <w:t>The Project Management Board is responsible for making consensus-</w:t>
      </w:r>
      <w:r w:rsidRPr="000771B1">
        <w:rPr>
          <w:rFonts w:ascii="Myriad Pro" w:hAnsi="Myriad Pro"/>
          <w:color w:val="000000"/>
          <w:sz w:val="21"/>
          <w:szCs w:val="21"/>
        </w:rPr>
        <w:t xml:space="preserve">based decisions, </w:t>
      </w:r>
      <w:proofErr w:type="gramStart"/>
      <w:r w:rsidRPr="000771B1">
        <w:rPr>
          <w:rFonts w:ascii="Myriad Pro" w:hAnsi="Myriad Pro"/>
          <w:color w:val="000000"/>
          <w:sz w:val="21"/>
          <w:szCs w:val="21"/>
        </w:rPr>
        <w:t>in particular when</w:t>
      </w:r>
      <w:proofErr w:type="gramEnd"/>
      <w:r w:rsidRPr="000771B1">
        <w:rPr>
          <w:rFonts w:ascii="Myriad Pro" w:hAnsi="Myriad Pro"/>
          <w:color w:val="000000"/>
          <w:sz w:val="21"/>
          <w:szCs w:val="21"/>
        </w:rPr>
        <w:t xml:space="preserve"> guidance is required by the Project Coordinator (PC). The Board played a</w:t>
      </w:r>
      <w:r w:rsidRPr="0098023E">
        <w:rPr>
          <w:rFonts w:ascii="Myriad Pro" w:hAnsi="Myriad Pro"/>
          <w:color w:val="000000"/>
          <w:sz w:val="21"/>
          <w:szCs w:val="21"/>
        </w:rPr>
        <w:t xml:space="preserve"> critical role in project monitoring and evaluations by assuring the quality of these processes and associated products, and by using evaluations for improving performance, </w:t>
      </w:r>
      <w:proofErr w:type="gramStart"/>
      <w:r w:rsidRPr="0098023E">
        <w:rPr>
          <w:rFonts w:ascii="Myriad Pro" w:hAnsi="Myriad Pro"/>
          <w:color w:val="000000"/>
          <w:sz w:val="21"/>
          <w:szCs w:val="21"/>
        </w:rPr>
        <w:t>accountability</w:t>
      </w:r>
      <w:proofErr w:type="gramEnd"/>
      <w:r w:rsidRPr="0098023E">
        <w:rPr>
          <w:rFonts w:ascii="Myriad Pro" w:hAnsi="Myriad Pro"/>
          <w:color w:val="000000"/>
          <w:sz w:val="21"/>
          <w:szCs w:val="21"/>
        </w:rPr>
        <w:t xml:space="preserve"> and learning. The Project Management Board includes </w:t>
      </w:r>
      <w:r>
        <w:rPr>
          <w:rFonts w:ascii="Myriad Pro" w:hAnsi="Myriad Pro"/>
          <w:color w:val="000000"/>
          <w:sz w:val="21"/>
          <w:szCs w:val="21"/>
        </w:rPr>
        <w:t xml:space="preserve">the </w:t>
      </w:r>
      <w:r w:rsidRPr="0098023E">
        <w:rPr>
          <w:rFonts w:ascii="Myriad Pro" w:hAnsi="Myriad Pro"/>
          <w:color w:val="000000"/>
          <w:sz w:val="21"/>
          <w:szCs w:val="21"/>
        </w:rPr>
        <w:t xml:space="preserve">key national government agencies as followings: Republic of Armenia </w:t>
      </w:r>
      <w:r>
        <w:rPr>
          <w:rFonts w:ascii="Myriad Pro" w:hAnsi="Myriad Pro"/>
          <w:color w:val="000000"/>
          <w:sz w:val="21"/>
          <w:szCs w:val="21"/>
        </w:rPr>
        <w:t>Deputy Prime Minister’s Office</w:t>
      </w:r>
      <w:r w:rsidRPr="0098023E">
        <w:rPr>
          <w:rFonts w:ascii="Myriad Pro" w:hAnsi="Myriad Pro"/>
          <w:color w:val="000000"/>
          <w:sz w:val="21"/>
          <w:szCs w:val="21"/>
        </w:rPr>
        <w:t xml:space="preserve">, Ministry of </w:t>
      </w:r>
      <w:r>
        <w:rPr>
          <w:rFonts w:ascii="Myriad Pro" w:hAnsi="Myriad Pro"/>
          <w:color w:val="000000"/>
          <w:sz w:val="21"/>
          <w:szCs w:val="21"/>
        </w:rPr>
        <w:t>Environment</w:t>
      </w:r>
      <w:r w:rsidRPr="0098023E">
        <w:rPr>
          <w:rFonts w:ascii="Myriad Pro" w:hAnsi="Myriad Pro"/>
          <w:color w:val="000000"/>
          <w:sz w:val="21"/>
          <w:szCs w:val="21"/>
        </w:rPr>
        <w:t xml:space="preserve">, Ministry of Emergency Situations, Ministry of Foreign Affairs, Yerevan City Municipality, Ministry of Health, Ministry of </w:t>
      </w:r>
      <w:r>
        <w:rPr>
          <w:rFonts w:ascii="Myriad Pro" w:hAnsi="Myriad Pro"/>
          <w:color w:val="000000"/>
          <w:sz w:val="21"/>
          <w:szCs w:val="21"/>
        </w:rPr>
        <w:t xml:space="preserve">Economy, Ministry of Finance. </w:t>
      </w:r>
      <w:r w:rsidRPr="0098023E">
        <w:rPr>
          <w:rFonts w:ascii="Myriad Pro" w:hAnsi="Myriad Pro"/>
          <w:color w:val="000000"/>
          <w:sz w:val="21"/>
          <w:szCs w:val="21"/>
        </w:rPr>
        <w:t xml:space="preserve">Project Management Board contains of three distinct roles: Executive, Senior Supplier, Senior Beneficiary. The project is implemented by the Ministry of </w:t>
      </w:r>
      <w:r>
        <w:rPr>
          <w:rFonts w:ascii="Myriad Pro" w:hAnsi="Myriad Pro"/>
          <w:color w:val="000000"/>
          <w:sz w:val="21"/>
          <w:szCs w:val="21"/>
        </w:rPr>
        <w:t>Environment</w:t>
      </w:r>
      <w:r w:rsidRPr="0098023E">
        <w:rPr>
          <w:rFonts w:ascii="Myriad Pro" w:hAnsi="Myriad Pro"/>
          <w:color w:val="000000"/>
          <w:sz w:val="21"/>
          <w:szCs w:val="21"/>
        </w:rPr>
        <w:t xml:space="preserve"> (M</w:t>
      </w:r>
      <w:r>
        <w:rPr>
          <w:rFonts w:ascii="Myriad Pro" w:hAnsi="Myriad Pro"/>
          <w:color w:val="000000"/>
          <w:sz w:val="21"/>
          <w:szCs w:val="21"/>
        </w:rPr>
        <w:t>oE</w:t>
      </w:r>
      <w:r w:rsidRPr="0098023E">
        <w:rPr>
          <w:rFonts w:ascii="Myriad Pro" w:hAnsi="Myriad Pro"/>
          <w:color w:val="000000"/>
          <w:sz w:val="21"/>
          <w:szCs w:val="21"/>
        </w:rPr>
        <w:t>) following UNDP’s National Implementation Modality (NIM).</w:t>
      </w:r>
      <w:r w:rsidRPr="00442020">
        <w:rPr>
          <w:rFonts w:ascii="Myriad Pro" w:hAnsi="Myriad Pro"/>
          <w:color w:val="000000"/>
          <w:sz w:val="21"/>
          <w:szCs w:val="21"/>
        </w:rPr>
        <w:t xml:space="preserve"> </w:t>
      </w:r>
    </w:p>
    <w:p w14:paraId="34A0AF58" w14:textId="23F86BBB" w:rsidR="00442020" w:rsidRPr="00442020" w:rsidRDefault="00442020" w:rsidP="00442020">
      <w:pPr>
        <w:tabs>
          <w:tab w:val="left" w:pos="4680"/>
        </w:tabs>
        <w:spacing w:before="120" w:after="120"/>
        <w:jc w:val="both"/>
        <w:rPr>
          <w:rFonts w:ascii="Myriad Pro" w:hAnsi="Myriad Pro"/>
          <w:color w:val="000000"/>
          <w:sz w:val="21"/>
          <w:szCs w:val="21"/>
        </w:rPr>
      </w:pPr>
      <w:r w:rsidRPr="00442020">
        <w:rPr>
          <w:rFonts w:ascii="Myriad Pro" w:hAnsi="Myriad Pro"/>
          <w:color w:val="000000"/>
          <w:sz w:val="21"/>
          <w:szCs w:val="21"/>
        </w:rPr>
        <w:t xml:space="preserve">The extended end date of the project is 31 December 2021. </w:t>
      </w:r>
    </w:p>
    <w:bookmarkEnd w:id="3"/>
    <w:p w14:paraId="2150C6F0" w14:textId="4BDDF636" w:rsidR="00000F9B" w:rsidRPr="00CC0AF7" w:rsidRDefault="00000F9B" w:rsidP="00FE1418">
      <w:pPr>
        <w:pStyle w:val="ListParagraph"/>
        <w:numPr>
          <w:ilvl w:val="0"/>
          <w:numId w:val="1"/>
        </w:numPr>
        <w:spacing w:before="600" w:after="120" w:line="240" w:lineRule="auto"/>
        <w:ind w:left="360"/>
        <w:contextualSpacing w:val="0"/>
        <w:rPr>
          <w:rFonts w:ascii="Myriad Pro" w:hAnsi="Myriad Pro"/>
          <w:b/>
          <w:bCs/>
          <w:sz w:val="26"/>
          <w:szCs w:val="26"/>
        </w:rPr>
      </w:pPr>
      <w:r w:rsidRPr="00CC0AF7">
        <w:rPr>
          <w:rFonts w:ascii="Myriad Pro" w:hAnsi="Myriad Pro"/>
          <w:b/>
          <w:bCs/>
          <w:sz w:val="26"/>
          <w:szCs w:val="26"/>
        </w:rPr>
        <w:lastRenderedPageBreak/>
        <w:t>TE PURPOSE</w:t>
      </w:r>
    </w:p>
    <w:p w14:paraId="3BC8CAFD" w14:textId="40984F63" w:rsidR="00000F9B" w:rsidRDefault="00000F9B" w:rsidP="00FE1418">
      <w:pPr>
        <w:spacing w:before="120" w:after="120" w:line="240" w:lineRule="auto"/>
        <w:jc w:val="both"/>
        <w:rPr>
          <w:rFonts w:ascii="Myriad Pro" w:hAnsi="Myriad Pro"/>
          <w:color w:val="000000"/>
          <w:sz w:val="21"/>
          <w:szCs w:val="21"/>
        </w:rPr>
      </w:pPr>
      <w:r w:rsidRPr="009454AF">
        <w:rPr>
          <w:rFonts w:ascii="Myriad Pro" w:hAnsi="Myriad Pro"/>
          <w:color w:val="000000"/>
          <w:sz w:val="21"/>
          <w:szCs w:val="21"/>
        </w:rPr>
        <w:t xml:space="preserve">The TE report will assess the achievement of project results against what was expected to be </w:t>
      </w:r>
      <w:r w:rsidR="00FE1418" w:rsidRPr="009454AF">
        <w:rPr>
          <w:rFonts w:ascii="Myriad Pro" w:hAnsi="Myriad Pro"/>
          <w:color w:val="000000"/>
          <w:sz w:val="21"/>
          <w:szCs w:val="21"/>
        </w:rPr>
        <w:t>achieved and</w:t>
      </w:r>
      <w:r w:rsidRPr="009454AF">
        <w:rPr>
          <w:rFonts w:ascii="Myriad Pro" w:hAnsi="Myriad Pro"/>
          <w:color w:val="000000"/>
          <w:sz w:val="21"/>
          <w:szCs w:val="21"/>
        </w:rPr>
        <w:t xml:space="preserve"> draw lessons that can both improve the sustainability of benefits from this project, and aid in the overall enhancement of UNDP programming. The TE report </w:t>
      </w:r>
      <w:r w:rsidR="00F70FD0">
        <w:rPr>
          <w:rFonts w:ascii="Myriad Pro" w:hAnsi="Myriad Pro"/>
          <w:color w:val="000000"/>
          <w:sz w:val="21"/>
          <w:szCs w:val="21"/>
        </w:rPr>
        <w:t xml:space="preserve">will </w:t>
      </w:r>
      <w:r w:rsidRPr="009454AF">
        <w:rPr>
          <w:rFonts w:ascii="Myriad Pro" w:hAnsi="Myriad Pro"/>
          <w:color w:val="000000"/>
          <w:sz w:val="21"/>
          <w:szCs w:val="21"/>
        </w:rPr>
        <w:t xml:space="preserve">promote accountability and </w:t>
      </w:r>
      <w:r w:rsidR="00FE1418" w:rsidRPr="009454AF">
        <w:rPr>
          <w:rFonts w:ascii="Myriad Pro" w:hAnsi="Myriad Pro"/>
          <w:color w:val="000000"/>
          <w:sz w:val="21"/>
          <w:szCs w:val="21"/>
        </w:rPr>
        <w:t>transparency and</w:t>
      </w:r>
      <w:r w:rsidRPr="009454AF">
        <w:rPr>
          <w:rFonts w:ascii="Myriad Pro" w:hAnsi="Myriad Pro"/>
          <w:color w:val="000000"/>
          <w:sz w:val="21"/>
          <w:szCs w:val="21"/>
        </w:rPr>
        <w:t xml:space="preserve"> </w:t>
      </w:r>
      <w:r w:rsidR="00F70FD0">
        <w:rPr>
          <w:rFonts w:ascii="Myriad Pro" w:hAnsi="Myriad Pro"/>
          <w:color w:val="000000"/>
          <w:sz w:val="21"/>
          <w:szCs w:val="21"/>
        </w:rPr>
        <w:t xml:space="preserve">will </w:t>
      </w:r>
      <w:r w:rsidRPr="009454AF">
        <w:rPr>
          <w:rFonts w:ascii="Myriad Pro" w:hAnsi="Myriad Pro"/>
          <w:color w:val="000000"/>
          <w:sz w:val="21"/>
          <w:szCs w:val="21"/>
        </w:rPr>
        <w:t>assess the extent of project accomplishments.</w:t>
      </w:r>
    </w:p>
    <w:p w14:paraId="67BA32D8" w14:textId="7C2BB7B2" w:rsidR="006B7C88" w:rsidRDefault="006B7C88" w:rsidP="00FE1418">
      <w:pPr>
        <w:spacing w:before="120" w:after="240" w:line="240" w:lineRule="auto"/>
        <w:jc w:val="both"/>
        <w:rPr>
          <w:rFonts w:ascii="Myriad Pro" w:hAnsi="Myriad Pro"/>
          <w:color w:val="000000"/>
          <w:sz w:val="21"/>
          <w:szCs w:val="21"/>
        </w:rPr>
      </w:pPr>
      <w:r>
        <w:rPr>
          <w:rFonts w:ascii="Myriad Pro" w:hAnsi="Myriad Pro"/>
          <w:color w:val="000000"/>
          <w:sz w:val="21"/>
          <w:szCs w:val="21"/>
        </w:rPr>
        <w:t xml:space="preserve">The Terminal Evaluation of the project will be performed in the final year of the project implementation, with purpose to assess what was achieved or if the expected outcome was not achieved </w:t>
      </w:r>
      <w:r w:rsidR="00AD7908">
        <w:rPr>
          <w:rFonts w:ascii="Myriad Pro" w:hAnsi="Myriad Pro"/>
          <w:color w:val="000000"/>
          <w:sz w:val="21"/>
          <w:szCs w:val="21"/>
        </w:rPr>
        <w:t xml:space="preserve">during the base and extended years, </w:t>
      </w:r>
      <w:r>
        <w:rPr>
          <w:rFonts w:ascii="Myriad Pro" w:hAnsi="Myriad Pro"/>
          <w:color w:val="000000"/>
          <w:sz w:val="21"/>
          <w:szCs w:val="21"/>
        </w:rPr>
        <w:t>will determine the reasons</w:t>
      </w:r>
      <w:r w:rsidR="0038239A">
        <w:rPr>
          <w:rFonts w:ascii="Myriad Pro" w:hAnsi="Myriad Pro"/>
          <w:color w:val="000000"/>
          <w:sz w:val="21"/>
          <w:szCs w:val="21"/>
        </w:rPr>
        <w:t xml:space="preserve"> for any failure</w:t>
      </w:r>
      <w:r>
        <w:rPr>
          <w:rFonts w:ascii="Myriad Pro" w:hAnsi="Myriad Pro"/>
          <w:color w:val="000000"/>
          <w:sz w:val="21"/>
          <w:szCs w:val="21"/>
        </w:rPr>
        <w:t xml:space="preserve">. The TE will </w:t>
      </w:r>
      <w:r w:rsidR="005958AE">
        <w:rPr>
          <w:rFonts w:ascii="Myriad Pro" w:hAnsi="Myriad Pro"/>
          <w:color w:val="000000"/>
          <w:sz w:val="21"/>
          <w:szCs w:val="21"/>
        </w:rPr>
        <w:t xml:space="preserve">consolidate </w:t>
      </w:r>
      <w:r w:rsidR="008C252B">
        <w:rPr>
          <w:rFonts w:ascii="Myriad Pro" w:hAnsi="Myriad Pro"/>
          <w:color w:val="000000"/>
          <w:sz w:val="21"/>
          <w:szCs w:val="21"/>
        </w:rPr>
        <w:t xml:space="preserve">opinion/interpretations of all sides </w:t>
      </w:r>
      <w:r w:rsidR="005958AE">
        <w:rPr>
          <w:rFonts w:ascii="Myriad Pro" w:hAnsi="Myriad Pro"/>
          <w:color w:val="000000"/>
          <w:sz w:val="21"/>
          <w:szCs w:val="21"/>
        </w:rPr>
        <w:t>who</w:t>
      </w:r>
      <w:r w:rsidR="008C252B">
        <w:rPr>
          <w:rFonts w:ascii="Myriad Pro" w:hAnsi="Myriad Pro"/>
          <w:color w:val="000000"/>
          <w:sz w:val="21"/>
          <w:szCs w:val="21"/>
        </w:rPr>
        <w:t xml:space="preserve"> in this or other way were involved in the project implementation.</w:t>
      </w:r>
      <w:r w:rsidR="005958AE">
        <w:rPr>
          <w:rFonts w:ascii="Myriad Pro" w:hAnsi="Myriad Pro"/>
          <w:color w:val="000000"/>
          <w:sz w:val="21"/>
          <w:szCs w:val="21"/>
        </w:rPr>
        <w:t xml:space="preserve"> That will help build a general picture on direct and </w:t>
      </w:r>
      <w:r w:rsidR="005958AE" w:rsidRPr="005958AE">
        <w:rPr>
          <w:rFonts w:ascii="Myriad Pro" w:hAnsi="Myriad Pro"/>
          <w:color w:val="000000"/>
          <w:sz w:val="21"/>
          <w:szCs w:val="21"/>
        </w:rPr>
        <w:t xml:space="preserve">circumstantial </w:t>
      </w:r>
      <w:r w:rsidR="005958AE">
        <w:rPr>
          <w:rFonts w:ascii="Myriad Pro" w:hAnsi="Myriad Pro"/>
          <w:color w:val="000000"/>
          <w:sz w:val="21"/>
          <w:szCs w:val="21"/>
        </w:rPr>
        <w:t xml:space="preserve">factors </w:t>
      </w:r>
      <w:r w:rsidR="00D00662" w:rsidRPr="005958AE">
        <w:rPr>
          <w:rFonts w:ascii="Myriad Pro" w:hAnsi="Myriad Pro"/>
          <w:color w:val="000000"/>
          <w:sz w:val="21"/>
          <w:szCs w:val="21"/>
        </w:rPr>
        <w:t>affecting the course of the project</w:t>
      </w:r>
      <w:r w:rsidR="005958AE">
        <w:rPr>
          <w:rFonts w:ascii="Myriad Pro" w:hAnsi="Myriad Pro"/>
          <w:color w:val="000000"/>
          <w:sz w:val="21"/>
          <w:szCs w:val="21"/>
        </w:rPr>
        <w:t xml:space="preserve">, </w:t>
      </w:r>
      <w:r w:rsidR="00D00662" w:rsidRPr="005958AE">
        <w:rPr>
          <w:rFonts w:ascii="Myriad Pro" w:hAnsi="Myriad Pro"/>
          <w:color w:val="000000"/>
          <w:sz w:val="21"/>
          <w:szCs w:val="21"/>
        </w:rPr>
        <w:t>considering that over the past three years at least three critical situations</w:t>
      </w:r>
      <w:r w:rsidR="005958AE">
        <w:rPr>
          <w:rFonts w:ascii="Myriad Pro" w:hAnsi="Myriad Pro"/>
          <w:color w:val="000000"/>
          <w:sz w:val="21"/>
          <w:szCs w:val="21"/>
        </w:rPr>
        <w:t xml:space="preserve">: </w:t>
      </w:r>
      <w:proofErr w:type="spellStart"/>
      <w:r w:rsidR="005958AE">
        <w:rPr>
          <w:rFonts w:ascii="Myriad Pro" w:hAnsi="Myriad Pro"/>
          <w:color w:val="000000"/>
          <w:sz w:val="21"/>
          <w:szCs w:val="21"/>
        </w:rPr>
        <w:t>i</w:t>
      </w:r>
      <w:proofErr w:type="spellEnd"/>
      <w:r w:rsidR="005958AE">
        <w:rPr>
          <w:rFonts w:ascii="Myriad Pro" w:hAnsi="Myriad Pro"/>
          <w:color w:val="000000"/>
          <w:sz w:val="21"/>
          <w:szCs w:val="21"/>
        </w:rPr>
        <w:t xml:space="preserve">) “Velvet revolution”; ii) </w:t>
      </w:r>
      <w:r w:rsidR="00F10099">
        <w:rPr>
          <w:rFonts w:ascii="Myriad Pro" w:hAnsi="Myriad Pro"/>
          <w:color w:val="000000"/>
          <w:sz w:val="21"/>
          <w:szCs w:val="21"/>
        </w:rPr>
        <w:t xml:space="preserve">the </w:t>
      </w:r>
      <w:r w:rsidR="005958AE">
        <w:rPr>
          <w:rFonts w:ascii="Myriad Pro" w:hAnsi="Myriad Pro"/>
          <w:color w:val="000000"/>
          <w:sz w:val="21"/>
          <w:szCs w:val="21"/>
        </w:rPr>
        <w:t xml:space="preserve">COVID-19 pandemic; iii) </w:t>
      </w:r>
      <w:r w:rsidR="00F10099">
        <w:rPr>
          <w:rFonts w:ascii="Myriad Pro" w:hAnsi="Myriad Pro"/>
          <w:color w:val="000000"/>
          <w:sz w:val="21"/>
          <w:szCs w:val="21"/>
        </w:rPr>
        <w:t xml:space="preserve">the </w:t>
      </w:r>
      <w:r w:rsidR="002A1E66" w:rsidRPr="00355D7D">
        <w:rPr>
          <w:rFonts w:ascii="Myriad Pro" w:hAnsi="Myriad Pro"/>
          <w:color w:val="000000"/>
          <w:sz w:val="21"/>
          <w:szCs w:val="21"/>
        </w:rPr>
        <w:t>Nagorno-Karabakh</w:t>
      </w:r>
      <w:r w:rsidR="005958AE">
        <w:rPr>
          <w:rFonts w:ascii="Myriad Pro" w:hAnsi="Myriad Pro"/>
          <w:color w:val="000000"/>
          <w:sz w:val="21"/>
          <w:szCs w:val="21"/>
        </w:rPr>
        <w:t xml:space="preserve"> military conflict and regional instability </w:t>
      </w:r>
      <w:r w:rsidR="00860A7A">
        <w:rPr>
          <w:rFonts w:ascii="Myriad Pro" w:hAnsi="Myriad Pro"/>
          <w:color w:val="000000"/>
          <w:sz w:val="21"/>
          <w:szCs w:val="21"/>
        </w:rPr>
        <w:t xml:space="preserve">that </w:t>
      </w:r>
      <w:r w:rsidR="005958AE">
        <w:rPr>
          <w:rFonts w:ascii="Myriad Pro" w:hAnsi="Myriad Pro"/>
          <w:color w:val="000000"/>
          <w:sz w:val="21"/>
          <w:szCs w:val="21"/>
        </w:rPr>
        <w:t xml:space="preserve">enormously affected </w:t>
      </w:r>
      <w:r w:rsidR="00036D46">
        <w:rPr>
          <w:rFonts w:ascii="Myriad Pro" w:hAnsi="Myriad Pro"/>
          <w:color w:val="000000"/>
          <w:sz w:val="21"/>
          <w:szCs w:val="21"/>
        </w:rPr>
        <w:t xml:space="preserve">the project implementation </w:t>
      </w:r>
      <w:r w:rsidR="005958AE">
        <w:rPr>
          <w:rFonts w:ascii="Myriad Pro" w:hAnsi="Myriad Pro"/>
          <w:color w:val="000000"/>
          <w:sz w:val="21"/>
          <w:szCs w:val="21"/>
        </w:rPr>
        <w:t>processes</w:t>
      </w:r>
      <w:r w:rsidR="00036D46">
        <w:rPr>
          <w:rFonts w:ascii="Myriad Pro" w:hAnsi="Myriad Pro"/>
          <w:color w:val="000000"/>
          <w:sz w:val="21"/>
          <w:szCs w:val="21"/>
        </w:rPr>
        <w:t>.</w:t>
      </w:r>
      <w:r w:rsidR="005958AE">
        <w:rPr>
          <w:rFonts w:ascii="Myriad Pro" w:hAnsi="Myriad Pro"/>
          <w:color w:val="000000"/>
          <w:sz w:val="21"/>
          <w:szCs w:val="21"/>
        </w:rPr>
        <w:t xml:space="preserve">   </w:t>
      </w:r>
      <w:r w:rsidR="008C252B">
        <w:rPr>
          <w:rFonts w:ascii="Myriad Pro" w:hAnsi="Myriad Pro"/>
          <w:color w:val="000000"/>
          <w:sz w:val="21"/>
          <w:szCs w:val="21"/>
        </w:rPr>
        <w:t xml:space="preserve">  </w:t>
      </w:r>
      <w:r>
        <w:rPr>
          <w:rFonts w:ascii="Myriad Pro" w:hAnsi="Myriad Pro"/>
          <w:color w:val="000000"/>
          <w:sz w:val="21"/>
          <w:szCs w:val="21"/>
        </w:rPr>
        <w:t xml:space="preserve"> </w:t>
      </w:r>
    </w:p>
    <w:p w14:paraId="31965C19" w14:textId="1DD0B11A" w:rsidR="00BD570E" w:rsidRDefault="00CE7437" w:rsidP="00FE1418">
      <w:pPr>
        <w:spacing w:before="120" w:after="240" w:line="240" w:lineRule="auto"/>
        <w:jc w:val="both"/>
        <w:rPr>
          <w:rFonts w:ascii="Myriad Pro" w:hAnsi="Myriad Pro"/>
          <w:color w:val="000000"/>
          <w:sz w:val="21"/>
          <w:szCs w:val="21"/>
        </w:rPr>
      </w:pPr>
      <w:proofErr w:type="gramStart"/>
      <w:r>
        <w:rPr>
          <w:rFonts w:ascii="Myriad Pro" w:hAnsi="Myriad Pro"/>
          <w:color w:val="000000"/>
          <w:sz w:val="21"/>
          <w:szCs w:val="21"/>
        </w:rPr>
        <w:t xml:space="preserve">Definitely, </w:t>
      </w:r>
      <w:r w:rsidR="00BD570E">
        <w:rPr>
          <w:rFonts w:ascii="Myriad Pro" w:hAnsi="Myriad Pro"/>
          <w:color w:val="000000"/>
          <w:sz w:val="21"/>
          <w:szCs w:val="21"/>
        </w:rPr>
        <w:t>after</w:t>
      </w:r>
      <w:proofErr w:type="gramEnd"/>
      <w:r w:rsidR="00BD570E">
        <w:rPr>
          <w:rFonts w:ascii="Myriad Pro" w:hAnsi="Myriad Pro"/>
          <w:color w:val="000000"/>
          <w:sz w:val="21"/>
          <w:szCs w:val="21"/>
        </w:rPr>
        <w:t xml:space="preserve"> the information collection, </w:t>
      </w:r>
      <w:r>
        <w:rPr>
          <w:rFonts w:ascii="Myriad Pro" w:hAnsi="Myriad Pro"/>
          <w:color w:val="000000"/>
          <w:sz w:val="21"/>
          <w:szCs w:val="21"/>
        </w:rPr>
        <w:t>the</w:t>
      </w:r>
      <w:r w:rsidRPr="00CE7437">
        <w:rPr>
          <w:rFonts w:ascii="Myriad Pro" w:hAnsi="Myriad Pro"/>
          <w:color w:val="000000"/>
          <w:sz w:val="21"/>
          <w:szCs w:val="21"/>
        </w:rPr>
        <w:t xml:space="preserve"> analysis will be an </w:t>
      </w:r>
      <w:r w:rsidRPr="00FE1418">
        <w:rPr>
          <w:rFonts w:ascii="Myriad Pro" w:hAnsi="Myriad Pro"/>
          <w:color w:val="000000"/>
          <w:sz w:val="21"/>
          <w:szCs w:val="21"/>
        </w:rPr>
        <w:t xml:space="preserve">important part of </w:t>
      </w:r>
      <w:r w:rsidR="00F10099">
        <w:rPr>
          <w:rFonts w:ascii="Myriad Pro" w:hAnsi="Myriad Pro"/>
          <w:color w:val="000000"/>
          <w:sz w:val="21"/>
          <w:szCs w:val="21"/>
        </w:rPr>
        <w:t xml:space="preserve">the </w:t>
      </w:r>
      <w:r w:rsidRPr="00FE1418">
        <w:rPr>
          <w:rFonts w:ascii="Myriad Pro" w:hAnsi="Myriad Pro"/>
          <w:color w:val="000000"/>
          <w:sz w:val="21"/>
          <w:szCs w:val="21"/>
        </w:rPr>
        <w:t xml:space="preserve">TE to show lessons and what can be learned for </w:t>
      </w:r>
      <w:r w:rsidR="00D93F59" w:rsidRPr="00FE1418">
        <w:rPr>
          <w:rFonts w:ascii="Myriad Pro" w:hAnsi="Myriad Pro"/>
          <w:color w:val="000000"/>
          <w:sz w:val="21"/>
          <w:szCs w:val="21"/>
        </w:rPr>
        <w:t xml:space="preserve">the </w:t>
      </w:r>
      <w:r w:rsidRPr="00FE1418">
        <w:rPr>
          <w:rFonts w:ascii="Myriad Pro" w:hAnsi="Myriad Pro"/>
          <w:color w:val="000000"/>
          <w:sz w:val="21"/>
          <w:szCs w:val="21"/>
        </w:rPr>
        <w:t xml:space="preserve">future similar </w:t>
      </w:r>
      <w:r w:rsidR="00BD570E" w:rsidRPr="00FE1418">
        <w:rPr>
          <w:rFonts w:ascii="Myriad Pro" w:hAnsi="Myriad Pro"/>
          <w:color w:val="000000"/>
          <w:sz w:val="21"/>
          <w:szCs w:val="21"/>
        </w:rPr>
        <w:t xml:space="preserve">projects, initiatives, </w:t>
      </w:r>
      <w:r w:rsidRPr="00FE1418">
        <w:rPr>
          <w:rFonts w:ascii="Myriad Pro" w:hAnsi="Myriad Pro"/>
          <w:color w:val="000000"/>
          <w:sz w:val="21"/>
          <w:szCs w:val="21"/>
        </w:rPr>
        <w:t>situations</w:t>
      </w:r>
      <w:r w:rsidR="00374124" w:rsidRPr="00FE1418">
        <w:rPr>
          <w:rFonts w:ascii="Myriad Pro" w:hAnsi="Myriad Pro"/>
          <w:color w:val="000000"/>
          <w:sz w:val="21"/>
          <w:szCs w:val="21"/>
        </w:rPr>
        <w:t>. I</w:t>
      </w:r>
      <w:r w:rsidR="00930807" w:rsidRPr="00FE1418">
        <w:rPr>
          <w:rFonts w:ascii="Myriad Pro" w:hAnsi="Myriad Pro"/>
          <w:color w:val="000000"/>
          <w:sz w:val="21"/>
          <w:szCs w:val="21"/>
        </w:rPr>
        <w:t xml:space="preserve">t will be important to also attract as many as possible </w:t>
      </w:r>
      <w:r w:rsidR="005C369E" w:rsidRPr="00FE1418">
        <w:rPr>
          <w:rFonts w:ascii="Myriad Pro" w:hAnsi="Myriad Pro"/>
          <w:color w:val="000000"/>
          <w:sz w:val="21"/>
          <w:szCs w:val="21"/>
        </w:rPr>
        <w:t xml:space="preserve">former officials </w:t>
      </w:r>
      <w:r w:rsidR="00F10099">
        <w:rPr>
          <w:rFonts w:ascii="Myriad Pro" w:hAnsi="Myriad Pro"/>
          <w:color w:val="000000"/>
          <w:sz w:val="21"/>
          <w:szCs w:val="21"/>
        </w:rPr>
        <w:t>–</w:t>
      </w:r>
      <w:r w:rsidR="005C369E" w:rsidRPr="00FE1418">
        <w:rPr>
          <w:rFonts w:ascii="Myriad Pro" w:hAnsi="Myriad Pro"/>
          <w:color w:val="000000"/>
          <w:sz w:val="21"/>
          <w:szCs w:val="21"/>
        </w:rPr>
        <w:t xml:space="preserve"> </w:t>
      </w:r>
      <w:r w:rsidR="00F10099">
        <w:rPr>
          <w:rFonts w:ascii="Myriad Pro" w:hAnsi="Myriad Pro"/>
          <w:color w:val="000000"/>
          <w:sz w:val="21"/>
          <w:szCs w:val="21"/>
        </w:rPr>
        <w:t xml:space="preserve">who </w:t>
      </w:r>
      <w:r w:rsidR="005C369E" w:rsidRPr="00FE1418">
        <w:rPr>
          <w:rFonts w:ascii="Myriad Pro" w:hAnsi="Myriad Pro"/>
          <w:color w:val="000000"/>
          <w:sz w:val="21"/>
          <w:szCs w:val="21"/>
        </w:rPr>
        <w:t>work</w:t>
      </w:r>
      <w:r w:rsidR="00D00662" w:rsidRPr="00FE1418">
        <w:rPr>
          <w:rFonts w:ascii="Myriad Pro" w:hAnsi="Myriad Pro"/>
          <w:color w:val="000000"/>
          <w:sz w:val="21"/>
          <w:szCs w:val="21"/>
        </w:rPr>
        <w:t>ed</w:t>
      </w:r>
      <w:r w:rsidR="005C369E" w:rsidRPr="00FE1418">
        <w:rPr>
          <w:rFonts w:ascii="Myriad Pro" w:hAnsi="Myriad Pro"/>
          <w:color w:val="000000"/>
          <w:sz w:val="21"/>
          <w:szCs w:val="21"/>
        </w:rPr>
        <w:t xml:space="preserve"> closely with the project </w:t>
      </w:r>
      <w:r w:rsidR="00355D7D" w:rsidRPr="00FE1418">
        <w:rPr>
          <w:rFonts w:ascii="Myriad Pro" w:hAnsi="Myriad Pro"/>
          <w:color w:val="000000"/>
          <w:sz w:val="21"/>
          <w:szCs w:val="21"/>
        </w:rPr>
        <w:t>as Project Management Board members</w:t>
      </w:r>
      <w:r w:rsidR="00420F5C" w:rsidRPr="00FE1418">
        <w:rPr>
          <w:rFonts w:ascii="Myriad Pro" w:hAnsi="Myriad Pro"/>
          <w:color w:val="000000"/>
          <w:sz w:val="21"/>
          <w:szCs w:val="21"/>
        </w:rPr>
        <w:t>,</w:t>
      </w:r>
      <w:r w:rsidR="00355D7D" w:rsidRPr="00FE1418">
        <w:rPr>
          <w:rFonts w:ascii="Myriad Pro" w:hAnsi="Myriad Pro"/>
          <w:color w:val="000000"/>
          <w:sz w:val="21"/>
          <w:szCs w:val="21"/>
        </w:rPr>
        <w:t xml:space="preserve"> </w:t>
      </w:r>
      <w:r w:rsidR="00F10099">
        <w:rPr>
          <w:rFonts w:ascii="Myriad Pro" w:hAnsi="Myriad Pro"/>
          <w:color w:val="000000"/>
          <w:sz w:val="21"/>
          <w:szCs w:val="21"/>
        </w:rPr>
        <w:t xml:space="preserve">for a </w:t>
      </w:r>
      <w:r w:rsidR="00930807" w:rsidRPr="00FE1418">
        <w:rPr>
          <w:rFonts w:ascii="Myriad Pro" w:hAnsi="Myriad Pro"/>
          <w:color w:val="000000"/>
          <w:sz w:val="21"/>
          <w:szCs w:val="21"/>
        </w:rPr>
        <w:t xml:space="preserve">comprehensive opinion collection. </w:t>
      </w:r>
      <w:r w:rsidR="00AA5D07" w:rsidRPr="00FE1418">
        <w:rPr>
          <w:rFonts w:ascii="Myriad Pro" w:hAnsi="Myriad Pro"/>
          <w:color w:val="000000"/>
          <w:sz w:val="21"/>
          <w:szCs w:val="21"/>
        </w:rPr>
        <w:t xml:space="preserve">Findings of the TE will be shared with </w:t>
      </w:r>
      <w:r w:rsidR="00355D7D" w:rsidRPr="00FE1418">
        <w:rPr>
          <w:rFonts w:ascii="Myriad Pro" w:hAnsi="Myriad Pro"/>
          <w:color w:val="000000"/>
          <w:sz w:val="21"/>
          <w:szCs w:val="21"/>
        </w:rPr>
        <w:t>stakeholders and</w:t>
      </w:r>
      <w:r w:rsidR="00690096" w:rsidRPr="00FE1418">
        <w:rPr>
          <w:rFonts w:ascii="Myriad Pro" w:hAnsi="Myriad Pro"/>
          <w:color w:val="000000"/>
          <w:sz w:val="21"/>
          <w:szCs w:val="21"/>
        </w:rPr>
        <w:t xml:space="preserve"> </w:t>
      </w:r>
      <w:r w:rsidR="00BD570E" w:rsidRPr="00FE1418">
        <w:rPr>
          <w:rFonts w:ascii="Myriad Pro" w:hAnsi="Myriad Pro"/>
          <w:color w:val="000000"/>
          <w:sz w:val="21"/>
          <w:szCs w:val="21"/>
        </w:rPr>
        <w:t xml:space="preserve">will </w:t>
      </w:r>
      <w:r w:rsidR="000A29DD" w:rsidRPr="00FE1418">
        <w:rPr>
          <w:rFonts w:ascii="Myriad Pro" w:hAnsi="Myriad Pro"/>
          <w:color w:val="000000"/>
          <w:sz w:val="21"/>
          <w:szCs w:val="21"/>
        </w:rPr>
        <w:t xml:space="preserve">also </w:t>
      </w:r>
      <w:r w:rsidR="00AB2084" w:rsidRPr="00FE1418">
        <w:rPr>
          <w:rFonts w:ascii="Myriad Pro" w:hAnsi="Myriad Pro"/>
          <w:color w:val="000000"/>
          <w:sz w:val="21"/>
          <w:szCs w:val="21"/>
        </w:rPr>
        <w:t xml:space="preserve">serve as </w:t>
      </w:r>
      <w:r w:rsidR="00BD570E" w:rsidRPr="00FE1418">
        <w:rPr>
          <w:rFonts w:ascii="Myriad Pro" w:hAnsi="Myriad Pro"/>
          <w:color w:val="000000"/>
          <w:sz w:val="21"/>
          <w:szCs w:val="21"/>
        </w:rPr>
        <w:t xml:space="preserve">a useful source </w:t>
      </w:r>
      <w:r w:rsidR="00FF7DC9" w:rsidRPr="00FE1418">
        <w:rPr>
          <w:rFonts w:ascii="Myriad Pro" w:hAnsi="Myriad Pro"/>
          <w:color w:val="000000"/>
          <w:sz w:val="21"/>
          <w:szCs w:val="21"/>
        </w:rPr>
        <w:t xml:space="preserve">of reference </w:t>
      </w:r>
      <w:r w:rsidR="00BD570E" w:rsidRPr="00FE1418">
        <w:rPr>
          <w:rFonts w:ascii="Myriad Pro" w:hAnsi="Myriad Pro"/>
          <w:color w:val="000000"/>
          <w:sz w:val="21"/>
          <w:szCs w:val="21"/>
        </w:rPr>
        <w:t>for professional network</w:t>
      </w:r>
      <w:r w:rsidR="00FF7DC9" w:rsidRPr="00FE1418">
        <w:rPr>
          <w:rFonts w:ascii="Myriad Pro" w:hAnsi="Myriad Pro"/>
          <w:color w:val="000000"/>
          <w:sz w:val="21"/>
          <w:szCs w:val="21"/>
        </w:rPr>
        <w:t>s</w:t>
      </w:r>
      <w:r w:rsidR="00BD570E" w:rsidRPr="00FE1418">
        <w:rPr>
          <w:rFonts w:ascii="Myriad Pro" w:hAnsi="Myriad Pro"/>
          <w:color w:val="000000"/>
          <w:sz w:val="21"/>
          <w:szCs w:val="21"/>
        </w:rPr>
        <w:t>, the staff of similar projects</w:t>
      </w:r>
      <w:r w:rsidR="00BD570E">
        <w:rPr>
          <w:rFonts w:ascii="Myriad Pro" w:hAnsi="Myriad Pro"/>
          <w:color w:val="000000"/>
          <w:sz w:val="21"/>
          <w:szCs w:val="21"/>
        </w:rPr>
        <w:t xml:space="preserve"> in other countries</w:t>
      </w:r>
      <w:r w:rsidR="001F28D7">
        <w:rPr>
          <w:rFonts w:ascii="Myriad Pro" w:hAnsi="Myriad Pro"/>
          <w:color w:val="000000"/>
          <w:sz w:val="21"/>
          <w:szCs w:val="21"/>
        </w:rPr>
        <w:t xml:space="preserve">, </w:t>
      </w:r>
      <w:r w:rsidR="00AB2084">
        <w:rPr>
          <w:rFonts w:ascii="Myriad Pro" w:hAnsi="Myriad Pro"/>
          <w:color w:val="000000"/>
          <w:sz w:val="21"/>
          <w:szCs w:val="21"/>
        </w:rPr>
        <w:t xml:space="preserve">and </w:t>
      </w:r>
      <w:r w:rsidR="000A29DD">
        <w:rPr>
          <w:rFonts w:ascii="Myriad Pro" w:hAnsi="Myriad Pro"/>
          <w:color w:val="000000"/>
          <w:sz w:val="21"/>
          <w:szCs w:val="21"/>
        </w:rPr>
        <w:t xml:space="preserve">other </w:t>
      </w:r>
      <w:r w:rsidR="001F1CB2">
        <w:rPr>
          <w:rFonts w:ascii="Myriad Pro" w:hAnsi="Myriad Pro"/>
          <w:color w:val="000000"/>
          <w:sz w:val="21"/>
          <w:szCs w:val="21"/>
        </w:rPr>
        <w:t>practitioners in the area</w:t>
      </w:r>
      <w:r w:rsidR="00BD570E">
        <w:rPr>
          <w:rFonts w:ascii="Myriad Pro" w:hAnsi="Myriad Pro"/>
          <w:color w:val="000000"/>
          <w:sz w:val="21"/>
          <w:szCs w:val="21"/>
        </w:rPr>
        <w:t xml:space="preserve">.  </w:t>
      </w:r>
    </w:p>
    <w:p w14:paraId="6668D83E" w14:textId="77343C5B" w:rsidR="00901D39" w:rsidRDefault="00BD570E" w:rsidP="00FE1418">
      <w:pPr>
        <w:spacing w:before="120" w:after="240" w:line="240" w:lineRule="auto"/>
        <w:jc w:val="both"/>
        <w:rPr>
          <w:rFonts w:ascii="Myriad Pro" w:hAnsi="Myriad Pro"/>
          <w:color w:val="000000"/>
          <w:sz w:val="21"/>
          <w:szCs w:val="21"/>
        </w:rPr>
      </w:pPr>
      <w:r>
        <w:rPr>
          <w:rFonts w:ascii="Myriad Pro" w:hAnsi="Myriad Pro"/>
          <w:color w:val="000000"/>
          <w:sz w:val="21"/>
          <w:szCs w:val="21"/>
        </w:rPr>
        <w:t>The timing of the TE is defined according to the project extended new end date – 31 December 2021</w:t>
      </w:r>
      <w:r w:rsidR="00F10099">
        <w:rPr>
          <w:rFonts w:ascii="Myriad Pro" w:hAnsi="Myriad Pro"/>
          <w:color w:val="000000"/>
          <w:sz w:val="21"/>
          <w:szCs w:val="21"/>
        </w:rPr>
        <w:t>. T</w:t>
      </w:r>
      <w:r w:rsidR="00E83F72">
        <w:rPr>
          <w:rFonts w:ascii="Myriad Pro" w:hAnsi="Myriad Pro"/>
          <w:color w:val="000000"/>
          <w:sz w:val="21"/>
          <w:szCs w:val="21"/>
        </w:rPr>
        <w:t>he</w:t>
      </w:r>
      <w:r w:rsidR="0055644E">
        <w:rPr>
          <w:rFonts w:ascii="Myriad Pro" w:hAnsi="Myriad Pro"/>
          <w:color w:val="000000"/>
          <w:sz w:val="21"/>
          <w:szCs w:val="21"/>
        </w:rPr>
        <w:t xml:space="preserve"> TE will be conducted during</w:t>
      </w:r>
      <w:r w:rsidR="00E83F72">
        <w:rPr>
          <w:rFonts w:ascii="Myriad Pro" w:hAnsi="Myriad Pro"/>
          <w:color w:val="000000"/>
          <w:sz w:val="21"/>
          <w:szCs w:val="21"/>
        </w:rPr>
        <w:t xml:space="preserve"> </w:t>
      </w:r>
      <w:r w:rsidR="00F10099">
        <w:rPr>
          <w:rFonts w:ascii="Myriad Pro" w:hAnsi="Myriad Pro"/>
          <w:color w:val="000000"/>
          <w:sz w:val="21"/>
          <w:szCs w:val="21"/>
        </w:rPr>
        <w:t>April</w:t>
      </w:r>
      <w:r w:rsidR="00E83F72">
        <w:rPr>
          <w:rFonts w:ascii="Myriad Pro" w:hAnsi="Myriad Pro"/>
          <w:color w:val="000000"/>
          <w:sz w:val="21"/>
          <w:szCs w:val="21"/>
        </w:rPr>
        <w:t xml:space="preserve"> – September 2021</w:t>
      </w:r>
      <w:r>
        <w:rPr>
          <w:rFonts w:ascii="Myriad Pro" w:hAnsi="Myriad Pro"/>
          <w:color w:val="000000"/>
          <w:sz w:val="21"/>
          <w:szCs w:val="21"/>
        </w:rPr>
        <w:t>.</w:t>
      </w:r>
      <w:r w:rsidR="00E83F72">
        <w:rPr>
          <w:rFonts w:ascii="Myriad Pro" w:hAnsi="Myriad Pro"/>
          <w:color w:val="000000"/>
          <w:sz w:val="21"/>
          <w:szCs w:val="21"/>
        </w:rPr>
        <w:t xml:space="preserve"> </w:t>
      </w:r>
      <w:r w:rsidR="00AB6FE1">
        <w:rPr>
          <w:rFonts w:ascii="Myriad Pro" w:hAnsi="Myriad Pro"/>
          <w:color w:val="000000"/>
          <w:sz w:val="21"/>
          <w:szCs w:val="21"/>
        </w:rPr>
        <w:t xml:space="preserve">The mission to Armenia will depend on </w:t>
      </w:r>
      <w:r w:rsidR="00F10099">
        <w:rPr>
          <w:rFonts w:ascii="Myriad Pro" w:hAnsi="Myriad Pro"/>
          <w:color w:val="000000"/>
          <w:sz w:val="21"/>
          <w:szCs w:val="21"/>
        </w:rPr>
        <w:t xml:space="preserve">the </w:t>
      </w:r>
      <w:r w:rsidR="00AB6FE1">
        <w:rPr>
          <w:rFonts w:ascii="Myriad Pro" w:hAnsi="Myriad Pro"/>
          <w:color w:val="000000"/>
          <w:sz w:val="21"/>
          <w:szCs w:val="21"/>
        </w:rPr>
        <w:t>C</w:t>
      </w:r>
      <w:r w:rsidR="00F10099">
        <w:rPr>
          <w:rFonts w:ascii="Myriad Pro" w:hAnsi="Myriad Pro"/>
          <w:color w:val="000000"/>
          <w:sz w:val="21"/>
          <w:szCs w:val="21"/>
        </w:rPr>
        <w:t>OVID</w:t>
      </w:r>
      <w:r w:rsidR="00AB6FE1">
        <w:rPr>
          <w:rFonts w:ascii="Myriad Pro" w:hAnsi="Myriad Pro"/>
          <w:color w:val="000000"/>
          <w:sz w:val="21"/>
          <w:szCs w:val="21"/>
        </w:rPr>
        <w:t xml:space="preserve">-19 situation </w:t>
      </w:r>
      <w:r w:rsidR="00F10099">
        <w:rPr>
          <w:rFonts w:ascii="Myriad Pro" w:hAnsi="Myriad Pro"/>
          <w:color w:val="000000"/>
          <w:sz w:val="21"/>
          <w:szCs w:val="21"/>
        </w:rPr>
        <w:t xml:space="preserve">and the </w:t>
      </w:r>
      <w:r w:rsidR="00AB6FE1">
        <w:rPr>
          <w:rFonts w:ascii="Myriad Pro" w:hAnsi="Myriad Pro"/>
          <w:color w:val="000000"/>
          <w:sz w:val="21"/>
          <w:szCs w:val="21"/>
        </w:rPr>
        <w:t xml:space="preserve">associated travel limitations. However, it’s recommendable to conduct the mission </w:t>
      </w:r>
      <w:r w:rsidR="00CB3263">
        <w:rPr>
          <w:rFonts w:ascii="Myriad Pro" w:hAnsi="Myriad Pro"/>
          <w:color w:val="000000"/>
          <w:sz w:val="21"/>
          <w:szCs w:val="21"/>
        </w:rPr>
        <w:t>(</w:t>
      </w:r>
      <w:r w:rsidR="00F10099">
        <w:rPr>
          <w:rFonts w:ascii="Myriad Pro" w:hAnsi="Myriad Pro"/>
          <w:color w:val="000000"/>
          <w:sz w:val="21"/>
          <w:szCs w:val="21"/>
        </w:rPr>
        <w:t>online or in the country as will be defined</w:t>
      </w:r>
      <w:r w:rsidR="00CB3263">
        <w:rPr>
          <w:rFonts w:ascii="Myriad Pro" w:hAnsi="Myriad Pro"/>
          <w:color w:val="000000"/>
          <w:sz w:val="21"/>
          <w:szCs w:val="21"/>
        </w:rPr>
        <w:t>)</w:t>
      </w:r>
      <w:r w:rsidR="00EE3481">
        <w:rPr>
          <w:rFonts w:ascii="Myriad Pro" w:hAnsi="Myriad Pro"/>
          <w:color w:val="000000"/>
          <w:sz w:val="21"/>
          <w:szCs w:val="21"/>
        </w:rPr>
        <w:t xml:space="preserve"> </w:t>
      </w:r>
      <w:r w:rsidR="00AB6FE1">
        <w:rPr>
          <w:rFonts w:ascii="Myriad Pro" w:hAnsi="Myriad Pro"/>
          <w:color w:val="000000"/>
          <w:sz w:val="21"/>
          <w:szCs w:val="21"/>
        </w:rPr>
        <w:t xml:space="preserve">before snap elections </w:t>
      </w:r>
      <w:r w:rsidR="00F10099">
        <w:rPr>
          <w:rFonts w:ascii="Myriad Pro" w:hAnsi="Myriad Pro"/>
          <w:color w:val="000000"/>
          <w:sz w:val="21"/>
          <w:szCs w:val="21"/>
        </w:rPr>
        <w:t>in Armenia in June 2021</w:t>
      </w:r>
      <w:r w:rsidR="00EE3481">
        <w:rPr>
          <w:rFonts w:ascii="Myriad Pro" w:hAnsi="Myriad Pro"/>
          <w:color w:val="000000"/>
          <w:sz w:val="21"/>
          <w:szCs w:val="21"/>
        </w:rPr>
        <w:t xml:space="preserve">. </w:t>
      </w:r>
      <w:r w:rsidR="00E83F72">
        <w:rPr>
          <w:rFonts w:ascii="Myriad Pro" w:hAnsi="Myriad Pro"/>
          <w:color w:val="000000"/>
          <w:sz w:val="21"/>
          <w:szCs w:val="21"/>
        </w:rPr>
        <w:t>Besides the fact-finding mission and drafting the report</w:t>
      </w:r>
      <w:r w:rsidR="002C6E70" w:rsidRPr="002C6E70">
        <w:rPr>
          <w:rFonts w:ascii="Myriad Pro" w:hAnsi="Myriad Pro"/>
          <w:color w:val="000000"/>
          <w:sz w:val="21"/>
          <w:szCs w:val="21"/>
        </w:rPr>
        <w:t xml:space="preserve"> </w:t>
      </w:r>
      <w:r w:rsidR="002C6E70">
        <w:rPr>
          <w:rFonts w:ascii="Myriad Pro" w:hAnsi="Myriad Pro"/>
          <w:color w:val="000000"/>
          <w:sz w:val="21"/>
          <w:szCs w:val="21"/>
        </w:rPr>
        <w:t>by the TE expert</w:t>
      </w:r>
      <w:r w:rsidR="00E83F72">
        <w:rPr>
          <w:rFonts w:ascii="Myriad Pro" w:hAnsi="Myriad Pro"/>
          <w:color w:val="000000"/>
          <w:sz w:val="21"/>
          <w:szCs w:val="21"/>
        </w:rPr>
        <w:t xml:space="preserve">, it is important to </w:t>
      </w:r>
      <w:proofErr w:type="gramStart"/>
      <w:r w:rsidR="00F10099">
        <w:rPr>
          <w:rFonts w:ascii="Myriad Pro" w:hAnsi="Myriad Pro"/>
          <w:color w:val="000000"/>
          <w:sz w:val="21"/>
          <w:szCs w:val="21"/>
        </w:rPr>
        <w:t>consider also</w:t>
      </w:r>
      <w:proofErr w:type="gramEnd"/>
      <w:r w:rsidR="00F10099">
        <w:rPr>
          <w:rFonts w:ascii="Myriad Pro" w:hAnsi="Myriad Pro"/>
          <w:color w:val="000000"/>
          <w:sz w:val="21"/>
          <w:szCs w:val="21"/>
        </w:rPr>
        <w:t xml:space="preserve"> the time necessary for </w:t>
      </w:r>
      <w:r w:rsidR="008450B0">
        <w:rPr>
          <w:rFonts w:ascii="Myriad Pro" w:hAnsi="Myriad Pro"/>
          <w:color w:val="000000"/>
          <w:sz w:val="21"/>
          <w:szCs w:val="21"/>
        </w:rPr>
        <w:t xml:space="preserve">the </w:t>
      </w:r>
      <w:r w:rsidR="00E83F72">
        <w:rPr>
          <w:rFonts w:ascii="Myriad Pro" w:hAnsi="Myriad Pro"/>
          <w:color w:val="000000"/>
          <w:sz w:val="21"/>
          <w:szCs w:val="21"/>
        </w:rPr>
        <w:t xml:space="preserve">review and feedback </w:t>
      </w:r>
      <w:r w:rsidR="008450B0">
        <w:rPr>
          <w:rFonts w:ascii="Myriad Pro" w:hAnsi="Myriad Pro"/>
          <w:color w:val="000000"/>
          <w:sz w:val="21"/>
          <w:szCs w:val="21"/>
        </w:rPr>
        <w:t>to</w:t>
      </w:r>
      <w:r w:rsidR="00E83F72">
        <w:rPr>
          <w:rFonts w:ascii="Myriad Pro" w:hAnsi="Myriad Pro"/>
          <w:color w:val="000000"/>
          <w:sz w:val="21"/>
          <w:szCs w:val="21"/>
        </w:rPr>
        <w:t xml:space="preserve"> the draft report</w:t>
      </w:r>
      <w:r w:rsidR="008450B0">
        <w:rPr>
          <w:rFonts w:ascii="Myriad Pro" w:hAnsi="Myriad Pro"/>
          <w:color w:val="000000"/>
          <w:sz w:val="21"/>
          <w:szCs w:val="21"/>
        </w:rPr>
        <w:t xml:space="preserve"> by stakeholders</w:t>
      </w:r>
      <w:r w:rsidR="00E83F72">
        <w:rPr>
          <w:rFonts w:ascii="Myriad Pro" w:hAnsi="Myriad Pro"/>
          <w:color w:val="000000"/>
          <w:sz w:val="21"/>
          <w:szCs w:val="21"/>
        </w:rPr>
        <w:t xml:space="preserve">. </w:t>
      </w:r>
    </w:p>
    <w:p w14:paraId="212019B0" w14:textId="3744D76F" w:rsidR="00000F9B" w:rsidRDefault="00901D39" w:rsidP="00FE1418">
      <w:pPr>
        <w:spacing w:before="120" w:after="240" w:line="240" w:lineRule="auto"/>
        <w:jc w:val="both"/>
        <w:rPr>
          <w:rFonts w:ascii="Myriad Pro" w:hAnsi="Myriad Pro"/>
          <w:color w:val="000000"/>
          <w:sz w:val="21"/>
          <w:szCs w:val="21"/>
        </w:rPr>
      </w:pPr>
      <w:r>
        <w:rPr>
          <w:rFonts w:ascii="Myriad Pro" w:hAnsi="Myriad Pro"/>
          <w:color w:val="000000"/>
          <w:sz w:val="21"/>
          <w:szCs w:val="21"/>
        </w:rPr>
        <w:t>In such evaluations, the face-to-face meeting</w:t>
      </w:r>
      <w:r w:rsidR="00C24BF4">
        <w:rPr>
          <w:rFonts w:ascii="Myriad Pro" w:hAnsi="Myriad Pro"/>
          <w:color w:val="000000"/>
          <w:sz w:val="21"/>
          <w:szCs w:val="21"/>
        </w:rPr>
        <w:t xml:space="preserve"> for conducting in-depth </w:t>
      </w:r>
      <w:r>
        <w:rPr>
          <w:rFonts w:ascii="Myriad Pro" w:hAnsi="Myriad Pro"/>
          <w:color w:val="000000"/>
          <w:sz w:val="21"/>
          <w:szCs w:val="21"/>
        </w:rPr>
        <w:t xml:space="preserve">interview is very important to assure the </w:t>
      </w:r>
      <w:r w:rsidR="00037AE6">
        <w:rPr>
          <w:rFonts w:ascii="Myriad Pro" w:hAnsi="Myriad Pro"/>
          <w:color w:val="000000"/>
          <w:sz w:val="21"/>
          <w:szCs w:val="21"/>
        </w:rPr>
        <w:t xml:space="preserve">open communication, </w:t>
      </w:r>
      <w:r>
        <w:rPr>
          <w:rFonts w:ascii="Myriad Pro" w:hAnsi="Myriad Pro"/>
          <w:color w:val="000000"/>
          <w:sz w:val="21"/>
          <w:szCs w:val="21"/>
        </w:rPr>
        <w:t xml:space="preserve">transparency, </w:t>
      </w:r>
      <w:r w:rsidR="00C24BF4">
        <w:rPr>
          <w:rFonts w:ascii="Myriad Pro" w:hAnsi="Myriad Pro"/>
          <w:color w:val="000000"/>
          <w:sz w:val="21"/>
          <w:szCs w:val="21"/>
        </w:rPr>
        <w:t xml:space="preserve">completeness of information, etc. However, considering the COVID-19 created limitations, </w:t>
      </w:r>
      <w:r w:rsidR="00BE0A8D">
        <w:rPr>
          <w:rFonts w:ascii="Myriad Pro" w:hAnsi="Myriad Pro"/>
          <w:color w:val="000000"/>
          <w:sz w:val="21"/>
          <w:szCs w:val="21"/>
        </w:rPr>
        <w:t xml:space="preserve">if </w:t>
      </w:r>
      <w:r w:rsidR="00C24BF4">
        <w:rPr>
          <w:rFonts w:ascii="Myriad Pro" w:hAnsi="Myriad Pro"/>
          <w:color w:val="000000"/>
          <w:sz w:val="21"/>
          <w:szCs w:val="21"/>
        </w:rPr>
        <w:t>the mission to Armenia</w:t>
      </w:r>
      <w:r w:rsidR="008450B0">
        <w:rPr>
          <w:rFonts w:ascii="Myriad Pro" w:hAnsi="Myriad Pro"/>
          <w:color w:val="000000"/>
          <w:sz w:val="21"/>
          <w:szCs w:val="21"/>
        </w:rPr>
        <w:t xml:space="preserve"> is im</w:t>
      </w:r>
      <w:r w:rsidR="00131ADB">
        <w:rPr>
          <w:rFonts w:ascii="Myriad Pro" w:hAnsi="Myriad Pro"/>
          <w:color w:val="000000"/>
          <w:sz w:val="21"/>
          <w:szCs w:val="21"/>
        </w:rPr>
        <w:t>possible</w:t>
      </w:r>
      <w:r w:rsidR="00C24BF4">
        <w:rPr>
          <w:rFonts w:ascii="Myriad Pro" w:hAnsi="Myriad Pro"/>
          <w:color w:val="000000"/>
          <w:sz w:val="21"/>
          <w:szCs w:val="21"/>
        </w:rPr>
        <w:t xml:space="preserve">, the evaluation will be conducted remotely. </w:t>
      </w:r>
    </w:p>
    <w:p w14:paraId="0407D3D2" w14:textId="1109BB90" w:rsidR="00000F9B" w:rsidRDefault="00000F9B" w:rsidP="00AB0706">
      <w:pPr>
        <w:pStyle w:val="ListParagraph"/>
        <w:numPr>
          <w:ilvl w:val="0"/>
          <w:numId w:val="1"/>
        </w:numPr>
        <w:spacing w:before="600" w:after="240" w:line="240" w:lineRule="auto"/>
        <w:ind w:left="360"/>
        <w:contextualSpacing w:val="0"/>
        <w:rPr>
          <w:rFonts w:ascii="Myriad Pro" w:hAnsi="Myriad Pro"/>
          <w:b/>
          <w:bCs/>
          <w:sz w:val="26"/>
          <w:szCs w:val="26"/>
        </w:rPr>
      </w:pPr>
      <w:r w:rsidRPr="00CC0AF7">
        <w:rPr>
          <w:rFonts w:ascii="Myriad Pro" w:hAnsi="Myriad Pro"/>
          <w:b/>
          <w:bCs/>
          <w:sz w:val="26"/>
          <w:szCs w:val="26"/>
        </w:rPr>
        <w:t xml:space="preserve">TE APPROACH &amp; METHODOLOGY </w:t>
      </w:r>
    </w:p>
    <w:p w14:paraId="685DC589" w14:textId="58DB0F8D" w:rsidR="00000F9B" w:rsidRDefault="00000F9B" w:rsidP="00AB0706">
      <w:pPr>
        <w:spacing w:before="240" w:after="120" w:line="240" w:lineRule="auto"/>
        <w:jc w:val="both"/>
        <w:rPr>
          <w:rFonts w:ascii="Myriad Pro" w:hAnsi="Myriad Pro"/>
          <w:color w:val="000000"/>
          <w:sz w:val="21"/>
          <w:szCs w:val="21"/>
        </w:rPr>
      </w:pPr>
      <w:r w:rsidRPr="00A27440">
        <w:rPr>
          <w:rFonts w:ascii="Myriad Pro" w:hAnsi="Myriad Pro"/>
          <w:color w:val="000000"/>
          <w:sz w:val="21"/>
          <w:szCs w:val="21"/>
        </w:rPr>
        <w:t>The TE</w:t>
      </w:r>
      <w:r>
        <w:rPr>
          <w:rFonts w:ascii="Myriad Pro" w:hAnsi="Myriad Pro"/>
          <w:color w:val="000000"/>
          <w:sz w:val="21"/>
          <w:szCs w:val="21"/>
        </w:rPr>
        <w:t xml:space="preserve"> report</w:t>
      </w:r>
      <w:r w:rsidRPr="00A27440">
        <w:rPr>
          <w:rFonts w:ascii="Myriad Pro" w:hAnsi="Myriad Pro"/>
          <w:color w:val="000000"/>
          <w:sz w:val="21"/>
          <w:szCs w:val="21"/>
        </w:rPr>
        <w:t xml:space="preserve"> must provide evidence-based information that is credible, </w:t>
      </w:r>
      <w:proofErr w:type="gramStart"/>
      <w:r w:rsidR="001C308C" w:rsidRPr="00A27440">
        <w:rPr>
          <w:rFonts w:ascii="Myriad Pro" w:hAnsi="Myriad Pro"/>
          <w:color w:val="000000"/>
          <w:sz w:val="21"/>
          <w:szCs w:val="21"/>
        </w:rPr>
        <w:t>reliable</w:t>
      </w:r>
      <w:proofErr w:type="gramEnd"/>
      <w:r w:rsidRPr="00A27440">
        <w:rPr>
          <w:rFonts w:ascii="Myriad Pro" w:hAnsi="Myriad Pro"/>
          <w:color w:val="000000"/>
          <w:sz w:val="21"/>
          <w:szCs w:val="21"/>
        </w:rPr>
        <w:t xml:space="preserve"> and useful.</w:t>
      </w:r>
    </w:p>
    <w:p w14:paraId="133F2AE3" w14:textId="3E94795C" w:rsidR="00000F9B" w:rsidRPr="00807EA8" w:rsidRDefault="00000F9B" w:rsidP="00FE1418">
      <w:pPr>
        <w:spacing w:before="120" w:after="240" w:line="240" w:lineRule="auto"/>
        <w:jc w:val="both"/>
        <w:rPr>
          <w:rFonts w:ascii="Myriad Pro" w:hAnsi="Myriad Pro"/>
          <w:color w:val="000000"/>
          <w:sz w:val="21"/>
          <w:szCs w:val="21"/>
        </w:rPr>
      </w:pPr>
      <w:r w:rsidRPr="00807EA8">
        <w:rPr>
          <w:rFonts w:ascii="Myriad Pro" w:hAnsi="Myriad Pro"/>
          <w:color w:val="000000"/>
          <w:sz w:val="21"/>
          <w:szCs w:val="21"/>
        </w:rPr>
        <w:t xml:space="preserve">The TE </w:t>
      </w:r>
      <w:r w:rsidR="00C73519" w:rsidRPr="00C73519">
        <w:rPr>
          <w:rFonts w:ascii="Myriad Pro" w:hAnsi="Myriad Pro"/>
          <w:color w:val="000000"/>
          <w:sz w:val="21"/>
          <w:szCs w:val="21"/>
        </w:rPr>
        <w:t xml:space="preserve">Evaluator </w:t>
      </w:r>
      <w:r w:rsidRPr="00807EA8">
        <w:rPr>
          <w:rFonts w:ascii="Myriad Pro" w:hAnsi="Myriad Pro"/>
          <w:color w:val="000000"/>
          <w:sz w:val="21"/>
          <w:szCs w:val="21"/>
        </w:rPr>
        <w:t xml:space="preserve">will review </w:t>
      </w:r>
      <w:r w:rsidR="008450B0">
        <w:rPr>
          <w:rFonts w:ascii="Myriad Pro" w:hAnsi="Myriad Pro"/>
          <w:color w:val="000000"/>
          <w:sz w:val="21"/>
          <w:szCs w:val="21"/>
        </w:rPr>
        <w:t xml:space="preserve">the </w:t>
      </w:r>
      <w:r w:rsidRPr="00807EA8">
        <w:rPr>
          <w:rFonts w:ascii="Myriad Pro" w:hAnsi="Myriad Pro"/>
          <w:color w:val="000000"/>
          <w:sz w:val="21"/>
          <w:szCs w:val="21"/>
        </w:rPr>
        <w:t xml:space="preserve">relevant sources of information including documents prepared during the preparation phase (i.e. PIF, UNDP Initiation Plan, UNDP </w:t>
      </w:r>
      <w:r>
        <w:rPr>
          <w:rFonts w:ascii="Myriad Pro" w:hAnsi="Myriad Pro"/>
          <w:color w:val="000000"/>
          <w:sz w:val="21"/>
          <w:szCs w:val="21"/>
        </w:rPr>
        <w:t>Social and Environmental Screening Procedure/SESP)</w:t>
      </w:r>
      <w:r w:rsidR="00F01294">
        <w:rPr>
          <w:rFonts w:ascii="Myriad Pro" w:hAnsi="Myriad Pro"/>
          <w:color w:val="000000"/>
          <w:sz w:val="21"/>
          <w:szCs w:val="21"/>
        </w:rPr>
        <w:t>,</w:t>
      </w:r>
      <w:r w:rsidRPr="00807EA8">
        <w:rPr>
          <w:rFonts w:ascii="Myriad Pro" w:hAnsi="Myriad Pro"/>
          <w:color w:val="000000"/>
          <w:sz w:val="21"/>
          <w:szCs w:val="21"/>
        </w:rPr>
        <w:t xml:space="preserve"> the Project Document, project reports including </w:t>
      </w:r>
      <w:r w:rsidR="008450B0">
        <w:rPr>
          <w:rFonts w:ascii="Myriad Pro" w:hAnsi="Myriad Pro"/>
          <w:color w:val="000000"/>
          <w:sz w:val="21"/>
          <w:szCs w:val="21"/>
        </w:rPr>
        <w:t xml:space="preserve">the </w:t>
      </w:r>
      <w:r w:rsidRPr="00807EA8">
        <w:rPr>
          <w:rFonts w:ascii="Myriad Pro" w:hAnsi="Myriad Pro"/>
          <w:color w:val="000000"/>
          <w:sz w:val="21"/>
          <w:szCs w:val="21"/>
        </w:rPr>
        <w:t xml:space="preserve">annual PIRs, project budget revisions, lesson learned reports, national strategic and legal documents, and any other materials that the </w:t>
      </w:r>
      <w:r w:rsidR="00C73519" w:rsidRPr="00C73519">
        <w:rPr>
          <w:rFonts w:ascii="Myriad Pro" w:hAnsi="Myriad Pro"/>
          <w:color w:val="000000"/>
          <w:sz w:val="21"/>
          <w:szCs w:val="21"/>
        </w:rPr>
        <w:t xml:space="preserve">Evaluator </w:t>
      </w:r>
      <w:r w:rsidR="008450B0">
        <w:rPr>
          <w:rFonts w:ascii="Myriad Pro" w:hAnsi="Myriad Pro"/>
          <w:color w:val="000000"/>
          <w:sz w:val="21"/>
          <w:szCs w:val="21"/>
        </w:rPr>
        <w:t xml:space="preserve">will </w:t>
      </w:r>
      <w:r w:rsidRPr="00807EA8">
        <w:rPr>
          <w:rFonts w:ascii="Myriad Pro" w:hAnsi="Myriad Pro"/>
          <w:color w:val="000000"/>
          <w:sz w:val="21"/>
          <w:szCs w:val="21"/>
        </w:rPr>
        <w:t xml:space="preserve">considers useful for this evidence-based evaluation. The TE </w:t>
      </w:r>
      <w:r w:rsidR="00C73519" w:rsidRPr="00C73519">
        <w:rPr>
          <w:rFonts w:ascii="Myriad Pro" w:hAnsi="Myriad Pro"/>
          <w:color w:val="000000"/>
          <w:sz w:val="21"/>
          <w:szCs w:val="21"/>
        </w:rPr>
        <w:t xml:space="preserve">Evaluator </w:t>
      </w:r>
      <w:r w:rsidRPr="00807EA8">
        <w:rPr>
          <w:rFonts w:ascii="Myriad Pro" w:hAnsi="Myriad Pro"/>
          <w:color w:val="000000"/>
          <w:sz w:val="21"/>
          <w:szCs w:val="21"/>
        </w:rPr>
        <w:t>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14:paraId="01BC03E5" w14:textId="39C2E67E" w:rsidR="00000F9B" w:rsidRDefault="00000F9B" w:rsidP="00FE1418">
      <w:pPr>
        <w:spacing w:before="120" w:after="240" w:line="240" w:lineRule="auto"/>
        <w:jc w:val="both"/>
        <w:rPr>
          <w:rFonts w:ascii="Myriad Pro" w:hAnsi="Myriad Pro"/>
          <w:color w:val="000000"/>
          <w:sz w:val="21"/>
          <w:szCs w:val="21"/>
        </w:rPr>
      </w:pPr>
      <w:r w:rsidRPr="00A27440">
        <w:rPr>
          <w:rFonts w:ascii="Myriad Pro" w:hAnsi="Myriad Pro"/>
          <w:color w:val="000000"/>
          <w:sz w:val="21"/>
          <w:szCs w:val="21"/>
        </w:rPr>
        <w:t xml:space="preserve">The TE </w:t>
      </w:r>
      <w:r w:rsidR="00C73519" w:rsidRPr="00C73519">
        <w:rPr>
          <w:rFonts w:ascii="Myriad Pro" w:hAnsi="Myriad Pro"/>
          <w:color w:val="000000"/>
          <w:sz w:val="21"/>
          <w:szCs w:val="21"/>
        </w:rPr>
        <w:t xml:space="preserve">Evaluator </w:t>
      </w:r>
      <w:r w:rsidRPr="00A27440">
        <w:rPr>
          <w:rFonts w:ascii="Myriad Pro" w:hAnsi="Myriad Pro"/>
          <w:color w:val="000000"/>
          <w:sz w:val="21"/>
          <w:szCs w:val="21"/>
        </w:rPr>
        <w:t xml:space="preserve">is expected to follow a participatory and consultative approach ensuring close engagement with the Project Team, government counterparts (the GEF Operational Focal Point), </w:t>
      </w:r>
      <w:r w:rsidRPr="00A27440">
        <w:rPr>
          <w:rFonts w:ascii="Myriad Pro" w:hAnsi="Myriad Pro"/>
          <w:color w:val="000000"/>
          <w:sz w:val="21"/>
          <w:szCs w:val="21"/>
        </w:rPr>
        <w:lastRenderedPageBreak/>
        <w:t>Implementing Partners, the UNDP Country Office(s), the Regional Technical Advisor, direct beneficiaries and other stakeholders.</w:t>
      </w:r>
    </w:p>
    <w:p w14:paraId="28B05086" w14:textId="34337EE3" w:rsidR="00575893" w:rsidRDefault="00575893" w:rsidP="00FE1418">
      <w:pPr>
        <w:spacing w:before="120" w:after="240" w:line="240" w:lineRule="auto"/>
        <w:jc w:val="both"/>
        <w:rPr>
          <w:rFonts w:ascii="Myriad Pro" w:hAnsi="Myriad Pro"/>
          <w:color w:val="000000"/>
          <w:sz w:val="21"/>
          <w:szCs w:val="21"/>
        </w:rPr>
      </w:pPr>
      <w:r>
        <w:rPr>
          <w:rFonts w:ascii="Myriad Pro" w:hAnsi="Myriad Pro"/>
          <w:color w:val="000000"/>
          <w:sz w:val="21"/>
          <w:szCs w:val="21"/>
        </w:rPr>
        <w:t>Ideally, t</w:t>
      </w:r>
      <w:r w:rsidRPr="00575893">
        <w:rPr>
          <w:rFonts w:ascii="Myriad Pro" w:hAnsi="Myriad Pro"/>
          <w:color w:val="000000"/>
          <w:sz w:val="21"/>
          <w:szCs w:val="21"/>
        </w:rPr>
        <w:t>he evaluator is expected to conduct a field mission to Armenia (</w:t>
      </w:r>
      <w:r w:rsidR="001C308C">
        <w:rPr>
          <w:rFonts w:ascii="Myriad Pro" w:hAnsi="Myriad Pro"/>
          <w:color w:val="000000"/>
          <w:sz w:val="21"/>
          <w:szCs w:val="21"/>
        </w:rPr>
        <w:t xml:space="preserve">can be realized </w:t>
      </w:r>
      <w:r w:rsidRPr="00575893">
        <w:rPr>
          <w:rFonts w:ascii="Myriad Pro" w:hAnsi="Myriad Pro"/>
          <w:color w:val="000000"/>
          <w:sz w:val="21"/>
          <w:szCs w:val="21"/>
        </w:rPr>
        <w:t xml:space="preserve">depending on </w:t>
      </w:r>
      <w:r w:rsidR="001C308C">
        <w:rPr>
          <w:rFonts w:ascii="Myriad Pro" w:hAnsi="Myriad Pro"/>
          <w:color w:val="000000"/>
          <w:sz w:val="21"/>
          <w:szCs w:val="21"/>
        </w:rPr>
        <w:t xml:space="preserve">elimination of </w:t>
      </w:r>
      <w:r w:rsidR="008450B0">
        <w:rPr>
          <w:rFonts w:ascii="Myriad Pro" w:hAnsi="Myriad Pro"/>
          <w:color w:val="000000"/>
          <w:sz w:val="21"/>
          <w:szCs w:val="21"/>
        </w:rPr>
        <w:t xml:space="preserve">the </w:t>
      </w:r>
      <w:r w:rsidRPr="00575893">
        <w:rPr>
          <w:rFonts w:ascii="Myriad Pro" w:hAnsi="Myriad Pro"/>
          <w:color w:val="000000"/>
          <w:sz w:val="21"/>
          <w:szCs w:val="21"/>
        </w:rPr>
        <w:t>COVID-19 restrictions)</w:t>
      </w:r>
      <w:r>
        <w:rPr>
          <w:rFonts w:ascii="Myriad Pro" w:hAnsi="Myriad Pro"/>
          <w:color w:val="000000"/>
          <w:sz w:val="21"/>
          <w:szCs w:val="21"/>
        </w:rPr>
        <w:t>. If the smooth travel and in country accommodation, meetings will be possible to arrange</w:t>
      </w:r>
      <w:r w:rsidRPr="00575893">
        <w:rPr>
          <w:rFonts w:ascii="Myriad Pro" w:hAnsi="Myriad Pro"/>
          <w:color w:val="000000"/>
          <w:sz w:val="21"/>
          <w:szCs w:val="21"/>
        </w:rPr>
        <w:t xml:space="preserve"> </w:t>
      </w:r>
      <w:r>
        <w:rPr>
          <w:rFonts w:ascii="Myriad Pro" w:hAnsi="Myriad Pro"/>
          <w:color w:val="000000"/>
          <w:sz w:val="21"/>
          <w:szCs w:val="21"/>
        </w:rPr>
        <w:t>without losing mission days, then this will be the preferred arrangement for conducting the evaluation</w:t>
      </w:r>
      <w:r w:rsidRPr="00575893">
        <w:rPr>
          <w:rFonts w:ascii="Myriad Pro" w:hAnsi="Myriad Pro"/>
          <w:color w:val="000000"/>
          <w:sz w:val="21"/>
          <w:szCs w:val="21"/>
        </w:rPr>
        <w:t xml:space="preserve">. </w:t>
      </w:r>
      <w:r>
        <w:rPr>
          <w:rFonts w:ascii="Myriad Pro" w:hAnsi="Myriad Pro"/>
          <w:color w:val="000000"/>
          <w:sz w:val="21"/>
          <w:szCs w:val="21"/>
        </w:rPr>
        <w:t>The a</w:t>
      </w:r>
      <w:r w:rsidRPr="00575893">
        <w:rPr>
          <w:rFonts w:ascii="Myriad Pro" w:hAnsi="Myriad Pro"/>
          <w:color w:val="000000"/>
          <w:sz w:val="21"/>
          <w:szCs w:val="21"/>
        </w:rPr>
        <w:t>lternative</w:t>
      </w:r>
      <w:r>
        <w:rPr>
          <w:rFonts w:ascii="Myriad Pro" w:hAnsi="Myriad Pro"/>
          <w:color w:val="000000"/>
          <w:sz w:val="21"/>
          <w:szCs w:val="21"/>
        </w:rPr>
        <w:t xml:space="preserve"> format practiced </w:t>
      </w:r>
      <w:r w:rsidR="004569C0">
        <w:rPr>
          <w:rFonts w:ascii="Myriad Pro" w:hAnsi="Myriad Pro"/>
          <w:color w:val="000000"/>
          <w:sz w:val="21"/>
          <w:szCs w:val="21"/>
        </w:rPr>
        <w:t xml:space="preserve">by </w:t>
      </w:r>
      <w:r w:rsidR="008450B0">
        <w:rPr>
          <w:rFonts w:ascii="Myriad Pro" w:hAnsi="Myriad Pro"/>
          <w:color w:val="000000"/>
          <w:sz w:val="21"/>
          <w:szCs w:val="21"/>
        </w:rPr>
        <w:t xml:space="preserve">the </w:t>
      </w:r>
      <w:r w:rsidR="004569C0">
        <w:rPr>
          <w:rFonts w:ascii="Myriad Pro" w:hAnsi="Myriad Pro"/>
          <w:color w:val="000000"/>
          <w:sz w:val="21"/>
          <w:szCs w:val="21"/>
        </w:rPr>
        <w:t xml:space="preserve">CO </w:t>
      </w:r>
      <w:r>
        <w:rPr>
          <w:rFonts w:ascii="Myriad Pro" w:hAnsi="Myriad Pro"/>
          <w:color w:val="000000"/>
          <w:sz w:val="21"/>
          <w:szCs w:val="21"/>
        </w:rPr>
        <w:t>during the recent year</w:t>
      </w:r>
      <w:r w:rsidRPr="00575893">
        <w:rPr>
          <w:rFonts w:ascii="Myriad Pro" w:hAnsi="Myriad Pro"/>
          <w:color w:val="000000"/>
          <w:sz w:val="21"/>
          <w:szCs w:val="21"/>
        </w:rPr>
        <w:t>,</w:t>
      </w:r>
      <w:r>
        <w:rPr>
          <w:rFonts w:ascii="Myriad Pro" w:hAnsi="Myriad Pro"/>
          <w:color w:val="000000"/>
          <w:sz w:val="21"/>
          <w:szCs w:val="21"/>
        </w:rPr>
        <w:t xml:space="preserve"> will be the scheduling and organizing </w:t>
      </w:r>
      <w:r w:rsidRPr="00575893">
        <w:rPr>
          <w:rFonts w:ascii="Myriad Pro" w:hAnsi="Myriad Pro"/>
          <w:color w:val="000000"/>
          <w:sz w:val="21"/>
          <w:szCs w:val="21"/>
        </w:rPr>
        <w:t xml:space="preserve">on-line video-interviews with project stakeholders, experts, and beneficiaries. </w:t>
      </w:r>
    </w:p>
    <w:p w14:paraId="7FE53E12" w14:textId="20300342" w:rsidR="0074255E" w:rsidRDefault="00000F9B" w:rsidP="00FE1418">
      <w:pPr>
        <w:spacing w:before="120" w:after="240" w:line="240" w:lineRule="auto"/>
        <w:jc w:val="both"/>
        <w:rPr>
          <w:rFonts w:ascii="Myriad Pro" w:hAnsi="Myriad Pro"/>
          <w:color w:val="000000"/>
          <w:sz w:val="21"/>
          <w:szCs w:val="21"/>
        </w:rPr>
      </w:pPr>
      <w:r w:rsidRPr="00A27440">
        <w:rPr>
          <w:rFonts w:ascii="Myriad Pro" w:hAnsi="Myriad Pro"/>
          <w:color w:val="000000"/>
          <w:sz w:val="21"/>
          <w:szCs w:val="21"/>
        </w:rPr>
        <w:t xml:space="preserve">Engagement of stakeholders is vital to a successful TE. Stakeholder involvement should </w:t>
      </w:r>
      <w:r w:rsidR="00AE2AD0" w:rsidRPr="00A27440">
        <w:rPr>
          <w:rFonts w:ascii="Myriad Pro" w:hAnsi="Myriad Pro"/>
          <w:color w:val="000000"/>
          <w:sz w:val="21"/>
          <w:szCs w:val="21"/>
        </w:rPr>
        <w:t>consist of</w:t>
      </w:r>
      <w:r w:rsidRPr="00A27440">
        <w:rPr>
          <w:rFonts w:ascii="Myriad Pro" w:hAnsi="Myriad Pro"/>
          <w:color w:val="000000"/>
          <w:sz w:val="21"/>
          <w:szCs w:val="21"/>
        </w:rPr>
        <w:t xml:space="preserve"> interviews with stakeholders who have project responsibilities, including </w:t>
      </w:r>
      <w:r w:rsidR="00F01294">
        <w:rPr>
          <w:rFonts w:ascii="Myriad Pro" w:hAnsi="Myriad Pro"/>
          <w:color w:val="000000"/>
          <w:sz w:val="21"/>
          <w:szCs w:val="21"/>
        </w:rPr>
        <w:t>(</w:t>
      </w:r>
      <w:r w:rsidR="00F01294" w:rsidRPr="00A27440">
        <w:rPr>
          <w:rFonts w:ascii="Myriad Pro" w:hAnsi="Myriad Pro"/>
          <w:color w:val="000000"/>
          <w:sz w:val="21"/>
          <w:szCs w:val="21"/>
        </w:rPr>
        <w:t xml:space="preserve">executing agencies, senior officials and task team/component leaders, key experts and consultants in the subject area, </w:t>
      </w:r>
      <w:r w:rsidR="00F01294">
        <w:rPr>
          <w:rFonts w:ascii="Myriad Pro" w:hAnsi="Myriad Pro"/>
          <w:color w:val="000000"/>
          <w:sz w:val="21"/>
          <w:szCs w:val="21"/>
        </w:rPr>
        <w:t xml:space="preserve">members of the </w:t>
      </w:r>
      <w:r w:rsidR="00F01294" w:rsidRPr="00A27440">
        <w:rPr>
          <w:rFonts w:ascii="Myriad Pro" w:hAnsi="Myriad Pro"/>
          <w:color w:val="000000"/>
          <w:sz w:val="21"/>
          <w:szCs w:val="21"/>
        </w:rPr>
        <w:t xml:space="preserve">Project </w:t>
      </w:r>
      <w:r w:rsidR="00F01294">
        <w:rPr>
          <w:rFonts w:ascii="Myriad Pro" w:hAnsi="Myriad Pro"/>
          <w:color w:val="000000"/>
          <w:sz w:val="21"/>
          <w:szCs w:val="21"/>
        </w:rPr>
        <w:t xml:space="preserve">Management </w:t>
      </w:r>
      <w:r w:rsidR="00F01294" w:rsidRPr="00A27440">
        <w:rPr>
          <w:rFonts w:ascii="Myriad Pro" w:hAnsi="Myriad Pro"/>
          <w:color w:val="000000"/>
          <w:sz w:val="21"/>
          <w:szCs w:val="21"/>
        </w:rPr>
        <w:t>Board</w:t>
      </w:r>
      <w:r w:rsidR="00F01294">
        <w:rPr>
          <w:rFonts w:ascii="Myriad Pro" w:hAnsi="Myriad Pro"/>
          <w:color w:val="000000"/>
          <w:sz w:val="21"/>
          <w:szCs w:val="21"/>
        </w:rPr>
        <w:t>/Advisory Committee</w:t>
      </w:r>
      <w:r w:rsidR="00F01294" w:rsidRPr="00A27440">
        <w:rPr>
          <w:rFonts w:ascii="Myriad Pro" w:hAnsi="Myriad Pro"/>
          <w:color w:val="000000"/>
          <w:sz w:val="21"/>
          <w:szCs w:val="21"/>
        </w:rPr>
        <w:t>, project beneficiaries, academia, local government and CSOs, etc.</w:t>
      </w:r>
      <w:r w:rsidR="00F01294">
        <w:rPr>
          <w:rFonts w:ascii="Myriad Pro" w:hAnsi="Myriad Pro"/>
          <w:color w:val="000000"/>
          <w:sz w:val="21"/>
          <w:szCs w:val="21"/>
        </w:rPr>
        <w:t xml:space="preserve">), </w:t>
      </w:r>
      <w:r w:rsidRPr="00A27440">
        <w:rPr>
          <w:rFonts w:ascii="Myriad Pro" w:hAnsi="Myriad Pro"/>
          <w:color w:val="000000"/>
          <w:sz w:val="21"/>
          <w:szCs w:val="21"/>
        </w:rPr>
        <w:t>but not limited to</w:t>
      </w:r>
      <w:r w:rsidR="0074255E">
        <w:rPr>
          <w:rFonts w:ascii="Myriad Pro" w:hAnsi="Myriad Pro"/>
          <w:color w:val="000000"/>
          <w:sz w:val="21"/>
          <w:szCs w:val="21"/>
        </w:rPr>
        <w:t xml:space="preserve">: </w:t>
      </w:r>
    </w:p>
    <w:p w14:paraId="188B2736" w14:textId="77777777" w:rsidR="0074255E" w:rsidRPr="00D2592E" w:rsidRDefault="0074255E" w:rsidP="008B7B77">
      <w:pPr>
        <w:pStyle w:val="ListParagraph"/>
        <w:numPr>
          <w:ilvl w:val="0"/>
          <w:numId w:val="21"/>
        </w:numPr>
        <w:spacing w:before="120" w:after="120" w:line="240" w:lineRule="auto"/>
        <w:contextualSpacing w:val="0"/>
        <w:jc w:val="both"/>
        <w:rPr>
          <w:rFonts w:ascii="Myriad Pro" w:hAnsi="Myriad Pro"/>
          <w:color w:val="000000"/>
          <w:sz w:val="21"/>
          <w:szCs w:val="21"/>
        </w:rPr>
      </w:pPr>
      <w:r w:rsidRPr="00D2592E">
        <w:rPr>
          <w:rFonts w:ascii="Myriad Pro" w:hAnsi="Myriad Pro"/>
          <w:color w:val="000000"/>
          <w:sz w:val="21"/>
          <w:szCs w:val="21"/>
        </w:rPr>
        <w:t xml:space="preserve">UNDP Country Office in Armenia </w:t>
      </w:r>
    </w:p>
    <w:p w14:paraId="2D6C0109" w14:textId="4DEE76BD" w:rsidR="0074255E" w:rsidRDefault="00AB0706" w:rsidP="008B7B77">
      <w:pPr>
        <w:pStyle w:val="ListParagraph"/>
        <w:numPr>
          <w:ilvl w:val="0"/>
          <w:numId w:val="21"/>
        </w:numPr>
        <w:spacing w:before="120" w:after="120" w:line="240" w:lineRule="auto"/>
        <w:contextualSpacing w:val="0"/>
        <w:jc w:val="both"/>
        <w:rPr>
          <w:rFonts w:ascii="Myriad Pro" w:hAnsi="Myriad Pro"/>
          <w:color w:val="000000"/>
          <w:sz w:val="21"/>
          <w:szCs w:val="21"/>
        </w:rPr>
      </w:pPr>
      <w:r>
        <w:rPr>
          <w:rFonts w:ascii="Myriad Pro" w:hAnsi="Myriad Pro"/>
          <w:color w:val="000000"/>
          <w:sz w:val="21"/>
          <w:szCs w:val="21"/>
        </w:rPr>
        <w:t>M</w:t>
      </w:r>
      <w:r w:rsidR="0074255E" w:rsidRPr="00D2592E">
        <w:rPr>
          <w:rFonts w:ascii="Myriad Pro" w:hAnsi="Myriad Pro"/>
          <w:color w:val="000000"/>
          <w:sz w:val="21"/>
          <w:szCs w:val="21"/>
        </w:rPr>
        <w:t>embers of the Project Management Board – representing 7 line-ministries</w:t>
      </w:r>
      <w:r w:rsidR="00036D46">
        <w:rPr>
          <w:rFonts w:ascii="Myriad Pro" w:hAnsi="Myriad Pro"/>
          <w:color w:val="000000"/>
          <w:sz w:val="21"/>
          <w:szCs w:val="21"/>
        </w:rPr>
        <w:t>,</w:t>
      </w:r>
      <w:r w:rsidR="0074255E" w:rsidRPr="00D2592E">
        <w:rPr>
          <w:rFonts w:ascii="Myriad Pro" w:hAnsi="Myriad Pro"/>
          <w:color w:val="000000"/>
          <w:sz w:val="21"/>
          <w:szCs w:val="21"/>
        </w:rPr>
        <w:t xml:space="preserve"> Yerevan Municipality (including former members</w:t>
      </w:r>
      <w:r w:rsidR="00F55829">
        <w:rPr>
          <w:rFonts w:ascii="Myriad Pro" w:hAnsi="Myriad Pro"/>
          <w:color w:val="000000"/>
          <w:sz w:val="21"/>
          <w:szCs w:val="21"/>
        </w:rPr>
        <w:t xml:space="preserve">, </w:t>
      </w:r>
      <w:r w:rsidR="0074255E" w:rsidRPr="00D2592E">
        <w:rPr>
          <w:rFonts w:ascii="Myriad Pro" w:hAnsi="Myriad Pro"/>
          <w:color w:val="000000"/>
          <w:sz w:val="21"/>
          <w:szCs w:val="21"/>
        </w:rPr>
        <w:t>as available)</w:t>
      </w:r>
    </w:p>
    <w:p w14:paraId="23707583" w14:textId="77777777" w:rsidR="0074255E" w:rsidRPr="00D2592E" w:rsidRDefault="0074255E" w:rsidP="008B7B77">
      <w:pPr>
        <w:pStyle w:val="ListParagraph"/>
        <w:numPr>
          <w:ilvl w:val="0"/>
          <w:numId w:val="21"/>
        </w:numPr>
        <w:spacing w:before="120" w:after="120" w:line="240" w:lineRule="auto"/>
        <w:contextualSpacing w:val="0"/>
        <w:jc w:val="both"/>
        <w:rPr>
          <w:rFonts w:ascii="Myriad Pro" w:hAnsi="Myriad Pro"/>
          <w:color w:val="000000"/>
          <w:sz w:val="21"/>
          <w:szCs w:val="21"/>
        </w:rPr>
      </w:pPr>
      <w:r w:rsidRPr="00D2592E">
        <w:rPr>
          <w:rFonts w:ascii="Myriad Pro" w:hAnsi="Myriad Pro"/>
          <w:color w:val="000000"/>
          <w:sz w:val="21"/>
          <w:szCs w:val="21"/>
        </w:rPr>
        <w:t>Contractors and partners of the Project</w:t>
      </w:r>
    </w:p>
    <w:p w14:paraId="2C58E1C2" w14:textId="5550152C" w:rsidR="0074255E" w:rsidRPr="00D2592E" w:rsidRDefault="0074255E" w:rsidP="008B7B77">
      <w:pPr>
        <w:pStyle w:val="ListParagraph"/>
        <w:numPr>
          <w:ilvl w:val="0"/>
          <w:numId w:val="21"/>
        </w:numPr>
        <w:spacing w:before="120" w:after="120" w:line="240" w:lineRule="auto"/>
        <w:contextualSpacing w:val="0"/>
        <w:jc w:val="both"/>
        <w:rPr>
          <w:rFonts w:ascii="Myriad Pro" w:hAnsi="Myriad Pro"/>
          <w:color w:val="000000"/>
          <w:sz w:val="21"/>
          <w:szCs w:val="21"/>
        </w:rPr>
      </w:pPr>
      <w:r>
        <w:rPr>
          <w:rFonts w:ascii="Myriad Pro" w:hAnsi="Myriad Pro"/>
          <w:color w:val="000000"/>
          <w:sz w:val="21"/>
          <w:szCs w:val="21"/>
        </w:rPr>
        <w:t>C</w:t>
      </w:r>
      <w:r w:rsidRPr="00D2592E">
        <w:rPr>
          <w:rFonts w:ascii="Myriad Pro" w:hAnsi="Myriad Pro"/>
          <w:color w:val="000000"/>
          <w:sz w:val="21"/>
          <w:szCs w:val="21"/>
        </w:rPr>
        <w:t xml:space="preserve">onsultants involved in the project </w:t>
      </w:r>
    </w:p>
    <w:p w14:paraId="5E6BB800" w14:textId="2C7FFD0B" w:rsidR="00000F9B" w:rsidRPr="00A27440" w:rsidRDefault="00AB79B5" w:rsidP="001617F8">
      <w:pPr>
        <w:spacing w:before="120" w:after="120" w:line="240" w:lineRule="auto"/>
        <w:jc w:val="both"/>
        <w:rPr>
          <w:rFonts w:ascii="Myriad Pro" w:hAnsi="Myriad Pro"/>
          <w:color w:val="000000"/>
          <w:sz w:val="21"/>
          <w:szCs w:val="21"/>
        </w:rPr>
      </w:pPr>
      <w:r>
        <w:rPr>
          <w:rFonts w:ascii="Myriad Pro" w:hAnsi="Myriad Pro"/>
          <w:color w:val="000000"/>
          <w:sz w:val="21"/>
          <w:szCs w:val="21"/>
        </w:rPr>
        <w:t>T</w:t>
      </w:r>
      <w:r w:rsidR="004244E9">
        <w:rPr>
          <w:rFonts w:ascii="Myriad Pro" w:hAnsi="Myriad Pro"/>
          <w:color w:val="000000"/>
          <w:sz w:val="21"/>
          <w:szCs w:val="21"/>
        </w:rPr>
        <w:t xml:space="preserve">he </w:t>
      </w:r>
      <w:proofErr w:type="spellStart"/>
      <w:r w:rsidR="004244E9">
        <w:rPr>
          <w:rFonts w:ascii="Myriad Pro" w:hAnsi="Myriad Pro"/>
          <w:color w:val="000000"/>
          <w:sz w:val="21"/>
          <w:szCs w:val="21"/>
        </w:rPr>
        <w:t>Nubarashen</w:t>
      </w:r>
      <w:proofErr w:type="spellEnd"/>
      <w:r w:rsidR="004244E9">
        <w:rPr>
          <w:rFonts w:ascii="Myriad Pro" w:hAnsi="Myriad Pro"/>
          <w:color w:val="000000"/>
          <w:sz w:val="21"/>
          <w:szCs w:val="21"/>
        </w:rPr>
        <w:t xml:space="preserve"> </w:t>
      </w:r>
      <w:r>
        <w:rPr>
          <w:rFonts w:ascii="Myriad Pro" w:hAnsi="Myriad Pro"/>
          <w:color w:val="000000"/>
          <w:sz w:val="21"/>
          <w:szCs w:val="21"/>
        </w:rPr>
        <w:t>obsolete pesticides landfill is the only site of the project</w:t>
      </w:r>
      <w:r w:rsidR="004244E9">
        <w:rPr>
          <w:rFonts w:ascii="Myriad Pro" w:hAnsi="Myriad Pro"/>
          <w:color w:val="000000"/>
          <w:sz w:val="21"/>
          <w:szCs w:val="21"/>
        </w:rPr>
        <w:t xml:space="preserve">, so the </w:t>
      </w:r>
      <w:r w:rsidR="00000F9B" w:rsidRPr="00A27440">
        <w:rPr>
          <w:rFonts w:ascii="Myriad Pro" w:hAnsi="Myriad Pro"/>
          <w:color w:val="000000"/>
          <w:sz w:val="21"/>
          <w:szCs w:val="21"/>
        </w:rPr>
        <w:t xml:space="preserve">TE </w:t>
      </w:r>
      <w:r w:rsidR="00C73519" w:rsidRPr="00C73519">
        <w:rPr>
          <w:rFonts w:ascii="Myriad Pro" w:hAnsi="Myriad Pro"/>
          <w:color w:val="000000"/>
          <w:sz w:val="21"/>
          <w:szCs w:val="21"/>
        </w:rPr>
        <w:t xml:space="preserve">Evaluator </w:t>
      </w:r>
      <w:r w:rsidR="004244E9">
        <w:rPr>
          <w:rFonts w:ascii="Myriad Pro" w:hAnsi="Myriad Pro"/>
          <w:color w:val="000000"/>
          <w:sz w:val="21"/>
          <w:szCs w:val="21"/>
        </w:rPr>
        <w:t>may</w:t>
      </w:r>
      <w:r w:rsidR="00000F9B" w:rsidRPr="00A27440">
        <w:rPr>
          <w:rFonts w:ascii="Myriad Pro" w:hAnsi="Myriad Pro"/>
          <w:color w:val="000000"/>
          <w:sz w:val="21"/>
          <w:szCs w:val="21"/>
        </w:rPr>
        <w:t xml:space="preserve"> conduct field </w:t>
      </w:r>
      <w:r w:rsidR="004244E9">
        <w:rPr>
          <w:rFonts w:ascii="Myriad Pro" w:hAnsi="Myriad Pro"/>
          <w:color w:val="000000"/>
          <w:sz w:val="21"/>
          <w:szCs w:val="21"/>
        </w:rPr>
        <w:t xml:space="preserve">visit to this site, located in South-East of Yerevan city. </w:t>
      </w:r>
      <w:r w:rsidR="00000F9B" w:rsidRPr="00A27440">
        <w:rPr>
          <w:rFonts w:ascii="Myriad Pro" w:hAnsi="Myriad Pro"/>
          <w:color w:val="000000"/>
          <w:sz w:val="21"/>
          <w:szCs w:val="21"/>
        </w:rPr>
        <w:t xml:space="preserve"> </w:t>
      </w:r>
    </w:p>
    <w:p w14:paraId="4A1A2406" w14:textId="273B4E75" w:rsidR="00000F9B" w:rsidRDefault="00000F9B" w:rsidP="001617F8">
      <w:pPr>
        <w:spacing w:before="120" w:after="120"/>
        <w:jc w:val="both"/>
        <w:rPr>
          <w:rFonts w:ascii="Myriad Pro" w:hAnsi="Myriad Pro"/>
          <w:color w:val="000000"/>
          <w:sz w:val="21"/>
          <w:szCs w:val="21"/>
        </w:rPr>
      </w:pPr>
      <w:r w:rsidRPr="00A27440">
        <w:rPr>
          <w:rFonts w:ascii="Myriad Pro" w:hAnsi="Myriad Pro"/>
          <w:color w:val="000000"/>
          <w:sz w:val="21"/>
          <w:szCs w:val="21"/>
        </w:rPr>
        <w:t xml:space="preserve">The specific design and methodology for the TE should emerge from consultations between the TE </w:t>
      </w:r>
      <w:r w:rsidR="00C73519" w:rsidRPr="00C73519">
        <w:rPr>
          <w:rFonts w:ascii="Myriad Pro" w:hAnsi="Myriad Pro"/>
          <w:color w:val="000000"/>
          <w:sz w:val="21"/>
          <w:szCs w:val="21"/>
        </w:rPr>
        <w:t xml:space="preserve">Evaluator </w:t>
      </w:r>
      <w:r w:rsidRPr="00A27440">
        <w:rPr>
          <w:rFonts w:ascii="Myriad Pro" w:hAnsi="Myriad Pro"/>
          <w:color w:val="000000"/>
          <w:sz w:val="21"/>
          <w:szCs w:val="21"/>
        </w:rPr>
        <w:t>and the above-mentioned parties regarding what is appropriate and feasible for meeting the TE purpose and objectives and answering the evaluation questions, given limitations of budget, time and data.</w:t>
      </w:r>
      <w:r>
        <w:rPr>
          <w:rFonts w:ascii="Myriad Pro" w:hAnsi="Myriad Pro"/>
          <w:color w:val="000000"/>
          <w:sz w:val="21"/>
          <w:szCs w:val="21"/>
        </w:rPr>
        <w:t xml:space="preserve"> The TE </w:t>
      </w:r>
      <w:r w:rsidR="00C73519" w:rsidRPr="00C73519">
        <w:rPr>
          <w:rFonts w:ascii="Myriad Pro" w:hAnsi="Myriad Pro"/>
          <w:color w:val="000000"/>
          <w:sz w:val="21"/>
          <w:szCs w:val="21"/>
        </w:rPr>
        <w:t xml:space="preserve">Evaluator </w:t>
      </w:r>
      <w:r>
        <w:rPr>
          <w:rFonts w:ascii="Myriad Pro" w:hAnsi="Myriad Pro"/>
          <w:color w:val="000000"/>
          <w:sz w:val="21"/>
          <w:szCs w:val="21"/>
        </w:rPr>
        <w:t>must</w:t>
      </w:r>
      <w:r w:rsidR="00601D47">
        <w:rPr>
          <w:rFonts w:ascii="Myriad Pro" w:hAnsi="Myriad Pro"/>
          <w:color w:val="000000"/>
          <w:sz w:val="21"/>
          <w:szCs w:val="21"/>
        </w:rPr>
        <w:t xml:space="preserve"> </w:t>
      </w:r>
      <w:r>
        <w:rPr>
          <w:rFonts w:ascii="Myriad Pro" w:hAnsi="Myriad Pro"/>
          <w:color w:val="000000"/>
          <w:sz w:val="21"/>
          <w:szCs w:val="21"/>
        </w:rPr>
        <w:t xml:space="preserve">use gender-responsive methodologies and tools and ensure that gender equality and women’s empowerment, as well as other cross-cutting issues and SDGs are incorporated into the TE report. </w:t>
      </w:r>
    </w:p>
    <w:p w14:paraId="67E4E3D4" w14:textId="0878A720" w:rsidR="00000F9B" w:rsidRDefault="00000F9B" w:rsidP="001617F8">
      <w:pPr>
        <w:spacing w:before="120" w:after="120"/>
        <w:jc w:val="both"/>
        <w:rPr>
          <w:rFonts w:ascii="Myriad Pro" w:hAnsi="Myriad Pro"/>
          <w:color w:val="000000"/>
          <w:sz w:val="21"/>
          <w:szCs w:val="21"/>
        </w:rPr>
      </w:pPr>
      <w:r w:rsidRPr="00A27440">
        <w:rPr>
          <w:rFonts w:ascii="Myriad Pro" w:hAnsi="Myriad Pro"/>
          <w:color w:val="000000"/>
          <w:sz w:val="21"/>
          <w:szCs w:val="21"/>
        </w:rPr>
        <w:t xml:space="preserve">The final methodological approach including interview schedule, field visits and data to be used in the evaluation </w:t>
      </w:r>
      <w:r>
        <w:rPr>
          <w:rFonts w:ascii="Myriad Pro" w:hAnsi="Myriad Pro"/>
          <w:color w:val="000000"/>
          <w:sz w:val="21"/>
          <w:szCs w:val="21"/>
        </w:rPr>
        <w:t>must</w:t>
      </w:r>
      <w:r w:rsidRPr="00A27440">
        <w:rPr>
          <w:rFonts w:ascii="Myriad Pro" w:hAnsi="Myriad Pro"/>
          <w:color w:val="000000"/>
          <w:sz w:val="21"/>
          <w:szCs w:val="21"/>
        </w:rPr>
        <w:t xml:space="preserve"> be clearly outlined in the </w:t>
      </w:r>
      <w:r>
        <w:rPr>
          <w:rFonts w:ascii="Myriad Pro" w:hAnsi="Myriad Pro"/>
          <w:color w:val="000000"/>
          <w:sz w:val="21"/>
          <w:szCs w:val="21"/>
        </w:rPr>
        <w:t>TE I</w:t>
      </w:r>
      <w:r w:rsidRPr="00A27440">
        <w:rPr>
          <w:rFonts w:ascii="Myriad Pro" w:hAnsi="Myriad Pro"/>
          <w:color w:val="000000"/>
          <w:sz w:val="21"/>
          <w:szCs w:val="21"/>
        </w:rPr>
        <w:t xml:space="preserve">nception </w:t>
      </w:r>
      <w:r>
        <w:rPr>
          <w:rFonts w:ascii="Myriad Pro" w:hAnsi="Myriad Pro"/>
          <w:color w:val="000000"/>
          <w:sz w:val="21"/>
          <w:szCs w:val="21"/>
        </w:rPr>
        <w:t>R</w:t>
      </w:r>
      <w:r w:rsidRPr="00A27440">
        <w:rPr>
          <w:rFonts w:ascii="Myriad Pro" w:hAnsi="Myriad Pro"/>
          <w:color w:val="000000"/>
          <w:sz w:val="21"/>
          <w:szCs w:val="21"/>
        </w:rPr>
        <w:t xml:space="preserve">eport and be fully discussed and agreed between UNDP, stakeholders and the </w:t>
      </w:r>
      <w:r>
        <w:rPr>
          <w:rFonts w:ascii="Myriad Pro" w:hAnsi="Myriad Pro"/>
          <w:color w:val="000000"/>
          <w:sz w:val="21"/>
          <w:szCs w:val="21"/>
        </w:rPr>
        <w:t xml:space="preserve">TE </w:t>
      </w:r>
      <w:r w:rsidR="00C73519" w:rsidRPr="00C73519">
        <w:rPr>
          <w:rFonts w:ascii="Myriad Pro" w:hAnsi="Myriad Pro"/>
          <w:color w:val="000000"/>
          <w:sz w:val="21"/>
          <w:szCs w:val="21"/>
        </w:rPr>
        <w:t>Evaluator</w:t>
      </w:r>
      <w:r w:rsidRPr="00A27440">
        <w:rPr>
          <w:rFonts w:ascii="Myriad Pro" w:hAnsi="Myriad Pro"/>
          <w:color w:val="000000"/>
          <w:sz w:val="21"/>
          <w:szCs w:val="21"/>
        </w:rPr>
        <w:t>.</w:t>
      </w:r>
    </w:p>
    <w:p w14:paraId="574E627B" w14:textId="77777777" w:rsidR="00000F9B" w:rsidRPr="00C13368" w:rsidRDefault="00000F9B" w:rsidP="00525ED0">
      <w:pPr>
        <w:spacing w:before="120" w:after="120" w:line="240" w:lineRule="auto"/>
        <w:jc w:val="both"/>
        <w:rPr>
          <w:rFonts w:ascii="Myriad Pro" w:hAnsi="Myriad Pro"/>
          <w:color w:val="000000"/>
          <w:sz w:val="21"/>
          <w:szCs w:val="21"/>
        </w:rPr>
      </w:pPr>
      <w:r w:rsidRPr="00BB63C2">
        <w:rPr>
          <w:rFonts w:ascii="Myriad Pro" w:hAnsi="Myriad Pro"/>
          <w:color w:val="000000"/>
          <w:sz w:val="21"/>
          <w:szCs w:val="21"/>
        </w:rPr>
        <w:t xml:space="preserve">The final report </w:t>
      </w:r>
      <w:r>
        <w:rPr>
          <w:rFonts w:ascii="Myriad Pro" w:hAnsi="Myriad Pro"/>
          <w:color w:val="000000"/>
          <w:sz w:val="21"/>
          <w:szCs w:val="21"/>
        </w:rPr>
        <w:t xml:space="preserve">must </w:t>
      </w:r>
      <w:r w:rsidRPr="00A27440">
        <w:rPr>
          <w:rFonts w:ascii="Myriad Pro" w:hAnsi="Myriad Pro"/>
          <w:color w:val="000000"/>
          <w:sz w:val="21"/>
          <w:szCs w:val="21"/>
        </w:rPr>
        <w:t>describe the full TE approach taken and the rationale for the approach making explicit the underlying assumptions, challenges, strengths and weaknesses about the methods and approach of the evaluation.</w:t>
      </w:r>
      <w:r>
        <w:rPr>
          <w:rFonts w:ascii="Myriad Pro" w:hAnsi="Myriad Pro"/>
          <w:color w:val="000000"/>
          <w:sz w:val="21"/>
          <w:szCs w:val="21"/>
        </w:rPr>
        <w:t xml:space="preserve"> </w:t>
      </w:r>
    </w:p>
    <w:p w14:paraId="24970EE5" w14:textId="77777777" w:rsidR="00000F9B" w:rsidRPr="005C29D4" w:rsidRDefault="00000F9B" w:rsidP="00AE2AD0">
      <w:pPr>
        <w:pStyle w:val="ListParagraph"/>
        <w:numPr>
          <w:ilvl w:val="0"/>
          <w:numId w:val="1"/>
        </w:numPr>
        <w:spacing w:before="600" w:after="240" w:line="240" w:lineRule="auto"/>
        <w:ind w:left="360"/>
        <w:contextualSpacing w:val="0"/>
        <w:rPr>
          <w:rFonts w:ascii="Myriad Pro" w:hAnsi="Myriad Pro"/>
          <w:b/>
          <w:bCs/>
          <w:sz w:val="26"/>
          <w:szCs w:val="26"/>
        </w:rPr>
      </w:pPr>
      <w:r w:rsidRPr="005C29D4">
        <w:rPr>
          <w:rFonts w:ascii="Myriad Pro" w:hAnsi="Myriad Pro"/>
          <w:b/>
          <w:bCs/>
          <w:sz w:val="26"/>
          <w:szCs w:val="26"/>
        </w:rPr>
        <w:t>DETAILED SCOPE OF THE TE</w:t>
      </w:r>
    </w:p>
    <w:p w14:paraId="001B335F" w14:textId="77777777" w:rsidR="00FE1418" w:rsidRDefault="00000F9B" w:rsidP="00000F9B">
      <w:pPr>
        <w:jc w:val="both"/>
        <w:rPr>
          <w:rFonts w:ascii="Myriad Pro" w:hAnsi="Myriad Pro"/>
          <w:color w:val="000000"/>
          <w:sz w:val="21"/>
          <w:szCs w:val="21"/>
        </w:rPr>
      </w:pPr>
      <w:r w:rsidRPr="00A27440">
        <w:rPr>
          <w:rFonts w:ascii="Myriad Pro" w:hAnsi="Myriad Pro"/>
          <w:color w:val="000000"/>
          <w:sz w:val="21"/>
          <w:szCs w:val="21"/>
        </w:rPr>
        <w:t xml:space="preserve">The TE will assess project performance against expectations set out in the project’s Logical Framework/Results Framework (see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A). The TE will assess results according to the criteria outlined in the Guidance for TEs of UNDP-supported GEF-financed Projects</w:t>
      </w:r>
      <w:r w:rsidR="00FE1418">
        <w:rPr>
          <w:rFonts w:ascii="Myriad Pro" w:hAnsi="Myriad Pro"/>
          <w:color w:val="000000"/>
          <w:sz w:val="21"/>
          <w:szCs w:val="21"/>
        </w:rPr>
        <w:t xml:space="preserve">  </w:t>
      </w:r>
    </w:p>
    <w:p w14:paraId="30FB1451" w14:textId="46387CDE" w:rsidR="001A5FDA" w:rsidRDefault="00000F9B" w:rsidP="00000F9B">
      <w:pPr>
        <w:jc w:val="both"/>
        <w:rPr>
          <w:rFonts w:ascii="Myriad Pro" w:hAnsi="Myriad Pro"/>
          <w:color w:val="000000"/>
          <w:sz w:val="21"/>
          <w:szCs w:val="21"/>
        </w:rPr>
      </w:pPr>
      <w:r>
        <w:rPr>
          <w:rFonts w:ascii="Myriad Pro" w:hAnsi="Myriad Pro"/>
          <w:color w:val="000000"/>
          <w:sz w:val="21"/>
          <w:szCs w:val="21"/>
        </w:rPr>
        <w:t xml:space="preserve"> </w:t>
      </w:r>
      <w:r w:rsidRPr="00A27440">
        <w:rPr>
          <w:rFonts w:ascii="Myriad Pro" w:hAnsi="Myriad Pro"/>
          <w:i/>
          <w:color w:val="000000"/>
          <w:sz w:val="21"/>
          <w:szCs w:val="21"/>
          <w:highlight w:val="lightGray"/>
        </w:rPr>
        <w:t>(</w:t>
      </w:r>
      <w:hyperlink r:id="rId15" w:history="1">
        <w:r w:rsidR="001617F8" w:rsidRPr="00504982">
          <w:rPr>
            <w:rStyle w:val="Hyperlink"/>
            <w:rFonts w:ascii="Myriad Pro" w:hAnsi="Myriad Pro"/>
            <w:i/>
            <w:sz w:val="21"/>
            <w:szCs w:val="21"/>
          </w:rPr>
          <w:t>http://web.undp.org/evaluation/guideline/documents/GEF/TE_GuidanceforUNDP-supportedGEF-financedProjects.pdf</w:t>
        </w:r>
      </w:hyperlink>
      <w:r w:rsidR="001617F8">
        <w:rPr>
          <w:rFonts w:ascii="Myriad Pro" w:hAnsi="Myriad Pro"/>
          <w:i/>
          <w:color w:val="000000"/>
          <w:sz w:val="21"/>
          <w:szCs w:val="21"/>
        </w:rPr>
        <w:t xml:space="preserve"> </w:t>
      </w:r>
      <w:r w:rsidRPr="00A27440">
        <w:rPr>
          <w:rFonts w:ascii="Myriad Pro" w:hAnsi="Myriad Pro"/>
          <w:i/>
          <w:color w:val="000000"/>
          <w:sz w:val="21"/>
          <w:szCs w:val="21"/>
          <w:highlight w:val="lightGray"/>
        </w:rPr>
        <w:t>)</w:t>
      </w:r>
      <w:r w:rsidRPr="00A27440">
        <w:rPr>
          <w:rFonts w:ascii="Myriad Pro" w:hAnsi="Myriad Pro"/>
          <w:color w:val="000000"/>
          <w:sz w:val="21"/>
          <w:szCs w:val="21"/>
        </w:rPr>
        <w:t>.</w:t>
      </w:r>
      <w:r>
        <w:rPr>
          <w:rFonts w:ascii="Myriad Pro" w:hAnsi="Myriad Pro"/>
          <w:color w:val="000000"/>
          <w:sz w:val="21"/>
          <w:szCs w:val="21"/>
        </w:rPr>
        <w:t xml:space="preserve"> </w:t>
      </w:r>
    </w:p>
    <w:p w14:paraId="0796C83F" w14:textId="73DA3F32" w:rsidR="006540C6" w:rsidRDefault="008C02E3" w:rsidP="00000F9B">
      <w:pPr>
        <w:jc w:val="both"/>
        <w:rPr>
          <w:rFonts w:ascii="Myriad Pro" w:hAnsi="Myriad Pro"/>
          <w:color w:val="000000"/>
          <w:sz w:val="21"/>
          <w:szCs w:val="21"/>
        </w:rPr>
      </w:pPr>
      <w:r>
        <w:rPr>
          <w:rFonts w:ascii="Myriad Pro" w:hAnsi="Myriad Pro"/>
          <w:color w:val="000000"/>
          <w:sz w:val="21"/>
          <w:szCs w:val="21"/>
        </w:rPr>
        <w:lastRenderedPageBreak/>
        <w:t xml:space="preserve">The Findings section of the TE report will cover the topics listed below. </w:t>
      </w:r>
      <w:r w:rsidR="00000F9B" w:rsidRPr="00A27440">
        <w:rPr>
          <w:rFonts w:ascii="Myriad Pro" w:hAnsi="Myriad Pro"/>
          <w:color w:val="000000"/>
          <w:sz w:val="21"/>
          <w:szCs w:val="21"/>
        </w:rPr>
        <w:t xml:space="preserve">A full outline of the TE report’s content is provided in </w:t>
      </w:r>
      <w:proofErr w:type="spellStart"/>
      <w:r w:rsidR="00000F9B" w:rsidRPr="00A27440">
        <w:rPr>
          <w:rFonts w:ascii="Myriad Pro" w:hAnsi="Myriad Pro"/>
          <w:color w:val="000000"/>
          <w:sz w:val="21"/>
          <w:szCs w:val="21"/>
        </w:rPr>
        <w:t>ToR</w:t>
      </w:r>
      <w:proofErr w:type="spellEnd"/>
      <w:r w:rsidR="00000F9B" w:rsidRPr="00A27440">
        <w:rPr>
          <w:rFonts w:ascii="Myriad Pro" w:hAnsi="Myriad Pro"/>
          <w:color w:val="000000"/>
          <w:sz w:val="21"/>
          <w:szCs w:val="21"/>
        </w:rPr>
        <w:t xml:space="preserve"> Annex C.</w:t>
      </w:r>
    </w:p>
    <w:p w14:paraId="2B6D24CE" w14:textId="176DAD6C" w:rsidR="00000F9B" w:rsidRPr="00A27440" w:rsidRDefault="00000F9B" w:rsidP="00FE1418">
      <w:pPr>
        <w:spacing w:before="240" w:after="120"/>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1529ABA2" w14:textId="77777777" w:rsidR="00000F9B" w:rsidRPr="00A27440" w:rsidRDefault="00000F9B" w:rsidP="00FE1418">
      <w:pPr>
        <w:spacing w:before="480" w:after="120"/>
        <w:jc w:val="both"/>
        <w:rPr>
          <w:sz w:val="21"/>
          <w:szCs w:val="21"/>
        </w:rPr>
      </w:pPr>
      <w:r w:rsidRPr="00A27440">
        <w:rPr>
          <w:rFonts w:ascii="Myriad Pro" w:hAnsi="Myriad Pro"/>
          <w:color w:val="000000"/>
          <w:sz w:val="21"/>
          <w:szCs w:val="21"/>
        </w:rPr>
        <w:t>Findings</w:t>
      </w:r>
    </w:p>
    <w:p w14:paraId="7AAA338D"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6E888FEC" w14:textId="178B9B9A" w:rsidR="00000F9B" w:rsidRPr="00A27440" w:rsidRDefault="00000F9B" w:rsidP="00000F9B">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bookmarkStart w:id="4" w:name="_Hlk64306806"/>
      <w:r w:rsidRPr="00A27440">
        <w:rPr>
          <w:rFonts w:ascii="Myriad Pro" w:eastAsiaTheme="minorHAnsi" w:hAnsi="Myriad Pro" w:cstheme="minorBidi"/>
          <w:color w:val="000000"/>
          <w:sz w:val="21"/>
          <w:szCs w:val="21"/>
          <w:lang w:bidi="ar-SA"/>
        </w:rPr>
        <w:t xml:space="preserve">National priorities </w:t>
      </w:r>
      <w:bookmarkEnd w:id="4"/>
      <w:r w:rsidRPr="00A27440">
        <w:rPr>
          <w:rFonts w:ascii="Myriad Pro" w:eastAsiaTheme="minorHAnsi" w:hAnsi="Myriad Pro" w:cstheme="minorBidi"/>
          <w:color w:val="000000"/>
          <w:sz w:val="21"/>
          <w:szCs w:val="21"/>
          <w:lang w:bidi="ar-SA"/>
        </w:rPr>
        <w:t xml:space="preserve">and country </w:t>
      </w:r>
      <w:proofErr w:type="spellStart"/>
      <w:r w:rsidRPr="00A27440">
        <w:rPr>
          <w:rFonts w:ascii="Myriad Pro" w:eastAsiaTheme="minorHAnsi" w:hAnsi="Myriad Pro" w:cstheme="minorBidi"/>
          <w:color w:val="000000"/>
          <w:sz w:val="21"/>
          <w:szCs w:val="21"/>
          <w:lang w:bidi="ar-SA"/>
        </w:rPr>
        <w:t>drivenness</w:t>
      </w:r>
      <w:proofErr w:type="spellEnd"/>
    </w:p>
    <w:p w14:paraId="08063990" w14:textId="77777777" w:rsidR="00000F9B" w:rsidRPr="00A27440" w:rsidRDefault="00000F9B" w:rsidP="00000F9B">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71DB0148"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79CD1B4B" w14:textId="195B0DDC" w:rsidR="00000F9B" w:rsidRPr="00A27440" w:rsidRDefault="00000F9B" w:rsidP="00000F9B">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w:t>
      </w:r>
      <w:r w:rsidR="00EC4D77">
        <w:rPr>
          <w:rFonts w:ascii="Myriad Pro" w:eastAsiaTheme="minorHAnsi" w:hAnsi="Myriad Pro" w:cstheme="minorBidi"/>
          <w:color w:val="000000"/>
          <w:sz w:val="21"/>
          <w:szCs w:val="21"/>
          <w:lang w:bidi="ar-SA"/>
        </w:rPr>
        <w:t xml:space="preserve"> Standards (</w:t>
      </w:r>
      <w:r w:rsidRPr="00A27440">
        <w:rPr>
          <w:rFonts w:ascii="Myriad Pro" w:eastAsiaTheme="minorHAnsi" w:hAnsi="Myriad Pro" w:cstheme="minorBidi"/>
          <w:color w:val="000000"/>
          <w:sz w:val="21"/>
          <w:szCs w:val="21"/>
          <w:lang w:bidi="ar-SA"/>
        </w:rPr>
        <w:t>Safeguards</w:t>
      </w:r>
      <w:r w:rsidR="00EC4D77">
        <w:rPr>
          <w:rFonts w:ascii="Myriad Pro" w:eastAsiaTheme="minorHAnsi" w:hAnsi="Myriad Pro" w:cstheme="minorBidi"/>
          <w:color w:val="000000"/>
          <w:sz w:val="21"/>
          <w:szCs w:val="21"/>
          <w:lang w:bidi="ar-SA"/>
        </w:rPr>
        <w:t>)</w:t>
      </w:r>
    </w:p>
    <w:p w14:paraId="4C9CFB11"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3D588787"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8542368" w14:textId="77777777"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14:paraId="1EDF0CB3" w14:textId="77777777"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6DF6E02E" w14:textId="77777777"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3303248C" w14:textId="77777777"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330C99B5" w14:textId="77777777" w:rsidR="00000F9B" w:rsidRPr="00A27440" w:rsidRDefault="00000F9B" w:rsidP="003A67E5">
      <w:pPr>
        <w:pStyle w:val="ListParagraph"/>
        <w:numPr>
          <w:ilvl w:val="0"/>
          <w:numId w:val="8"/>
        </w:numPr>
        <w:spacing w:before="240" w:after="120"/>
        <w:ind w:left="360" w:hanging="360"/>
        <w:contextualSpacing w:val="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6CDA9888" w14:textId="77777777" w:rsidR="00000F9B" w:rsidRPr="00A27440" w:rsidRDefault="00000F9B" w:rsidP="00E42182">
      <w:pPr>
        <w:pStyle w:val="normalbullet"/>
        <w:numPr>
          <w:ilvl w:val="0"/>
          <w:numId w:val="10"/>
        </w:numPr>
        <w:tabs>
          <w:tab w:val="left" w:pos="540"/>
        </w:tabs>
        <w:spacing w:before="0" w:after="0" w:line="259" w:lineRule="auto"/>
        <w:ind w:left="360"/>
        <w:jc w:val="both"/>
        <w:rPr>
          <w:rFonts w:ascii="Myriad Pro" w:hAnsi="Myriad Pro"/>
          <w:color w:val="000000"/>
          <w:sz w:val="21"/>
          <w:szCs w:val="21"/>
        </w:rPr>
      </w:pPr>
      <w:r w:rsidRPr="00E42182">
        <w:rPr>
          <w:rFonts w:ascii="Myriad Pro" w:eastAsiaTheme="minorHAnsi" w:hAnsi="Myriad Pro" w:cstheme="minorBidi"/>
          <w:color w:val="000000"/>
          <w:sz w:val="21"/>
          <w:szCs w:val="21"/>
          <w:lang w:bidi="ar-SA"/>
        </w:rPr>
        <w:t>Adaptive</w:t>
      </w:r>
      <w:r w:rsidRPr="00A27440">
        <w:rPr>
          <w:rFonts w:ascii="Myriad Pro" w:hAnsi="Myriad Pro"/>
          <w:color w:val="000000"/>
          <w:sz w:val="21"/>
          <w:szCs w:val="21"/>
        </w:rPr>
        <w:t xml:space="preserve"> management (changes to the project design and project outputs during implementation)</w:t>
      </w:r>
    </w:p>
    <w:p w14:paraId="191A896D"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2A16E35B"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4B1CDBD8"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2D2AD9BE"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0E60C3F8" w14:textId="75ABACAB" w:rsidR="00000F9B" w:rsidRDefault="00000F9B" w:rsidP="009A3B21">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r w:rsidR="00ED4E25">
        <w:rPr>
          <w:rFonts w:ascii="Myriad Pro" w:hAnsi="Myriad Pro"/>
          <w:color w:val="000000"/>
          <w:sz w:val="21"/>
          <w:szCs w:val="21"/>
        </w:rPr>
        <w:t xml:space="preserve"> (Safeguards)</w:t>
      </w:r>
    </w:p>
    <w:p w14:paraId="314AC821" w14:textId="77777777" w:rsidR="00000F9B" w:rsidRPr="00A27440" w:rsidRDefault="00000F9B" w:rsidP="00FE1418">
      <w:pPr>
        <w:pStyle w:val="ListParagraph"/>
        <w:numPr>
          <w:ilvl w:val="0"/>
          <w:numId w:val="8"/>
        </w:numPr>
        <w:spacing w:before="360" w:after="240"/>
        <w:ind w:left="360" w:hanging="360"/>
        <w:contextualSpacing w:val="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318412F9" w14:textId="77777777" w:rsidR="00000F9B" w:rsidRPr="00A27440" w:rsidRDefault="00000F9B" w:rsidP="00E42182">
      <w:pPr>
        <w:pStyle w:val="normalbullet"/>
        <w:numPr>
          <w:ilvl w:val="0"/>
          <w:numId w:val="10"/>
        </w:numPr>
        <w:tabs>
          <w:tab w:val="left" w:pos="540"/>
        </w:tabs>
        <w:spacing w:before="0" w:after="0" w:line="259" w:lineRule="auto"/>
        <w:ind w:left="360"/>
        <w:jc w:val="both"/>
        <w:rPr>
          <w:rFonts w:ascii="Myriad Pro" w:hAnsi="Myriad Pro"/>
          <w:color w:val="000000"/>
          <w:sz w:val="21"/>
          <w:szCs w:val="21"/>
        </w:rPr>
      </w:pPr>
      <w:r w:rsidRPr="00E42182">
        <w:rPr>
          <w:rFonts w:ascii="Myriad Pro" w:eastAsiaTheme="minorHAnsi" w:hAnsi="Myriad Pro" w:cstheme="minorBidi"/>
          <w:color w:val="000000"/>
          <w:sz w:val="21"/>
          <w:szCs w:val="21"/>
          <w:lang w:bidi="ar-SA"/>
        </w:rPr>
        <w:t>Assess</w:t>
      </w:r>
      <w:r w:rsidRPr="00A27440">
        <w:rPr>
          <w:rFonts w:ascii="Myriad Pro" w:hAnsi="Myriad Pro"/>
          <w:color w:val="000000"/>
          <w:sz w:val="21"/>
          <w:szCs w:val="21"/>
        </w:rPr>
        <w:t xml:space="preserve"> the achievement of outcomes against indicators by reporting on the level of progress for each objective and outcome indicator at the time of the TE and noting final achievements</w:t>
      </w:r>
    </w:p>
    <w:p w14:paraId="32D89760"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A340B34" w14:textId="3697977E"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 xml:space="preserve">, </w:t>
      </w:r>
      <w:r w:rsidRPr="00A27440">
        <w:rPr>
          <w:rFonts w:ascii="Myriad Pro" w:hAnsi="Myriad Pro"/>
          <w:color w:val="000000"/>
          <w:sz w:val="21"/>
          <w:szCs w:val="21"/>
        </w:rPr>
        <w:t>socio-political (*), institutional framework and governance (*), environmental (*), overall likelihood of sustainability (*)</w:t>
      </w:r>
    </w:p>
    <w:p w14:paraId="799E8EBF"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52D732D1"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14:paraId="24C55877"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41DF8D38"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38397BD4"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10504FBB"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10A1B418" w14:textId="77777777" w:rsidR="00000F9B" w:rsidRPr="000C4C75" w:rsidRDefault="00000F9B" w:rsidP="00FE1418">
      <w:pPr>
        <w:spacing w:before="360" w:after="240"/>
        <w:jc w:val="both"/>
        <w:rPr>
          <w:sz w:val="21"/>
          <w:szCs w:val="21"/>
          <w:u w:val="single"/>
        </w:rPr>
      </w:pPr>
      <w:r w:rsidRPr="000C4C75">
        <w:rPr>
          <w:rFonts w:ascii="Myriad Pro" w:hAnsi="Myriad Pro"/>
          <w:color w:val="000000"/>
          <w:sz w:val="21"/>
          <w:szCs w:val="21"/>
          <w:u w:val="single"/>
        </w:rPr>
        <w:t>Main Findings, Conclusions, Recommendations and Lessons Learned</w:t>
      </w:r>
    </w:p>
    <w:p w14:paraId="17D1C376" w14:textId="6FCF176F" w:rsidR="00000F9B" w:rsidRPr="00A27440" w:rsidRDefault="00000F9B" w:rsidP="00742CC8">
      <w:pPr>
        <w:pStyle w:val="normalbullet"/>
        <w:numPr>
          <w:ilvl w:val="0"/>
          <w:numId w:val="10"/>
        </w:numPr>
        <w:tabs>
          <w:tab w:val="left" w:pos="540"/>
        </w:tabs>
        <w:spacing w:before="120" w:after="120" w:line="259" w:lineRule="auto"/>
        <w:ind w:left="360"/>
        <w:jc w:val="both"/>
        <w:rPr>
          <w:rFonts w:ascii="Myriad Pro" w:hAnsi="Myriad Pro"/>
          <w:color w:val="000000"/>
          <w:sz w:val="21"/>
          <w:szCs w:val="21"/>
        </w:rPr>
      </w:pPr>
      <w:r w:rsidRPr="00A27440">
        <w:rPr>
          <w:rFonts w:ascii="Myriad Pro" w:hAnsi="Myriad Pro"/>
          <w:color w:val="000000"/>
          <w:sz w:val="21"/>
          <w:szCs w:val="21"/>
        </w:rPr>
        <w:lastRenderedPageBreak/>
        <w:t xml:space="preserve">The TE </w:t>
      </w:r>
      <w:r w:rsidR="00C73519" w:rsidRPr="00C73519">
        <w:rPr>
          <w:rFonts w:ascii="Myriad Pro" w:eastAsiaTheme="minorHAnsi" w:hAnsi="Myriad Pro"/>
          <w:color w:val="000000"/>
          <w:sz w:val="21"/>
          <w:szCs w:val="21"/>
          <w:lang w:bidi="ar-SA"/>
        </w:rPr>
        <w:t xml:space="preserve">Evaluator </w:t>
      </w:r>
      <w:r w:rsidRPr="00A27440">
        <w:rPr>
          <w:rFonts w:ascii="Myriad Pro" w:hAnsi="Myriad Pro"/>
          <w:color w:val="000000"/>
          <w:sz w:val="21"/>
          <w:szCs w:val="21"/>
        </w:rPr>
        <w:t>will include a summary of the main findings of the TE report. Findings should be presented as statements of fact that are based on analysis of the data.</w:t>
      </w:r>
    </w:p>
    <w:p w14:paraId="65443931" w14:textId="2583B107" w:rsidR="00000F9B" w:rsidRPr="00A27440" w:rsidRDefault="00000F9B" w:rsidP="00742CC8">
      <w:pPr>
        <w:pStyle w:val="ListParagraph"/>
        <w:numPr>
          <w:ilvl w:val="0"/>
          <w:numId w:val="5"/>
        </w:numPr>
        <w:tabs>
          <w:tab w:val="left" w:pos="1620"/>
        </w:tabs>
        <w:spacing w:before="120" w:after="120"/>
        <w:ind w:left="360"/>
        <w:contextualSpacing w:val="0"/>
        <w:jc w:val="both"/>
        <w:rPr>
          <w:rFonts w:ascii="Myriad Pro" w:hAnsi="Myriad Pro"/>
          <w:color w:val="000000"/>
          <w:sz w:val="21"/>
          <w:szCs w:val="21"/>
        </w:rPr>
      </w:pPr>
      <w:r w:rsidRPr="00A27440">
        <w:rPr>
          <w:rFonts w:ascii="Myriad Pro" w:hAnsi="Myriad Pro"/>
          <w:color w:val="000000"/>
          <w:sz w:val="21"/>
          <w:szCs w:val="21"/>
        </w:rPr>
        <w:t xml:space="preserve">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1F2C63B8" w:rsidR="00000F9B" w:rsidRPr="00A27440" w:rsidRDefault="00000F9B" w:rsidP="00742CC8">
      <w:pPr>
        <w:pStyle w:val="ListParagraph"/>
        <w:numPr>
          <w:ilvl w:val="0"/>
          <w:numId w:val="5"/>
        </w:numPr>
        <w:tabs>
          <w:tab w:val="left" w:pos="1620"/>
        </w:tabs>
        <w:spacing w:before="120" w:after="120"/>
        <w:ind w:left="360"/>
        <w:contextualSpacing w:val="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w:t>
      </w:r>
      <w:r w:rsidR="00B2350D">
        <w:rPr>
          <w:rFonts w:ascii="Myriad Pro" w:hAnsi="Myriad Pro"/>
          <w:color w:val="000000"/>
          <w:sz w:val="21"/>
          <w:szCs w:val="21"/>
        </w:rPr>
        <w:t xml:space="preserve">the </w:t>
      </w:r>
      <w:r w:rsidRPr="00A27440">
        <w:rPr>
          <w:rFonts w:ascii="Myriad Pro" w:hAnsi="Myriad Pro"/>
          <w:color w:val="000000"/>
          <w:sz w:val="21"/>
          <w:szCs w:val="21"/>
        </w:rPr>
        <w:t xml:space="preserve">key questions addressed by the evaluation. </w:t>
      </w:r>
    </w:p>
    <w:p w14:paraId="5AD6B72F" w14:textId="03E2DDFF" w:rsidR="00000F9B" w:rsidRPr="00A27440" w:rsidRDefault="00000F9B" w:rsidP="00742CC8">
      <w:pPr>
        <w:pStyle w:val="ListParagraph"/>
        <w:numPr>
          <w:ilvl w:val="0"/>
          <w:numId w:val="5"/>
        </w:numPr>
        <w:tabs>
          <w:tab w:val="left" w:pos="1620"/>
        </w:tabs>
        <w:spacing w:before="120" w:after="120"/>
        <w:ind w:left="360"/>
        <w:contextualSpacing w:val="0"/>
        <w:jc w:val="both"/>
        <w:rPr>
          <w:rFonts w:ascii="Myriad Pro" w:hAnsi="Myriad Pro"/>
          <w:color w:val="000000"/>
          <w:sz w:val="21"/>
          <w:szCs w:val="21"/>
        </w:rPr>
      </w:pPr>
      <w:r w:rsidRPr="00A27440">
        <w:rPr>
          <w:rFonts w:ascii="Myriad Pro" w:hAnsi="Myriad Pro"/>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w:t>
      </w:r>
      <w:r w:rsidR="00C73519" w:rsidRPr="00C73519">
        <w:rPr>
          <w:rFonts w:ascii="Myriad Pro" w:hAnsi="Myriad Pro"/>
          <w:color w:val="000000"/>
          <w:sz w:val="21"/>
          <w:szCs w:val="21"/>
        </w:rPr>
        <w:t xml:space="preserve">Evaluator </w:t>
      </w:r>
      <w:r w:rsidRPr="00A27440">
        <w:rPr>
          <w:rFonts w:ascii="Myriad Pro" w:hAnsi="Myriad Pro"/>
          <w:color w:val="000000"/>
          <w:sz w:val="21"/>
          <w:szCs w:val="21"/>
        </w:rPr>
        <w:t>should include examples of good practices in project design and implementation.</w:t>
      </w:r>
    </w:p>
    <w:p w14:paraId="7A3E79E9" w14:textId="44DDE1FF"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It is important for the conclusions, recommendations and lessons learned of the TE report to </w:t>
      </w:r>
      <w:r w:rsidR="00BA6F7C">
        <w:rPr>
          <w:rFonts w:ascii="Myriad Pro" w:hAnsi="Myriad Pro"/>
          <w:color w:val="000000"/>
          <w:sz w:val="21"/>
          <w:szCs w:val="21"/>
        </w:rPr>
        <w:t>incorporate</w:t>
      </w:r>
      <w:r w:rsidRPr="00A27440">
        <w:rPr>
          <w:rFonts w:ascii="Myriad Pro" w:hAnsi="Myriad Pro"/>
          <w:color w:val="000000"/>
          <w:sz w:val="21"/>
          <w:szCs w:val="21"/>
        </w:rPr>
        <w:t xml:space="preserve"> gender equality and empowerment of women.</w:t>
      </w:r>
    </w:p>
    <w:p w14:paraId="5F4434C1" w14:textId="4B087145" w:rsidR="007F2A0A" w:rsidRDefault="00000F9B" w:rsidP="00000F9B">
      <w:pPr>
        <w:jc w:val="both"/>
        <w:rPr>
          <w:rFonts w:ascii="Myriad Pro" w:hAnsi="Myriad Pro"/>
          <w:color w:val="000000"/>
          <w:sz w:val="21"/>
          <w:szCs w:val="21"/>
        </w:rPr>
      </w:pPr>
      <w:r w:rsidRPr="00A27440">
        <w:rPr>
          <w:rFonts w:ascii="Myriad Pro" w:hAnsi="Myriad Pro"/>
          <w:color w:val="000000"/>
          <w:sz w:val="21"/>
          <w:szCs w:val="21"/>
        </w:rPr>
        <w:t>The TE report will include an Evaluation Ratings Table, as shown below:</w:t>
      </w:r>
    </w:p>
    <w:p w14:paraId="526219AB" w14:textId="5D71B11A" w:rsidR="00000F9B" w:rsidRPr="00EE3481" w:rsidRDefault="00000F9B" w:rsidP="00F55829">
      <w:pPr>
        <w:ind w:left="900" w:hanging="900"/>
        <w:jc w:val="both"/>
        <w:rPr>
          <w:rFonts w:ascii="Myriad Pro" w:hAnsi="Myriad Pro"/>
          <w:b/>
          <w:bCs/>
          <w:color w:val="000000"/>
          <w:sz w:val="21"/>
          <w:szCs w:val="21"/>
        </w:rPr>
      </w:pPr>
      <w:r w:rsidRPr="00EE3481">
        <w:rPr>
          <w:rFonts w:ascii="Myriad Pro" w:hAnsi="Myriad Pro"/>
          <w:b/>
          <w:bCs/>
          <w:color w:val="000000"/>
          <w:sz w:val="21"/>
          <w:szCs w:val="21"/>
        </w:rPr>
        <w:t>Table 2: Evaluation Ratings</w:t>
      </w:r>
      <w:r w:rsidR="001A5FDA" w:rsidRPr="00EE3481">
        <w:rPr>
          <w:rFonts w:ascii="Myriad Pro" w:hAnsi="Myriad Pro"/>
          <w:b/>
          <w:bCs/>
          <w:color w:val="000000"/>
          <w:sz w:val="21"/>
          <w:szCs w:val="21"/>
        </w:rPr>
        <w:t xml:space="preserve"> for </w:t>
      </w:r>
      <w:r w:rsidR="008764D7" w:rsidRPr="00EE3481">
        <w:rPr>
          <w:rFonts w:ascii="Myriad Pro" w:hAnsi="Myriad Pro"/>
          <w:b/>
          <w:bCs/>
          <w:color w:val="000000"/>
          <w:sz w:val="21"/>
          <w:szCs w:val="21"/>
        </w:rPr>
        <w:t>“Elimination of obsolete pesticide stockpiles and addressing POPs contaminated sites within a sound chemicals management framework” full-size project</w:t>
      </w:r>
    </w:p>
    <w:tbl>
      <w:tblPr>
        <w:tblStyle w:val="TableGrid"/>
        <w:tblW w:w="0" w:type="auto"/>
        <w:jc w:val="center"/>
        <w:tblLook w:val="04A0" w:firstRow="1" w:lastRow="0" w:firstColumn="1" w:lastColumn="0" w:noHBand="0" w:noVBand="1"/>
      </w:tblPr>
      <w:tblGrid>
        <w:gridCol w:w="7555"/>
        <w:gridCol w:w="1795"/>
      </w:tblGrid>
      <w:tr w:rsidR="00000F9B" w:rsidRPr="00AA4F7A" w14:paraId="049352B8" w14:textId="77777777" w:rsidTr="002B2199">
        <w:trPr>
          <w:jc w:val="center"/>
        </w:trPr>
        <w:tc>
          <w:tcPr>
            <w:tcW w:w="7555" w:type="dxa"/>
            <w:shd w:val="clear" w:color="auto" w:fill="404040" w:themeFill="text1" w:themeFillTint="BF"/>
          </w:tcPr>
          <w:p w14:paraId="187F9974" w14:textId="08D833A5" w:rsidR="00000F9B" w:rsidRPr="001A5FDA" w:rsidRDefault="00000F9B" w:rsidP="008B7B77">
            <w:pPr>
              <w:pStyle w:val="ListParagraph"/>
              <w:numPr>
                <w:ilvl w:val="0"/>
                <w:numId w:val="22"/>
              </w:numPr>
              <w:ind w:left="330" w:hanging="270"/>
              <w:jc w:val="both"/>
              <w:rPr>
                <w:rFonts w:ascii="Myriad Pro" w:hAnsi="Myriad Pro"/>
                <w:color w:val="FFFFFF" w:themeColor="background1"/>
                <w:sz w:val="21"/>
                <w:szCs w:val="21"/>
              </w:rPr>
            </w:pPr>
            <w:r w:rsidRPr="001A5FDA">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722EB2EE" w14:textId="3E8C6FD8" w:rsidR="00000F9B" w:rsidRPr="00420BAC" w:rsidRDefault="00000F9B" w:rsidP="002B219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w:t>
            </w:r>
            <w:r w:rsidR="00DD0A7D">
              <w:rPr>
                <w:rFonts w:ascii="Myriad Pro" w:hAnsi="Myriad Pro"/>
                <w:color w:val="FFFFFF" w:themeColor="background1"/>
                <w:sz w:val="21"/>
                <w:szCs w:val="21"/>
              </w:rPr>
              <w:t>g</w:t>
            </w:r>
            <w:r w:rsidR="003A67E5">
              <w:rPr>
                <w:rFonts w:ascii="Myriad Pro" w:hAnsi="Myriad Pro"/>
                <w:color w:val="FFFFFF" w:themeColor="background1"/>
                <w:sz w:val="21"/>
                <w:szCs w:val="21"/>
              </w:rPr>
              <w:t>*</w:t>
            </w:r>
          </w:p>
        </w:tc>
      </w:tr>
      <w:tr w:rsidR="00000F9B" w:rsidRPr="00AA4F7A" w14:paraId="5FD6F78A" w14:textId="77777777" w:rsidTr="002B2199">
        <w:trPr>
          <w:jc w:val="center"/>
        </w:trPr>
        <w:tc>
          <w:tcPr>
            <w:tcW w:w="7555" w:type="dxa"/>
          </w:tcPr>
          <w:p w14:paraId="22D912DF"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CB5A70F" w14:textId="77777777" w:rsidR="00000F9B" w:rsidRPr="00420BAC" w:rsidRDefault="00000F9B" w:rsidP="002B2199">
            <w:pPr>
              <w:jc w:val="both"/>
              <w:rPr>
                <w:rFonts w:ascii="Myriad Pro" w:hAnsi="Myriad Pro"/>
                <w:color w:val="000000"/>
                <w:sz w:val="21"/>
                <w:szCs w:val="21"/>
              </w:rPr>
            </w:pPr>
          </w:p>
        </w:tc>
      </w:tr>
      <w:tr w:rsidR="00000F9B" w:rsidRPr="00AA4F7A" w14:paraId="7DE395A0" w14:textId="77777777" w:rsidTr="002B2199">
        <w:trPr>
          <w:jc w:val="center"/>
        </w:trPr>
        <w:tc>
          <w:tcPr>
            <w:tcW w:w="7555" w:type="dxa"/>
          </w:tcPr>
          <w:p w14:paraId="54E3442B"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2DBB1A10" w14:textId="77777777" w:rsidR="00000F9B" w:rsidRPr="00420BAC" w:rsidRDefault="00000F9B" w:rsidP="002B2199">
            <w:pPr>
              <w:jc w:val="both"/>
              <w:rPr>
                <w:rFonts w:ascii="Myriad Pro" w:hAnsi="Myriad Pro"/>
                <w:color w:val="000000"/>
                <w:sz w:val="21"/>
                <w:szCs w:val="21"/>
              </w:rPr>
            </w:pPr>
          </w:p>
        </w:tc>
      </w:tr>
      <w:tr w:rsidR="00000F9B" w:rsidRPr="00AA4F7A" w14:paraId="1D920008" w14:textId="77777777" w:rsidTr="002B2199">
        <w:trPr>
          <w:jc w:val="center"/>
        </w:trPr>
        <w:tc>
          <w:tcPr>
            <w:tcW w:w="7555" w:type="dxa"/>
            <w:shd w:val="clear" w:color="auto" w:fill="D0CECE" w:themeFill="background2" w:themeFillShade="E6"/>
          </w:tcPr>
          <w:p w14:paraId="1EF015B6"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7B7DA0E2" w14:textId="77777777" w:rsidR="00000F9B" w:rsidRPr="00420BAC" w:rsidRDefault="00000F9B" w:rsidP="002B2199">
            <w:pPr>
              <w:jc w:val="both"/>
              <w:rPr>
                <w:rFonts w:ascii="Myriad Pro" w:hAnsi="Myriad Pro"/>
                <w:color w:val="000000"/>
                <w:sz w:val="21"/>
                <w:szCs w:val="21"/>
              </w:rPr>
            </w:pPr>
          </w:p>
        </w:tc>
      </w:tr>
      <w:tr w:rsidR="00000F9B" w:rsidRPr="00AA4F7A" w14:paraId="63662B91" w14:textId="77777777" w:rsidTr="002B2199">
        <w:trPr>
          <w:jc w:val="center"/>
        </w:trPr>
        <w:tc>
          <w:tcPr>
            <w:tcW w:w="7555" w:type="dxa"/>
            <w:shd w:val="clear" w:color="auto" w:fill="404040" w:themeFill="text1" w:themeFillTint="BF"/>
          </w:tcPr>
          <w:p w14:paraId="0517E530" w14:textId="77777777" w:rsidR="00000F9B" w:rsidRPr="00420BAC" w:rsidRDefault="00000F9B" w:rsidP="008B7B77">
            <w:pPr>
              <w:pStyle w:val="ListParagraph"/>
              <w:numPr>
                <w:ilvl w:val="0"/>
                <w:numId w:val="22"/>
              </w:numPr>
              <w:ind w:left="330" w:hanging="27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420BAC" w:rsidRDefault="00000F9B" w:rsidP="002B219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159BD372" w14:textId="77777777" w:rsidTr="002B2199">
        <w:trPr>
          <w:jc w:val="center"/>
        </w:trPr>
        <w:tc>
          <w:tcPr>
            <w:tcW w:w="7555" w:type="dxa"/>
          </w:tcPr>
          <w:p w14:paraId="61A24845" w14:textId="77777777" w:rsidR="00000F9B" w:rsidRPr="00420BAC" w:rsidRDefault="00000F9B" w:rsidP="002B2199">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29BB6844" w14:textId="77777777" w:rsidR="00000F9B" w:rsidRPr="00420BAC" w:rsidRDefault="00000F9B" w:rsidP="002B2199">
            <w:pPr>
              <w:jc w:val="both"/>
              <w:rPr>
                <w:rFonts w:ascii="Myriad Pro" w:hAnsi="Myriad Pro"/>
                <w:color w:val="000000"/>
                <w:sz w:val="21"/>
                <w:szCs w:val="21"/>
              </w:rPr>
            </w:pPr>
          </w:p>
        </w:tc>
      </w:tr>
      <w:tr w:rsidR="00000F9B" w:rsidRPr="00AA4F7A" w14:paraId="32D9B2C0" w14:textId="77777777" w:rsidTr="002B2199">
        <w:trPr>
          <w:jc w:val="center"/>
        </w:trPr>
        <w:tc>
          <w:tcPr>
            <w:tcW w:w="7555" w:type="dxa"/>
          </w:tcPr>
          <w:p w14:paraId="160B6E9E" w14:textId="77777777" w:rsidR="00000F9B" w:rsidRPr="00420BAC" w:rsidRDefault="00000F9B" w:rsidP="002B2199">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4F9F71B3" w14:textId="77777777" w:rsidR="00000F9B" w:rsidRPr="00420BAC" w:rsidRDefault="00000F9B" w:rsidP="002B2199">
            <w:pPr>
              <w:jc w:val="both"/>
              <w:rPr>
                <w:rFonts w:ascii="Myriad Pro" w:hAnsi="Myriad Pro"/>
                <w:color w:val="000000"/>
                <w:sz w:val="21"/>
                <w:szCs w:val="21"/>
              </w:rPr>
            </w:pPr>
          </w:p>
        </w:tc>
      </w:tr>
      <w:tr w:rsidR="00000F9B" w:rsidRPr="00AA4F7A" w14:paraId="4E4B89AC" w14:textId="77777777" w:rsidTr="002B2199">
        <w:trPr>
          <w:jc w:val="center"/>
        </w:trPr>
        <w:tc>
          <w:tcPr>
            <w:tcW w:w="7555" w:type="dxa"/>
            <w:shd w:val="clear" w:color="auto" w:fill="D0CECE" w:themeFill="background2" w:themeFillShade="E6"/>
          </w:tcPr>
          <w:p w14:paraId="64AB379B" w14:textId="77777777" w:rsidR="00000F9B" w:rsidRPr="00420BAC" w:rsidRDefault="00000F9B" w:rsidP="002B2199">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420BAC" w:rsidRDefault="00000F9B" w:rsidP="002B2199">
            <w:pPr>
              <w:jc w:val="both"/>
              <w:rPr>
                <w:rFonts w:ascii="Myriad Pro" w:hAnsi="Myriad Pro"/>
                <w:color w:val="000000"/>
                <w:sz w:val="21"/>
                <w:szCs w:val="21"/>
              </w:rPr>
            </w:pPr>
          </w:p>
        </w:tc>
      </w:tr>
      <w:tr w:rsidR="00000F9B" w:rsidRPr="00AA4F7A" w14:paraId="55BD4040" w14:textId="77777777" w:rsidTr="002B2199">
        <w:trPr>
          <w:jc w:val="center"/>
        </w:trPr>
        <w:tc>
          <w:tcPr>
            <w:tcW w:w="7555" w:type="dxa"/>
            <w:shd w:val="clear" w:color="auto" w:fill="404040" w:themeFill="text1" w:themeFillTint="BF"/>
          </w:tcPr>
          <w:p w14:paraId="42ED72E3" w14:textId="77777777" w:rsidR="00000F9B" w:rsidRPr="00420BAC" w:rsidRDefault="00000F9B" w:rsidP="008B7B77">
            <w:pPr>
              <w:pStyle w:val="ListParagraph"/>
              <w:numPr>
                <w:ilvl w:val="0"/>
                <w:numId w:val="22"/>
              </w:numPr>
              <w:ind w:left="330" w:hanging="27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420BAC" w:rsidRDefault="00000F9B" w:rsidP="002B219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4B4304E9" w14:textId="77777777" w:rsidTr="002B2199">
        <w:trPr>
          <w:jc w:val="center"/>
        </w:trPr>
        <w:tc>
          <w:tcPr>
            <w:tcW w:w="7555" w:type="dxa"/>
          </w:tcPr>
          <w:p w14:paraId="5856C2EC"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1380B240" w14:textId="77777777" w:rsidR="00000F9B" w:rsidRPr="00420BAC" w:rsidRDefault="00000F9B" w:rsidP="002B2199">
            <w:pPr>
              <w:jc w:val="both"/>
              <w:rPr>
                <w:rFonts w:ascii="Myriad Pro" w:hAnsi="Myriad Pro"/>
                <w:color w:val="000000"/>
                <w:sz w:val="21"/>
                <w:szCs w:val="21"/>
              </w:rPr>
            </w:pPr>
          </w:p>
        </w:tc>
      </w:tr>
      <w:tr w:rsidR="00000F9B" w:rsidRPr="00AA4F7A" w14:paraId="535EFF08" w14:textId="77777777" w:rsidTr="002B2199">
        <w:trPr>
          <w:jc w:val="center"/>
        </w:trPr>
        <w:tc>
          <w:tcPr>
            <w:tcW w:w="7555" w:type="dxa"/>
          </w:tcPr>
          <w:p w14:paraId="6520394E"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20435D4C" w14:textId="77777777" w:rsidR="00000F9B" w:rsidRPr="00420BAC" w:rsidRDefault="00000F9B" w:rsidP="002B2199">
            <w:pPr>
              <w:jc w:val="both"/>
              <w:rPr>
                <w:rFonts w:ascii="Myriad Pro" w:hAnsi="Myriad Pro"/>
                <w:color w:val="000000"/>
                <w:sz w:val="21"/>
                <w:szCs w:val="21"/>
              </w:rPr>
            </w:pPr>
          </w:p>
        </w:tc>
      </w:tr>
      <w:tr w:rsidR="00000F9B" w:rsidRPr="00AA4F7A" w14:paraId="22582FED" w14:textId="77777777" w:rsidTr="002B2199">
        <w:trPr>
          <w:jc w:val="center"/>
        </w:trPr>
        <w:tc>
          <w:tcPr>
            <w:tcW w:w="7555" w:type="dxa"/>
          </w:tcPr>
          <w:p w14:paraId="7E6AA840"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5CC590FD" w14:textId="77777777" w:rsidR="00000F9B" w:rsidRPr="00420BAC" w:rsidRDefault="00000F9B" w:rsidP="002B2199">
            <w:pPr>
              <w:jc w:val="both"/>
              <w:rPr>
                <w:rFonts w:ascii="Myriad Pro" w:hAnsi="Myriad Pro"/>
                <w:color w:val="000000"/>
                <w:sz w:val="21"/>
                <w:szCs w:val="21"/>
              </w:rPr>
            </w:pPr>
          </w:p>
        </w:tc>
      </w:tr>
      <w:tr w:rsidR="00000F9B" w:rsidRPr="00AA4F7A" w14:paraId="70A96A96" w14:textId="77777777" w:rsidTr="002B2199">
        <w:trPr>
          <w:jc w:val="center"/>
        </w:trPr>
        <w:tc>
          <w:tcPr>
            <w:tcW w:w="7555" w:type="dxa"/>
            <w:shd w:val="clear" w:color="auto" w:fill="D0CECE" w:themeFill="background2" w:themeFillShade="E6"/>
          </w:tcPr>
          <w:p w14:paraId="2C334DCC"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473C5583" w14:textId="77777777" w:rsidR="00000F9B" w:rsidRPr="00420BAC" w:rsidRDefault="00000F9B" w:rsidP="002B2199">
            <w:pPr>
              <w:jc w:val="both"/>
              <w:rPr>
                <w:rFonts w:ascii="Myriad Pro" w:hAnsi="Myriad Pro"/>
                <w:color w:val="000000"/>
                <w:sz w:val="21"/>
                <w:szCs w:val="21"/>
              </w:rPr>
            </w:pPr>
          </w:p>
        </w:tc>
      </w:tr>
      <w:tr w:rsidR="00000F9B" w:rsidRPr="00AA4F7A" w14:paraId="1FB60FF2" w14:textId="77777777" w:rsidTr="002B2199">
        <w:trPr>
          <w:jc w:val="center"/>
        </w:trPr>
        <w:tc>
          <w:tcPr>
            <w:tcW w:w="7555" w:type="dxa"/>
            <w:shd w:val="clear" w:color="auto" w:fill="404040" w:themeFill="text1" w:themeFillTint="BF"/>
          </w:tcPr>
          <w:p w14:paraId="2E6B0131" w14:textId="77777777" w:rsidR="00000F9B" w:rsidRPr="00420BAC" w:rsidRDefault="00000F9B" w:rsidP="008B7B77">
            <w:pPr>
              <w:pStyle w:val="ListParagraph"/>
              <w:numPr>
                <w:ilvl w:val="0"/>
                <w:numId w:val="22"/>
              </w:numPr>
              <w:ind w:left="330" w:hanging="27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5A1982A6" w14:textId="77777777" w:rsidR="00000F9B" w:rsidRPr="00420BAC" w:rsidRDefault="00000F9B" w:rsidP="002B219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598F238C" w14:textId="77777777" w:rsidTr="002B2199">
        <w:trPr>
          <w:jc w:val="center"/>
        </w:trPr>
        <w:tc>
          <w:tcPr>
            <w:tcW w:w="7555" w:type="dxa"/>
          </w:tcPr>
          <w:p w14:paraId="268E7123"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4197045C" w14:textId="77777777" w:rsidR="00000F9B" w:rsidRPr="00420BAC" w:rsidRDefault="00000F9B" w:rsidP="002B2199">
            <w:pPr>
              <w:jc w:val="both"/>
              <w:rPr>
                <w:rFonts w:ascii="Myriad Pro" w:hAnsi="Myriad Pro"/>
                <w:color w:val="000000"/>
                <w:sz w:val="21"/>
                <w:szCs w:val="21"/>
              </w:rPr>
            </w:pPr>
          </w:p>
        </w:tc>
      </w:tr>
      <w:tr w:rsidR="00000F9B" w:rsidRPr="00AA4F7A" w14:paraId="4D416929" w14:textId="77777777" w:rsidTr="002B2199">
        <w:trPr>
          <w:jc w:val="center"/>
        </w:trPr>
        <w:tc>
          <w:tcPr>
            <w:tcW w:w="7555" w:type="dxa"/>
          </w:tcPr>
          <w:p w14:paraId="6353A1CD"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1A731D8D" w14:textId="77777777" w:rsidR="00000F9B" w:rsidRPr="00420BAC" w:rsidRDefault="00000F9B" w:rsidP="002B2199">
            <w:pPr>
              <w:jc w:val="both"/>
              <w:rPr>
                <w:rFonts w:ascii="Myriad Pro" w:hAnsi="Myriad Pro"/>
                <w:color w:val="000000"/>
                <w:sz w:val="21"/>
                <w:szCs w:val="21"/>
              </w:rPr>
            </w:pPr>
          </w:p>
        </w:tc>
      </w:tr>
      <w:tr w:rsidR="00000F9B" w:rsidRPr="00AA4F7A" w14:paraId="00CCD720" w14:textId="77777777" w:rsidTr="002B2199">
        <w:trPr>
          <w:jc w:val="center"/>
        </w:trPr>
        <w:tc>
          <w:tcPr>
            <w:tcW w:w="7555" w:type="dxa"/>
          </w:tcPr>
          <w:p w14:paraId="616C39E9"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0FF68EB1" w14:textId="77777777" w:rsidR="00000F9B" w:rsidRPr="00420BAC" w:rsidRDefault="00000F9B" w:rsidP="002B2199">
            <w:pPr>
              <w:jc w:val="both"/>
              <w:rPr>
                <w:rFonts w:ascii="Myriad Pro" w:hAnsi="Myriad Pro"/>
                <w:color w:val="000000"/>
                <w:sz w:val="21"/>
                <w:szCs w:val="21"/>
              </w:rPr>
            </w:pPr>
          </w:p>
        </w:tc>
      </w:tr>
      <w:tr w:rsidR="00000F9B" w:rsidRPr="00AA4F7A" w14:paraId="34BC81D3" w14:textId="77777777" w:rsidTr="002B2199">
        <w:trPr>
          <w:jc w:val="center"/>
        </w:trPr>
        <w:tc>
          <w:tcPr>
            <w:tcW w:w="7555" w:type="dxa"/>
          </w:tcPr>
          <w:p w14:paraId="4D658A4A"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4B772468" w14:textId="77777777" w:rsidR="00000F9B" w:rsidRPr="00420BAC" w:rsidRDefault="00000F9B" w:rsidP="002B2199">
            <w:pPr>
              <w:jc w:val="both"/>
              <w:rPr>
                <w:rFonts w:ascii="Myriad Pro" w:hAnsi="Myriad Pro"/>
                <w:color w:val="000000"/>
                <w:sz w:val="21"/>
                <w:szCs w:val="21"/>
              </w:rPr>
            </w:pPr>
          </w:p>
        </w:tc>
      </w:tr>
      <w:tr w:rsidR="00000F9B" w:rsidRPr="00AA4F7A" w14:paraId="459580D7" w14:textId="77777777" w:rsidTr="002B2199">
        <w:trPr>
          <w:jc w:val="center"/>
        </w:trPr>
        <w:tc>
          <w:tcPr>
            <w:tcW w:w="7555" w:type="dxa"/>
            <w:shd w:val="clear" w:color="auto" w:fill="D0CECE" w:themeFill="background2" w:themeFillShade="E6"/>
          </w:tcPr>
          <w:p w14:paraId="3ECD3F8A" w14:textId="77777777" w:rsidR="00000F9B" w:rsidRPr="00420BAC" w:rsidRDefault="00000F9B" w:rsidP="002B2199">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30B5A56" w14:textId="77777777" w:rsidR="00000F9B" w:rsidRPr="00420BAC" w:rsidRDefault="00000F9B" w:rsidP="002B2199">
            <w:pPr>
              <w:jc w:val="both"/>
              <w:rPr>
                <w:rFonts w:ascii="Myriad Pro" w:hAnsi="Myriad Pro"/>
                <w:color w:val="000000"/>
                <w:sz w:val="21"/>
                <w:szCs w:val="21"/>
              </w:rPr>
            </w:pPr>
          </w:p>
        </w:tc>
      </w:tr>
    </w:tbl>
    <w:p w14:paraId="716ED247" w14:textId="3CFF2572" w:rsidR="00DD0A7D" w:rsidRPr="003A67E5" w:rsidRDefault="003A67E5" w:rsidP="003A67E5">
      <w:pPr>
        <w:spacing w:before="120" w:after="120" w:line="240" w:lineRule="auto"/>
        <w:rPr>
          <w:rFonts w:ascii="Myriad Pro" w:hAnsi="Myriad Pro"/>
          <w:color w:val="000000"/>
          <w:sz w:val="18"/>
          <w:szCs w:val="18"/>
        </w:rPr>
      </w:pPr>
      <w:r>
        <w:rPr>
          <w:sz w:val="18"/>
          <w:szCs w:val="18"/>
        </w:rPr>
        <w:lastRenderedPageBreak/>
        <w:t>*</w:t>
      </w:r>
      <w:r w:rsidRPr="003A67E5">
        <w:rPr>
          <w:rFonts w:ascii="Myriad Pro" w:hAnsi="Myriad Pro"/>
          <w:color w:val="000000"/>
          <w:sz w:val="18"/>
          <w:szCs w:val="18"/>
        </w:rPr>
        <w:t>O</w:t>
      </w:r>
      <w:r w:rsidR="00DD0A7D" w:rsidRPr="003A67E5">
        <w:rPr>
          <w:rFonts w:ascii="Myriad Pro" w:hAnsi="Myriad Pro"/>
          <w:color w:val="000000"/>
          <w:sz w:val="18"/>
          <w:szCs w:val="18"/>
        </w:rPr>
        <w:t>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p w14:paraId="2C064D73" w14:textId="7A4CDAB2" w:rsidR="00000F9B" w:rsidRPr="00DD0A7D" w:rsidRDefault="00000F9B" w:rsidP="00DD0A7D">
      <w:pPr>
        <w:pStyle w:val="ListParagraph"/>
        <w:numPr>
          <w:ilvl w:val="0"/>
          <w:numId w:val="1"/>
        </w:numPr>
        <w:spacing w:before="480" w:after="120" w:line="240" w:lineRule="auto"/>
        <w:ind w:left="-180" w:firstLine="90"/>
        <w:contextualSpacing w:val="0"/>
        <w:rPr>
          <w:rFonts w:ascii="Myriad Pro" w:hAnsi="Myriad Pro"/>
          <w:b/>
          <w:bCs/>
          <w:sz w:val="20"/>
          <w:szCs w:val="20"/>
        </w:rPr>
      </w:pPr>
      <w:r w:rsidRPr="00DD0A7D">
        <w:rPr>
          <w:rFonts w:ascii="Myriad Pro" w:hAnsi="Myriad Pro"/>
          <w:b/>
          <w:bCs/>
          <w:sz w:val="20"/>
          <w:szCs w:val="20"/>
        </w:rPr>
        <w:t>TIMEFRAME</w:t>
      </w:r>
    </w:p>
    <w:p w14:paraId="08D60F12" w14:textId="6B7DC4FA" w:rsidR="00000F9B" w:rsidRDefault="00000F9B" w:rsidP="00000F9B">
      <w:pPr>
        <w:jc w:val="both"/>
        <w:rPr>
          <w:rFonts w:ascii="Myriad Pro" w:hAnsi="Myriad Pro"/>
          <w:color w:val="000000"/>
          <w:sz w:val="21"/>
          <w:szCs w:val="21"/>
        </w:rPr>
      </w:pPr>
      <w:r w:rsidRPr="00420BAC">
        <w:rPr>
          <w:rFonts w:ascii="Myriad Pro" w:hAnsi="Myriad Pro"/>
          <w:color w:val="000000"/>
          <w:sz w:val="21"/>
          <w:szCs w:val="21"/>
        </w:rPr>
        <w:t xml:space="preserve">The total duration of the TE will be </w:t>
      </w:r>
      <w:r w:rsidR="008764D7" w:rsidRPr="009B4BA5">
        <w:rPr>
          <w:rFonts w:ascii="Myriad Pro" w:hAnsi="Myriad Pro"/>
          <w:b/>
          <w:bCs/>
          <w:color w:val="000000"/>
          <w:sz w:val="21"/>
          <w:szCs w:val="21"/>
        </w:rPr>
        <w:t>25 effective person-days</w:t>
      </w:r>
      <w:r w:rsidR="008764D7" w:rsidRPr="002A10E6">
        <w:rPr>
          <w:rFonts w:ascii="Myriad Pro" w:hAnsi="Myriad Pro"/>
          <w:color w:val="000000"/>
          <w:sz w:val="21"/>
          <w:szCs w:val="21"/>
        </w:rPr>
        <w:t xml:space="preserve"> </w:t>
      </w:r>
      <w:r w:rsidRPr="002A10E6">
        <w:rPr>
          <w:rFonts w:ascii="Myriad Pro" w:hAnsi="Myriad Pro"/>
          <w:color w:val="000000"/>
          <w:sz w:val="21"/>
          <w:szCs w:val="21"/>
        </w:rPr>
        <w:t xml:space="preserve">over </w:t>
      </w:r>
      <w:proofErr w:type="gramStart"/>
      <w:r w:rsidRPr="002A10E6">
        <w:rPr>
          <w:rFonts w:ascii="Myriad Pro" w:hAnsi="Myriad Pro"/>
          <w:color w:val="000000"/>
          <w:sz w:val="21"/>
          <w:szCs w:val="21"/>
        </w:rPr>
        <w:t>a time period</w:t>
      </w:r>
      <w:proofErr w:type="gramEnd"/>
      <w:r w:rsidRPr="002A10E6">
        <w:rPr>
          <w:rFonts w:ascii="Myriad Pro" w:hAnsi="Myriad Pro"/>
          <w:color w:val="000000"/>
          <w:sz w:val="21"/>
          <w:szCs w:val="21"/>
        </w:rPr>
        <w:t xml:space="preserve"> of </w:t>
      </w:r>
      <w:r w:rsidR="00742CC8" w:rsidRPr="002A10E6">
        <w:rPr>
          <w:rFonts w:ascii="Myriad Pro" w:hAnsi="Myriad Pro"/>
          <w:color w:val="000000"/>
          <w:sz w:val="21"/>
          <w:szCs w:val="21"/>
        </w:rPr>
        <w:t>2</w:t>
      </w:r>
      <w:r w:rsidR="009F591C">
        <w:rPr>
          <w:rFonts w:ascii="Myriad Pro" w:hAnsi="Myriad Pro"/>
          <w:color w:val="000000"/>
          <w:sz w:val="21"/>
          <w:szCs w:val="21"/>
        </w:rPr>
        <w:t>2</w:t>
      </w:r>
      <w:r w:rsidR="008764D7" w:rsidRPr="002A10E6">
        <w:rPr>
          <w:rFonts w:ascii="Myriad Pro" w:hAnsi="Myriad Pro"/>
          <w:i/>
          <w:iCs/>
          <w:color w:val="000000"/>
          <w:sz w:val="21"/>
          <w:szCs w:val="21"/>
        </w:rPr>
        <w:t xml:space="preserve"> weeks</w:t>
      </w:r>
      <w:r w:rsidRPr="002A10E6">
        <w:rPr>
          <w:rFonts w:ascii="Myriad Pro" w:hAnsi="Myriad Pro"/>
          <w:color w:val="000000"/>
          <w:sz w:val="21"/>
          <w:szCs w:val="21"/>
        </w:rPr>
        <w:t xml:space="preserve"> starting </w:t>
      </w:r>
      <w:r w:rsidR="00B2350D">
        <w:rPr>
          <w:rFonts w:ascii="Myriad Pro" w:hAnsi="Myriad Pro"/>
          <w:color w:val="000000"/>
          <w:sz w:val="21"/>
          <w:szCs w:val="21"/>
        </w:rPr>
        <w:t xml:space="preserve">from </w:t>
      </w:r>
      <w:r w:rsidR="00E14759" w:rsidRPr="002A10E6">
        <w:rPr>
          <w:rFonts w:ascii="Myriad Pro" w:hAnsi="Myriad Pro"/>
          <w:b/>
          <w:bCs/>
          <w:color w:val="000000"/>
          <w:sz w:val="21"/>
          <w:szCs w:val="21"/>
        </w:rPr>
        <w:t>1</w:t>
      </w:r>
      <w:r w:rsidR="00F01604" w:rsidRPr="002A10E6">
        <w:rPr>
          <w:rFonts w:ascii="Myriad Pro" w:hAnsi="Myriad Pro"/>
          <w:b/>
          <w:bCs/>
          <w:color w:val="000000"/>
          <w:sz w:val="21"/>
          <w:szCs w:val="21"/>
        </w:rPr>
        <w:t>5</w:t>
      </w:r>
      <w:r w:rsidR="00E14759" w:rsidRPr="002A10E6">
        <w:rPr>
          <w:rFonts w:ascii="Myriad Pro" w:hAnsi="Myriad Pro"/>
          <w:b/>
          <w:bCs/>
          <w:color w:val="000000"/>
          <w:sz w:val="21"/>
          <w:szCs w:val="21"/>
        </w:rPr>
        <w:t xml:space="preserve"> April</w:t>
      </w:r>
      <w:r w:rsidR="008764D7" w:rsidRPr="002A10E6">
        <w:rPr>
          <w:rFonts w:ascii="Myriad Pro" w:hAnsi="Myriad Pro"/>
          <w:b/>
          <w:bCs/>
          <w:color w:val="000000"/>
          <w:sz w:val="21"/>
          <w:szCs w:val="21"/>
        </w:rPr>
        <w:t xml:space="preserve"> 2021</w:t>
      </w:r>
      <w:r w:rsidRPr="002A10E6">
        <w:rPr>
          <w:rFonts w:ascii="Myriad Pro" w:hAnsi="Myriad Pro"/>
          <w:color w:val="000000"/>
          <w:sz w:val="21"/>
          <w:szCs w:val="21"/>
        </w:rPr>
        <w:t>. The tentative TE timeframe is</w:t>
      </w:r>
      <w:r w:rsidRPr="00420BAC">
        <w:rPr>
          <w:rFonts w:ascii="Myriad Pro" w:hAnsi="Myriad Pro"/>
          <w:color w:val="000000"/>
          <w:sz w:val="21"/>
          <w:szCs w:val="21"/>
        </w:rPr>
        <w:t xml:space="preserve"> as follows:</w:t>
      </w:r>
    </w:p>
    <w:tbl>
      <w:tblPr>
        <w:tblStyle w:val="TableGrid"/>
        <w:tblW w:w="10440" w:type="dxa"/>
        <w:tblInd w:w="-275" w:type="dxa"/>
        <w:tblLook w:val="04A0" w:firstRow="1" w:lastRow="0" w:firstColumn="1" w:lastColumn="0" w:noHBand="0" w:noVBand="1"/>
      </w:tblPr>
      <w:tblGrid>
        <w:gridCol w:w="2160"/>
        <w:gridCol w:w="8280"/>
      </w:tblGrid>
      <w:tr w:rsidR="00000F9B" w:rsidRPr="00F243EC" w14:paraId="45CAD5E7" w14:textId="77777777" w:rsidTr="006C0C3F">
        <w:tc>
          <w:tcPr>
            <w:tcW w:w="2160" w:type="dxa"/>
            <w:shd w:val="clear" w:color="auto" w:fill="404040" w:themeFill="text1" w:themeFillTint="BF"/>
          </w:tcPr>
          <w:p w14:paraId="170CD44C" w14:textId="5C316F1A" w:rsidR="00000F9B" w:rsidRPr="00CE678D" w:rsidRDefault="00000F9B" w:rsidP="002B2199">
            <w:pPr>
              <w:rPr>
                <w:rFonts w:ascii="Myriad Pro" w:hAnsi="Myriad Pro"/>
                <w:color w:val="FFFFFF" w:themeColor="background1"/>
                <w:sz w:val="21"/>
                <w:szCs w:val="21"/>
              </w:rPr>
            </w:pPr>
            <w:r w:rsidRPr="00CE678D">
              <w:rPr>
                <w:rFonts w:ascii="Myriad Pro" w:hAnsi="Myriad Pro"/>
                <w:color w:val="FFFFFF" w:themeColor="background1"/>
                <w:sz w:val="21"/>
                <w:szCs w:val="21"/>
              </w:rPr>
              <w:t>Timeframe</w:t>
            </w:r>
            <w:r w:rsidR="00CC1F95">
              <w:rPr>
                <w:rFonts w:ascii="Myriad Pro" w:hAnsi="Myriad Pro"/>
                <w:color w:val="FFFFFF" w:themeColor="background1"/>
                <w:sz w:val="21"/>
                <w:szCs w:val="21"/>
              </w:rPr>
              <w:t xml:space="preserve"> in 2021</w:t>
            </w:r>
          </w:p>
        </w:tc>
        <w:tc>
          <w:tcPr>
            <w:tcW w:w="8280" w:type="dxa"/>
            <w:shd w:val="clear" w:color="auto" w:fill="404040" w:themeFill="text1" w:themeFillTint="BF"/>
          </w:tcPr>
          <w:p w14:paraId="62392845" w14:textId="77777777" w:rsidR="00000F9B" w:rsidRPr="00CE678D" w:rsidRDefault="00000F9B" w:rsidP="002B2199">
            <w:pPr>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000F9B" w:rsidRPr="00F243EC" w14:paraId="572D569A" w14:textId="77777777" w:rsidTr="006C0C3F">
        <w:tc>
          <w:tcPr>
            <w:tcW w:w="2160" w:type="dxa"/>
          </w:tcPr>
          <w:p w14:paraId="117CDBE8" w14:textId="37085D8C" w:rsidR="00000F9B" w:rsidRPr="0086252B" w:rsidRDefault="00442020" w:rsidP="002B2199">
            <w:pPr>
              <w:rPr>
                <w:rFonts w:cstheme="minorHAnsi"/>
                <w:b/>
                <w:bCs/>
                <w:i/>
                <w:color w:val="000000"/>
                <w:sz w:val="21"/>
                <w:szCs w:val="21"/>
              </w:rPr>
            </w:pPr>
            <w:r>
              <w:rPr>
                <w:rFonts w:cstheme="minorHAnsi"/>
                <w:b/>
                <w:bCs/>
                <w:i/>
                <w:color w:val="000000"/>
                <w:sz w:val="21"/>
                <w:szCs w:val="21"/>
              </w:rPr>
              <w:t>09</w:t>
            </w:r>
            <w:r w:rsidRPr="0086252B">
              <w:rPr>
                <w:rFonts w:cstheme="minorHAnsi"/>
                <w:b/>
                <w:bCs/>
                <w:i/>
                <w:color w:val="000000"/>
                <w:sz w:val="21"/>
                <w:szCs w:val="21"/>
              </w:rPr>
              <w:t xml:space="preserve"> April</w:t>
            </w:r>
          </w:p>
        </w:tc>
        <w:tc>
          <w:tcPr>
            <w:tcW w:w="8280" w:type="dxa"/>
          </w:tcPr>
          <w:p w14:paraId="7E0D16B7" w14:textId="77777777"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Application closes</w:t>
            </w:r>
          </w:p>
        </w:tc>
      </w:tr>
      <w:tr w:rsidR="00000F9B" w:rsidRPr="00F243EC" w14:paraId="22087C92" w14:textId="77777777" w:rsidTr="006C0C3F">
        <w:tc>
          <w:tcPr>
            <w:tcW w:w="2160" w:type="dxa"/>
          </w:tcPr>
          <w:p w14:paraId="01602FFC" w14:textId="28ABCCA4" w:rsidR="00000F9B" w:rsidRPr="0086252B" w:rsidRDefault="00442020" w:rsidP="002B2199">
            <w:pPr>
              <w:rPr>
                <w:rFonts w:cstheme="minorHAnsi"/>
                <w:b/>
                <w:bCs/>
                <w:i/>
                <w:color w:val="000000"/>
                <w:sz w:val="21"/>
                <w:szCs w:val="21"/>
              </w:rPr>
            </w:pPr>
            <w:r>
              <w:rPr>
                <w:rFonts w:cstheme="minorHAnsi"/>
                <w:b/>
                <w:bCs/>
                <w:i/>
                <w:color w:val="000000"/>
                <w:sz w:val="21"/>
                <w:szCs w:val="21"/>
              </w:rPr>
              <w:t>1</w:t>
            </w:r>
            <w:r w:rsidR="004C13A4">
              <w:rPr>
                <w:rFonts w:cstheme="minorHAnsi"/>
                <w:b/>
                <w:bCs/>
                <w:i/>
                <w:color w:val="000000"/>
                <w:sz w:val="21"/>
                <w:szCs w:val="21"/>
              </w:rPr>
              <w:t>9</w:t>
            </w:r>
            <w:r w:rsidR="00E14759" w:rsidRPr="0086252B">
              <w:rPr>
                <w:rFonts w:cstheme="minorHAnsi"/>
                <w:b/>
                <w:bCs/>
                <w:i/>
                <w:color w:val="000000"/>
                <w:sz w:val="21"/>
                <w:szCs w:val="21"/>
              </w:rPr>
              <w:t xml:space="preserve"> April</w:t>
            </w:r>
            <w:r w:rsidR="001A5FDA" w:rsidRPr="0086252B">
              <w:rPr>
                <w:rFonts w:cstheme="minorHAnsi"/>
                <w:b/>
                <w:bCs/>
                <w:i/>
                <w:color w:val="000000"/>
                <w:sz w:val="21"/>
                <w:szCs w:val="21"/>
              </w:rPr>
              <w:t xml:space="preserve"> </w:t>
            </w:r>
          </w:p>
        </w:tc>
        <w:tc>
          <w:tcPr>
            <w:tcW w:w="8280" w:type="dxa"/>
          </w:tcPr>
          <w:p w14:paraId="621D8873" w14:textId="5CB07815"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 xml:space="preserve">Selection of TE </w:t>
            </w:r>
            <w:r w:rsidR="00C73519" w:rsidRPr="00C73519">
              <w:rPr>
                <w:rFonts w:ascii="Myriad Pro" w:hAnsi="Myriad Pro"/>
                <w:color w:val="000000"/>
                <w:sz w:val="21"/>
                <w:szCs w:val="21"/>
              </w:rPr>
              <w:t>Evaluator</w:t>
            </w:r>
          </w:p>
        </w:tc>
      </w:tr>
      <w:tr w:rsidR="00000F9B" w:rsidRPr="00F243EC" w14:paraId="4D9E061E" w14:textId="77777777" w:rsidTr="006C0C3F">
        <w:tc>
          <w:tcPr>
            <w:tcW w:w="2160" w:type="dxa"/>
          </w:tcPr>
          <w:p w14:paraId="3A9FB558" w14:textId="4C041FA9" w:rsidR="00000F9B" w:rsidRPr="0086252B" w:rsidRDefault="00E14759" w:rsidP="002B2199">
            <w:pPr>
              <w:rPr>
                <w:rFonts w:cstheme="minorHAnsi"/>
                <w:b/>
                <w:bCs/>
                <w:i/>
                <w:color w:val="000000"/>
                <w:sz w:val="21"/>
                <w:szCs w:val="21"/>
              </w:rPr>
            </w:pPr>
            <w:r w:rsidRPr="0086252B">
              <w:rPr>
                <w:rFonts w:cstheme="minorHAnsi"/>
                <w:b/>
                <w:bCs/>
                <w:i/>
                <w:color w:val="000000"/>
                <w:sz w:val="21"/>
                <w:szCs w:val="21"/>
              </w:rPr>
              <w:t>2</w:t>
            </w:r>
            <w:r w:rsidR="0061678D" w:rsidRPr="0086252B">
              <w:rPr>
                <w:rFonts w:cstheme="minorHAnsi"/>
                <w:b/>
                <w:bCs/>
                <w:i/>
                <w:color w:val="000000"/>
                <w:sz w:val="21"/>
                <w:szCs w:val="21"/>
              </w:rPr>
              <w:t>7</w:t>
            </w:r>
            <w:r w:rsidRPr="0086252B">
              <w:rPr>
                <w:rFonts w:cstheme="minorHAnsi"/>
                <w:b/>
                <w:bCs/>
                <w:i/>
                <w:color w:val="000000"/>
                <w:sz w:val="21"/>
                <w:szCs w:val="21"/>
              </w:rPr>
              <w:t xml:space="preserve"> April</w:t>
            </w:r>
            <w:r w:rsidR="001957FA" w:rsidRPr="0086252B">
              <w:rPr>
                <w:rFonts w:cstheme="minorHAnsi"/>
                <w:b/>
                <w:bCs/>
                <w:i/>
                <w:color w:val="000000"/>
                <w:sz w:val="21"/>
                <w:szCs w:val="21"/>
              </w:rPr>
              <w:t xml:space="preserve"> </w:t>
            </w:r>
          </w:p>
        </w:tc>
        <w:tc>
          <w:tcPr>
            <w:tcW w:w="8280" w:type="dxa"/>
          </w:tcPr>
          <w:p w14:paraId="1BFCD5AD" w14:textId="7D8D6A96"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 xml:space="preserve">Preparation period for TE </w:t>
            </w:r>
            <w:r w:rsidR="00C73519" w:rsidRPr="00C73519">
              <w:rPr>
                <w:rFonts w:ascii="Myriad Pro" w:hAnsi="Myriad Pro"/>
                <w:color w:val="000000"/>
                <w:sz w:val="21"/>
                <w:szCs w:val="21"/>
              </w:rPr>
              <w:t xml:space="preserve">Evaluator </w:t>
            </w:r>
            <w:r w:rsidRPr="00CE678D">
              <w:rPr>
                <w:rFonts w:ascii="Myriad Pro" w:hAnsi="Myriad Pro"/>
                <w:color w:val="000000"/>
                <w:sz w:val="21"/>
                <w:szCs w:val="21"/>
              </w:rPr>
              <w:t>(handover of documentation)</w:t>
            </w:r>
            <w:r w:rsidR="00C73519">
              <w:rPr>
                <w:rFonts w:ascii="Myriad Pro" w:hAnsi="Myriad Pro"/>
                <w:color w:val="000000"/>
                <w:sz w:val="21"/>
                <w:szCs w:val="21"/>
              </w:rPr>
              <w:t xml:space="preserve"> </w:t>
            </w:r>
          </w:p>
        </w:tc>
      </w:tr>
      <w:tr w:rsidR="00000F9B" w:rsidRPr="00F243EC" w14:paraId="19C92733" w14:textId="77777777" w:rsidTr="006C0C3F">
        <w:tc>
          <w:tcPr>
            <w:tcW w:w="2160" w:type="dxa"/>
          </w:tcPr>
          <w:p w14:paraId="425D968C" w14:textId="553F6A03"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11 May</w:t>
            </w:r>
            <w:r w:rsidR="00384039" w:rsidRPr="0086252B">
              <w:rPr>
                <w:rFonts w:cstheme="minorHAnsi"/>
                <w:b/>
                <w:bCs/>
                <w:i/>
                <w:color w:val="000000"/>
                <w:sz w:val="21"/>
                <w:szCs w:val="21"/>
              </w:rPr>
              <w:t xml:space="preserve"> </w:t>
            </w:r>
          </w:p>
        </w:tc>
        <w:tc>
          <w:tcPr>
            <w:tcW w:w="8280" w:type="dxa"/>
          </w:tcPr>
          <w:p w14:paraId="1B65570C" w14:textId="77777777"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Document review and preparation of TE Inception Report</w:t>
            </w:r>
          </w:p>
        </w:tc>
      </w:tr>
      <w:tr w:rsidR="00000F9B" w:rsidRPr="00F243EC" w14:paraId="3AA3A33D" w14:textId="77777777" w:rsidTr="006C0C3F">
        <w:trPr>
          <w:trHeight w:val="328"/>
        </w:trPr>
        <w:tc>
          <w:tcPr>
            <w:tcW w:w="2160" w:type="dxa"/>
          </w:tcPr>
          <w:p w14:paraId="54F1A013" w14:textId="7CD2EA33" w:rsidR="00000F9B" w:rsidRPr="0086252B" w:rsidRDefault="0086252B" w:rsidP="002B2199">
            <w:pPr>
              <w:rPr>
                <w:rFonts w:cstheme="minorHAnsi"/>
                <w:b/>
                <w:bCs/>
                <w:i/>
                <w:color w:val="000000"/>
                <w:sz w:val="21"/>
                <w:szCs w:val="21"/>
              </w:rPr>
            </w:pPr>
            <w:r>
              <w:rPr>
                <w:rFonts w:cstheme="minorHAnsi"/>
                <w:b/>
                <w:bCs/>
                <w:i/>
                <w:color w:val="000000"/>
                <w:sz w:val="21"/>
                <w:szCs w:val="21"/>
              </w:rPr>
              <w:t>18</w:t>
            </w:r>
            <w:r w:rsidR="00384039" w:rsidRPr="0086252B">
              <w:rPr>
                <w:rFonts w:cstheme="minorHAnsi"/>
                <w:b/>
                <w:bCs/>
                <w:i/>
                <w:color w:val="000000"/>
                <w:sz w:val="21"/>
                <w:szCs w:val="21"/>
              </w:rPr>
              <w:t xml:space="preserve"> </w:t>
            </w:r>
            <w:r w:rsidR="00742CC8" w:rsidRPr="0086252B">
              <w:rPr>
                <w:rFonts w:cstheme="minorHAnsi"/>
                <w:b/>
                <w:bCs/>
                <w:i/>
                <w:color w:val="000000"/>
                <w:sz w:val="21"/>
                <w:szCs w:val="21"/>
              </w:rPr>
              <w:t xml:space="preserve">May </w:t>
            </w:r>
          </w:p>
        </w:tc>
        <w:tc>
          <w:tcPr>
            <w:tcW w:w="8280" w:type="dxa"/>
          </w:tcPr>
          <w:p w14:paraId="5496DCDB" w14:textId="1211FECF"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Finalization and Validation of TE Inception Report; start of TE mission</w:t>
            </w:r>
          </w:p>
        </w:tc>
      </w:tr>
      <w:tr w:rsidR="00000F9B" w:rsidRPr="00F243EC" w14:paraId="63D260A1" w14:textId="77777777" w:rsidTr="006C0C3F">
        <w:tc>
          <w:tcPr>
            <w:tcW w:w="2160" w:type="dxa"/>
          </w:tcPr>
          <w:p w14:paraId="0D7762E9" w14:textId="77777777" w:rsidR="00CC1F95" w:rsidRDefault="00CC1F95" w:rsidP="002B2199">
            <w:pPr>
              <w:rPr>
                <w:rFonts w:cstheme="minorHAnsi"/>
                <w:b/>
                <w:bCs/>
                <w:i/>
                <w:color w:val="000000"/>
                <w:sz w:val="21"/>
                <w:szCs w:val="21"/>
              </w:rPr>
            </w:pPr>
            <w:r>
              <w:rPr>
                <w:rFonts w:cstheme="minorHAnsi"/>
                <w:b/>
                <w:bCs/>
                <w:i/>
                <w:color w:val="000000"/>
                <w:sz w:val="21"/>
                <w:szCs w:val="21"/>
              </w:rPr>
              <w:t xml:space="preserve">During </w:t>
            </w:r>
          </w:p>
          <w:p w14:paraId="32BA214B" w14:textId="426FA30F"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2</w:t>
            </w:r>
            <w:r w:rsidR="002E3707" w:rsidRPr="0086252B">
              <w:rPr>
                <w:rFonts w:cstheme="minorHAnsi"/>
                <w:b/>
                <w:bCs/>
                <w:i/>
                <w:color w:val="000000"/>
                <w:sz w:val="21"/>
                <w:szCs w:val="21"/>
              </w:rPr>
              <w:t>0</w:t>
            </w:r>
            <w:r w:rsidRPr="0086252B">
              <w:rPr>
                <w:rFonts w:cstheme="minorHAnsi"/>
                <w:b/>
                <w:bCs/>
                <w:i/>
                <w:color w:val="000000"/>
                <w:sz w:val="21"/>
                <w:szCs w:val="21"/>
              </w:rPr>
              <w:t xml:space="preserve"> </w:t>
            </w:r>
            <w:r w:rsidR="00514C00" w:rsidRPr="0086252B">
              <w:rPr>
                <w:rFonts w:cstheme="minorHAnsi"/>
                <w:b/>
                <w:bCs/>
                <w:i/>
                <w:color w:val="000000"/>
                <w:sz w:val="21"/>
                <w:szCs w:val="21"/>
              </w:rPr>
              <w:t>May</w:t>
            </w:r>
            <w:r w:rsidR="00F55829" w:rsidRPr="0086252B">
              <w:rPr>
                <w:rFonts w:cstheme="minorHAnsi"/>
                <w:b/>
                <w:bCs/>
                <w:i/>
                <w:color w:val="000000"/>
                <w:sz w:val="21"/>
                <w:szCs w:val="21"/>
              </w:rPr>
              <w:t xml:space="preserve"> </w:t>
            </w:r>
            <w:r w:rsidRPr="0086252B">
              <w:rPr>
                <w:rFonts w:cstheme="minorHAnsi"/>
                <w:b/>
                <w:bCs/>
                <w:i/>
                <w:color w:val="000000"/>
                <w:sz w:val="21"/>
                <w:szCs w:val="21"/>
              </w:rPr>
              <w:t xml:space="preserve">- 04 June </w:t>
            </w:r>
          </w:p>
        </w:tc>
        <w:tc>
          <w:tcPr>
            <w:tcW w:w="8280" w:type="dxa"/>
          </w:tcPr>
          <w:p w14:paraId="299C14B0" w14:textId="0822DAED"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 xml:space="preserve">TE </w:t>
            </w:r>
            <w:r w:rsidR="00514C00">
              <w:rPr>
                <w:rFonts w:ascii="Myriad Pro" w:hAnsi="Myriad Pro"/>
                <w:color w:val="000000"/>
                <w:sz w:val="21"/>
                <w:szCs w:val="21"/>
              </w:rPr>
              <w:t xml:space="preserve">remote </w:t>
            </w:r>
            <w:r w:rsidRPr="00CE678D">
              <w:rPr>
                <w:rFonts w:ascii="Myriad Pro" w:hAnsi="Myriad Pro"/>
                <w:color w:val="000000"/>
                <w:sz w:val="21"/>
                <w:szCs w:val="21"/>
              </w:rPr>
              <w:t>mission</w:t>
            </w:r>
            <w:r w:rsidR="00514C00">
              <w:rPr>
                <w:rFonts w:ascii="Myriad Pro" w:hAnsi="Myriad Pro"/>
                <w:color w:val="000000"/>
                <w:sz w:val="21"/>
                <w:szCs w:val="21"/>
              </w:rPr>
              <w:t xml:space="preserve"> (</w:t>
            </w:r>
            <w:r w:rsidR="00514C00" w:rsidRPr="00CC1F95">
              <w:rPr>
                <w:rFonts w:ascii="Myriad Pro" w:hAnsi="Myriad Pro"/>
                <w:color w:val="000000"/>
                <w:sz w:val="21"/>
                <w:szCs w:val="21"/>
                <w:u w:val="single"/>
              </w:rPr>
              <w:t xml:space="preserve">dates </w:t>
            </w:r>
            <w:r w:rsidR="00AC77BD" w:rsidRPr="00CC1F95">
              <w:rPr>
                <w:rFonts w:ascii="Myriad Pro" w:hAnsi="Myriad Pro"/>
                <w:color w:val="000000"/>
                <w:sz w:val="21"/>
                <w:szCs w:val="21"/>
                <w:u w:val="single"/>
              </w:rPr>
              <w:t>may</w:t>
            </w:r>
            <w:r w:rsidR="00514C00" w:rsidRPr="00CC1F95">
              <w:rPr>
                <w:rFonts w:ascii="Myriad Pro" w:hAnsi="Myriad Pro"/>
                <w:color w:val="000000"/>
                <w:sz w:val="21"/>
                <w:szCs w:val="21"/>
                <w:u w:val="single"/>
              </w:rPr>
              <w:t xml:space="preserve"> be adjusted if the visit will be conducted</w:t>
            </w:r>
            <w:r w:rsidR="00514C00">
              <w:rPr>
                <w:rFonts w:ascii="Myriad Pro" w:hAnsi="Myriad Pro"/>
                <w:color w:val="000000"/>
                <w:sz w:val="21"/>
                <w:szCs w:val="21"/>
              </w:rPr>
              <w:t>)</w:t>
            </w:r>
            <w:r w:rsidRPr="00CE678D">
              <w:rPr>
                <w:rFonts w:ascii="Myriad Pro" w:hAnsi="Myriad Pro"/>
                <w:color w:val="000000"/>
                <w:sz w:val="21"/>
                <w:szCs w:val="21"/>
              </w:rPr>
              <w:t>: stakeholder meetings, interviews, field visits, etc.</w:t>
            </w:r>
          </w:p>
        </w:tc>
      </w:tr>
      <w:tr w:rsidR="00000F9B" w:rsidRPr="00F243EC" w14:paraId="379C499D" w14:textId="77777777" w:rsidTr="006C0C3F">
        <w:tc>
          <w:tcPr>
            <w:tcW w:w="2160" w:type="dxa"/>
          </w:tcPr>
          <w:p w14:paraId="18D1DF46" w14:textId="64325B72"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0</w:t>
            </w:r>
            <w:r w:rsidR="00514C00" w:rsidRPr="0086252B">
              <w:rPr>
                <w:rFonts w:cstheme="minorHAnsi"/>
                <w:b/>
                <w:bCs/>
                <w:i/>
                <w:color w:val="000000"/>
                <w:sz w:val="21"/>
                <w:szCs w:val="21"/>
              </w:rPr>
              <w:t>8</w:t>
            </w:r>
            <w:r w:rsidR="001957FA" w:rsidRPr="0086252B">
              <w:rPr>
                <w:rFonts w:cstheme="minorHAnsi"/>
                <w:b/>
                <w:bCs/>
                <w:i/>
                <w:color w:val="000000"/>
                <w:sz w:val="21"/>
                <w:szCs w:val="21"/>
              </w:rPr>
              <w:t xml:space="preserve"> </w:t>
            </w:r>
            <w:r w:rsidRPr="0086252B">
              <w:rPr>
                <w:rFonts w:cstheme="minorHAnsi"/>
                <w:b/>
                <w:bCs/>
                <w:i/>
                <w:color w:val="000000"/>
                <w:sz w:val="21"/>
                <w:szCs w:val="21"/>
              </w:rPr>
              <w:t>June</w:t>
            </w:r>
            <w:r w:rsidR="001957FA" w:rsidRPr="0086252B">
              <w:rPr>
                <w:rFonts w:cstheme="minorHAnsi"/>
                <w:b/>
                <w:bCs/>
                <w:i/>
                <w:color w:val="000000"/>
                <w:sz w:val="21"/>
                <w:szCs w:val="21"/>
              </w:rPr>
              <w:t xml:space="preserve"> 2021</w:t>
            </w:r>
          </w:p>
        </w:tc>
        <w:tc>
          <w:tcPr>
            <w:tcW w:w="8280" w:type="dxa"/>
          </w:tcPr>
          <w:p w14:paraId="466F51A7" w14:textId="35812DC9"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 xml:space="preserve">Mission wrap-up </w:t>
            </w:r>
            <w:r w:rsidR="00514C00">
              <w:rPr>
                <w:rFonts w:ascii="Myriad Pro" w:hAnsi="Myriad Pro"/>
                <w:color w:val="000000"/>
                <w:sz w:val="21"/>
                <w:szCs w:val="21"/>
              </w:rPr>
              <w:t>remote</w:t>
            </w:r>
            <w:r w:rsidR="00514C00" w:rsidRPr="00CE678D">
              <w:rPr>
                <w:rFonts w:ascii="Myriad Pro" w:hAnsi="Myriad Pro"/>
                <w:color w:val="000000"/>
                <w:sz w:val="21"/>
                <w:szCs w:val="21"/>
              </w:rPr>
              <w:t xml:space="preserve"> </w:t>
            </w:r>
            <w:r w:rsidRPr="00CE678D">
              <w:rPr>
                <w:rFonts w:ascii="Myriad Pro" w:hAnsi="Myriad Pro"/>
                <w:color w:val="000000"/>
                <w:sz w:val="21"/>
                <w:szCs w:val="21"/>
              </w:rPr>
              <w:t>meeting &amp; presentation of initial findings</w:t>
            </w:r>
            <w:r w:rsidR="00514C00">
              <w:rPr>
                <w:rFonts w:ascii="Myriad Pro" w:hAnsi="Myriad Pro"/>
                <w:color w:val="000000"/>
                <w:sz w:val="21"/>
                <w:szCs w:val="21"/>
              </w:rPr>
              <w:t xml:space="preserve"> (for the visit the date will be adjusted</w:t>
            </w:r>
            <w:r w:rsidR="00F32E5B">
              <w:rPr>
                <w:rFonts w:ascii="Myriad Pro" w:hAnsi="Myriad Pro"/>
                <w:color w:val="000000"/>
                <w:sz w:val="21"/>
                <w:szCs w:val="21"/>
              </w:rPr>
              <w:t xml:space="preserve"> to </w:t>
            </w:r>
            <w:r w:rsidR="0061678D">
              <w:rPr>
                <w:rFonts w:ascii="Myriad Pro" w:hAnsi="Myriad Pro"/>
                <w:color w:val="000000"/>
                <w:sz w:val="21"/>
                <w:szCs w:val="21"/>
              </w:rPr>
              <w:t>0</w:t>
            </w:r>
            <w:r w:rsidR="00F32E5B">
              <w:rPr>
                <w:rFonts w:ascii="Myriad Pro" w:hAnsi="Myriad Pro"/>
                <w:color w:val="000000"/>
                <w:sz w:val="21"/>
                <w:szCs w:val="21"/>
              </w:rPr>
              <w:t xml:space="preserve">4 </w:t>
            </w:r>
            <w:r w:rsidR="0061678D">
              <w:rPr>
                <w:rFonts w:ascii="Myriad Pro" w:hAnsi="Myriad Pro"/>
                <w:color w:val="000000"/>
                <w:sz w:val="21"/>
                <w:szCs w:val="21"/>
              </w:rPr>
              <w:t>June</w:t>
            </w:r>
            <w:r w:rsidR="00514C00">
              <w:rPr>
                <w:rFonts w:ascii="Myriad Pro" w:hAnsi="Myriad Pro"/>
                <w:color w:val="000000"/>
                <w:sz w:val="21"/>
                <w:szCs w:val="21"/>
              </w:rPr>
              <w:t>)</w:t>
            </w:r>
            <w:r w:rsidRPr="00CE678D">
              <w:rPr>
                <w:rFonts w:ascii="Myriad Pro" w:hAnsi="Myriad Pro"/>
                <w:color w:val="000000"/>
                <w:sz w:val="21"/>
                <w:szCs w:val="21"/>
              </w:rPr>
              <w:t>; earliest end of TE mission</w:t>
            </w:r>
          </w:p>
        </w:tc>
      </w:tr>
      <w:tr w:rsidR="00000F9B" w:rsidRPr="00F243EC" w14:paraId="576E0499" w14:textId="77777777" w:rsidTr="006C0C3F">
        <w:tc>
          <w:tcPr>
            <w:tcW w:w="2160" w:type="dxa"/>
          </w:tcPr>
          <w:p w14:paraId="01C0CCA1" w14:textId="4FCF4C17"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3</w:t>
            </w:r>
            <w:r w:rsidR="00725230" w:rsidRPr="0086252B">
              <w:rPr>
                <w:rFonts w:cstheme="minorHAnsi"/>
                <w:b/>
                <w:bCs/>
                <w:i/>
                <w:color w:val="000000"/>
                <w:sz w:val="21"/>
                <w:szCs w:val="21"/>
              </w:rPr>
              <w:t>0 June</w:t>
            </w:r>
            <w:r w:rsidR="00161A42" w:rsidRPr="0086252B">
              <w:rPr>
                <w:rFonts w:cstheme="minorHAnsi"/>
                <w:b/>
                <w:bCs/>
                <w:i/>
                <w:color w:val="000000"/>
                <w:sz w:val="21"/>
                <w:szCs w:val="21"/>
              </w:rPr>
              <w:t xml:space="preserve"> </w:t>
            </w:r>
          </w:p>
        </w:tc>
        <w:tc>
          <w:tcPr>
            <w:tcW w:w="8280" w:type="dxa"/>
          </w:tcPr>
          <w:p w14:paraId="5C76DFA1" w14:textId="77777777"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Preparation of draft TE report</w:t>
            </w:r>
          </w:p>
        </w:tc>
      </w:tr>
      <w:tr w:rsidR="00000F9B" w:rsidRPr="00F243EC" w14:paraId="33D42E58" w14:textId="77777777" w:rsidTr="006C0C3F">
        <w:tc>
          <w:tcPr>
            <w:tcW w:w="2160" w:type="dxa"/>
          </w:tcPr>
          <w:p w14:paraId="32B33BA6" w14:textId="5EA6FFCC"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2</w:t>
            </w:r>
            <w:r w:rsidR="00514C00" w:rsidRPr="0086252B">
              <w:rPr>
                <w:rFonts w:cstheme="minorHAnsi"/>
                <w:b/>
                <w:bCs/>
                <w:i/>
                <w:color w:val="000000"/>
                <w:sz w:val="21"/>
                <w:szCs w:val="21"/>
              </w:rPr>
              <w:t>0</w:t>
            </w:r>
            <w:r w:rsidR="00161A42" w:rsidRPr="0086252B">
              <w:rPr>
                <w:rFonts w:cstheme="minorHAnsi"/>
                <w:b/>
                <w:bCs/>
                <w:i/>
                <w:color w:val="000000"/>
                <w:sz w:val="21"/>
                <w:szCs w:val="21"/>
              </w:rPr>
              <w:t xml:space="preserve"> </w:t>
            </w:r>
            <w:r w:rsidRPr="0086252B">
              <w:rPr>
                <w:rFonts w:cstheme="minorHAnsi"/>
                <w:b/>
                <w:bCs/>
                <w:i/>
                <w:color w:val="000000"/>
                <w:sz w:val="21"/>
                <w:szCs w:val="21"/>
              </w:rPr>
              <w:t>July</w:t>
            </w:r>
            <w:r w:rsidR="00161A42" w:rsidRPr="0086252B">
              <w:rPr>
                <w:rFonts w:cstheme="minorHAnsi"/>
                <w:b/>
                <w:bCs/>
                <w:i/>
                <w:color w:val="000000"/>
                <w:sz w:val="21"/>
                <w:szCs w:val="21"/>
              </w:rPr>
              <w:t xml:space="preserve"> </w:t>
            </w:r>
          </w:p>
        </w:tc>
        <w:tc>
          <w:tcPr>
            <w:tcW w:w="8280" w:type="dxa"/>
          </w:tcPr>
          <w:p w14:paraId="21040F85" w14:textId="77777777"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Circulation of draft TE report for comments</w:t>
            </w:r>
          </w:p>
        </w:tc>
      </w:tr>
      <w:tr w:rsidR="00000F9B" w:rsidRPr="00F243EC" w14:paraId="158810DC" w14:textId="77777777" w:rsidTr="006C0C3F">
        <w:tc>
          <w:tcPr>
            <w:tcW w:w="2160" w:type="dxa"/>
          </w:tcPr>
          <w:p w14:paraId="6E02B551" w14:textId="47B00F19"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30</w:t>
            </w:r>
            <w:r w:rsidR="00161A42" w:rsidRPr="0086252B">
              <w:rPr>
                <w:rFonts w:cstheme="minorHAnsi"/>
                <w:b/>
                <w:bCs/>
                <w:i/>
                <w:color w:val="000000"/>
                <w:sz w:val="21"/>
                <w:szCs w:val="21"/>
              </w:rPr>
              <w:t xml:space="preserve"> July </w:t>
            </w:r>
          </w:p>
        </w:tc>
        <w:tc>
          <w:tcPr>
            <w:tcW w:w="8280" w:type="dxa"/>
          </w:tcPr>
          <w:p w14:paraId="78F2CBF9" w14:textId="53A8D339"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Incorporation of comments on draft TE report into Audit Trail</w:t>
            </w:r>
            <w:r w:rsidR="00F55829">
              <w:rPr>
                <w:rFonts w:ascii="Myriad Pro" w:hAnsi="Myriad Pro"/>
                <w:color w:val="000000"/>
                <w:sz w:val="21"/>
                <w:szCs w:val="21"/>
              </w:rPr>
              <w:t xml:space="preserve">, </w:t>
            </w:r>
            <w:r w:rsidRPr="00CE678D">
              <w:rPr>
                <w:rFonts w:ascii="Myriad Pro" w:hAnsi="Myriad Pro"/>
                <w:color w:val="000000"/>
                <w:sz w:val="21"/>
                <w:szCs w:val="21"/>
              </w:rPr>
              <w:t xml:space="preserve">finalization of TE report </w:t>
            </w:r>
          </w:p>
        </w:tc>
      </w:tr>
      <w:tr w:rsidR="00000F9B" w:rsidRPr="00F243EC" w14:paraId="0567FF0A" w14:textId="77777777" w:rsidTr="006C0C3F">
        <w:trPr>
          <w:trHeight w:val="328"/>
        </w:trPr>
        <w:tc>
          <w:tcPr>
            <w:tcW w:w="2160" w:type="dxa"/>
          </w:tcPr>
          <w:p w14:paraId="1FFB9613" w14:textId="484011B1" w:rsidR="00000F9B" w:rsidRPr="0086252B" w:rsidRDefault="0061678D" w:rsidP="002B2199">
            <w:pPr>
              <w:rPr>
                <w:rFonts w:cstheme="minorHAnsi"/>
                <w:b/>
                <w:bCs/>
                <w:i/>
                <w:color w:val="000000"/>
                <w:sz w:val="21"/>
                <w:szCs w:val="21"/>
              </w:rPr>
            </w:pPr>
            <w:r w:rsidRPr="0086252B">
              <w:rPr>
                <w:rFonts w:cstheme="minorHAnsi"/>
                <w:b/>
                <w:bCs/>
                <w:i/>
                <w:color w:val="000000"/>
                <w:sz w:val="21"/>
                <w:szCs w:val="21"/>
              </w:rPr>
              <w:t>2</w:t>
            </w:r>
            <w:r w:rsidR="006C0C3F" w:rsidRPr="0086252B">
              <w:rPr>
                <w:rFonts w:cstheme="minorHAnsi"/>
                <w:b/>
                <w:bCs/>
                <w:i/>
                <w:color w:val="000000"/>
                <w:sz w:val="21"/>
                <w:szCs w:val="21"/>
              </w:rPr>
              <w:t>7</w:t>
            </w:r>
            <w:r w:rsidR="00F32E5B" w:rsidRPr="0086252B">
              <w:rPr>
                <w:rFonts w:cstheme="minorHAnsi"/>
                <w:b/>
                <w:bCs/>
                <w:i/>
                <w:color w:val="000000"/>
                <w:sz w:val="21"/>
                <w:szCs w:val="21"/>
              </w:rPr>
              <w:t xml:space="preserve"> August </w:t>
            </w:r>
          </w:p>
        </w:tc>
        <w:tc>
          <w:tcPr>
            <w:tcW w:w="8280" w:type="dxa"/>
          </w:tcPr>
          <w:p w14:paraId="11B91BB1" w14:textId="77777777"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Preparation and Issuance of Management Response</w:t>
            </w:r>
          </w:p>
        </w:tc>
      </w:tr>
      <w:tr w:rsidR="00000F9B" w:rsidRPr="00F243EC" w14:paraId="1B67FC09" w14:textId="77777777" w:rsidTr="006C0C3F">
        <w:trPr>
          <w:trHeight w:val="337"/>
        </w:trPr>
        <w:tc>
          <w:tcPr>
            <w:tcW w:w="2160" w:type="dxa"/>
          </w:tcPr>
          <w:p w14:paraId="2C7E4333" w14:textId="5CF38472" w:rsidR="00000F9B" w:rsidRPr="0086252B" w:rsidRDefault="006C0C3F" w:rsidP="002B2199">
            <w:pPr>
              <w:rPr>
                <w:rFonts w:cstheme="minorHAnsi"/>
                <w:b/>
                <w:bCs/>
                <w:i/>
                <w:color w:val="000000"/>
                <w:sz w:val="21"/>
                <w:szCs w:val="21"/>
              </w:rPr>
            </w:pPr>
            <w:r w:rsidRPr="0086252B">
              <w:rPr>
                <w:rFonts w:cstheme="minorHAnsi"/>
                <w:b/>
                <w:bCs/>
                <w:i/>
                <w:color w:val="000000"/>
                <w:sz w:val="21"/>
                <w:szCs w:val="21"/>
              </w:rPr>
              <w:t xml:space="preserve">15 September </w:t>
            </w:r>
          </w:p>
        </w:tc>
        <w:tc>
          <w:tcPr>
            <w:tcW w:w="8280" w:type="dxa"/>
          </w:tcPr>
          <w:p w14:paraId="02E4B7B3" w14:textId="77777777" w:rsidR="00000F9B" w:rsidRPr="00CE678D" w:rsidRDefault="00000F9B" w:rsidP="002B2199">
            <w:pPr>
              <w:rPr>
                <w:rFonts w:ascii="Myriad Pro" w:hAnsi="Myriad Pro"/>
                <w:color w:val="000000"/>
                <w:sz w:val="21"/>
                <w:szCs w:val="21"/>
              </w:rPr>
            </w:pPr>
            <w:r w:rsidRPr="00CE678D">
              <w:rPr>
                <w:rFonts w:ascii="Myriad Pro" w:hAnsi="Myriad Pro"/>
                <w:color w:val="000000"/>
                <w:sz w:val="21"/>
                <w:szCs w:val="21"/>
              </w:rPr>
              <w:t>Expected date of full TE completion</w:t>
            </w:r>
          </w:p>
        </w:tc>
      </w:tr>
    </w:tbl>
    <w:p w14:paraId="00B87497" w14:textId="4AF6C573" w:rsidR="005F16A1" w:rsidRPr="0086252B" w:rsidRDefault="00932D9A" w:rsidP="005F16A1">
      <w:pPr>
        <w:rPr>
          <w:rFonts w:ascii="Myriad Pro" w:hAnsi="Myriad Pro"/>
          <w:i/>
          <w:iCs/>
          <w:color w:val="000000"/>
          <w:sz w:val="21"/>
          <w:szCs w:val="21"/>
        </w:rPr>
      </w:pPr>
      <w:r w:rsidRPr="0086252B">
        <w:rPr>
          <w:rFonts w:ascii="Myriad Pro" w:hAnsi="Myriad Pro"/>
          <w:i/>
          <w:iCs/>
          <w:color w:val="000000"/>
          <w:sz w:val="21"/>
          <w:szCs w:val="21"/>
        </w:rPr>
        <w:t>If applicable, the o</w:t>
      </w:r>
      <w:r w:rsidR="005F16A1" w:rsidRPr="0086252B">
        <w:rPr>
          <w:rFonts w:ascii="Myriad Pro" w:hAnsi="Myriad Pro"/>
          <w:i/>
          <w:iCs/>
          <w:color w:val="000000"/>
          <w:sz w:val="21"/>
          <w:szCs w:val="21"/>
        </w:rPr>
        <w:t>ptions for site visits should be provided in the TE Inception Report.</w:t>
      </w:r>
    </w:p>
    <w:p w14:paraId="7C64A4B0" w14:textId="1AE163C7" w:rsidR="00000F9B" w:rsidRPr="005C29D4" w:rsidRDefault="00000F9B" w:rsidP="00A33C45">
      <w:pPr>
        <w:pStyle w:val="ListParagraph"/>
        <w:numPr>
          <w:ilvl w:val="0"/>
          <w:numId w:val="1"/>
        </w:numPr>
        <w:spacing w:before="360" w:after="120" w:line="240" w:lineRule="auto"/>
        <w:ind w:left="360"/>
        <w:contextualSpacing w:val="0"/>
        <w:rPr>
          <w:rFonts w:ascii="Myriad Pro" w:hAnsi="Myriad Pro"/>
          <w:b/>
          <w:bCs/>
          <w:sz w:val="26"/>
          <w:szCs w:val="26"/>
        </w:rPr>
      </w:pPr>
      <w:r w:rsidRPr="005C29D4">
        <w:rPr>
          <w:rFonts w:ascii="Myriad Pro" w:hAnsi="Myriad Pro"/>
          <w:b/>
          <w:bCs/>
          <w:sz w:val="26"/>
          <w:szCs w:val="26"/>
        </w:rPr>
        <w:t>TE DELIVERABLES</w:t>
      </w:r>
    </w:p>
    <w:tbl>
      <w:tblPr>
        <w:tblStyle w:val="TableGrid"/>
        <w:tblW w:w="10513" w:type="dxa"/>
        <w:tblInd w:w="-365" w:type="dxa"/>
        <w:tblLook w:val="04A0" w:firstRow="1" w:lastRow="0" w:firstColumn="1" w:lastColumn="0" w:noHBand="0" w:noVBand="1"/>
      </w:tblPr>
      <w:tblGrid>
        <w:gridCol w:w="429"/>
        <w:gridCol w:w="1377"/>
        <w:gridCol w:w="3528"/>
        <w:gridCol w:w="2105"/>
        <w:gridCol w:w="3074"/>
      </w:tblGrid>
      <w:tr w:rsidR="00000F9B" w:rsidRPr="00F243EC" w14:paraId="0D8C283F" w14:textId="77777777" w:rsidTr="00B77F36">
        <w:trPr>
          <w:trHeight w:val="373"/>
        </w:trPr>
        <w:tc>
          <w:tcPr>
            <w:tcW w:w="430" w:type="dxa"/>
            <w:shd w:val="clear" w:color="auto" w:fill="404040" w:themeFill="text1" w:themeFillTint="BF"/>
          </w:tcPr>
          <w:p w14:paraId="3C0EE262" w14:textId="77777777" w:rsidR="00000F9B" w:rsidRPr="00E90E98" w:rsidRDefault="00000F9B" w:rsidP="002B2199">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331" w:type="dxa"/>
            <w:shd w:val="clear" w:color="auto" w:fill="404040" w:themeFill="text1" w:themeFillTint="BF"/>
          </w:tcPr>
          <w:p w14:paraId="220F998D" w14:textId="77777777" w:rsidR="00000F9B" w:rsidRPr="00E90E98" w:rsidRDefault="00000F9B" w:rsidP="002B2199">
            <w:pPr>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3549" w:type="dxa"/>
            <w:shd w:val="clear" w:color="auto" w:fill="404040" w:themeFill="text1" w:themeFillTint="BF"/>
          </w:tcPr>
          <w:p w14:paraId="4B8288CB" w14:textId="77777777" w:rsidR="00000F9B" w:rsidRPr="00E90E98" w:rsidRDefault="00000F9B" w:rsidP="002B2199">
            <w:pPr>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2114" w:type="dxa"/>
            <w:shd w:val="clear" w:color="auto" w:fill="404040" w:themeFill="text1" w:themeFillTint="BF"/>
          </w:tcPr>
          <w:p w14:paraId="69C6B407" w14:textId="77777777" w:rsidR="00000F9B" w:rsidRPr="00E90E98" w:rsidRDefault="00000F9B" w:rsidP="002B2199">
            <w:pPr>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3089" w:type="dxa"/>
            <w:shd w:val="clear" w:color="auto" w:fill="404040" w:themeFill="text1" w:themeFillTint="BF"/>
          </w:tcPr>
          <w:p w14:paraId="06F55A0C" w14:textId="77777777" w:rsidR="00000F9B" w:rsidRPr="00E90E98" w:rsidRDefault="00000F9B" w:rsidP="002B2199">
            <w:pPr>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000F9B" w:rsidRPr="00F243EC" w14:paraId="48CFB286" w14:textId="77777777" w:rsidTr="00B77F36">
        <w:trPr>
          <w:trHeight w:val="877"/>
        </w:trPr>
        <w:tc>
          <w:tcPr>
            <w:tcW w:w="430" w:type="dxa"/>
          </w:tcPr>
          <w:p w14:paraId="54F0C0F7"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1</w:t>
            </w:r>
          </w:p>
        </w:tc>
        <w:tc>
          <w:tcPr>
            <w:tcW w:w="1331" w:type="dxa"/>
          </w:tcPr>
          <w:p w14:paraId="3327B9E5"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TE Inception Report</w:t>
            </w:r>
          </w:p>
        </w:tc>
        <w:tc>
          <w:tcPr>
            <w:tcW w:w="3549" w:type="dxa"/>
          </w:tcPr>
          <w:p w14:paraId="16134AD4" w14:textId="02011FC2"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 xml:space="preserve">TE </w:t>
            </w:r>
            <w:r w:rsidR="00C73519" w:rsidRPr="00C73519">
              <w:rPr>
                <w:rFonts w:ascii="Myriad Pro" w:hAnsi="Myriad Pro"/>
                <w:color w:val="000000"/>
                <w:sz w:val="21"/>
                <w:szCs w:val="21"/>
              </w:rPr>
              <w:t xml:space="preserve">Evaluator </w:t>
            </w:r>
            <w:r w:rsidRPr="00E90E98">
              <w:rPr>
                <w:rFonts w:ascii="Myriad Pro" w:hAnsi="Myriad Pro"/>
                <w:color w:val="000000"/>
                <w:sz w:val="21"/>
                <w:szCs w:val="21"/>
              </w:rPr>
              <w:t>clarifies objectives, methodology and timing of the TE</w:t>
            </w:r>
          </w:p>
        </w:tc>
        <w:tc>
          <w:tcPr>
            <w:tcW w:w="2114" w:type="dxa"/>
          </w:tcPr>
          <w:p w14:paraId="7D2A692D" w14:textId="2FC5575F" w:rsidR="00B82F33" w:rsidRPr="002A10E6" w:rsidRDefault="00000F9B" w:rsidP="00B77F36">
            <w:pPr>
              <w:rPr>
                <w:rFonts w:ascii="Myriad Pro" w:hAnsi="Myriad Pro"/>
                <w:i/>
                <w:color w:val="000000"/>
                <w:sz w:val="21"/>
                <w:szCs w:val="21"/>
              </w:rPr>
            </w:pPr>
            <w:r w:rsidRPr="00E90E98">
              <w:rPr>
                <w:rFonts w:ascii="Myriad Pro" w:hAnsi="Myriad Pro"/>
                <w:color w:val="000000"/>
                <w:sz w:val="21"/>
                <w:szCs w:val="21"/>
              </w:rPr>
              <w:t xml:space="preserve">No later than 2 weeks before the TE mission: </w:t>
            </w:r>
            <w:r w:rsidR="00AC77BD" w:rsidRPr="00412BC5">
              <w:rPr>
                <w:rFonts w:ascii="Myriad Pro" w:hAnsi="Myriad Pro"/>
                <w:b/>
                <w:bCs/>
                <w:i/>
                <w:color w:val="000000"/>
                <w:sz w:val="21"/>
                <w:szCs w:val="21"/>
                <w:highlight w:val="lightGray"/>
              </w:rPr>
              <w:t>1</w:t>
            </w:r>
            <w:r w:rsidR="00412BC5" w:rsidRPr="00412BC5">
              <w:rPr>
                <w:rFonts w:ascii="Myriad Pro" w:hAnsi="Myriad Pro"/>
                <w:b/>
                <w:bCs/>
                <w:i/>
                <w:color w:val="000000"/>
                <w:sz w:val="21"/>
                <w:szCs w:val="21"/>
                <w:highlight w:val="lightGray"/>
              </w:rPr>
              <w:t>8</w:t>
            </w:r>
            <w:r w:rsidR="00AC77BD" w:rsidRPr="008C6CB8">
              <w:rPr>
                <w:rFonts w:ascii="Myriad Pro" w:hAnsi="Myriad Pro"/>
                <w:b/>
                <w:bCs/>
                <w:i/>
                <w:color w:val="000000"/>
                <w:sz w:val="21"/>
                <w:szCs w:val="21"/>
                <w:highlight w:val="lightGray"/>
              </w:rPr>
              <w:t xml:space="preserve"> May </w:t>
            </w:r>
            <w:r w:rsidR="005B2A56" w:rsidRPr="008C6CB8">
              <w:rPr>
                <w:rFonts w:ascii="Myriad Pro" w:hAnsi="Myriad Pro"/>
                <w:b/>
                <w:bCs/>
                <w:i/>
                <w:color w:val="000000"/>
                <w:sz w:val="21"/>
                <w:szCs w:val="21"/>
                <w:highlight w:val="lightGray"/>
              </w:rPr>
              <w:t>2021</w:t>
            </w:r>
          </w:p>
        </w:tc>
        <w:tc>
          <w:tcPr>
            <w:tcW w:w="3089" w:type="dxa"/>
          </w:tcPr>
          <w:p w14:paraId="5F11CC19" w14:textId="05057ACF"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 xml:space="preserve">TE </w:t>
            </w:r>
            <w:r w:rsidR="00C73519" w:rsidRPr="00C73519">
              <w:rPr>
                <w:rFonts w:ascii="Myriad Pro" w:hAnsi="Myriad Pro"/>
                <w:color w:val="000000"/>
                <w:sz w:val="21"/>
                <w:szCs w:val="21"/>
              </w:rPr>
              <w:t xml:space="preserve">Evaluator </w:t>
            </w:r>
            <w:r w:rsidRPr="00E90E98">
              <w:rPr>
                <w:rFonts w:ascii="Myriad Pro" w:hAnsi="Myriad Pro"/>
                <w:color w:val="000000"/>
                <w:sz w:val="21"/>
                <w:szCs w:val="21"/>
              </w:rPr>
              <w:t>submits Inception Report to Commissioning Unit and project management</w:t>
            </w:r>
          </w:p>
        </w:tc>
      </w:tr>
      <w:tr w:rsidR="00000F9B" w:rsidRPr="00F243EC" w14:paraId="371F6E5A" w14:textId="77777777" w:rsidTr="00B77F36">
        <w:tc>
          <w:tcPr>
            <w:tcW w:w="430" w:type="dxa"/>
          </w:tcPr>
          <w:p w14:paraId="6300978B"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2</w:t>
            </w:r>
          </w:p>
        </w:tc>
        <w:tc>
          <w:tcPr>
            <w:tcW w:w="1331" w:type="dxa"/>
          </w:tcPr>
          <w:p w14:paraId="28C299AC"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Presentation</w:t>
            </w:r>
          </w:p>
        </w:tc>
        <w:tc>
          <w:tcPr>
            <w:tcW w:w="3549" w:type="dxa"/>
          </w:tcPr>
          <w:p w14:paraId="4C8E1DB8" w14:textId="77777777" w:rsidR="00000F9B" w:rsidRPr="00F55829" w:rsidRDefault="00000F9B" w:rsidP="002B2199">
            <w:pPr>
              <w:rPr>
                <w:rFonts w:ascii="Myriad Pro" w:hAnsi="Myriad Pro"/>
                <w:color w:val="000000"/>
                <w:sz w:val="21"/>
                <w:szCs w:val="21"/>
              </w:rPr>
            </w:pPr>
            <w:r w:rsidRPr="00F55829">
              <w:rPr>
                <w:rFonts w:ascii="Myriad Pro" w:hAnsi="Myriad Pro"/>
                <w:color w:val="000000"/>
                <w:sz w:val="21"/>
                <w:szCs w:val="21"/>
              </w:rPr>
              <w:t>Initial Findings</w:t>
            </w:r>
          </w:p>
        </w:tc>
        <w:tc>
          <w:tcPr>
            <w:tcW w:w="2114" w:type="dxa"/>
          </w:tcPr>
          <w:p w14:paraId="0ED82B6F" w14:textId="77777777" w:rsidR="00F55829" w:rsidRDefault="00000F9B" w:rsidP="002B2199">
            <w:pPr>
              <w:rPr>
                <w:rFonts w:ascii="Myriad Pro" w:hAnsi="Myriad Pro"/>
                <w:color w:val="000000"/>
                <w:sz w:val="21"/>
                <w:szCs w:val="21"/>
              </w:rPr>
            </w:pPr>
            <w:r w:rsidRPr="00E90E98">
              <w:rPr>
                <w:rFonts w:ascii="Myriad Pro" w:hAnsi="Myriad Pro"/>
                <w:color w:val="000000"/>
                <w:sz w:val="21"/>
                <w:szCs w:val="21"/>
              </w:rPr>
              <w:t xml:space="preserve">End of TE mission: </w:t>
            </w:r>
          </w:p>
          <w:p w14:paraId="5FED6DE0" w14:textId="77777777" w:rsidR="00000F9B" w:rsidRDefault="00AB5C96" w:rsidP="002B2199">
            <w:pPr>
              <w:rPr>
                <w:rFonts w:ascii="Myriad Pro" w:hAnsi="Myriad Pro"/>
                <w:b/>
                <w:bCs/>
                <w:i/>
                <w:color w:val="000000"/>
                <w:sz w:val="21"/>
                <w:szCs w:val="21"/>
              </w:rPr>
            </w:pPr>
            <w:r w:rsidRPr="008C6CB8">
              <w:rPr>
                <w:rFonts w:ascii="Myriad Pro" w:hAnsi="Myriad Pro"/>
                <w:b/>
                <w:bCs/>
                <w:i/>
                <w:color w:val="000000"/>
                <w:sz w:val="21"/>
                <w:szCs w:val="21"/>
                <w:highlight w:val="lightGray"/>
              </w:rPr>
              <w:t>08 Ju</w:t>
            </w:r>
            <w:r w:rsidR="00AD3B40" w:rsidRPr="008C6CB8">
              <w:rPr>
                <w:rFonts w:ascii="Myriad Pro" w:hAnsi="Myriad Pro"/>
                <w:b/>
                <w:bCs/>
                <w:i/>
                <w:color w:val="000000"/>
                <w:sz w:val="21"/>
                <w:szCs w:val="21"/>
                <w:highlight w:val="lightGray"/>
              </w:rPr>
              <w:t>ne</w:t>
            </w:r>
            <w:r w:rsidR="005B2A56" w:rsidRPr="008C6CB8">
              <w:rPr>
                <w:rFonts w:ascii="Myriad Pro" w:hAnsi="Myriad Pro"/>
                <w:b/>
                <w:bCs/>
                <w:i/>
                <w:color w:val="000000"/>
                <w:sz w:val="21"/>
                <w:szCs w:val="21"/>
                <w:highlight w:val="lightGray"/>
              </w:rPr>
              <w:t xml:space="preserve"> 2021</w:t>
            </w:r>
          </w:p>
          <w:p w14:paraId="03170B91" w14:textId="5C74E9AA" w:rsidR="0049623A" w:rsidRPr="008C6CB8" w:rsidRDefault="0049623A" w:rsidP="002B2199">
            <w:pPr>
              <w:rPr>
                <w:rFonts w:ascii="Myriad Pro" w:hAnsi="Myriad Pro"/>
                <w:b/>
                <w:bCs/>
                <w:color w:val="000000"/>
                <w:sz w:val="21"/>
                <w:szCs w:val="21"/>
              </w:rPr>
            </w:pPr>
          </w:p>
        </w:tc>
        <w:tc>
          <w:tcPr>
            <w:tcW w:w="3089" w:type="dxa"/>
          </w:tcPr>
          <w:p w14:paraId="2623667C" w14:textId="7910A804"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 xml:space="preserve">TE </w:t>
            </w:r>
            <w:r w:rsidR="00C73519" w:rsidRPr="00C73519">
              <w:rPr>
                <w:rFonts w:ascii="Myriad Pro" w:hAnsi="Myriad Pro"/>
                <w:color w:val="000000"/>
                <w:sz w:val="21"/>
                <w:szCs w:val="21"/>
              </w:rPr>
              <w:t xml:space="preserve">Evaluator </w:t>
            </w:r>
            <w:r w:rsidRPr="00E90E98">
              <w:rPr>
                <w:rFonts w:ascii="Myriad Pro" w:hAnsi="Myriad Pro"/>
                <w:color w:val="000000"/>
                <w:sz w:val="21"/>
                <w:szCs w:val="21"/>
              </w:rPr>
              <w:t>presents to Commissioning Unit and project management</w:t>
            </w:r>
          </w:p>
        </w:tc>
      </w:tr>
      <w:tr w:rsidR="00000F9B" w:rsidRPr="00F243EC" w14:paraId="647CB29D" w14:textId="77777777" w:rsidTr="00B77F36">
        <w:tc>
          <w:tcPr>
            <w:tcW w:w="430" w:type="dxa"/>
          </w:tcPr>
          <w:p w14:paraId="4BD9523A"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3</w:t>
            </w:r>
          </w:p>
        </w:tc>
        <w:tc>
          <w:tcPr>
            <w:tcW w:w="1331" w:type="dxa"/>
          </w:tcPr>
          <w:p w14:paraId="6B346B9C"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Draft TE Report</w:t>
            </w:r>
          </w:p>
        </w:tc>
        <w:tc>
          <w:tcPr>
            <w:tcW w:w="3549" w:type="dxa"/>
          </w:tcPr>
          <w:p w14:paraId="55113921" w14:textId="77777777" w:rsidR="00000F9B" w:rsidRPr="00F55829" w:rsidRDefault="00000F9B" w:rsidP="002B2199">
            <w:pPr>
              <w:rPr>
                <w:rFonts w:ascii="Myriad Pro" w:hAnsi="Myriad Pro"/>
                <w:color w:val="000000"/>
                <w:sz w:val="21"/>
                <w:szCs w:val="21"/>
              </w:rPr>
            </w:pPr>
            <w:r w:rsidRPr="00F55829">
              <w:rPr>
                <w:rFonts w:ascii="Myriad Pro" w:hAnsi="Myriad Pro"/>
                <w:color w:val="000000"/>
                <w:sz w:val="21"/>
                <w:szCs w:val="21"/>
              </w:rPr>
              <w:t xml:space="preserve">Full draft report </w:t>
            </w:r>
            <w:r w:rsidRPr="00F55829">
              <w:rPr>
                <w:rFonts w:ascii="Myriad Pro" w:hAnsi="Myriad Pro"/>
                <w:i/>
                <w:color w:val="000000"/>
                <w:sz w:val="21"/>
                <w:szCs w:val="21"/>
              </w:rPr>
              <w:t xml:space="preserve">(using guidelines on report content in </w:t>
            </w:r>
            <w:proofErr w:type="spellStart"/>
            <w:r w:rsidRPr="00F55829">
              <w:rPr>
                <w:rFonts w:ascii="Myriad Pro" w:hAnsi="Myriad Pro"/>
                <w:i/>
                <w:color w:val="000000"/>
                <w:sz w:val="21"/>
                <w:szCs w:val="21"/>
              </w:rPr>
              <w:t>ToR</w:t>
            </w:r>
            <w:proofErr w:type="spellEnd"/>
            <w:r w:rsidRPr="00F55829">
              <w:rPr>
                <w:rFonts w:ascii="Myriad Pro" w:hAnsi="Myriad Pro"/>
                <w:i/>
                <w:color w:val="000000"/>
                <w:sz w:val="21"/>
                <w:szCs w:val="21"/>
              </w:rPr>
              <w:t xml:space="preserve"> Annex C)</w:t>
            </w:r>
            <w:r w:rsidRPr="00F55829">
              <w:rPr>
                <w:rFonts w:ascii="Myriad Pro" w:hAnsi="Myriad Pro"/>
                <w:color w:val="000000"/>
                <w:sz w:val="21"/>
                <w:szCs w:val="21"/>
              </w:rPr>
              <w:t xml:space="preserve"> with annexes</w:t>
            </w:r>
          </w:p>
        </w:tc>
        <w:tc>
          <w:tcPr>
            <w:tcW w:w="2114" w:type="dxa"/>
          </w:tcPr>
          <w:p w14:paraId="072AB222" w14:textId="77777777" w:rsidR="00F55829" w:rsidRDefault="00000F9B" w:rsidP="002B2199">
            <w:pPr>
              <w:rPr>
                <w:rFonts w:ascii="Myriad Pro" w:hAnsi="Myriad Pro"/>
                <w:color w:val="000000"/>
                <w:sz w:val="21"/>
                <w:szCs w:val="21"/>
              </w:rPr>
            </w:pPr>
            <w:r w:rsidRPr="00E90E98">
              <w:rPr>
                <w:rFonts w:ascii="Myriad Pro" w:hAnsi="Myriad Pro"/>
                <w:color w:val="000000"/>
                <w:sz w:val="21"/>
                <w:szCs w:val="21"/>
              </w:rPr>
              <w:t xml:space="preserve">Within 3 weeks of end of TE mission: </w:t>
            </w:r>
          </w:p>
          <w:p w14:paraId="7A694FBB" w14:textId="77777777" w:rsidR="00000F9B" w:rsidRDefault="00EE5168" w:rsidP="002B2199">
            <w:pPr>
              <w:rPr>
                <w:rFonts w:ascii="Myriad Pro" w:hAnsi="Myriad Pro"/>
                <w:b/>
                <w:bCs/>
                <w:i/>
                <w:color w:val="000000"/>
                <w:sz w:val="21"/>
                <w:szCs w:val="21"/>
              </w:rPr>
            </w:pPr>
            <w:r w:rsidRPr="008C6CB8">
              <w:rPr>
                <w:rFonts w:ascii="Myriad Pro" w:hAnsi="Myriad Pro"/>
                <w:b/>
                <w:bCs/>
                <w:i/>
                <w:color w:val="000000"/>
                <w:sz w:val="21"/>
                <w:szCs w:val="21"/>
                <w:highlight w:val="lightGray"/>
              </w:rPr>
              <w:t xml:space="preserve">30 </w:t>
            </w:r>
            <w:r w:rsidR="005B2A56" w:rsidRPr="008C6CB8">
              <w:rPr>
                <w:rFonts w:ascii="Myriad Pro" w:hAnsi="Myriad Pro"/>
                <w:b/>
                <w:bCs/>
                <w:i/>
                <w:color w:val="000000"/>
                <w:sz w:val="21"/>
                <w:szCs w:val="21"/>
                <w:highlight w:val="lightGray"/>
              </w:rPr>
              <w:t>June 2021</w:t>
            </w:r>
          </w:p>
          <w:p w14:paraId="10C991C4" w14:textId="0C34F454" w:rsidR="004034F4" w:rsidRPr="008C6CB8" w:rsidRDefault="004034F4" w:rsidP="002B2199">
            <w:pPr>
              <w:rPr>
                <w:rFonts w:ascii="Myriad Pro" w:hAnsi="Myriad Pro"/>
                <w:b/>
                <w:bCs/>
                <w:color w:val="000000"/>
                <w:sz w:val="21"/>
                <w:szCs w:val="21"/>
              </w:rPr>
            </w:pPr>
          </w:p>
        </w:tc>
        <w:tc>
          <w:tcPr>
            <w:tcW w:w="3089" w:type="dxa"/>
          </w:tcPr>
          <w:p w14:paraId="1FE9B976" w14:textId="272A6D4C"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 xml:space="preserve">TE </w:t>
            </w:r>
            <w:r w:rsidR="00C73519" w:rsidRPr="00C73519">
              <w:rPr>
                <w:rFonts w:ascii="Myriad Pro" w:hAnsi="Myriad Pro"/>
                <w:color w:val="000000"/>
                <w:sz w:val="21"/>
                <w:szCs w:val="21"/>
              </w:rPr>
              <w:t xml:space="preserve">Evaluator </w:t>
            </w:r>
            <w:r w:rsidRPr="00E90E98">
              <w:rPr>
                <w:rFonts w:ascii="Myriad Pro" w:hAnsi="Myriad Pro"/>
                <w:color w:val="000000"/>
                <w:sz w:val="21"/>
                <w:szCs w:val="21"/>
              </w:rPr>
              <w:t>submits to Commissioning Unit; reviewed by RTA, Project Coordinating Unit, GEF OFP</w:t>
            </w:r>
          </w:p>
        </w:tc>
      </w:tr>
      <w:tr w:rsidR="00000F9B" w:rsidRPr="00F243EC" w14:paraId="792E880F" w14:textId="77777777" w:rsidTr="00B77F36">
        <w:tc>
          <w:tcPr>
            <w:tcW w:w="430" w:type="dxa"/>
          </w:tcPr>
          <w:p w14:paraId="1EDD2D91"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5</w:t>
            </w:r>
          </w:p>
        </w:tc>
        <w:tc>
          <w:tcPr>
            <w:tcW w:w="1331" w:type="dxa"/>
          </w:tcPr>
          <w:p w14:paraId="2629E92C" w14:textId="77777777"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Final TE Report* + Audit Trail</w:t>
            </w:r>
          </w:p>
        </w:tc>
        <w:tc>
          <w:tcPr>
            <w:tcW w:w="3549" w:type="dxa"/>
          </w:tcPr>
          <w:p w14:paraId="30E2FA21" w14:textId="14443AAD" w:rsidR="00000F9B" w:rsidRPr="00F55829" w:rsidRDefault="00000F9B" w:rsidP="002B2199">
            <w:pPr>
              <w:rPr>
                <w:rFonts w:ascii="Myriad Pro" w:hAnsi="Myriad Pro"/>
                <w:color w:val="000000"/>
                <w:sz w:val="21"/>
                <w:szCs w:val="21"/>
              </w:rPr>
            </w:pPr>
            <w:r w:rsidRPr="00F55829">
              <w:rPr>
                <w:rFonts w:ascii="Myriad Pro" w:hAnsi="Myriad Pro"/>
                <w:color w:val="000000"/>
                <w:sz w:val="21"/>
                <w:szCs w:val="21"/>
              </w:rPr>
              <w:t xml:space="preserve">Revised final report and TE Audit trail in which the TE details how all received comments have (and have not) been addressed in the final TE report </w:t>
            </w:r>
            <w:r w:rsidRPr="00F55829">
              <w:rPr>
                <w:rFonts w:ascii="Myriad Pro" w:hAnsi="Myriad Pro"/>
                <w:i/>
                <w:color w:val="000000"/>
                <w:sz w:val="21"/>
                <w:szCs w:val="21"/>
              </w:rPr>
              <w:t xml:space="preserve">(See template in </w:t>
            </w:r>
            <w:proofErr w:type="spellStart"/>
            <w:r w:rsidRPr="00F55829">
              <w:rPr>
                <w:rFonts w:ascii="Myriad Pro" w:hAnsi="Myriad Pro"/>
                <w:i/>
                <w:color w:val="000000"/>
                <w:sz w:val="21"/>
                <w:szCs w:val="21"/>
              </w:rPr>
              <w:t>ToR</w:t>
            </w:r>
            <w:proofErr w:type="spellEnd"/>
            <w:r w:rsidRPr="00F55829">
              <w:rPr>
                <w:rFonts w:ascii="Myriad Pro" w:hAnsi="Myriad Pro"/>
                <w:i/>
                <w:color w:val="000000"/>
                <w:sz w:val="21"/>
                <w:szCs w:val="21"/>
              </w:rPr>
              <w:t xml:space="preserve"> Annex </w:t>
            </w:r>
            <w:r w:rsidR="00C12CAA" w:rsidRPr="00F55829">
              <w:rPr>
                <w:rFonts w:ascii="Myriad Pro" w:hAnsi="Myriad Pro"/>
                <w:i/>
                <w:color w:val="000000"/>
                <w:sz w:val="21"/>
                <w:szCs w:val="21"/>
              </w:rPr>
              <w:t>H</w:t>
            </w:r>
            <w:r w:rsidRPr="00F55829">
              <w:rPr>
                <w:rFonts w:ascii="Myriad Pro" w:hAnsi="Myriad Pro"/>
                <w:i/>
                <w:color w:val="000000"/>
                <w:sz w:val="21"/>
                <w:szCs w:val="21"/>
              </w:rPr>
              <w:t>)</w:t>
            </w:r>
          </w:p>
        </w:tc>
        <w:tc>
          <w:tcPr>
            <w:tcW w:w="2114" w:type="dxa"/>
          </w:tcPr>
          <w:p w14:paraId="3F2FDC9D" w14:textId="77777777" w:rsidR="00F55829" w:rsidRDefault="00000F9B" w:rsidP="002B2199">
            <w:pPr>
              <w:rPr>
                <w:rFonts w:ascii="Myriad Pro" w:hAnsi="Myriad Pro"/>
                <w:color w:val="000000"/>
                <w:sz w:val="21"/>
                <w:szCs w:val="21"/>
              </w:rPr>
            </w:pPr>
            <w:r w:rsidRPr="00E90E98">
              <w:rPr>
                <w:rFonts w:ascii="Myriad Pro" w:hAnsi="Myriad Pro"/>
                <w:color w:val="000000"/>
                <w:sz w:val="21"/>
                <w:szCs w:val="21"/>
              </w:rPr>
              <w:t xml:space="preserve">Within 1 week of receiving comments on draft report: </w:t>
            </w:r>
          </w:p>
          <w:p w14:paraId="7C710C9E" w14:textId="77777777" w:rsidR="00000F9B" w:rsidRDefault="00EE5168" w:rsidP="002B2199">
            <w:pPr>
              <w:rPr>
                <w:rFonts w:ascii="Myriad Pro" w:hAnsi="Myriad Pro"/>
                <w:b/>
                <w:bCs/>
                <w:i/>
                <w:color w:val="000000"/>
                <w:sz w:val="21"/>
                <w:szCs w:val="21"/>
              </w:rPr>
            </w:pPr>
            <w:r w:rsidRPr="008C6CB8">
              <w:rPr>
                <w:rFonts w:ascii="Myriad Pro" w:hAnsi="Myriad Pro"/>
                <w:b/>
                <w:bCs/>
                <w:i/>
                <w:color w:val="000000"/>
                <w:sz w:val="21"/>
                <w:szCs w:val="21"/>
                <w:highlight w:val="lightGray"/>
              </w:rPr>
              <w:t>30</w:t>
            </w:r>
            <w:r w:rsidR="00F46542" w:rsidRPr="008C6CB8">
              <w:rPr>
                <w:rFonts w:ascii="Myriad Pro" w:hAnsi="Myriad Pro"/>
                <w:b/>
                <w:bCs/>
                <w:i/>
                <w:color w:val="000000"/>
                <w:sz w:val="21"/>
                <w:szCs w:val="21"/>
                <w:highlight w:val="lightGray"/>
              </w:rPr>
              <w:t xml:space="preserve"> </w:t>
            </w:r>
            <w:r w:rsidRPr="008C6CB8">
              <w:rPr>
                <w:rFonts w:ascii="Myriad Pro" w:hAnsi="Myriad Pro"/>
                <w:b/>
                <w:bCs/>
                <w:i/>
                <w:color w:val="000000"/>
                <w:sz w:val="21"/>
                <w:szCs w:val="21"/>
                <w:highlight w:val="lightGray"/>
              </w:rPr>
              <w:t>July</w:t>
            </w:r>
            <w:r w:rsidR="00F46542" w:rsidRPr="008C6CB8">
              <w:rPr>
                <w:rFonts w:ascii="Myriad Pro" w:hAnsi="Myriad Pro"/>
                <w:b/>
                <w:bCs/>
                <w:i/>
                <w:color w:val="000000"/>
                <w:sz w:val="21"/>
                <w:szCs w:val="21"/>
                <w:highlight w:val="lightGray"/>
              </w:rPr>
              <w:t xml:space="preserve"> 2021</w:t>
            </w:r>
          </w:p>
          <w:p w14:paraId="0EA27FDC" w14:textId="668DFEA0" w:rsidR="0071773E" w:rsidRPr="008C6CB8" w:rsidRDefault="0071773E" w:rsidP="002B2199">
            <w:pPr>
              <w:rPr>
                <w:rFonts w:ascii="Myriad Pro" w:hAnsi="Myriad Pro"/>
                <w:b/>
                <w:bCs/>
                <w:color w:val="000000"/>
                <w:sz w:val="21"/>
                <w:szCs w:val="21"/>
              </w:rPr>
            </w:pPr>
          </w:p>
        </w:tc>
        <w:tc>
          <w:tcPr>
            <w:tcW w:w="3089" w:type="dxa"/>
          </w:tcPr>
          <w:p w14:paraId="0B0FD36C" w14:textId="6CCF247B" w:rsidR="00000F9B" w:rsidRPr="00E90E98" w:rsidRDefault="00000F9B" w:rsidP="002B2199">
            <w:pPr>
              <w:rPr>
                <w:rFonts w:ascii="Myriad Pro" w:hAnsi="Myriad Pro"/>
                <w:color w:val="000000"/>
                <w:sz w:val="21"/>
                <w:szCs w:val="21"/>
              </w:rPr>
            </w:pPr>
            <w:r w:rsidRPr="00E90E98">
              <w:rPr>
                <w:rFonts w:ascii="Myriad Pro" w:hAnsi="Myriad Pro"/>
                <w:color w:val="000000"/>
                <w:sz w:val="21"/>
                <w:szCs w:val="21"/>
              </w:rPr>
              <w:t xml:space="preserve">TE </w:t>
            </w:r>
            <w:r w:rsidR="00C73519" w:rsidRPr="00C73519">
              <w:rPr>
                <w:rFonts w:ascii="Myriad Pro" w:hAnsi="Myriad Pro"/>
                <w:color w:val="000000"/>
                <w:sz w:val="21"/>
                <w:szCs w:val="21"/>
              </w:rPr>
              <w:t xml:space="preserve">Evaluator </w:t>
            </w:r>
            <w:r w:rsidRPr="00E90E98">
              <w:rPr>
                <w:rFonts w:ascii="Myriad Pro" w:hAnsi="Myriad Pro"/>
                <w:color w:val="000000"/>
                <w:sz w:val="21"/>
                <w:szCs w:val="21"/>
              </w:rPr>
              <w:t>submits both documents to the Commissioning Unit</w:t>
            </w:r>
          </w:p>
        </w:tc>
      </w:tr>
    </w:tbl>
    <w:p w14:paraId="29C6F12E" w14:textId="3638CF26" w:rsidR="00000F9B" w:rsidRDefault="00000F9B" w:rsidP="00493D42">
      <w:pPr>
        <w:spacing w:before="120" w:after="0"/>
        <w:jc w:val="both"/>
        <w:rPr>
          <w:rFonts w:ascii="Myriad Pro" w:hAnsi="Myriad Pro"/>
          <w:color w:val="000000"/>
        </w:rPr>
      </w:pPr>
      <w:r w:rsidRPr="00047EDE">
        <w:rPr>
          <w:rFonts w:ascii="Myriad Pro" w:hAnsi="Myriad Pro"/>
          <w:color w:val="000000"/>
          <w:sz w:val="21"/>
          <w:szCs w:val="21"/>
        </w:rPr>
        <w:lastRenderedPageBreak/>
        <w:t>*All final TE reports will be quality assessed by the UNDP Independent Evaluation Office (IEO).  Details of the IEO’s quality assessment of decentralized evaluations can be found in Section 6 of the UNDP Evaluation Guidelines</w:t>
      </w:r>
      <w:r w:rsidR="00B77F36">
        <w:rPr>
          <w:rFonts w:ascii="Myriad Pro" w:hAnsi="Myriad Pro"/>
          <w:color w:val="000000"/>
        </w:rPr>
        <w:t xml:space="preserve"> - </w:t>
      </w:r>
      <w:r w:rsidR="00B77F36">
        <w:t xml:space="preserve"> </w:t>
      </w:r>
      <w:hyperlink r:id="rId16" w:history="1">
        <w:r w:rsidR="00B77F36" w:rsidRPr="00D651BD">
          <w:rPr>
            <w:rStyle w:val="Hyperlink"/>
          </w:rPr>
          <w:t>http://web.undp.org/evaluation/guideline/section-6.shtml</w:t>
        </w:r>
      </w:hyperlink>
    </w:p>
    <w:p w14:paraId="517D5A8E" w14:textId="77777777" w:rsidR="00000F9B" w:rsidRPr="005C29D4" w:rsidRDefault="00000F9B" w:rsidP="00A33C45">
      <w:pPr>
        <w:pStyle w:val="ListParagraph"/>
        <w:numPr>
          <w:ilvl w:val="0"/>
          <w:numId w:val="1"/>
        </w:numPr>
        <w:spacing w:before="480" w:after="120" w:line="240" w:lineRule="auto"/>
        <w:ind w:left="360"/>
        <w:contextualSpacing w:val="0"/>
        <w:rPr>
          <w:rFonts w:ascii="Myriad Pro" w:hAnsi="Myriad Pro"/>
          <w:b/>
          <w:bCs/>
          <w:sz w:val="26"/>
          <w:szCs w:val="26"/>
        </w:rPr>
      </w:pPr>
      <w:r w:rsidRPr="005C29D4">
        <w:rPr>
          <w:rFonts w:ascii="Myriad Pro" w:hAnsi="Myriad Pro"/>
          <w:b/>
          <w:bCs/>
          <w:sz w:val="26"/>
          <w:szCs w:val="26"/>
        </w:rPr>
        <w:t>TE ARRANGEMENTS</w:t>
      </w:r>
    </w:p>
    <w:p w14:paraId="5107D79F" w14:textId="44DE090D" w:rsidR="00000F9B" w:rsidRPr="00047EDE" w:rsidRDefault="00000F9B" w:rsidP="00A33C45">
      <w:pPr>
        <w:spacing w:before="120" w:after="120"/>
        <w:jc w:val="both"/>
        <w:rPr>
          <w:rFonts w:ascii="Myriad Pro" w:hAnsi="Myriad Pro"/>
          <w:color w:val="000000"/>
          <w:sz w:val="21"/>
          <w:szCs w:val="21"/>
        </w:rPr>
      </w:pPr>
      <w:r w:rsidRPr="00047EDE">
        <w:rPr>
          <w:rFonts w:ascii="Myriad Pro" w:hAnsi="Myriad Pro"/>
          <w:color w:val="000000"/>
          <w:sz w:val="21"/>
          <w:szCs w:val="21"/>
        </w:rPr>
        <w:t>The principal responsibility for managing the TE resides with the Commissioning Unit. The Commissioning Unit for this project’s TE is</w:t>
      </w:r>
      <w:r w:rsidR="00F46542">
        <w:rPr>
          <w:rFonts w:ascii="Myriad Pro" w:hAnsi="Myriad Pro"/>
          <w:color w:val="000000"/>
          <w:sz w:val="21"/>
          <w:szCs w:val="21"/>
        </w:rPr>
        <w:t xml:space="preserve"> the UNDP</w:t>
      </w:r>
      <w:r w:rsidR="00AD6A03">
        <w:rPr>
          <w:rFonts w:ascii="Myriad Pro" w:hAnsi="Myriad Pro"/>
          <w:color w:val="000000"/>
          <w:sz w:val="21"/>
          <w:szCs w:val="21"/>
        </w:rPr>
        <w:t xml:space="preserve"> Armenia Office.</w:t>
      </w:r>
    </w:p>
    <w:p w14:paraId="34E7C707" w14:textId="0CFCBE00" w:rsidR="00000F9B" w:rsidRDefault="00000F9B" w:rsidP="00000F9B">
      <w:pPr>
        <w:jc w:val="both"/>
        <w:rPr>
          <w:rFonts w:ascii="Myriad Pro" w:hAnsi="Myriad Pro"/>
          <w:color w:val="000000"/>
          <w:sz w:val="21"/>
          <w:szCs w:val="21"/>
        </w:rPr>
      </w:pPr>
      <w:r w:rsidRPr="00047EDE">
        <w:rPr>
          <w:rFonts w:ascii="Myriad Pro" w:hAnsi="Myriad Pro"/>
          <w:color w:val="000000"/>
          <w:sz w:val="21"/>
          <w:szCs w:val="21"/>
        </w:rPr>
        <w:t xml:space="preserve">The Commissioning Unit will contract the </w:t>
      </w:r>
      <w:r w:rsidR="00A33C45">
        <w:rPr>
          <w:rFonts w:ascii="Myriad Pro" w:hAnsi="Myriad Pro"/>
          <w:color w:val="000000"/>
          <w:sz w:val="21"/>
          <w:szCs w:val="21"/>
        </w:rPr>
        <w:t>TE E</w:t>
      </w:r>
      <w:r w:rsidRPr="00047EDE">
        <w:rPr>
          <w:rFonts w:ascii="Myriad Pro" w:hAnsi="Myriad Pro"/>
          <w:color w:val="000000"/>
          <w:sz w:val="21"/>
          <w:szCs w:val="21"/>
        </w:rPr>
        <w:t xml:space="preserve">valuator and ensure the timely provision of per diems and travel arrangements within the </w:t>
      </w:r>
      <w:proofErr w:type="gramStart"/>
      <w:r w:rsidRPr="00047EDE">
        <w:rPr>
          <w:rFonts w:ascii="Myriad Pro" w:hAnsi="Myriad Pro"/>
          <w:color w:val="000000"/>
          <w:sz w:val="21"/>
          <w:szCs w:val="21"/>
        </w:rPr>
        <w:t>country</w:t>
      </w:r>
      <w:r w:rsidR="00BF2914">
        <w:rPr>
          <w:rFonts w:ascii="Myriad Pro" w:hAnsi="Myriad Pro"/>
          <w:color w:val="000000"/>
          <w:sz w:val="21"/>
          <w:szCs w:val="21"/>
        </w:rPr>
        <w:t>, if</w:t>
      </w:r>
      <w:proofErr w:type="gramEnd"/>
      <w:r w:rsidR="00BF2914">
        <w:rPr>
          <w:rFonts w:ascii="Myriad Pro" w:hAnsi="Myriad Pro"/>
          <w:color w:val="000000"/>
          <w:sz w:val="21"/>
          <w:szCs w:val="21"/>
        </w:rPr>
        <w:t xml:space="preserve"> the travel will be possible</w:t>
      </w:r>
      <w:r w:rsidRPr="00047EDE">
        <w:rPr>
          <w:rFonts w:ascii="Myriad Pro" w:hAnsi="Myriad Pro"/>
          <w:color w:val="000000"/>
          <w:sz w:val="21"/>
          <w:szCs w:val="21"/>
        </w:rPr>
        <w:t xml:space="preserve">. The Project Team will be responsible for liaising with the TE </w:t>
      </w:r>
      <w:r w:rsidR="00C73519">
        <w:rPr>
          <w:rFonts w:ascii="Myriad Pro" w:hAnsi="Myriad Pro"/>
          <w:color w:val="000000"/>
          <w:sz w:val="21"/>
          <w:szCs w:val="21"/>
        </w:rPr>
        <w:t>E</w:t>
      </w:r>
      <w:r w:rsidR="00BF2914">
        <w:rPr>
          <w:rFonts w:ascii="Myriad Pro" w:hAnsi="Myriad Pro"/>
          <w:color w:val="000000"/>
          <w:sz w:val="21"/>
          <w:szCs w:val="21"/>
        </w:rPr>
        <w:t>valuator</w:t>
      </w:r>
      <w:r w:rsidRPr="00047EDE">
        <w:rPr>
          <w:rFonts w:ascii="Myriad Pro" w:hAnsi="Myriad Pro"/>
          <w:color w:val="000000"/>
          <w:sz w:val="21"/>
          <w:szCs w:val="21"/>
        </w:rPr>
        <w:t xml:space="preserve"> to provide all relevant documents, set up stakeholder interviews, and arrange field visits.</w:t>
      </w:r>
    </w:p>
    <w:p w14:paraId="3ACB3055" w14:textId="77777777" w:rsidR="00000F9B" w:rsidRPr="005C29D4" w:rsidRDefault="00000F9B" w:rsidP="00AC1776">
      <w:pPr>
        <w:pStyle w:val="ListParagraph"/>
        <w:numPr>
          <w:ilvl w:val="0"/>
          <w:numId w:val="1"/>
        </w:numPr>
        <w:spacing w:before="480" w:after="120" w:line="240" w:lineRule="auto"/>
        <w:ind w:left="360"/>
        <w:contextualSpacing w:val="0"/>
        <w:rPr>
          <w:rFonts w:ascii="Myriad Pro" w:hAnsi="Myriad Pro"/>
          <w:b/>
          <w:bCs/>
          <w:sz w:val="26"/>
          <w:szCs w:val="26"/>
        </w:rPr>
      </w:pPr>
      <w:r w:rsidRPr="005C29D4">
        <w:rPr>
          <w:rFonts w:ascii="Myriad Pro" w:hAnsi="Myriad Pro"/>
          <w:b/>
          <w:bCs/>
          <w:sz w:val="26"/>
          <w:szCs w:val="26"/>
        </w:rPr>
        <w:t>TE TEAM COMPOSITION</w:t>
      </w:r>
    </w:p>
    <w:p w14:paraId="5C3F4CF5" w14:textId="1C329855" w:rsidR="00BA354B" w:rsidRPr="00B6098E" w:rsidRDefault="00BA354B" w:rsidP="00A33C45">
      <w:pPr>
        <w:spacing w:before="120" w:after="120"/>
        <w:jc w:val="both"/>
        <w:rPr>
          <w:rFonts w:ascii="Myriad Pro" w:hAnsi="Myriad Pro"/>
          <w:color w:val="000000"/>
          <w:sz w:val="21"/>
          <w:szCs w:val="21"/>
        </w:rPr>
      </w:pPr>
      <w:r w:rsidRPr="00B6098E">
        <w:rPr>
          <w:rFonts w:ascii="Myriad Pro" w:hAnsi="Myriad Pro"/>
          <w:color w:val="000000"/>
          <w:sz w:val="21"/>
          <w:szCs w:val="21"/>
        </w:rPr>
        <w:t>The terminal evaluation will be performed by one international evaluator</w:t>
      </w:r>
      <w:r w:rsidR="00C771FE">
        <w:rPr>
          <w:rFonts w:ascii="Myriad Pro" w:hAnsi="Myriad Pro"/>
          <w:color w:val="000000"/>
          <w:sz w:val="21"/>
          <w:szCs w:val="21"/>
        </w:rPr>
        <w:t xml:space="preserve"> in a team with </w:t>
      </w:r>
      <w:r w:rsidR="00FD7D3F">
        <w:rPr>
          <w:rFonts w:ascii="Myriad Pro" w:hAnsi="Myriad Pro"/>
          <w:color w:val="000000"/>
          <w:sz w:val="21"/>
          <w:szCs w:val="21"/>
        </w:rPr>
        <w:t>evaluation support assistant</w:t>
      </w:r>
      <w:r w:rsidRPr="00B6098E">
        <w:rPr>
          <w:rFonts w:ascii="Myriad Pro" w:hAnsi="Myriad Pro"/>
          <w:color w:val="000000"/>
          <w:sz w:val="21"/>
          <w:szCs w:val="21"/>
        </w:rPr>
        <w:t>. The consu</w:t>
      </w:r>
      <w:r w:rsidR="005A57B7" w:rsidRPr="00B6098E">
        <w:rPr>
          <w:rFonts w:ascii="Myriad Pro" w:hAnsi="Myriad Pro"/>
          <w:color w:val="000000"/>
          <w:sz w:val="21"/>
          <w:szCs w:val="21"/>
        </w:rPr>
        <w:t>ltant</w:t>
      </w:r>
      <w:r w:rsidRPr="00B6098E">
        <w:rPr>
          <w:rFonts w:ascii="Myriad Pro" w:hAnsi="Myriad Pro"/>
          <w:color w:val="000000"/>
          <w:sz w:val="21"/>
          <w:szCs w:val="21"/>
        </w:rPr>
        <w:t xml:space="preserve"> shall have prior experience in evaluating similar projects.</w:t>
      </w:r>
      <w:r w:rsidR="00B6098E" w:rsidRPr="00B6098E">
        <w:rPr>
          <w:rFonts w:ascii="Myriad Pro" w:hAnsi="Myriad Pro"/>
          <w:color w:val="000000"/>
          <w:sz w:val="21"/>
          <w:szCs w:val="21"/>
        </w:rPr>
        <w:t xml:space="preserve"> </w:t>
      </w:r>
      <w:r w:rsidR="005A57B7" w:rsidRPr="00B6098E">
        <w:rPr>
          <w:rFonts w:ascii="Myriad Pro" w:hAnsi="Myriad Pro"/>
          <w:color w:val="000000"/>
          <w:sz w:val="21"/>
          <w:szCs w:val="21"/>
        </w:rPr>
        <w:t xml:space="preserve">The international evaluator will be responsible for the overall design and writing of the TE report. </w:t>
      </w:r>
    </w:p>
    <w:p w14:paraId="200A1016" w14:textId="731234EA" w:rsidR="00000F9B" w:rsidRPr="00AD6A03" w:rsidRDefault="00FD7D3F" w:rsidP="00000F9B">
      <w:pPr>
        <w:jc w:val="both"/>
        <w:rPr>
          <w:rFonts w:ascii="Myriad Pro" w:hAnsi="Myriad Pro"/>
          <w:color w:val="000000"/>
          <w:sz w:val="21"/>
          <w:szCs w:val="21"/>
        </w:rPr>
      </w:pPr>
      <w:r>
        <w:rPr>
          <w:rFonts w:ascii="Myriad Pro" w:hAnsi="Myriad Pro"/>
          <w:color w:val="000000"/>
          <w:sz w:val="21"/>
          <w:szCs w:val="21"/>
        </w:rPr>
        <w:t xml:space="preserve">As mentioned, </w:t>
      </w:r>
      <w:r w:rsidR="00932D9A">
        <w:rPr>
          <w:rFonts w:ascii="Myriad Pro" w:hAnsi="Myriad Pro"/>
          <w:color w:val="000000"/>
          <w:sz w:val="21"/>
          <w:szCs w:val="21"/>
        </w:rPr>
        <w:t>o</w:t>
      </w:r>
      <w:r w:rsidR="00404C45" w:rsidRPr="00B6098E">
        <w:rPr>
          <w:rFonts w:ascii="Myriad Pro" w:hAnsi="Myriad Pro"/>
          <w:color w:val="000000"/>
          <w:sz w:val="21"/>
          <w:szCs w:val="21"/>
        </w:rPr>
        <w:t>ne</w:t>
      </w:r>
      <w:r w:rsidR="00000F9B" w:rsidRPr="00B6098E">
        <w:rPr>
          <w:rFonts w:ascii="Myriad Pro" w:hAnsi="Myriad Pro"/>
          <w:color w:val="000000"/>
          <w:sz w:val="21"/>
          <w:szCs w:val="21"/>
        </w:rPr>
        <w:t xml:space="preserve"> </w:t>
      </w:r>
      <w:r w:rsidR="00404C45" w:rsidRPr="00B6098E">
        <w:rPr>
          <w:rFonts w:ascii="Myriad Pro" w:hAnsi="Myriad Pro"/>
          <w:color w:val="000000"/>
          <w:sz w:val="21"/>
          <w:szCs w:val="21"/>
        </w:rPr>
        <w:t xml:space="preserve">national </w:t>
      </w:r>
      <w:r w:rsidR="009B4BA5">
        <w:rPr>
          <w:rFonts w:ascii="Myriad Pro" w:hAnsi="Myriad Pro"/>
          <w:color w:val="000000"/>
          <w:sz w:val="21"/>
          <w:szCs w:val="21"/>
        </w:rPr>
        <w:t>specialist</w:t>
      </w:r>
      <w:r w:rsidR="00404C45" w:rsidRPr="00B6098E">
        <w:rPr>
          <w:rFonts w:ascii="Myriad Pro" w:hAnsi="Myriad Pro"/>
          <w:color w:val="000000"/>
          <w:sz w:val="21"/>
          <w:szCs w:val="21"/>
        </w:rPr>
        <w:t xml:space="preserve"> will assist the international evaluator in organizing and conducting the mission</w:t>
      </w:r>
      <w:r w:rsidR="002F29E1" w:rsidRPr="00B6098E">
        <w:rPr>
          <w:rFonts w:ascii="Myriad Pro" w:hAnsi="Myriad Pro"/>
          <w:color w:val="000000"/>
          <w:sz w:val="21"/>
          <w:szCs w:val="21"/>
        </w:rPr>
        <w:t xml:space="preserve"> </w:t>
      </w:r>
      <w:r w:rsidR="00493D42">
        <w:rPr>
          <w:rFonts w:ascii="Myriad Pro" w:hAnsi="Myriad Pro"/>
          <w:color w:val="000000"/>
          <w:sz w:val="21"/>
          <w:szCs w:val="21"/>
        </w:rPr>
        <w:t>(</w:t>
      </w:r>
      <w:r w:rsidR="002F29E1" w:rsidRPr="00B6098E">
        <w:rPr>
          <w:rFonts w:ascii="Myriad Pro" w:hAnsi="Myriad Pro"/>
          <w:color w:val="000000"/>
          <w:sz w:val="21"/>
          <w:szCs w:val="21"/>
        </w:rPr>
        <w:t xml:space="preserve">in </w:t>
      </w:r>
      <w:r w:rsidR="00B2350D">
        <w:rPr>
          <w:rFonts w:ascii="Myriad Pro" w:hAnsi="Myriad Pro"/>
          <w:color w:val="000000"/>
          <w:sz w:val="21"/>
          <w:szCs w:val="21"/>
        </w:rPr>
        <w:t>the format that will be agreed</w:t>
      </w:r>
      <w:r w:rsidR="00493D42">
        <w:rPr>
          <w:rFonts w:ascii="Myriad Pro" w:hAnsi="Myriad Pro"/>
          <w:color w:val="000000"/>
          <w:sz w:val="21"/>
          <w:szCs w:val="21"/>
        </w:rPr>
        <w:t>)</w:t>
      </w:r>
      <w:r w:rsidR="00404C45" w:rsidRPr="00B6098E">
        <w:rPr>
          <w:rFonts w:ascii="Myriad Pro" w:hAnsi="Myriad Pro"/>
          <w:color w:val="000000"/>
          <w:sz w:val="21"/>
          <w:szCs w:val="21"/>
        </w:rPr>
        <w:t>, in connecting with parties involved in the evaluation and in collecting information, will support with translations (written and oral)</w:t>
      </w:r>
      <w:r w:rsidR="002F29E1" w:rsidRPr="00B6098E">
        <w:rPr>
          <w:rFonts w:ascii="Myriad Pro" w:hAnsi="Myriad Pro"/>
          <w:color w:val="000000"/>
          <w:sz w:val="21"/>
          <w:szCs w:val="21"/>
        </w:rPr>
        <w:t>, will assist in taking notes</w:t>
      </w:r>
      <w:r w:rsidR="005A57B7" w:rsidRPr="00B6098E">
        <w:rPr>
          <w:rFonts w:ascii="Myriad Pro" w:hAnsi="Myriad Pro"/>
          <w:color w:val="000000"/>
          <w:sz w:val="21"/>
          <w:szCs w:val="21"/>
        </w:rPr>
        <w:t xml:space="preserve"> and will </w:t>
      </w:r>
      <w:r w:rsidR="002F29E1" w:rsidRPr="00B6098E">
        <w:rPr>
          <w:rFonts w:ascii="Myriad Pro" w:hAnsi="Myriad Pro"/>
          <w:color w:val="000000"/>
          <w:sz w:val="21"/>
          <w:szCs w:val="21"/>
        </w:rPr>
        <w:t>contribute with interpreting interviewee provided information</w:t>
      </w:r>
      <w:r w:rsidR="00493D42">
        <w:rPr>
          <w:rFonts w:ascii="Myriad Pro" w:hAnsi="Myriad Pro"/>
          <w:color w:val="000000"/>
          <w:sz w:val="21"/>
          <w:szCs w:val="21"/>
        </w:rPr>
        <w:t xml:space="preserve"> and reflection in the TE report</w:t>
      </w:r>
      <w:r w:rsidR="00D6675A" w:rsidRPr="00B6098E">
        <w:rPr>
          <w:rFonts w:ascii="Myriad Pro" w:hAnsi="Myriad Pro"/>
          <w:color w:val="000000"/>
          <w:sz w:val="21"/>
          <w:szCs w:val="21"/>
        </w:rPr>
        <w:t>, also will assist in adjusting the TE itinerary</w:t>
      </w:r>
      <w:r w:rsidR="00000F9B" w:rsidRPr="00B6098E">
        <w:rPr>
          <w:rFonts w:ascii="Myriad Pro" w:hAnsi="Myriad Pro"/>
          <w:color w:val="000000"/>
          <w:sz w:val="21"/>
          <w:szCs w:val="21"/>
        </w:rPr>
        <w:t>.</w:t>
      </w:r>
      <w:r w:rsidR="002F29E1" w:rsidRPr="00B6098E">
        <w:rPr>
          <w:rFonts w:ascii="Myriad Pro" w:hAnsi="Myriad Pro"/>
          <w:color w:val="000000"/>
          <w:sz w:val="21"/>
          <w:szCs w:val="21"/>
        </w:rPr>
        <w:t xml:space="preserve"> </w:t>
      </w:r>
    </w:p>
    <w:p w14:paraId="3D17E25A" w14:textId="3AFB1073" w:rsidR="00000F9B" w:rsidRPr="00B40D5F" w:rsidRDefault="00000F9B" w:rsidP="00000F9B">
      <w:pPr>
        <w:jc w:val="both"/>
        <w:rPr>
          <w:rFonts w:ascii="Myriad Pro" w:hAnsi="Myriad Pro"/>
          <w:color w:val="000000"/>
          <w:sz w:val="21"/>
          <w:szCs w:val="21"/>
        </w:rPr>
      </w:pPr>
      <w:r w:rsidRPr="00047EDE">
        <w:rPr>
          <w:rFonts w:ascii="Myriad Pro" w:hAnsi="Myriad Pro"/>
          <w:color w:val="000000"/>
          <w:sz w:val="21"/>
          <w:szCs w:val="21"/>
        </w:rPr>
        <w:t xml:space="preserve">The evaluator cannot have participated in the project preparation, formulation and/or implementation (including the writing of the project document), must not have conducted this project’s Mid-Term Review and should not have a </w:t>
      </w:r>
      <w:r w:rsidRPr="00B40D5F">
        <w:rPr>
          <w:rFonts w:ascii="Myriad Pro" w:hAnsi="Myriad Pro"/>
          <w:color w:val="000000"/>
          <w:sz w:val="21"/>
          <w:szCs w:val="21"/>
        </w:rPr>
        <w:t>conflict of interest with the project’s related activities.</w:t>
      </w:r>
    </w:p>
    <w:p w14:paraId="478970D2" w14:textId="77777777" w:rsidR="00997498" w:rsidRPr="00B40D5F" w:rsidRDefault="003769B9" w:rsidP="00FF61B5">
      <w:pPr>
        <w:rPr>
          <w:sz w:val="21"/>
          <w:szCs w:val="21"/>
        </w:rPr>
      </w:pPr>
      <w:r w:rsidRPr="00B40D5F">
        <w:rPr>
          <w:rFonts w:ascii="Myriad Pro" w:hAnsi="Myriad Pro"/>
          <w:color w:val="000000"/>
          <w:sz w:val="21"/>
          <w:szCs w:val="21"/>
        </w:rPr>
        <w:t>The selection of evaluators will be aimed at maximizing the overall “team” qualities in the following areas:</w:t>
      </w:r>
      <w:r w:rsidRPr="00B40D5F">
        <w:rPr>
          <w:sz w:val="21"/>
          <w:szCs w:val="21"/>
        </w:rPr>
        <w:t xml:space="preserve"> </w:t>
      </w:r>
    </w:p>
    <w:p w14:paraId="33A6E8AB" w14:textId="77777777" w:rsidR="007625E7" w:rsidRDefault="007625E7" w:rsidP="00E60F2B">
      <w:pPr>
        <w:rPr>
          <w:rFonts w:eastAsia="Times New Roman"/>
          <w:b/>
          <w:bCs/>
          <w:i/>
          <w:iCs/>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165"/>
        <w:gridCol w:w="1165"/>
      </w:tblGrid>
      <w:tr w:rsidR="007625E7" w14:paraId="024D5B5D" w14:textId="77777777" w:rsidTr="00787802">
        <w:tc>
          <w:tcPr>
            <w:tcW w:w="7290" w:type="dxa"/>
            <w:tcBorders>
              <w:bottom w:val="single" w:sz="4" w:space="0" w:color="auto"/>
              <w:right w:val="single" w:sz="4" w:space="0" w:color="auto"/>
            </w:tcBorders>
          </w:tcPr>
          <w:p w14:paraId="45EF8A9A" w14:textId="77777777" w:rsidR="007625E7" w:rsidRPr="00EE5168" w:rsidRDefault="007625E7" w:rsidP="007625E7">
            <w:pPr>
              <w:spacing w:before="60" w:after="60"/>
              <w:jc w:val="center"/>
              <w:rPr>
                <w:rFonts w:ascii="Myriad Pro" w:hAnsi="Myriad Pro"/>
                <w:iCs/>
                <w:color w:val="000000"/>
                <w:sz w:val="21"/>
                <w:szCs w:val="21"/>
              </w:rPr>
            </w:pPr>
            <w:r w:rsidRPr="00EE5168">
              <w:rPr>
                <w:rFonts w:ascii="Myriad Pro" w:hAnsi="Myriad Pro"/>
                <w:iCs/>
                <w:color w:val="000000"/>
                <w:sz w:val="21"/>
                <w:szCs w:val="21"/>
              </w:rPr>
              <w:t>Required qualification</w:t>
            </w:r>
          </w:p>
        </w:tc>
        <w:tc>
          <w:tcPr>
            <w:tcW w:w="1165" w:type="dxa"/>
            <w:tcBorders>
              <w:left w:val="single" w:sz="4" w:space="0" w:color="auto"/>
              <w:bottom w:val="single" w:sz="4" w:space="0" w:color="auto"/>
              <w:right w:val="single" w:sz="4" w:space="0" w:color="auto"/>
            </w:tcBorders>
          </w:tcPr>
          <w:p w14:paraId="17A80027" w14:textId="7C2B70E5" w:rsidR="007625E7" w:rsidRPr="00EE5168" w:rsidRDefault="007625E7" w:rsidP="007625E7">
            <w:pPr>
              <w:spacing w:before="60" w:after="60"/>
              <w:jc w:val="center"/>
              <w:rPr>
                <w:rFonts w:ascii="Myriad Pro" w:hAnsi="Myriad Pro"/>
                <w:iCs/>
                <w:color w:val="000000"/>
                <w:sz w:val="21"/>
                <w:szCs w:val="21"/>
              </w:rPr>
            </w:pPr>
            <w:r w:rsidRPr="00EE5168">
              <w:rPr>
                <w:rFonts w:ascii="Myriad Pro" w:hAnsi="Myriad Pro"/>
                <w:iCs/>
                <w:color w:val="000000"/>
                <w:sz w:val="21"/>
                <w:szCs w:val="21"/>
              </w:rPr>
              <w:t>Rating points</w:t>
            </w:r>
          </w:p>
        </w:tc>
        <w:tc>
          <w:tcPr>
            <w:tcW w:w="1165" w:type="dxa"/>
            <w:tcBorders>
              <w:left w:val="single" w:sz="4" w:space="0" w:color="auto"/>
              <w:bottom w:val="single" w:sz="4" w:space="0" w:color="auto"/>
              <w:right w:val="single" w:sz="4" w:space="0" w:color="auto"/>
            </w:tcBorders>
          </w:tcPr>
          <w:p w14:paraId="11A50213" w14:textId="6BA35CF1" w:rsidR="007625E7" w:rsidRPr="00EE5168" w:rsidRDefault="007625E7" w:rsidP="007625E7">
            <w:pPr>
              <w:spacing w:before="60" w:after="60"/>
              <w:jc w:val="center"/>
              <w:rPr>
                <w:rFonts w:ascii="Myriad Pro" w:hAnsi="Myriad Pro"/>
                <w:iCs/>
                <w:color w:val="000000"/>
                <w:sz w:val="21"/>
                <w:szCs w:val="21"/>
              </w:rPr>
            </w:pPr>
            <w:proofErr w:type="gramStart"/>
            <w:r>
              <w:rPr>
                <w:rFonts w:ascii="Myriad Pro" w:hAnsi="Myriad Pro"/>
                <w:iCs/>
                <w:color w:val="000000"/>
                <w:sz w:val="21"/>
                <w:szCs w:val="21"/>
              </w:rPr>
              <w:t xml:space="preserve">Weight </w:t>
            </w:r>
            <w:r w:rsidR="00787802">
              <w:rPr>
                <w:rFonts w:ascii="Myriad Pro" w:hAnsi="Myriad Pro"/>
                <w:iCs/>
                <w:color w:val="000000"/>
                <w:sz w:val="21"/>
                <w:szCs w:val="21"/>
              </w:rPr>
              <w:t>,</w:t>
            </w:r>
            <w:proofErr w:type="gramEnd"/>
            <w:r w:rsidR="00787802">
              <w:rPr>
                <w:rFonts w:ascii="Myriad Pro" w:hAnsi="Myriad Pro"/>
                <w:iCs/>
                <w:color w:val="000000"/>
                <w:sz w:val="21"/>
                <w:szCs w:val="21"/>
              </w:rPr>
              <w:t xml:space="preserve"> %</w:t>
            </w:r>
          </w:p>
        </w:tc>
      </w:tr>
      <w:tr w:rsidR="008D1418" w14:paraId="6A163345" w14:textId="77777777" w:rsidTr="005E46D3">
        <w:tc>
          <w:tcPr>
            <w:tcW w:w="7290" w:type="dxa"/>
            <w:tcBorders>
              <w:top w:val="single" w:sz="4" w:space="0" w:color="auto"/>
              <w:right w:val="single" w:sz="4" w:space="0" w:color="auto"/>
            </w:tcBorders>
          </w:tcPr>
          <w:p w14:paraId="6CB6A4B2" w14:textId="77777777" w:rsidR="008D1418" w:rsidRPr="00EE5168" w:rsidRDefault="008D1418" w:rsidP="007625E7">
            <w:pPr>
              <w:spacing w:before="60" w:after="60"/>
              <w:rPr>
                <w:rFonts w:ascii="Myriad Pro" w:hAnsi="Myriad Pro"/>
                <w:iCs/>
                <w:color w:val="000000"/>
                <w:sz w:val="21"/>
                <w:szCs w:val="21"/>
              </w:rPr>
            </w:pPr>
            <w:r w:rsidRPr="00047EDE">
              <w:rPr>
                <w:rFonts w:ascii="Myriad Pro" w:hAnsi="Myriad Pro"/>
                <w:iCs/>
                <w:color w:val="000000"/>
                <w:sz w:val="21"/>
                <w:szCs w:val="21"/>
                <w:u w:val="single"/>
              </w:rPr>
              <w:t>Education</w:t>
            </w:r>
          </w:p>
        </w:tc>
        <w:tc>
          <w:tcPr>
            <w:tcW w:w="1165" w:type="dxa"/>
            <w:vMerge w:val="restart"/>
            <w:tcBorders>
              <w:top w:val="single" w:sz="4" w:space="0" w:color="auto"/>
              <w:left w:val="single" w:sz="4" w:space="0" w:color="auto"/>
              <w:right w:val="single" w:sz="4" w:space="0" w:color="auto"/>
            </w:tcBorders>
            <w:vAlign w:val="center"/>
          </w:tcPr>
          <w:p w14:paraId="4DE1B9CD" w14:textId="2DAE78D3" w:rsidR="008D1418" w:rsidRPr="00EE5168" w:rsidRDefault="008D1418" w:rsidP="00613B1E">
            <w:pPr>
              <w:spacing w:before="60" w:after="60"/>
              <w:jc w:val="center"/>
              <w:rPr>
                <w:rFonts w:ascii="Myriad Pro" w:hAnsi="Myriad Pro"/>
                <w:iCs/>
                <w:color w:val="000000"/>
                <w:sz w:val="21"/>
                <w:szCs w:val="21"/>
              </w:rPr>
            </w:pPr>
            <w:r>
              <w:rPr>
                <w:rFonts w:ascii="Myriad Pro" w:hAnsi="Myriad Pro"/>
                <w:color w:val="000000"/>
                <w:sz w:val="21"/>
                <w:szCs w:val="21"/>
              </w:rPr>
              <w:t>10</w:t>
            </w:r>
          </w:p>
        </w:tc>
        <w:tc>
          <w:tcPr>
            <w:tcW w:w="1165" w:type="dxa"/>
            <w:vMerge w:val="restart"/>
            <w:tcBorders>
              <w:top w:val="single" w:sz="4" w:space="0" w:color="auto"/>
              <w:left w:val="single" w:sz="4" w:space="0" w:color="auto"/>
              <w:right w:val="single" w:sz="4" w:space="0" w:color="auto"/>
            </w:tcBorders>
            <w:vAlign w:val="center"/>
          </w:tcPr>
          <w:p w14:paraId="35D93D6C" w14:textId="33A829A6" w:rsidR="008D1418" w:rsidRPr="00EE5168" w:rsidRDefault="008D1418" w:rsidP="005E46D3">
            <w:pPr>
              <w:spacing w:before="60" w:after="60"/>
              <w:jc w:val="center"/>
              <w:rPr>
                <w:rFonts w:ascii="Myriad Pro" w:hAnsi="Myriad Pro"/>
                <w:iCs/>
                <w:color w:val="000000"/>
                <w:sz w:val="21"/>
                <w:szCs w:val="21"/>
              </w:rPr>
            </w:pPr>
            <w:r>
              <w:rPr>
                <w:rFonts w:ascii="Myriad Pro" w:hAnsi="Myriad Pro"/>
                <w:color w:val="000000"/>
                <w:sz w:val="21"/>
                <w:szCs w:val="21"/>
              </w:rPr>
              <w:t>10%</w:t>
            </w:r>
          </w:p>
        </w:tc>
      </w:tr>
      <w:tr w:rsidR="008D1418" w14:paraId="1E29114B" w14:textId="77777777" w:rsidTr="00613B1E">
        <w:tc>
          <w:tcPr>
            <w:tcW w:w="7290" w:type="dxa"/>
            <w:tcBorders>
              <w:bottom w:val="single" w:sz="4" w:space="0" w:color="auto"/>
              <w:right w:val="single" w:sz="4" w:space="0" w:color="auto"/>
            </w:tcBorders>
            <w:shd w:val="clear" w:color="auto" w:fill="FFFFFF" w:themeFill="background1"/>
          </w:tcPr>
          <w:p w14:paraId="70B9D281" w14:textId="09ACA496" w:rsidR="008D1418" w:rsidRPr="00A777EB" w:rsidRDefault="008D1418"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t>Master’s degree in natural</w:t>
            </w:r>
            <w:r>
              <w:rPr>
                <w:rFonts w:ascii="Myriad Pro" w:hAnsi="Myriad Pro"/>
                <w:color w:val="000000"/>
                <w:sz w:val="21"/>
                <w:szCs w:val="21"/>
              </w:rPr>
              <w:t xml:space="preserve">, </w:t>
            </w:r>
            <w:r w:rsidRPr="00A777EB">
              <w:rPr>
                <w:rFonts w:ascii="Myriad Pro" w:hAnsi="Myriad Pro"/>
                <w:color w:val="000000"/>
                <w:sz w:val="21"/>
                <w:szCs w:val="21"/>
              </w:rPr>
              <w:t>chemical</w:t>
            </w:r>
            <w:r>
              <w:rPr>
                <w:rFonts w:ascii="Myriad Pro" w:hAnsi="Myriad Pro"/>
                <w:color w:val="000000"/>
                <w:sz w:val="21"/>
                <w:szCs w:val="21"/>
              </w:rPr>
              <w:t>,</w:t>
            </w:r>
            <w:r w:rsidRPr="00A777EB">
              <w:rPr>
                <w:rFonts w:ascii="Myriad Pro" w:hAnsi="Myriad Pro"/>
                <w:color w:val="000000"/>
                <w:sz w:val="21"/>
                <w:szCs w:val="21"/>
              </w:rPr>
              <w:t xml:space="preserve"> </w:t>
            </w:r>
            <w:r>
              <w:rPr>
                <w:rFonts w:ascii="Myriad Pro" w:hAnsi="Myriad Pro"/>
                <w:color w:val="000000"/>
                <w:sz w:val="21"/>
                <w:szCs w:val="21"/>
              </w:rPr>
              <w:t xml:space="preserve">social </w:t>
            </w:r>
            <w:r w:rsidRPr="00A777EB">
              <w:rPr>
                <w:rFonts w:ascii="Myriad Pro" w:hAnsi="Myriad Pro"/>
                <w:color w:val="000000"/>
                <w:sz w:val="21"/>
                <w:szCs w:val="21"/>
              </w:rPr>
              <w:t>sciences, engineering</w:t>
            </w:r>
            <w:r>
              <w:rPr>
                <w:rFonts w:ascii="Myriad Pro" w:hAnsi="Myriad Pro"/>
                <w:color w:val="000000"/>
                <w:sz w:val="21"/>
                <w:szCs w:val="21"/>
              </w:rPr>
              <w:t>, economics,</w:t>
            </w:r>
            <w:r w:rsidRPr="00A777EB">
              <w:rPr>
                <w:rFonts w:ascii="Myriad Pro" w:hAnsi="Myriad Pro"/>
                <w:color w:val="000000"/>
                <w:sz w:val="21"/>
                <w:szCs w:val="21"/>
              </w:rPr>
              <w:t xml:space="preserve"> or other closely related field</w:t>
            </w:r>
            <w:r>
              <w:rPr>
                <w:rFonts w:ascii="Myriad Pro" w:hAnsi="Myriad Pro"/>
                <w:color w:val="000000"/>
                <w:sz w:val="21"/>
                <w:szCs w:val="21"/>
              </w:rPr>
              <w:t>. Advanced education is considered an asset</w:t>
            </w:r>
          </w:p>
        </w:tc>
        <w:tc>
          <w:tcPr>
            <w:tcW w:w="1165" w:type="dxa"/>
            <w:vMerge/>
            <w:tcBorders>
              <w:left w:val="single" w:sz="4" w:space="0" w:color="auto"/>
              <w:bottom w:val="single" w:sz="4" w:space="0" w:color="auto"/>
              <w:right w:val="single" w:sz="4" w:space="0" w:color="auto"/>
            </w:tcBorders>
            <w:vAlign w:val="center"/>
          </w:tcPr>
          <w:p w14:paraId="448A982F" w14:textId="43BD1742" w:rsidR="008D1418" w:rsidRDefault="008D1418" w:rsidP="00613B1E">
            <w:pPr>
              <w:spacing w:before="60" w:after="60"/>
              <w:jc w:val="center"/>
              <w:rPr>
                <w:rFonts w:ascii="Myriad Pro" w:hAnsi="Myriad Pro"/>
                <w:color w:val="000000"/>
                <w:sz w:val="21"/>
                <w:szCs w:val="21"/>
              </w:rPr>
            </w:pPr>
          </w:p>
        </w:tc>
        <w:tc>
          <w:tcPr>
            <w:tcW w:w="1165" w:type="dxa"/>
            <w:vMerge/>
            <w:tcBorders>
              <w:left w:val="single" w:sz="4" w:space="0" w:color="auto"/>
              <w:bottom w:val="single" w:sz="4" w:space="0" w:color="auto"/>
              <w:right w:val="single" w:sz="4" w:space="0" w:color="auto"/>
            </w:tcBorders>
            <w:vAlign w:val="center"/>
          </w:tcPr>
          <w:p w14:paraId="23CD830B" w14:textId="15ED2D6B" w:rsidR="008D1418" w:rsidRDefault="008D1418" w:rsidP="00613B1E">
            <w:pPr>
              <w:spacing w:before="60" w:after="60"/>
              <w:jc w:val="center"/>
              <w:rPr>
                <w:rFonts w:ascii="Myriad Pro" w:hAnsi="Myriad Pro"/>
                <w:color w:val="000000"/>
                <w:sz w:val="21"/>
                <w:szCs w:val="21"/>
              </w:rPr>
            </w:pPr>
          </w:p>
        </w:tc>
      </w:tr>
      <w:tr w:rsidR="007625E7" w14:paraId="3351CC1B" w14:textId="77777777" w:rsidTr="00C72750">
        <w:trPr>
          <w:trHeight w:val="472"/>
        </w:trPr>
        <w:tc>
          <w:tcPr>
            <w:tcW w:w="7290" w:type="dxa"/>
            <w:tcBorders>
              <w:top w:val="single" w:sz="4" w:space="0" w:color="auto"/>
              <w:right w:val="single" w:sz="4" w:space="0" w:color="auto"/>
            </w:tcBorders>
            <w:shd w:val="clear" w:color="auto" w:fill="FFFFFF" w:themeFill="background1"/>
          </w:tcPr>
          <w:p w14:paraId="28892AFC" w14:textId="77777777" w:rsidR="007625E7" w:rsidRDefault="007625E7" w:rsidP="007625E7">
            <w:pPr>
              <w:spacing w:before="60" w:after="60"/>
              <w:rPr>
                <w:rFonts w:ascii="Myriad Pro" w:hAnsi="Myriad Pro"/>
                <w:iCs/>
                <w:color w:val="000000"/>
                <w:sz w:val="21"/>
                <w:szCs w:val="21"/>
                <w:u w:val="single"/>
              </w:rPr>
            </w:pPr>
          </w:p>
          <w:p w14:paraId="3142DCFD" w14:textId="77777777" w:rsidR="007625E7" w:rsidRPr="00A777EB" w:rsidRDefault="007625E7" w:rsidP="007625E7">
            <w:pPr>
              <w:spacing w:before="60" w:after="60"/>
              <w:rPr>
                <w:rFonts w:ascii="Myriad Pro" w:hAnsi="Myriad Pro"/>
                <w:color w:val="000000"/>
                <w:sz w:val="21"/>
                <w:szCs w:val="21"/>
              </w:rPr>
            </w:pPr>
            <w:r w:rsidRPr="00A777EB">
              <w:rPr>
                <w:rFonts w:ascii="Myriad Pro" w:hAnsi="Myriad Pro"/>
                <w:iCs/>
                <w:color w:val="000000"/>
                <w:sz w:val="21"/>
                <w:szCs w:val="21"/>
                <w:u w:val="single"/>
              </w:rPr>
              <w:t>Experience</w:t>
            </w:r>
          </w:p>
        </w:tc>
        <w:tc>
          <w:tcPr>
            <w:tcW w:w="1165" w:type="dxa"/>
            <w:tcBorders>
              <w:top w:val="single" w:sz="4" w:space="0" w:color="auto"/>
              <w:left w:val="single" w:sz="4" w:space="0" w:color="auto"/>
              <w:right w:val="single" w:sz="4" w:space="0" w:color="auto"/>
            </w:tcBorders>
          </w:tcPr>
          <w:p w14:paraId="6E906298" w14:textId="77777777" w:rsidR="007625E7" w:rsidRDefault="007625E7" w:rsidP="007625E7">
            <w:pPr>
              <w:spacing w:before="60" w:after="60"/>
              <w:jc w:val="center"/>
              <w:rPr>
                <w:rFonts w:ascii="Myriad Pro" w:hAnsi="Myriad Pro"/>
                <w:color w:val="000000"/>
                <w:sz w:val="21"/>
                <w:szCs w:val="21"/>
              </w:rPr>
            </w:pPr>
          </w:p>
        </w:tc>
        <w:tc>
          <w:tcPr>
            <w:tcW w:w="1165" w:type="dxa"/>
            <w:tcBorders>
              <w:top w:val="single" w:sz="4" w:space="0" w:color="auto"/>
              <w:left w:val="single" w:sz="4" w:space="0" w:color="auto"/>
              <w:right w:val="single" w:sz="4" w:space="0" w:color="auto"/>
            </w:tcBorders>
            <w:vAlign w:val="bottom"/>
          </w:tcPr>
          <w:p w14:paraId="6D24AEC6" w14:textId="7D1A914F" w:rsidR="007625E7" w:rsidRDefault="00C72750" w:rsidP="00C72750">
            <w:pPr>
              <w:spacing w:before="60" w:after="60"/>
              <w:jc w:val="center"/>
              <w:rPr>
                <w:rFonts w:ascii="Myriad Pro" w:hAnsi="Myriad Pro"/>
                <w:color w:val="000000"/>
                <w:sz w:val="21"/>
                <w:szCs w:val="21"/>
              </w:rPr>
            </w:pPr>
            <w:r>
              <w:rPr>
                <w:rFonts w:ascii="Myriad Pro" w:hAnsi="Myriad Pro"/>
                <w:color w:val="000000"/>
                <w:sz w:val="21"/>
                <w:szCs w:val="21"/>
              </w:rPr>
              <w:t>50%</w:t>
            </w:r>
          </w:p>
        </w:tc>
      </w:tr>
      <w:tr w:rsidR="00787802" w14:paraId="6E19848A" w14:textId="77777777" w:rsidTr="00C72750">
        <w:tc>
          <w:tcPr>
            <w:tcW w:w="7290" w:type="dxa"/>
            <w:tcBorders>
              <w:right w:val="single" w:sz="4" w:space="0" w:color="auto"/>
            </w:tcBorders>
            <w:shd w:val="clear" w:color="auto" w:fill="FFFFFF" w:themeFill="background1"/>
          </w:tcPr>
          <w:p w14:paraId="640FEA1E" w14:textId="77777777"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Pr>
                <w:rFonts w:ascii="Myriad Pro" w:hAnsi="Myriad Pro"/>
                <w:color w:val="000000"/>
                <w:sz w:val="21"/>
                <w:szCs w:val="21"/>
              </w:rPr>
              <w:t>Minimum</w:t>
            </w:r>
            <w:r w:rsidRPr="00A777EB">
              <w:rPr>
                <w:rFonts w:ascii="Myriad Pro" w:hAnsi="Myriad Pro"/>
                <w:color w:val="000000"/>
                <w:sz w:val="21"/>
                <w:szCs w:val="21"/>
              </w:rPr>
              <w:t xml:space="preserve"> </w:t>
            </w:r>
            <w:r>
              <w:rPr>
                <w:rFonts w:ascii="Myriad Pro" w:hAnsi="Myriad Pro"/>
                <w:color w:val="000000"/>
                <w:sz w:val="21"/>
                <w:szCs w:val="21"/>
              </w:rPr>
              <w:t>7</w:t>
            </w:r>
            <w:r w:rsidRPr="00A777EB">
              <w:rPr>
                <w:rFonts w:ascii="Myriad Pro" w:hAnsi="Myriad Pro"/>
                <w:color w:val="000000"/>
                <w:sz w:val="21"/>
                <w:szCs w:val="21"/>
              </w:rPr>
              <w:t xml:space="preserve"> years </w:t>
            </w:r>
            <w:r>
              <w:rPr>
                <w:rFonts w:ascii="Myriad Pro" w:hAnsi="Myriad Pro"/>
                <w:color w:val="000000"/>
                <w:sz w:val="21"/>
                <w:szCs w:val="21"/>
              </w:rPr>
              <w:t>of r</w:t>
            </w:r>
            <w:r w:rsidRPr="00A777EB">
              <w:rPr>
                <w:rFonts w:ascii="Myriad Pro" w:hAnsi="Myriad Pro"/>
                <w:color w:val="000000"/>
                <w:sz w:val="21"/>
                <w:szCs w:val="21"/>
              </w:rPr>
              <w:t>elevant experience with results-based management evaluation methodologies</w:t>
            </w:r>
          </w:p>
        </w:tc>
        <w:tc>
          <w:tcPr>
            <w:tcW w:w="1165" w:type="dxa"/>
            <w:tcBorders>
              <w:left w:val="single" w:sz="4" w:space="0" w:color="auto"/>
              <w:right w:val="single" w:sz="4" w:space="0" w:color="auto"/>
            </w:tcBorders>
          </w:tcPr>
          <w:p w14:paraId="49AB5D05" w14:textId="6BC0645D" w:rsidR="00787802"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10</w:t>
            </w:r>
          </w:p>
        </w:tc>
        <w:tc>
          <w:tcPr>
            <w:tcW w:w="1165" w:type="dxa"/>
            <w:vMerge w:val="restart"/>
            <w:tcBorders>
              <w:left w:val="single" w:sz="4" w:space="0" w:color="auto"/>
              <w:right w:val="single" w:sz="4" w:space="0" w:color="auto"/>
            </w:tcBorders>
            <w:vAlign w:val="bottom"/>
          </w:tcPr>
          <w:p w14:paraId="51957796" w14:textId="1B67EDCD" w:rsidR="00787802" w:rsidRPr="0045185A" w:rsidRDefault="00787802" w:rsidP="00C72750">
            <w:pPr>
              <w:spacing w:before="60" w:after="60"/>
              <w:jc w:val="center"/>
              <w:rPr>
                <w:rFonts w:ascii="Myriad Pro" w:hAnsi="Myriad Pro"/>
                <w:color w:val="000000"/>
                <w:sz w:val="21"/>
                <w:szCs w:val="21"/>
              </w:rPr>
            </w:pPr>
          </w:p>
        </w:tc>
      </w:tr>
      <w:tr w:rsidR="00787802" w14:paraId="38CF12CE" w14:textId="77777777" w:rsidTr="000D2B06">
        <w:tc>
          <w:tcPr>
            <w:tcW w:w="7290" w:type="dxa"/>
            <w:tcBorders>
              <w:right w:val="single" w:sz="4" w:space="0" w:color="auto"/>
            </w:tcBorders>
            <w:shd w:val="clear" w:color="auto" w:fill="FFFFFF" w:themeFill="background1"/>
          </w:tcPr>
          <w:p w14:paraId="63FE942C" w14:textId="77777777"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lastRenderedPageBreak/>
              <w:t>Experience applying SMART indicators and reconstructing or validating baseline scenarios</w:t>
            </w:r>
          </w:p>
        </w:tc>
        <w:tc>
          <w:tcPr>
            <w:tcW w:w="1165" w:type="dxa"/>
            <w:tcBorders>
              <w:left w:val="single" w:sz="4" w:space="0" w:color="auto"/>
              <w:right w:val="single" w:sz="4" w:space="0" w:color="auto"/>
            </w:tcBorders>
          </w:tcPr>
          <w:p w14:paraId="31B9BBF0" w14:textId="10266A3A" w:rsidR="00787802" w:rsidRPr="0045185A" w:rsidRDefault="009E23ED" w:rsidP="007625E7">
            <w:pPr>
              <w:spacing w:before="60" w:after="60"/>
              <w:jc w:val="center"/>
              <w:rPr>
                <w:rFonts w:ascii="Myriad Pro" w:hAnsi="Myriad Pro"/>
                <w:color w:val="000000"/>
                <w:sz w:val="21"/>
                <w:szCs w:val="21"/>
              </w:rPr>
            </w:pPr>
            <w:r>
              <w:rPr>
                <w:rFonts w:ascii="Myriad Pro" w:hAnsi="Myriad Pro"/>
                <w:color w:val="000000"/>
                <w:sz w:val="21"/>
                <w:szCs w:val="21"/>
              </w:rPr>
              <w:t>5</w:t>
            </w:r>
          </w:p>
        </w:tc>
        <w:tc>
          <w:tcPr>
            <w:tcW w:w="1165" w:type="dxa"/>
            <w:vMerge/>
            <w:tcBorders>
              <w:left w:val="single" w:sz="4" w:space="0" w:color="auto"/>
              <w:right w:val="single" w:sz="4" w:space="0" w:color="auto"/>
            </w:tcBorders>
          </w:tcPr>
          <w:p w14:paraId="38874782" w14:textId="5AF22D7B" w:rsidR="00787802" w:rsidRDefault="00787802" w:rsidP="007625E7">
            <w:pPr>
              <w:spacing w:before="60" w:after="60"/>
              <w:jc w:val="center"/>
              <w:rPr>
                <w:rFonts w:ascii="Myriad Pro" w:hAnsi="Myriad Pro"/>
                <w:color w:val="000000"/>
                <w:sz w:val="21"/>
                <w:szCs w:val="21"/>
              </w:rPr>
            </w:pPr>
          </w:p>
        </w:tc>
      </w:tr>
      <w:tr w:rsidR="00787802" w14:paraId="3585B00B" w14:textId="77777777" w:rsidTr="000D2B06">
        <w:tc>
          <w:tcPr>
            <w:tcW w:w="7290" w:type="dxa"/>
            <w:tcBorders>
              <w:right w:val="single" w:sz="4" w:space="0" w:color="auto"/>
            </w:tcBorders>
            <w:shd w:val="clear" w:color="auto" w:fill="FFFFFF" w:themeFill="background1"/>
          </w:tcPr>
          <w:p w14:paraId="7B1134BC" w14:textId="0D205046"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t>Competence in adaptive management, as applied to Chemicals and Waste</w:t>
            </w:r>
            <w:r w:rsidR="0054378E">
              <w:rPr>
                <w:rFonts w:ascii="Myriad Pro" w:hAnsi="Myriad Pro"/>
                <w:color w:val="000000"/>
                <w:sz w:val="21"/>
                <w:szCs w:val="21"/>
              </w:rPr>
              <w:t xml:space="preserve"> f</w:t>
            </w:r>
            <w:r w:rsidRPr="00A777EB">
              <w:rPr>
                <w:rFonts w:ascii="Myriad Pro" w:hAnsi="Myriad Pro"/>
                <w:color w:val="000000"/>
                <w:sz w:val="21"/>
                <w:szCs w:val="21"/>
              </w:rPr>
              <w:t xml:space="preserve">ocal </w:t>
            </w:r>
            <w:r w:rsidR="0054378E">
              <w:rPr>
                <w:rFonts w:ascii="Myriad Pro" w:hAnsi="Myriad Pro"/>
                <w:color w:val="000000"/>
                <w:sz w:val="21"/>
                <w:szCs w:val="21"/>
              </w:rPr>
              <w:t>a</w:t>
            </w:r>
            <w:r w:rsidRPr="00A777EB">
              <w:rPr>
                <w:rFonts w:ascii="Myriad Pro" w:hAnsi="Myriad Pro"/>
                <w:color w:val="000000"/>
                <w:sz w:val="21"/>
                <w:szCs w:val="21"/>
              </w:rPr>
              <w:t>rea</w:t>
            </w:r>
          </w:p>
        </w:tc>
        <w:tc>
          <w:tcPr>
            <w:tcW w:w="1165" w:type="dxa"/>
            <w:tcBorders>
              <w:left w:val="single" w:sz="4" w:space="0" w:color="auto"/>
              <w:right w:val="single" w:sz="4" w:space="0" w:color="auto"/>
            </w:tcBorders>
          </w:tcPr>
          <w:p w14:paraId="67D293CF" w14:textId="4C4C30C1" w:rsidR="00787802" w:rsidRDefault="008B7D9A" w:rsidP="007625E7">
            <w:pPr>
              <w:spacing w:before="60" w:after="60"/>
              <w:jc w:val="center"/>
              <w:rPr>
                <w:rFonts w:ascii="Myriad Pro" w:hAnsi="Myriad Pro"/>
                <w:color w:val="000000"/>
                <w:sz w:val="21"/>
                <w:szCs w:val="21"/>
              </w:rPr>
            </w:pPr>
            <w:r>
              <w:rPr>
                <w:rFonts w:ascii="Myriad Pro" w:hAnsi="Myriad Pro"/>
                <w:color w:val="000000"/>
                <w:sz w:val="21"/>
                <w:szCs w:val="21"/>
              </w:rPr>
              <w:t>5</w:t>
            </w:r>
          </w:p>
        </w:tc>
        <w:tc>
          <w:tcPr>
            <w:tcW w:w="1165" w:type="dxa"/>
            <w:vMerge/>
            <w:tcBorders>
              <w:left w:val="single" w:sz="4" w:space="0" w:color="auto"/>
              <w:right w:val="single" w:sz="4" w:space="0" w:color="auto"/>
            </w:tcBorders>
          </w:tcPr>
          <w:p w14:paraId="5E211093" w14:textId="3DC2862B" w:rsidR="00787802" w:rsidRDefault="00787802" w:rsidP="007625E7">
            <w:pPr>
              <w:spacing w:before="60" w:after="60"/>
              <w:jc w:val="center"/>
              <w:rPr>
                <w:rFonts w:ascii="Myriad Pro" w:hAnsi="Myriad Pro"/>
                <w:color w:val="000000"/>
                <w:sz w:val="21"/>
                <w:szCs w:val="21"/>
              </w:rPr>
            </w:pPr>
          </w:p>
        </w:tc>
      </w:tr>
      <w:tr w:rsidR="00787802" w14:paraId="1D971E92" w14:textId="77777777" w:rsidTr="000D2B06">
        <w:tc>
          <w:tcPr>
            <w:tcW w:w="7290" w:type="dxa"/>
            <w:tcBorders>
              <w:right w:val="single" w:sz="4" w:space="0" w:color="auto"/>
            </w:tcBorders>
            <w:shd w:val="clear" w:color="auto" w:fill="FFFFFF" w:themeFill="background1"/>
          </w:tcPr>
          <w:p w14:paraId="64BF6B43" w14:textId="5B03E90A"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t>Experience in evaluating projects</w:t>
            </w:r>
            <w:r w:rsidRPr="00A777EB">
              <w:rPr>
                <w:rFonts w:ascii="Myriad Pro" w:hAnsi="Myriad Pro"/>
                <w:color w:val="000000"/>
                <w:sz w:val="21"/>
                <w:szCs w:val="21"/>
              </w:rPr>
              <w:tab/>
            </w:r>
            <w:r w:rsidRPr="00A777EB">
              <w:rPr>
                <w:rFonts w:ascii="Myriad Pro" w:hAnsi="Myriad Pro"/>
                <w:color w:val="000000"/>
                <w:sz w:val="21"/>
                <w:szCs w:val="21"/>
              </w:rPr>
              <w:tab/>
            </w:r>
            <w:r w:rsidRPr="00A777EB">
              <w:rPr>
                <w:rFonts w:ascii="Myriad Pro" w:hAnsi="Myriad Pro"/>
                <w:color w:val="000000"/>
                <w:sz w:val="21"/>
                <w:szCs w:val="21"/>
              </w:rPr>
              <w:tab/>
            </w:r>
            <w:r w:rsidRPr="00A777EB">
              <w:rPr>
                <w:rFonts w:ascii="Myriad Pro" w:hAnsi="Myriad Pro"/>
                <w:color w:val="000000"/>
                <w:sz w:val="21"/>
                <w:szCs w:val="21"/>
              </w:rPr>
              <w:tab/>
            </w:r>
          </w:p>
        </w:tc>
        <w:tc>
          <w:tcPr>
            <w:tcW w:w="1165" w:type="dxa"/>
            <w:tcBorders>
              <w:left w:val="single" w:sz="4" w:space="0" w:color="auto"/>
              <w:right w:val="single" w:sz="4" w:space="0" w:color="auto"/>
            </w:tcBorders>
          </w:tcPr>
          <w:p w14:paraId="2A4A21E0" w14:textId="03A385F9" w:rsidR="00787802"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15</w:t>
            </w:r>
          </w:p>
        </w:tc>
        <w:tc>
          <w:tcPr>
            <w:tcW w:w="1165" w:type="dxa"/>
            <w:vMerge/>
            <w:tcBorders>
              <w:left w:val="single" w:sz="4" w:space="0" w:color="auto"/>
              <w:right w:val="single" w:sz="4" w:space="0" w:color="auto"/>
            </w:tcBorders>
          </w:tcPr>
          <w:p w14:paraId="1E82DE4E" w14:textId="474C3BBB" w:rsidR="00787802" w:rsidRDefault="00787802" w:rsidP="007625E7">
            <w:pPr>
              <w:spacing w:before="60" w:after="60"/>
              <w:jc w:val="center"/>
              <w:rPr>
                <w:rFonts w:ascii="Myriad Pro" w:hAnsi="Myriad Pro"/>
                <w:color w:val="000000"/>
                <w:sz w:val="21"/>
                <w:szCs w:val="21"/>
              </w:rPr>
            </w:pPr>
          </w:p>
        </w:tc>
      </w:tr>
      <w:tr w:rsidR="00787802" w14:paraId="51CDB4D4" w14:textId="77777777" w:rsidTr="000D2B06">
        <w:tc>
          <w:tcPr>
            <w:tcW w:w="7290" w:type="dxa"/>
            <w:tcBorders>
              <w:right w:val="single" w:sz="4" w:space="0" w:color="auto"/>
            </w:tcBorders>
            <w:shd w:val="clear" w:color="auto" w:fill="FFFFFF" w:themeFill="background1"/>
          </w:tcPr>
          <w:p w14:paraId="497C7E69" w14:textId="77777777"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t>Experience working in CIS countries and in the Caucasus countries</w:t>
            </w:r>
          </w:p>
        </w:tc>
        <w:tc>
          <w:tcPr>
            <w:tcW w:w="1165" w:type="dxa"/>
            <w:tcBorders>
              <w:left w:val="single" w:sz="4" w:space="0" w:color="auto"/>
              <w:right w:val="single" w:sz="4" w:space="0" w:color="auto"/>
            </w:tcBorders>
          </w:tcPr>
          <w:p w14:paraId="6C2E3A1B" w14:textId="2B25D196" w:rsidR="00787802"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1</w:t>
            </w:r>
            <w:r w:rsidR="009C284A">
              <w:rPr>
                <w:rFonts w:ascii="Myriad Pro" w:hAnsi="Myriad Pro"/>
                <w:color w:val="000000"/>
                <w:sz w:val="21"/>
                <w:szCs w:val="21"/>
              </w:rPr>
              <w:t>5</w:t>
            </w:r>
          </w:p>
        </w:tc>
        <w:tc>
          <w:tcPr>
            <w:tcW w:w="1165" w:type="dxa"/>
            <w:vMerge/>
            <w:tcBorders>
              <w:left w:val="single" w:sz="4" w:space="0" w:color="auto"/>
              <w:right w:val="single" w:sz="4" w:space="0" w:color="auto"/>
            </w:tcBorders>
          </w:tcPr>
          <w:p w14:paraId="480A64E6" w14:textId="5A6CEE37" w:rsidR="00787802" w:rsidRDefault="00787802" w:rsidP="007625E7">
            <w:pPr>
              <w:spacing w:before="60" w:after="60"/>
              <w:jc w:val="center"/>
              <w:rPr>
                <w:rFonts w:ascii="Myriad Pro" w:hAnsi="Myriad Pro"/>
                <w:color w:val="000000"/>
                <w:sz w:val="21"/>
                <w:szCs w:val="21"/>
              </w:rPr>
            </w:pPr>
          </w:p>
        </w:tc>
      </w:tr>
      <w:tr w:rsidR="00787802" w14:paraId="4E0FE858" w14:textId="77777777" w:rsidTr="000D2B06">
        <w:tc>
          <w:tcPr>
            <w:tcW w:w="7290" w:type="dxa"/>
            <w:tcBorders>
              <w:right w:val="single" w:sz="4" w:space="0" w:color="auto"/>
            </w:tcBorders>
            <w:shd w:val="clear" w:color="auto" w:fill="FFFFFF" w:themeFill="background1"/>
          </w:tcPr>
          <w:p w14:paraId="5B9F0AB9" w14:textId="77777777"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Pr>
                <w:rFonts w:ascii="Myriad Pro" w:hAnsi="Myriad Pro"/>
                <w:color w:val="000000"/>
                <w:sz w:val="21"/>
                <w:szCs w:val="21"/>
              </w:rPr>
              <w:t>Minimum 10 years of e</w:t>
            </w:r>
            <w:r w:rsidRPr="00A777EB">
              <w:rPr>
                <w:rFonts w:ascii="Myriad Pro" w:hAnsi="Myriad Pro"/>
                <w:color w:val="000000"/>
                <w:sz w:val="21"/>
                <w:szCs w:val="21"/>
              </w:rPr>
              <w:t xml:space="preserve">xperience in relevant technical areas </w:t>
            </w:r>
          </w:p>
        </w:tc>
        <w:tc>
          <w:tcPr>
            <w:tcW w:w="1165" w:type="dxa"/>
            <w:tcBorders>
              <w:left w:val="single" w:sz="4" w:space="0" w:color="auto"/>
              <w:right w:val="single" w:sz="4" w:space="0" w:color="auto"/>
            </w:tcBorders>
          </w:tcPr>
          <w:p w14:paraId="4F5228C4" w14:textId="41F9B7D4" w:rsidR="00787802"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1</w:t>
            </w:r>
            <w:r w:rsidR="006C07B9">
              <w:rPr>
                <w:rFonts w:ascii="Myriad Pro" w:hAnsi="Myriad Pro"/>
                <w:color w:val="000000"/>
                <w:sz w:val="21"/>
                <w:szCs w:val="21"/>
              </w:rPr>
              <w:t>0</w:t>
            </w:r>
          </w:p>
        </w:tc>
        <w:tc>
          <w:tcPr>
            <w:tcW w:w="1165" w:type="dxa"/>
            <w:vMerge/>
            <w:tcBorders>
              <w:left w:val="single" w:sz="4" w:space="0" w:color="auto"/>
              <w:right w:val="single" w:sz="4" w:space="0" w:color="auto"/>
            </w:tcBorders>
          </w:tcPr>
          <w:p w14:paraId="7F6B2FA6" w14:textId="1DB9BE1A" w:rsidR="00787802" w:rsidRDefault="00787802" w:rsidP="007625E7">
            <w:pPr>
              <w:spacing w:before="60" w:after="60"/>
              <w:jc w:val="center"/>
              <w:rPr>
                <w:rFonts w:ascii="Myriad Pro" w:hAnsi="Myriad Pro"/>
                <w:color w:val="000000"/>
                <w:sz w:val="21"/>
                <w:szCs w:val="21"/>
              </w:rPr>
            </w:pPr>
          </w:p>
        </w:tc>
      </w:tr>
      <w:tr w:rsidR="00787802" w14:paraId="1002B2B6" w14:textId="77777777" w:rsidTr="000D2B06">
        <w:tc>
          <w:tcPr>
            <w:tcW w:w="7290" w:type="dxa"/>
            <w:tcBorders>
              <w:right w:val="single" w:sz="4" w:space="0" w:color="auto"/>
            </w:tcBorders>
            <w:shd w:val="clear" w:color="auto" w:fill="FFFFFF" w:themeFill="background1"/>
          </w:tcPr>
          <w:p w14:paraId="53514751" w14:textId="7B5806D6"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t>Demonstrated understanding of issues related to gender and the Chemicals a</w:t>
            </w:r>
            <w:r w:rsidR="006E43F1">
              <w:rPr>
                <w:rFonts w:ascii="Myriad Pro" w:hAnsi="Myriad Pro"/>
                <w:color w:val="000000"/>
                <w:sz w:val="21"/>
                <w:szCs w:val="21"/>
              </w:rPr>
              <w:t>n</w:t>
            </w:r>
            <w:r w:rsidRPr="00A777EB">
              <w:rPr>
                <w:rFonts w:ascii="Myriad Pro" w:hAnsi="Myriad Pro"/>
                <w:color w:val="000000"/>
                <w:sz w:val="21"/>
                <w:szCs w:val="21"/>
              </w:rPr>
              <w:t xml:space="preserve">d Waste </w:t>
            </w:r>
            <w:r w:rsidR="002703B4">
              <w:rPr>
                <w:rFonts w:ascii="Myriad Pro" w:hAnsi="Myriad Pro"/>
                <w:color w:val="000000"/>
                <w:sz w:val="21"/>
                <w:szCs w:val="21"/>
              </w:rPr>
              <w:t>F</w:t>
            </w:r>
            <w:r w:rsidRPr="00A777EB">
              <w:rPr>
                <w:rFonts w:ascii="Myriad Pro" w:hAnsi="Myriad Pro"/>
                <w:color w:val="000000"/>
                <w:sz w:val="21"/>
                <w:szCs w:val="21"/>
              </w:rPr>
              <w:t xml:space="preserve">ocal </w:t>
            </w:r>
            <w:r w:rsidR="002703B4">
              <w:rPr>
                <w:rFonts w:ascii="Myriad Pro" w:hAnsi="Myriad Pro"/>
                <w:color w:val="000000"/>
                <w:sz w:val="21"/>
                <w:szCs w:val="21"/>
              </w:rPr>
              <w:t>A</w:t>
            </w:r>
            <w:r w:rsidRPr="00A777EB">
              <w:rPr>
                <w:rFonts w:ascii="Myriad Pro" w:hAnsi="Myriad Pro"/>
                <w:color w:val="000000"/>
                <w:sz w:val="21"/>
                <w:szCs w:val="21"/>
              </w:rPr>
              <w:t>rea; experience in gender responsive evaluation and analysis</w:t>
            </w:r>
          </w:p>
        </w:tc>
        <w:tc>
          <w:tcPr>
            <w:tcW w:w="1165" w:type="dxa"/>
            <w:tcBorders>
              <w:left w:val="single" w:sz="4" w:space="0" w:color="auto"/>
              <w:right w:val="single" w:sz="4" w:space="0" w:color="auto"/>
            </w:tcBorders>
          </w:tcPr>
          <w:p w14:paraId="077C96CC" w14:textId="2FB553D9" w:rsidR="00787802" w:rsidRDefault="00C76C41" w:rsidP="007625E7">
            <w:pPr>
              <w:spacing w:before="60" w:after="60"/>
              <w:jc w:val="center"/>
              <w:rPr>
                <w:rFonts w:ascii="Myriad Pro" w:hAnsi="Myriad Pro"/>
                <w:color w:val="000000"/>
                <w:sz w:val="21"/>
                <w:szCs w:val="21"/>
              </w:rPr>
            </w:pPr>
            <w:r>
              <w:rPr>
                <w:rFonts w:ascii="Myriad Pro" w:hAnsi="Myriad Pro"/>
                <w:color w:val="000000"/>
                <w:sz w:val="21"/>
                <w:szCs w:val="21"/>
              </w:rPr>
              <w:t>5</w:t>
            </w:r>
          </w:p>
        </w:tc>
        <w:tc>
          <w:tcPr>
            <w:tcW w:w="1165" w:type="dxa"/>
            <w:vMerge/>
            <w:tcBorders>
              <w:left w:val="single" w:sz="4" w:space="0" w:color="auto"/>
              <w:right w:val="single" w:sz="4" w:space="0" w:color="auto"/>
            </w:tcBorders>
          </w:tcPr>
          <w:p w14:paraId="7029D5F9" w14:textId="4DABD31F" w:rsidR="00787802" w:rsidRDefault="00787802" w:rsidP="007625E7">
            <w:pPr>
              <w:spacing w:before="60" w:after="60"/>
              <w:jc w:val="center"/>
              <w:rPr>
                <w:rFonts w:ascii="Myriad Pro" w:hAnsi="Myriad Pro"/>
                <w:color w:val="000000"/>
                <w:sz w:val="21"/>
                <w:szCs w:val="21"/>
              </w:rPr>
            </w:pPr>
          </w:p>
        </w:tc>
      </w:tr>
      <w:tr w:rsidR="00787802" w14:paraId="37C488A2" w14:textId="77777777" w:rsidTr="000D2B06">
        <w:tc>
          <w:tcPr>
            <w:tcW w:w="7290" w:type="dxa"/>
            <w:tcBorders>
              <w:right w:val="single" w:sz="4" w:space="0" w:color="auto"/>
            </w:tcBorders>
            <w:shd w:val="clear" w:color="auto" w:fill="FFFFFF" w:themeFill="background1"/>
          </w:tcPr>
          <w:p w14:paraId="528EB054" w14:textId="60D316F8" w:rsidR="00787802" w:rsidRPr="00A777EB"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A777EB">
              <w:rPr>
                <w:rFonts w:ascii="Myriad Pro" w:hAnsi="Myriad Pro"/>
                <w:color w:val="000000"/>
                <w:sz w:val="21"/>
                <w:szCs w:val="21"/>
              </w:rPr>
              <w:t>Excellent communication skills</w:t>
            </w:r>
            <w:r w:rsidRPr="00A777EB">
              <w:rPr>
                <w:rFonts w:ascii="Myriad Pro" w:hAnsi="Myriad Pro"/>
                <w:color w:val="000000"/>
                <w:sz w:val="21"/>
                <w:szCs w:val="21"/>
              </w:rPr>
              <w:tab/>
            </w:r>
            <w:r w:rsidRPr="00A777EB">
              <w:rPr>
                <w:rFonts w:ascii="Myriad Pro" w:hAnsi="Myriad Pro"/>
                <w:color w:val="000000"/>
                <w:sz w:val="21"/>
                <w:szCs w:val="21"/>
              </w:rPr>
              <w:tab/>
            </w:r>
            <w:r w:rsidRPr="00A777EB">
              <w:rPr>
                <w:rFonts w:ascii="Myriad Pro" w:hAnsi="Myriad Pro"/>
                <w:color w:val="000000"/>
                <w:sz w:val="21"/>
                <w:szCs w:val="21"/>
              </w:rPr>
              <w:tab/>
            </w:r>
            <w:r w:rsidRPr="00A777EB">
              <w:rPr>
                <w:rFonts w:ascii="Myriad Pro" w:hAnsi="Myriad Pro"/>
                <w:color w:val="000000"/>
                <w:sz w:val="21"/>
                <w:szCs w:val="21"/>
              </w:rPr>
              <w:tab/>
            </w:r>
            <w:r w:rsidRPr="00A777EB">
              <w:rPr>
                <w:rFonts w:ascii="Myriad Pro" w:hAnsi="Myriad Pro"/>
                <w:color w:val="000000"/>
                <w:sz w:val="21"/>
                <w:szCs w:val="21"/>
              </w:rPr>
              <w:tab/>
            </w:r>
          </w:p>
        </w:tc>
        <w:tc>
          <w:tcPr>
            <w:tcW w:w="1165" w:type="dxa"/>
            <w:tcBorders>
              <w:left w:val="single" w:sz="4" w:space="0" w:color="auto"/>
              <w:right w:val="single" w:sz="4" w:space="0" w:color="auto"/>
            </w:tcBorders>
          </w:tcPr>
          <w:p w14:paraId="2CA8F7A8" w14:textId="22A35095" w:rsidR="00787802"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5</w:t>
            </w:r>
          </w:p>
        </w:tc>
        <w:tc>
          <w:tcPr>
            <w:tcW w:w="1165" w:type="dxa"/>
            <w:vMerge/>
            <w:tcBorders>
              <w:left w:val="single" w:sz="4" w:space="0" w:color="auto"/>
              <w:right w:val="single" w:sz="4" w:space="0" w:color="auto"/>
            </w:tcBorders>
          </w:tcPr>
          <w:p w14:paraId="470F79E8" w14:textId="5CED381E" w:rsidR="00787802" w:rsidRDefault="00787802" w:rsidP="007625E7">
            <w:pPr>
              <w:spacing w:before="60" w:after="60"/>
              <w:jc w:val="center"/>
              <w:rPr>
                <w:rFonts w:ascii="Myriad Pro" w:hAnsi="Myriad Pro"/>
                <w:color w:val="000000"/>
                <w:sz w:val="21"/>
                <w:szCs w:val="21"/>
              </w:rPr>
            </w:pPr>
          </w:p>
        </w:tc>
      </w:tr>
      <w:tr w:rsidR="00787802" w14:paraId="68C576D1" w14:textId="77777777" w:rsidTr="000D2B06">
        <w:tc>
          <w:tcPr>
            <w:tcW w:w="7290" w:type="dxa"/>
            <w:tcBorders>
              <w:right w:val="single" w:sz="4" w:space="0" w:color="auto"/>
            </w:tcBorders>
            <w:shd w:val="clear" w:color="auto" w:fill="FFFFFF" w:themeFill="background1"/>
          </w:tcPr>
          <w:p w14:paraId="09BA700B" w14:textId="1D2507B4" w:rsidR="00787802" w:rsidRPr="0045185A"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047EDE">
              <w:rPr>
                <w:rFonts w:ascii="Myriad Pro" w:hAnsi="Myriad Pro"/>
                <w:color w:val="000000"/>
                <w:sz w:val="21"/>
                <w:szCs w:val="21"/>
              </w:rPr>
              <w:t>Demonstrable analytical skills</w:t>
            </w:r>
            <w:r>
              <w:rPr>
                <w:rFonts w:ascii="Myriad Pro" w:hAnsi="Myriad Pro"/>
                <w:color w:val="000000"/>
                <w:sz w:val="21"/>
                <w:szCs w:val="21"/>
              </w:rPr>
              <w:tab/>
            </w:r>
            <w:r>
              <w:rPr>
                <w:rFonts w:ascii="Myriad Pro" w:hAnsi="Myriad Pro"/>
                <w:color w:val="000000"/>
                <w:sz w:val="21"/>
                <w:szCs w:val="21"/>
              </w:rPr>
              <w:tab/>
            </w:r>
            <w:r>
              <w:rPr>
                <w:rFonts w:ascii="Myriad Pro" w:hAnsi="Myriad Pro"/>
                <w:color w:val="000000"/>
                <w:sz w:val="21"/>
                <w:szCs w:val="21"/>
              </w:rPr>
              <w:tab/>
            </w:r>
            <w:r>
              <w:rPr>
                <w:rFonts w:ascii="Myriad Pro" w:hAnsi="Myriad Pro"/>
                <w:color w:val="000000"/>
                <w:sz w:val="21"/>
                <w:szCs w:val="21"/>
              </w:rPr>
              <w:tab/>
            </w:r>
            <w:r>
              <w:rPr>
                <w:rFonts w:ascii="Myriad Pro" w:hAnsi="Myriad Pro"/>
                <w:color w:val="000000"/>
                <w:sz w:val="21"/>
                <w:szCs w:val="21"/>
              </w:rPr>
              <w:tab/>
            </w:r>
          </w:p>
        </w:tc>
        <w:tc>
          <w:tcPr>
            <w:tcW w:w="1165" w:type="dxa"/>
            <w:tcBorders>
              <w:left w:val="single" w:sz="4" w:space="0" w:color="auto"/>
              <w:right w:val="single" w:sz="4" w:space="0" w:color="auto"/>
            </w:tcBorders>
          </w:tcPr>
          <w:p w14:paraId="319D1F94" w14:textId="21F17BCA" w:rsidR="00787802"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5</w:t>
            </w:r>
          </w:p>
        </w:tc>
        <w:tc>
          <w:tcPr>
            <w:tcW w:w="1165" w:type="dxa"/>
            <w:vMerge/>
            <w:tcBorders>
              <w:left w:val="single" w:sz="4" w:space="0" w:color="auto"/>
              <w:right w:val="single" w:sz="4" w:space="0" w:color="auto"/>
            </w:tcBorders>
          </w:tcPr>
          <w:p w14:paraId="50690A85" w14:textId="45D4218E" w:rsidR="00787802" w:rsidRDefault="00787802" w:rsidP="007625E7">
            <w:pPr>
              <w:spacing w:before="60" w:after="60"/>
              <w:jc w:val="center"/>
              <w:rPr>
                <w:rFonts w:ascii="Myriad Pro" w:hAnsi="Myriad Pro"/>
                <w:color w:val="000000"/>
                <w:sz w:val="21"/>
                <w:szCs w:val="21"/>
              </w:rPr>
            </w:pPr>
          </w:p>
        </w:tc>
      </w:tr>
      <w:tr w:rsidR="00787802" w14:paraId="295080CD" w14:textId="77777777" w:rsidTr="00787802">
        <w:tc>
          <w:tcPr>
            <w:tcW w:w="7290" w:type="dxa"/>
            <w:tcBorders>
              <w:right w:val="single" w:sz="4" w:space="0" w:color="auto"/>
            </w:tcBorders>
          </w:tcPr>
          <w:p w14:paraId="7A6C1C58" w14:textId="77777777" w:rsidR="00787802" w:rsidRPr="0045185A" w:rsidRDefault="00787802" w:rsidP="007625E7">
            <w:pPr>
              <w:pStyle w:val="ListParagraph"/>
              <w:numPr>
                <w:ilvl w:val="0"/>
                <w:numId w:val="2"/>
              </w:numPr>
              <w:spacing w:before="60" w:after="60"/>
              <w:ind w:left="240" w:hanging="240"/>
              <w:contextualSpacing w:val="0"/>
              <w:rPr>
                <w:rFonts w:ascii="Myriad Pro" w:hAnsi="Myriad Pro"/>
                <w:color w:val="000000"/>
                <w:sz w:val="21"/>
                <w:szCs w:val="21"/>
              </w:rPr>
            </w:pPr>
            <w:r w:rsidRPr="00047EDE">
              <w:rPr>
                <w:rFonts w:ascii="Myriad Pro" w:hAnsi="Myriad Pro"/>
                <w:color w:val="000000"/>
                <w:sz w:val="21"/>
                <w:szCs w:val="21"/>
              </w:rPr>
              <w:t xml:space="preserve">Project evaluation/review experience within UN system </w:t>
            </w:r>
            <w:r>
              <w:rPr>
                <w:rFonts w:ascii="Myriad Pro" w:hAnsi="Myriad Pro"/>
                <w:color w:val="000000"/>
                <w:sz w:val="21"/>
                <w:szCs w:val="21"/>
              </w:rPr>
              <w:t xml:space="preserve">and GEF financed projects </w:t>
            </w:r>
            <w:r w:rsidRPr="00047EDE">
              <w:rPr>
                <w:rFonts w:ascii="Myriad Pro" w:hAnsi="Myriad Pro"/>
                <w:color w:val="000000"/>
                <w:sz w:val="21"/>
                <w:szCs w:val="21"/>
              </w:rPr>
              <w:t>will be considered an asset</w:t>
            </w:r>
          </w:p>
        </w:tc>
        <w:tc>
          <w:tcPr>
            <w:tcW w:w="1165" w:type="dxa"/>
            <w:tcBorders>
              <w:left w:val="single" w:sz="4" w:space="0" w:color="auto"/>
              <w:right w:val="single" w:sz="4" w:space="0" w:color="auto"/>
            </w:tcBorders>
          </w:tcPr>
          <w:p w14:paraId="3C11718C" w14:textId="258C722E" w:rsidR="00787802" w:rsidRDefault="004902B3" w:rsidP="007625E7">
            <w:pPr>
              <w:spacing w:before="60" w:after="60"/>
              <w:jc w:val="center"/>
              <w:rPr>
                <w:rFonts w:ascii="Myriad Pro" w:hAnsi="Myriad Pro"/>
                <w:color w:val="000000"/>
                <w:sz w:val="21"/>
                <w:szCs w:val="21"/>
              </w:rPr>
            </w:pPr>
            <w:r>
              <w:rPr>
                <w:rFonts w:ascii="Myriad Pro" w:hAnsi="Myriad Pro"/>
                <w:color w:val="000000"/>
                <w:sz w:val="21"/>
                <w:szCs w:val="21"/>
              </w:rPr>
              <w:t>10</w:t>
            </w:r>
          </w:p>
        </w:tc>
        <w:tc>
          <w:tcPr>
            <w:tcW w:w="1165" w:type="dxa"/>
            <w:vMerge/>
            <w:tcBorders>
              <w:left w:val="single" w:sz="4" w:space="0" w:color="auto"/>
              <w:right w:val="single" w:sz="4" w:space="0" w:color="auto"/>
            </w:tcBorders>
          </w:tcPr>
          <w:p w14:paraId="208855CE" w14:textId="40BF1F2C" w:rsidR="00787802" w:rsidRDefault="00787802" w:rsidP="007625E7">
            <w:pPr>
              <w:spacing w:before="60" w:after="60"/>
              <w:jc w:val="center"/>
              <w:rPr>
                <w:rFonts w:ascii="Myriad Pro" w:hAnsi="Myriad Pro"/>
                <w:color w:val="000000"/>
                <w:sz w:val="21"/>
                <w:szCs w:val="21"/>
              </w:rPr>
            </w:pPr>
          </w:p>
        </w:tc>
      </w:tr>
      <w:tr w:rsidR="007625E7" w14:paraId="0473C6CD" w14:textId="77777777" w:rsidTr="00787802">
        <w:tc>
          <w:tcPr>
            <w:tcW w:w="7290" w:type="dxa"/>
            <w:tcBorders>
              <w:bottom w:val="single" w:sz="4" w:space="0" w:color="auto"/>
              <w:right w:val="single" w:sz="4" w:space="0" w:color="auto"/>
            </w:tcBorders>
          </w:tcPr>
          <w:p w14:paraId="1F4795C8" w14:textId="77777777" w:rsidR="007625E7" w:rsidRPr="00047EDE" w:rsidRDefault="007625E7" w:rsidP="007625E7">
            <w:pPr>
              <w:pStyle w:val="ListParagraph"/>
              <w:spacing w:before="60" w:after="60"/>
              <w:ind w:left="240"/>
              <w:contextualSpacing w:val="0"/>
              <w:rPr>
                <w:rFonts w:ascii="Myriad Pro" w:hAnsi="Myriad Pro"/>
                <w:color w:val="000000"/>
                <w:sz w:val="21"/>
                <w:szCs w:val="21"/>
              </w:rPr>
            </w:pPr>
          </w:p>
        </w:tc>
        <w:tc>
          <w:tcPr>
            <w:tcW w:w="1165" w:type="dxa"/>
            <w:tcBorders>
              <w:left w:val="single" w:sz="4" w:space="0" w:color="auto"/>
              <w:bottom w:val="single" w:sz="4" w:space="0" w:color="auto"/>
              <w:right w:val="single" w:sz="4" w:space="0" w:color="auto"/>
            </w:tcBorders>
          </w:tcPr>
          <w:p w14:paraId="1849E02B" w14:textId="77777777" w:rsidR="007625E7" w:rsidRDefault="007625E7" w:rsidP="007625E7">
            <w:pPr>
              <w:spacing w:before="60" w:after="60"/>
              <w:jc w:val="center"/>
              <w:rPr>
                <w:rFonts w:ascii="Myriad Pro" w:hAnsi="Myriad Pro"/>
                <w:color w:val="000000"/>
                <w:sz w:val="21"/>
                <w:szCs w:val="21"/>
              </w:rPr>
            </w:pPr>
          </w:p>
        </w:tc>
        <w:tc>
          <w:tcPr>
            <w:tcW w:w="1165" w:type="dxa"/>
            <w:tcBorders>
              <w:left w:val="single" w:sz="4" w:space="0" w:color="auto"/>
              <w:bottom w:val="single" w:sz="4" w:space="0" w:color="auto"/>
              <w:right w:val="single" w:sz="4" w:space="0" w:color="auto"/>
            </w:tcBorders>
          </w:tcPr>
          <w:p w14:paraId="6529822C" w14:textId="77777777" w:rsidR="007625E7" w:rsidRDefault="007625E7" w:rsidP="007625E7">
            <w:pPr>
              <w:spacing w:before="60" w:after="60"/>
              <w:jc w:val="center"/>
              <w:rPr>
                <w:rFonts w:ascii="Myriad Pro" w:hAnsi="Myriad Pro"/>
                <w:color w:val="000000"/>
                <w:sz w:val="21"/>
                <w:szCs w:val="21"/>
              </w:rPr>
            </w:pPr>
          </w:p>
        </w:tc>
      </w:tr>
      <w:tr w:rsidR="007625E7" w14:paraId="1A44F8ED" w14:textId="77777777" w:rsidTr="00787802">
        <w:tc>
          <w:tcPr>
            <w:tcW w:w="7290" w:type="dxa"/>
            <w:tcBorders>
              <w:top w:val="single" w:sz="4" w:space="0" w:color="auto"/>
              <w:right w:val="single" w:sz="4" w:space="0" w:color="auto"/>
            </w:tcBorders>
          </w:tcPr>
          <w:p w14:paraId="1AF25F3A" w14:textId="77777777" w:rsidR="007625E7" w:rsidRPr="00047EDE" w:rsidRDefault="007625E7" w:rsidP="007625E7">
            <w:pPr>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5F3BEC44" w14:textId="400FFB1A" w:rsidR="007625E7" w:rsidRDefault="007625E7" w:rsidP="007625E7">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Fluency in written and spoken English</w:t>
            </w:r>
          </w:p>
          <w:p w14:paraId="4AF457CC" w14:textId="77777777" w:rsidR="007625E7" w:rsidRPr="00047EDE" w:rsidRDefault="007625E7" w:rsidP="007625E7">
            <w:pPr>
              <w:pStyle w:val="ListParagraph"/>
              <w:spacing w:before="60" w:after="60"/>
              <w:ind w:left="240"/>
              <w:contextualSpacing w:val="0"/>
              <w:rPr>
                <w:rFonts w:ascii="Myriad Pro" w:hAnsi="Myriad Pro"/>
                <w:color w:val="000000"/>
                <w:sz w:val="21"/>
                <w:szCs w:val="21"/>
              </w:rPr>
            </w:pPr>
          </w:p>
        </w:tc>
        <w:tc>
          <w:tcPr>
            <w:tcW w:w="1165" w:type="dxa"/>
            <w:tcBorders>
              <w:top w:val="single" w:sz="4" w:space="0" w:color="auto"/>
              <w:left w:val="single" w:sz="4" w:space="0" w:color="auto"/>
              <w:right w:val="single" w:sz="4" w:space="0" w:color="auto"/>
            </w:tcBorders>
          </w:tcPr>
          <w:p w14:paraId="1AD911BE" w14:textId="121BF9F9" w:rsidR="007625E7" w:rsidRDefault="007625E7" w:rsidP="007625E7">
            <w:pPr>
              <w:spacing w:before="60" w:after="60"/>
              <w:jc w:val="center"/>
              <w:rPr>
                <w:rFonts w:ascii="Myriad Pro" w:hAnsi="Myriad Pro"/>
                <w:color w:val="000000"/>
                <w:sz w:val="21"/>
                <w:szCs w:val="21"/>
              </w:rPr>
            </w:pPr>
            <w:r>
              <w:rPr>
                <w:rFonts w:ascii="Myriad Pro" w:hAnsi="Myriad Pro"/>
                <w:color w:val="000000"/>
                <w:sz w:val="21"/>
                <w:szCs w:val="21"/>
              </w:rPr>
              <w:t>5</w:t>
            </w:r>
          </w:p>
        </w:tc>
        <w:tc>
          <w:tcPr>
            <w:tcW w:w="1165" w:type="dxa"/>
            <w:tcBorders>
              <w:top w:val="single" w:sz="4" w:space="0" w:color="auto"/>
              <w:left w:val="single" w:sz="4" w:space="0" w:color="auto"/>
              <w:right w:val="single" w:sz="4" w:space="0" w:color="auto"/>
            </w:tcBorders>
          </w:tcPr>
          <w:p w14:paraId="148A5754" w14:textId="5A5A6686" w:rsidR="007625E7" w:rsidRDefault="00787802" w:rsidP="007625E7">
            <w:pPr>
              <w:spacing w:before="60" w:after="60"/>
              <w:jc w:val="center"/>
              <w:rPr>
                <w:rFonts w:ascii="Myriad Pro" w:hAnsi="Myriad Pro"/>
                <w:color w:val="000000"/>
                <w:sz w:val="21"/>
                <w:szCs w:val="21"/>
              </w:rPr>
            </w:pPr>
            <w:r>
              <w:rPr>
                <w:rFonts w:ascii="Myriad Pro" w:hAnsi="Myriad Pro"/>
                <w:color w:val="000000"/>
                <w:sz w:val="21"/>
                <w:szCs w:val="21"/>
              </w:rPr>
              <w:t>10%</w:t>
            </w:r>
          </w:p>
        </w:tc>
      </w:tr>
    </w:tbl>
    <w:p w14:paraId="4A3BD877" w14:textId="5DA68C17" w:rsidR="00A97642" w:rsidRPr="000C4514" w:rsidRDefault="00A97642" w:rsidP="000C4514">
      <w:pPr>
        <w:rPr>
          <w:rFonts w:ascii="Myriad Pro" w:hAnsi="Myriad Pro"/>
          <w:color w:val="000000"/>
          <w:sz w:val="21"/>
          <w:szCs w:val="21"/>
        </w:rPr>
      </w:pPr>
    </w:p>
    <w:p w14:paraId="78D81C46" w14:textId="77777777" w:rsidR="00000F9B" w:rsidRPr="000C0051" w:rsidRDefault="00000F9B" w:rsidP="0013491F">
      <w:pPr>
        <w:pStyle w:val="ListParagraph"/>
        <w:numPr>
          <w:ilvl w:val="0"/>
          <w:numId w:val="1"/>
        </w:numPr>
        <w:spacing w:before="600" w:after="120" w:line="240" w:lineRule="auto"/>
        <w:ind w:left="360"/>
        <w:contextualSpacing w:val="0"/>
        <w:rPr>
          <w:b/>
          <w:sz w:val="30"/>
          <w:szCs w:val="30"/>
        </w:rPr>
      </w:pPr>
      <w:r w:rsidRPr="005C29D4">
        <w:rPr>
          <w:rFonts w:ascii="Myriad Pro" w:hAnsi="Myriad Pro"/>
          <w:b/>
          <w:bCs/>
          <w:sz w:val="26"/>
          <w:szCs w:val="26"/>
        </w:rPr>
        <w:t>EVALUATOR ETHICS</w:t>
      </w:r>
    </w:p>
    <w:p w14:paraId="3FB29353" w14:textId="1F6C1039" w:rsidR="00000F9B" w:rsidRDefault="00000F9B" w:rsidP="0013491F">
      <w:pPr>
        <w:spacing w:before="120" w:after="120"/>
        <w:jc w:val="both"/>
        <w:rPr>
          <w:rFonts w:ascii="Myriad Pro" w:hAnsi="Myriad Pro"/>
          <w:color w:val="000000"/>
          <w:sz w:val="21"/>
          <w:szCs w:val="21"/>
        </w:rPr>
      </w:pPr>
      <w:r w:rsidRPr="00BB45FD">
        <w:rPr>
          <w:rFonts w:ascii="Myriad Pro" w:hAnsi="Myriad Pro"/>
          <w:color w:val="000000"/>
          <w:sz w:val="21"/>
          <w:szCs w:val="21"/>
        </w:rPr>
        <w:t xml:space="preserve">The </w:t>
      </w:r>
      <w:r>
        <w:rPr>
          <w:rFonts w:ascii="Myriad Pro" w:hAnsi="Myriad Pro"/>
          <w:color w:val="000000"/>
          <w:sz w:val="21"/>
          <w:szCs w:val="21"/>
        </w:rPr>
        <w:t>TE</w:t>
      </w:r>
      <w:r w:rsidRPr="00BB45FD">
        <w:rPr>
          <w:rFonts w:ascii="Myriad Pro" w:hAnsi="Myriad Pro"/>
          <w:color w:val="000000"/>
          <w:sz w:val="21"/>
          <w:szCs w:val="21"/>
        </w:rPr>
        <w:t xml:space="preserve"> </w:t>
      </w:r>
      <w:r w:rsidR="00C73519">
        <w:rPr>
          <w:rFonts w:ascii="Myriad Pro" w:hAnsi="Myriad Pro"/>
          <w:color w:val="000000"/>
          <w:sz w:val="21"/>
          <w:szCs w:val="21"/>
        </w:rPr>
        <w:t>evaluator</w:t>
      </w:r>
      <w:r w:rsidRPr="00BB45FD">
        <w:rPr>
          <w:rFonts w:ascii="Myriad Pro" w:hAnsi="Myriad Pro"/>
          <w:color w:val="000000"/>
          <w:sz w:val="21"/>
          <w:szCs w:val="21"/>
        </w:rPr>
        <w:t xml:space="preserve"> will be held to the highest ethical standards and is required to sign a code of conduct upon acceptance of the assignment</w:t>
      </w:r>
      <w:r>
        <w:rPr>
          <w:rFonts w:ascii="Myriad Pro" w:hAnsi="Myriad Pro"/>
          <w:color w:val="000000"/>
          <w:sz w:val="21"/>
          <w:szCs w:val="21"/>
        </w:rPr>
        <w:t xml:space="preserve">. </w:t>
      </w:r>
      <w:r w:rsidRPr="00047EDE">
        <w:rPr>
          <w:rFonts w:ascii="Myriad Pro" w:hAnsi="Myriad Pro"/>
          <w:color w:val="000000"/>
          <w:sz w:val="21"/>
          <w:szCs w:val="21"/>
        </w:rPr>
        <w:t xml:space="preserve">This evaluation will be conducted in accordance with the principles outlined in the UNEG ‘Ethical Guidelines for </w:t>
      </w:r>
      <w:r w:rsidRPr="003B0AFF">
        <w:rPr>
          <w:rFonts w:ascii="Myriad Pro" w:hAnsi="Myriad Pro"/>
          <w:color w:val="000000"/>
          <w:sz w:val="21"/>
          <w:szCs w:val="21"/>
        </w:rPr>
        <w:t>Evaluation’</w:t>
      </w:r>
      <w:r w:rsidR="003B0AFF" w:rsidRPr="003B0AFF">
        <w:rPr>
          <w:rFonts w:ascii="Myriad Pro" w:hAnsi="Myriad Pro"/>
          <w:color w:val="000000"/>
          <w:sz w:val="21"/>
          <w:szCs w:val="21"/>
        </w:rPr>
        <w:t xml:space="preserve"> </w:t>
      </w:r>
      <w:hyperlink r:id="rId17" w:history="1">
        <w:r w:rsidR="003B0AFF" w:rsidRPr="003B0AFF">
          <w:rPr>
            <w:rStyle w:val="Hyperlink"/>
            <w:rFonts w:ascii="Calibri" w:eastAsia="Times New Roman" w:hAnsi="Calibri" w:cs="Times New Roman"/>
            <w:sz w:val="21"/>
            <w:szCs w:val="21"/>
          </w:rPr>
          <w:t>UNEG 'Ethical Guidelines for Evaluations'</w:t>
        </w:r>
      </w:hyperlink>
      <w:r w:rsidRPr="003B0AFF">
        <w:rPr>
          <w:rFonts w:ascii="Myriad Pro" w:hAnsi="Myriad Pro"/>
          <w:color w:val="000000"/>
          <w:sz w:val="21"/>
          <w:szCs w:val="21"/>
        </w:rPr>
        <w:t xml:space="preserve">. The evaluator must safeguard the rights and confidentiality of information providers, </w:t>
      </w:r>
      <w:proofErr w:type="gramStart"/>
      <w:r w:rsidRPr="003B0AFF">
        <w:rPr>
          <w:rFonts w:ascii="Myriad Pro" w:hAnsi="Myriad Pro"/>
          <w:color w:val="000000"/>
          <w:sz w:val="21"/>
          <w:szCs w:val="21"/>
        </w:rPr>
        <w:t>interviewees</w:t>
      </w:r>
      <w:proofErr w:type="gramEnd"/>
      <w:r w:rsidRPr="00047EDE">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Default="00000F9B" w:rsidP="00B54F02">
      <w:pPr>
        <w:pStyle w:val="ListParagraph"/>
        <w:numPr>
          <w:ilvl w:val="0"/>
          <w:numId w:val="1"/>
        </w:numPr>
        <w:spacing w:before="360" w:after="240" w:line="240" w:lineRule="auto"/>
        <w:ind w:left="360"/>
        <w:contextualSpacing w:val="0"/>
        <w:rPr>
          <w:rFonts w:ascii="Myriad Pro" w:hAnsi="Myriad Pro"/>
          <w:b/>
          <w:bCs/>
          <w:sz w:val="26"/>
          <w:szCs w:val="26"/>
        </w:rPr>
      </w:pPr>
      <w:r w:rsidRPr="005C29D4">
        <w:rPr>
          <w:rFonts w:ascii="Myriad Pro" w:hAnsi="Myriad Pro"/>
          <w:b/>
          <w:bCs/>
          <w:sz w:val="26"/>
          <w:szCs w:val="26"/>
        </w:rPr>
        <w:t xml:space="preserve">PAYMENT </w:t>
      </w:r>
      <w:r>
        <w:rPr>
          <w:rFonts w:ascii="Myriad Pro" w:hAnsi="Myriad Pro"/>
          <w:b/>
          <w:bCs/>
          <w:sz w:val="26"/>
          <w:szCs w:val="26"/>
        </w:rPr>
        <w:t>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000"/>
      </w:tblGrid>
      <w:tr w:rsidR="00D17547" w:rsidRPr="00D6638C" w14:paraId="0C8BF11C" w14:textId="4D0925BC" w:rsidTr="00470BC9">
        <w:tc>
          <w:tcPr>
            <w:tcW w:w="895" w:type="dxa"/>
            <w:shd w:val="clear" w:color="auto" w:fill="7F7F7F"/>
          </w:tcPr>
          <w:p w14:paraId="0B67B4DB" w14:textId="4203D7A3" w:rsidR="00D17547" w:rsidRPr="00D17547" w:rsidRDefault="00D17547" w:rsidP="00A777EB">
            <w:pPr>
              <w:spacing w:after="0"/>
              <w:ind w:left="360"/>
              <w:rPr>
                <w:rFonts w:ascii="Calibri" w:eastAsia="Times New Roman" w:hAnsi="Calibri" w:cs="Times New Roman"/>
                <w:color w:val="FFFFFF"/>
                <w:sz w:val="20"/>
                <w:szCs w:val="20"/>
              </w:rPr>
            </w:pPr>
            <w:r w:rsidRPr="00D17547">
              <w:rPr>
                <w:rFonts w:ascii="Calibri" w:eastAsia="Times New Roman" w:hAnsi="Calibri" w:cs="Times New Roman"/>
                <w:color w:val="FFFFFF"/>
                <w:sz w:val="20"/>
                <w:szCs w:val="20"/>
              </w:rPr>
              <w:t>%</w:t>
            </w:r>
          </w:p>
        </w:tc>
        <w:tc>
          <w:tcPr>
            <w:tcW w:w="9000" w:type="dxa"/>
            <w:shd w:val="clear" w:color="auto" w:fill="7F7F7F"/>
          </w:tcPr>
          <w:p w14:paraId="2491E85D" w14:textId="11A39EA0" w:rsidR="00D17547" w:rsidRPr="00D6638C" w:rsidRDefault="00D17547" w:rsidP="000D3FC9">
            <w:pPr>
              <w:spacing w:after="0"/>
              <w:jc w:val="center"/>
              <w:rPr>
                <w:rFonts w:ascii="Calibri" w:eastAsia="Times New Roman" w:hAnsi="Calibri" w:cs="Times New Roman"/>
                <w:color w:val="FFFFFF"/>
                <w:sz w:val="20"/>
                <w:szCs w:val="20"/>
              </w:rPr>
            </w:pPr>
            <w:r w:rsidRPr="00AD2BBD">
              <w:rPr>
                <w:rFonts w:ascii="Calibri" w:eastAsia="Times New Roman" w:hAnsi="Calibri" w:cs="Times New Roman"/>
                <w:color w:val="FFFFFF"/>
              </w:rPr>
              <w:t>Deliverable</w:t>
            </w:r>
          </w:p>
        </w:tc>
      </w:tr>
      <w:tr w:rsidR="00D17547" w:rsidRPr="00D6638C" w14:paraId="722E9BCC" w14:textId="56A426A9" w:rsidTr="00470BC9">
        <w:trPr>
          <w:trHeight w:val="607"/>
        </w:trPr>
        <w:tc>
          <w:tcPr>
            <w:tcW w:w="895" w:type="dxa"/>
          </w:tcPr>
          <w:p w14:paraId="6FAD70EC" w14:textId="6CBCBEC0" w:rsidR="00D17547" w:rsidRPr="00041E88" w:rsidRDefault="002A61E6" w:rsidP="00D17547">
            <w:pPr>
              <w:spacing w:after="0"/>
              <w:jc w:val="center"/>
              <w:rPr>
                <w:rFonts w:ascii="Myriad Pro" w:hAnsi="Myriad Pro"/>
                <w:color w:val="000000"/>
                <w:sz w:val="21"/>
                <w:szCs w:val="21"/>
              </w:rPr>
            </w:pPr>
            <w:r w:rsidRPr="00041E88">
              <w:rPr>
                <w:rFonts w:ascii="Myriad Pro" w:hAnsi="Myriad Pro"/>
                <w:color w:val="000000"/>
                <w:sz w:val="21"/>
                <w:szCs w:val="21"/>
              </w:rPr>
              <w:t>6</w:t>
            </w:r>
            <w:r w:rsidR="00D17547" w:rsidRPr="00041E88">
              <w:rPr>
                <w:rFonts w:ascii="Myriad Pro" w:hAnsi="Myriad Pro"/>
                <w:color w:val="000000"/>
                <w:sz w:val="21"/>
                <w:szCs w:val="21"/>
              </w:rPr>
              <w:t>0</w:t>
            </w:r>
          </w:p>
        </w:tc>
        <w:tc>
          <w:tcPr>
            <w:tcW w:w="9000" w:type="dxa"/>
          </w:tcPr>
          <w:p w14:paraId="19C75332" w14:textId="24C5DBFA" w:rsidR="00D17547" w:rsidRPr="00041E88" w:rsidRDefault="00D17547" w:rsidP="000D3FC9">
            <w:pPr>
              <w:spacing w:after="0"/>
              <w:rPr>
                <w:rFonts w:ascii="Myriad Pro" w:hAnsi="Myriad Pro"/>
                <w:color w:val="000000"/>
                <w:sz w:val="21"/>
                <w:szCs w:val="21"/>
              </w:rPr>
            </w:pPr>
            <w:r w:rsidRPr="00041E88">
              <w:rPr>
                <w:rFonts w:ascii="Myriad Pro" w:hAnsi="Myriad Pro"/>
                <w:color w:val="000000"/>
                <w:sz w:val="21"/>
                <w:szCs w:val="21"/>
              </w:rPr>
              <w:t xml:space="preserve">For deliverables 1, 2, 3. </w:t>
            </w:r>
          </w:p>
          <w:p w14:paraId="6BD1FEF3" w14:textId="53F01F07" w:rsidR="00D17547" w:rsidRPr="00041E88" w:rsidRDefault="00447A18" w:rsidP="000D3FC9">
            <w:pPr>
              <w:spacing w:after="0"/>
              <w:rPr>
                <w:rFonts w:ascii="Myriad Pro" w:hAnsi="Myriad Pro"/>
                <w:color w:val="000000"/>
                <w:sz w:val="21"/>
                <w:szCs w:val="21"/>
              </w:rPr>
            </w:pPr>
            <w:r>
              <w:rPr>
                <w:rFonts w:ascii="Myriad Pro" w:hAnsi="Myriad Pro"/>
                <w:color w:val="000000"/>
                <w:sz w:val="21"/>
                <w:szCs w:val="21"/>
              </w:rPr>
              <w:t>P</w:t>
            </w:r>
            <w:r w:rsidRPr="00B64FC6">
              <w:rPr>
                <w:rFonts w:ascii="Myriad Pro" w:hAnsi="Myriad Pro"/>
                <w:color w:val="000000"/>
                <w:sz w:val="21"/>
                <w:szCs w:val="21"/>
              </w:rPr>
              <w:t xml:space="preserve">ayment upon satisfactory delivery of the draft TE report </w:t>
            </w:r>
            <w:r w:rsidR="00D17547" w:rsidRPr="00041E88">
              <w:rPr>
                <w:rFonts w:ascii="Myriad Pro" w:hAnsi="Myriad Pro"/>
                <w:color w:val="000000"/>
                <w:sz w:val="21"/>
                <w:szCs w:val="21"/>
              </w:rPr>
              <w:t xml:space="preserve">and </w:t>
            </w:r>
            <w:r w:rsidR="001B3DA3" w:rsidRPr="00041E88">
              <w:rPr>
                <w:rFonts w:ascii="Myriad Pro" w:hAnsi="Myriad Pro"/>
                <w:color w:val="000000"/>
                <w:sz w:val="21"/>
                <w:szCs w:val="21"/>
              </w:rPr>
              <w:t xml:space="preserve">its </w:t>
            </w:r>
            <w:r w:rsidR="00D17547" w:rsidRPr="00041E88">
              <w:rPr>
                <w:rFonts w:ascii="Myriad Pro" w:hAnsi="Myriad Pro"/>
                <w:color w:val="000000"/>
                <w:sz w:val="21"/>
                <w:szCs w:val="21"/>
              </w:rPr>
              <w:t xml:space="preserve">approval </w:t>
            </w:r>
            <w:r w:rsidR="001B3DA3" w:rsidRPr="00041E88">
              <w:rPr>
                <w:rFonts w:ascii="Myriad Pro" w:hAnsi="Myriad Pro"/>
                <w:color w:val="000000"/>
                <w:sz w:val="21"/>
                <w:szCs w:val="21"/>
              </w:rPr>
              <w:t xml:space="preserve">by </w:t>
            </w:r>
            <w:r w:rsidR="00041E88" w:rsidRPr="00041E88">
              <w:rPr>
                <w:rFonts w:ascii="Myriad Pro" w:hAnsi="Myriad Pro"/>
                <w:color w:val="000000"/>
                <w:sz w:val="21"/>
                <w:szCs w:val="21"/>
              </w:rPr>
              <w:t xml:space="preserve">the </w:t>
            </w:r>
            <w:r w:rsidR="006C701F" w:rsidRPr="00B64FC6">
              <w:rPr>
                <w:rFonts w:ascii="Myriad Pro" w:hAnsi="Myriad Pro"/>
                <w:color w:val="000000"/>
                <w:sz w:val="21"/>
                <w:szCs w:val="21"/>
              </w:rPr>
              <w:t>Commissioning Unit</w:t>
            </w:r>
            <w:r w:rsidR="00CA0754">
              <w:rPr>
                <w:rFonts w:ascii="Myriad Pro" w:hAnsi="Myriad Pro"/>
                <w:color w:val="000000"/>
                <w:sz w:val="21"/>
                <w:szCs w:val="21"/>
              </w:rPr>
              <w:t>.</w:t>
            </w:r>
          </w:p>
        </w:tc>
      </w:tr>
      <w:tr w:rsidR="00D17547" w:rsidRPr="00D6638C" w14:paraId="245A97CE" w14:textId="7A766B64" w:rsidTr="00470BC9">
        <w:tc>
          <w:tcPr>
            <w:tcW w:w="895" w:type="dxa"/>
          </w:tcPr>
          <w:p w14:paraId="011BD421" w14:textId="12133BA6" w:rsidR="00D17547" w:rsidRPr="00041E88" w:rsidRDefault="002A61E6" w:rsidP="000D3FC9">
            <w:pPr>
              <w:spacing w:after="0"/>
              <w:jc w:val="center"/>
              <w:rPr>
                <w:rFonts w:ascii="Myriad Pro" w:hAnsi="Myriad Pro"/>
                <w:color w:val="000000"/>
                <w:sz w:val="21"/>
                <w:szCs w:val="21"/>
              </w:rPr>
            </w:pPr>
            <w:r w:rsidRPr="00041E88">
              <w:rPr>
                <w:rFonts w:ascii="Myriad Pro" w:hAnsi="Myriad Pro"/>
                <w:color w:val="000000"/>
                <w:sz w:val="21"/>
                <w:szCs w:val="21"/>
              </w:rPr>
              <w:t>4</w:t>
            </w:r>
            <w:r w:rsidR="00D17547" w:rsidRPr="00041E88">
              <w:rPr>
                <w:rFonts w:ascii="Myriad Pro" w:hAnsi="Myriad Pro"/>
                <w:color w:val="000000"/>
                <w:sz w:val="21"/>
                <w:szCs w:val="21"/>
              </w:rPr>
              <w:t>0</w:t>
            </w:r>
          </w:p>
        </w:tc>
        <w:tc>
          <w:tcPr>
            <w:tcW w:w="9000" w:type="dxa"/>
          </w:tcPr>
          <w:p w14:paraId="7C872885" w14:textId="7390ACBB" w:rsidR="00D17547" w:rsidRPr="00041E88" w:rsidRDefault="00D17547" w:rsidP="00D17547">
            <w:pPr>
              <w:spacing w:after="0"/>
              <w:rPr>
                <w:rFonts w:ascii="Myriad Pro" w:hAnsi="Myriad Pro"/>
                <w:color w:val="000000"/>
                <w:sz w:val="21"/>
                <w:szCs w:val="21"/>
              </w:rPr>
            </w:pPr>
            <w:r w:rsidRPr="00041E88">
              <w:rPr>
                <w:rFonts w:ascii="Myriad Pro" w:hAnsi="Myriad Pro"/>
                <w:color w:val="000000"/>
                <w:sz w:val="21"/>
                <w:szCs w:val="21"/>
              </w:rPr>
              <w:t xml:space="preserve">For deliverable 4. </w:t>
            </w:r>
          </w:p>
          <w:p w14:paraId="23A5A293" w14:textId="2BBB8528" w:rsidR="00D17547" w:rsidRPr="00041E88" w:rsidRDefault="00041E88" w:rsidP="000D3FC9">
            <w:pPr>
              <w:spacing w:after="0"/>
              <w:rPr>
                <w:rFonts w:ascii="Myriad Pro" w:hAnsi="Myriad Pro"/>
                <w:color w:val="000000"/>
                <w:sz w:val="21"/>
                <w:szCs w:val="21"/>
              </w:rPr>
            </w:pPr>
            <w:r>
              <w:rPr>
                <w:rFonts w:ascii="Myriad Pro" w:hAnsi="Myriad Pro"/>
                <w:sz w:val="21"/>
                <w:szCs w:val="21"/>
              </w:rPr>
              <w:lastRenderedPageBreak/>
              <w:t>P</w:t>
            </w:r>
            <w:r w:rsidRPr="00B333DF">
              <w:rPr>
                <w:rFonts w:ascii="Myriad Pro" w:hAnsi="Myriad Pro"/>
                <w:sz w:val="21"/>
                <w:szCs w:val="21"/>
              </w:rPr>
              <w:t xml:space="preserve">ayment </w:t>
            </w:r>
            <w:r w:rsidRPr="00B333DF">
              <w:rPr>
                <w:rFonts w:ascii="Myriad Pro" w:hAnsi="Myriad Pro"/>
                <w:color w:val="000000"/>
                <w:sz w:val="21"/>
                <w:szCs w:val="21"/>
              </w:rPr>
              <w:t xml:space="preserve">upon satisfactory delivery of the final TE report and approval by the Commissioning Unit and RTA (via signatures on the TE Report Clearance Form) </w:t>
            </w:r>
            <w:r w:rsidR="00CA0754" w:rsidRPr="00B333DF">
              <w:rPr>
                <w:rFonts w:ascii="Myriad Pro" w:hAnsi="Myriad Pro"/>
                <w:color w:val="000000"/>
                <w:sz w:val="21"/>
                <w:szCs w:val="21"/>
              </w:rPr>
              <w:t>and delivery of completed TE Audit Trail</w:t>
            </w:r>
            <w:r w:rsidR="00CA0754">
              <w:rPr>
                <w:rFonts w:ascii="Myriad Pro" w:hAnsi="Myriad Pro"/>
                <w:color w:val="000000"/>
                <w:sz w:val="21"/>
                <w:szCs w:val="21"/>
              </w:rPr>
              <w:t>.</w:t>
            </w:r>
          </w:p>
        </w:tc>
      </w:tr>
    </w:tbl>
    <w:p w14:paraId="61F75AC4" w14:textId="5ACAF80A" w:rsidR="00000F9B" w:rsidRPr="00C60A68" w:rsidRDefault="00B333DF" w:rsidP="00C60A68">
      <w:pPr>
        <w:pStyle w:val="ListParagraph"/>
        <w:spacing w:before="240" w:after="120"/>
        <w:ind w:left="274"/>
        <w:contextualSpacing w:val="0"/>
        <w:jc w:val="both"/>
        <w:rPr>
          <w:rFonts w:ascii="Myriad Pro" w:hAnsi="Myriad Pro"/>
          <w:sz w:val="21"/>
          <w:szCs w:val="21"/>
        </w:rPr>
      </w:pPr>
      <w:r w:rsidRPr="00C60A68">
        <w:rPr>
          <w:rFonts w:ascii="Myriad Pro" w:hAnsi="Myriad Pro"/>
          <w:color w:val="000000"/>
          <w:sz w:val="21"/>
          <w:szCs w:val="21"/>
        </w:rPr>
        <w:lastRenderedPageBreak/>
        <w:t xml:space="preserve"> </w:t>
      </w:r>
    </w:p>
    <w:p w14:paraId="69620231" w14:textId="7DFFE28A" w:rsidR="00000F9B" w:rsidRPr="00B64FC6" w:rsidRDefault="00000F9B" w:rsidP="00000F9B">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sidR="008D35EC">
        <w:rPr>
          <w:rStyle w:val="FootnoteReference"/>
          <w:rFonts w:ascii="Myriad Pro" w:hAnsi="Myriad Pro"/>
          <w:color w:val="000000"/>
          <w:sz w:val="21"/>
          <w:szCs w:val="21"/>
        </w:rPr>
        <w:footnoteReference w:id="1"/>
      </w:r>
      <w:r w:rsidR="002240FE">
        <w:rPr>
          <w:rFonts w:ascii="Myriad Pro" w:hAnsi="Myriad Pro"/>
          <w:color w:val="000000"/>
          <w:sz w:val="21"/>
          <w:szCs w:val="21"/>
        </w:rPr>
        <w:t>:</w:t>
      </w:r>
    </w:p>
    <w:p w14:paraId="6FFB0EB4" w14:textId="71ED767D" w:rsidR="00000F9B" w:rsidRPr="00B64FC6" w:rsidRDefault="00000F9B" w:rsidP="00470BC9">
      <w:pPr>
        <w:pStyle w:val="ListParagraph"/>
        <w:numPr>
          <w:ilvl w:val="0"/>
          <w:numId w:val="11"/>
        </w:numPr>
        <w:spacing w:before="120" w:after="120" w:line="240" w:lineRule="auto"/>
        <w:ind w:left="270" w:hanging="270"/>
        <w:contextualSpacing w:val="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0D7007BB" w14:textId="5BA74942" w:rsidR="00000F9B" w:rsidRPr="00B64FC6" w:rsidRDefault="00000F9B" w:rsidP="00470BC9">
      <w:pPr>
        <w:pStyle w:val="ListParagraph"/>
        <w:numPr>
          <w:ilvl w:val="0"/>
          <w:numId w:val="11"/>
        </w:numPr>
        <w:spacing w:before="120" w:after="120" w:line="240" w:lineRule="auto"/>
        <w:ind w:left="270" w:hanging="270"/>
        <w:contextualSpacing w:val="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sidR="007B58D0">
        <w:rPr>
          <w:rFonts w:ascii="Myriad Pro" w:hAnsi="Myriad Pro"/>
          <w:color w:val="000000"/>
          <w:sz w:val="21"/>
          <w:szCs w:val="21"/>
        </w:rPr>
        <w:t xml:space="preserve">TE </w:t>
      </w:r>
      <w:r w:rsidRPr="00B64FC6">
        <w:rPr>
          <w:rFonts w:ascii="Myriad Pro" w:hAnsi="Myriad Pro"/>
          <w:color w:val="000000"/>
          <w:sz w:val="21"/>
          <w:szCs w:val="21"/>
        </w:rPr>
        <w:t>reports).</w:t>
      </w:r>
    </w:p>
    <w:p w14:paraId="0041E733" w14:textId="19DA18FC" w:rsidR="002D07E5" w:rsidRDefault="00000F9B" w:rsidP="00470BC9">
      <w:pPr>
        <w:pStyle w:val="ListParagraph"/>
        <w:numPr>
          <w:ilvl w:val="0"/>
          <w:numId w:val="11"/>
        </w:numPr>
        <w:spacing w:before="120" w:after="120" w:line="252" w:lineRule="auto"/>
        <w:ind w:left="270" w:hanging="270"/>
        <w:contextualSpacing w:val="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518A970B" w14:textId="6ED8BF13" w:rsidR="00341F3F" w:rsidRPr="00BB58C4" w:rsidRDefault="00341F3F" w:rsidP="00BB58C4">
      <w:pPr>
        <w:pStyle w:val="ListParagraph"/>
        <w:numPr>
          <w:ilvl w:val="0"/>
          <w:numId w:val="1"/>
        </w:numPr>
        <w:spacing w:before="600" w:after="240" w:line="240" w:lineRule="auto"/>
        <w:ind w:left="360"/>
        <w:contextualSpacing w:val="0"/>
        <w:rPr>
          <w:rFonts w:ascii="Myriad Pro" w:hAnsi="Myriad Pro"/>
          <w:b/>
          <w:bCs/>
          <w:sz w:val="26"/>
          <w:szCs w:val="26"/>
        </w:rPr>
      </w:pPr>
      <w:r w:rsidRPr="00BB58C4">
        <w:rPr>
          <w:rFonts w:ascii="Myriad Pro" w:hAnsi="Myriad Pro"/>
          <w:b/>
          <w:bCs/>
          <w:sz w:val="26"/>
          <w:szCs w:val="26"/>
        </w:rPr>
        <w:t>APPLICATION PROCESS</w:t>
      </w:r>
    </w:p>
    <w:p w14:paraId="73B617DB" w14:textId="2C8A10BA" w:rsidR="00341F3F" w:rsidRPr="009634EC" w:rsidRDefault="00341F3F" w:rsidP="00EE3481">
      <w:pPr>
        <w:spacing w:before="120" w:after="120" w:line="240" w:lineRule="auto"/>
        <w:rPr>
          <w:rFonts w:ascii="Myriad Pro" w:hAnsi="Myriad Pro"/>
          <w:b/>
          <w:bCs/>
          <w:sz w:val="26"/>
          <w:szCs w:val="26"/>
        </w:rPr>
      </w:pPr>
      <w:r w:rsidRPr="00B54F02">
        <w:rPr>
          <w:b/>
          <w:sz w:val="30"/>
          <w:szCs w:val="30"/>
        </w:rPr>
        <w:t xml:space="preserve">TE evaluator will be selected from </w:t>
      </w:r>
      <w:r w:rsidRPr="00AA63F7">
        <w:rPr>
          <w:b/>
          <w:sz w:val="30"/>
          <w:szCs w:val="30"/>
        </w:rPr>
        <w:t xml:space="preserve">the </w:t>
      </w:r>
      <w:r w:rsidR="00D42DB7" w:rsidRPr="00AA63F7">
        <w:rPr>
          <w:b/>
          <w:sz w:val="30"/>
          <w:szCs w:val="30"/>
        </w:rPr>
        <w:t xml:space="preserve">UNDP </w:t>
      </w:r>
      <w:r w:rsidRPr="00AA63F7">
        <w:rPr>
          <w:b/>
          <w:sz w:val="30"/>
          <w:szCs w:val="30"/>
        </w:rPr>
        <w:t>RBEC vetted roster</w:t>
      </w:r>
      <w:r w:rsidRPr="009634EC">
        <w:rPr>
          <w:b/>
          <w:sz w:val="30"/>
          <w:szCs w:val="30"/>
        </w:rPr>
        <w:t xml:space="preserve"> </w:t>
      </w:r>
    </w:p>
    <w:p w14:paraId="26312228" w14:textId="6BE0C6FD" w:rsidR="00000F9B" w:rsidRPr="00C82088" w:rsidRDefault="00000F9B" w:rsidP="00DB620F">
      <w:pPr>
        <w:rPr>
          <w:rFonts w:ascii="Myriad Pro" w:hAnsi="Myriad Pro"/>
          <w:color w:val="000000"/>
          <w:sz w:val="21"/>
          <w:szCs w:val="21"/>
        </w:rPr>
      </w:pPr>
      <w:r w:rsidRPr="00C82088">
        <w:rPr>
          <w:rFonts w:ascii="Myriad Pro" w:hAnsi="Myriad Pro"/>
          <w:color w:val="000000"/>
          <w:sz w:val="21"/>
          <w:szCs w:val="21"/>
        </w:rPr>
        <w:t>Recommended Presentation of Proposal:</w:t>
      </w:r>
    </w:p>
    <w:p w14:paraId="42782CFF" w14:textId="77777777" w:rsidR="00B54F02" w:rsidRDefault="00341F3F" w:rsidP="00F70FD0">
      <w:pPr>
        <w:pStyle w:val="ListParagraph"/>
        <w:numPr>
          <w:ilvl w:val="0"/>
          <w:numId w:val="3"/>
        </w:numPr>
        <w:spacing w:before="120" w:after="120"/>
        <w:contextualSpacing w:val="0"/>
        <w:jc w:val="both"/>
        <w:rPr>
          <w:rFonts w:ascii="Myriad Pro" w:hAnsi="Myriad Pro"/>
          <w:color w:val="000000"/>
          <w:sz w:val="21"/>
          <w:szCs w:val="21"/>
        </w:rPr>
      </w:pPr>
      <w:r w:rsidRPr="00B54F02">
        <w:rPr>
          <w:rFonts w:ascii="Myriad Pro" w:hAnsi="Myriad Pro"/>
          <w:b/>
          <w:color w:val="000000"/>
          <w:sz w:val="21"/>
          <w:szCs w:val="21"/>
        </w:rPr>
        <w:t xml:space="preserve">Offeror’s </w:t>
      </w:r>
      <w:r w:rsidR="00000F9B" w:rsidRPr="00B54F02">
        <w:rPr>
          <w:rFonts w:ascii="Myriad Pro" w:hAnsi="Myriad Pro"/>
          <w:b/>
          <w:color w:val="000000"/>
          <w:sz w:val="21"/>
          <w:szCs w:val="21"/>
        </w:rPr>
        <w:t xml:space="preserve">Letter </w:t>
      </w:r>
      <w:r w:rsidRPr="00B54F02">
        <w:rPr>
          <w:rFonts w:ascii="Myriad Pro" w:hAnsi="Myriad Pro"/>
          <w:b/>
          <w:color w:val="000000"/>
          <w:sz w:val="21"/>
          <w:szCs w:val="21"/>
        </w:rPr>
        <w:t xml:space="preserve">to UNDP </w:t>
      </w:r>
      <w:r w:rsidR="00000F9B" w:rsidRPr="00B54F02">
        <w:rPr>
          <w:rFonts w:ascii="Myriad Pro" w:hAnsi="Myriad Pro"/>
          <w:b/>
          <w:color w:val="000000"/>
          <w:sz w:val="21"/>
          <w:szCs w:val="21"/>
        </w:rPr>
        <w:t>Confirm</w:t>
      </w:r>
      <w:r w:rsidRPr="00B54F02">
        <w:rPr>
          <w:rFonts w:ascii="Myriad Pro" w:hAnsi="Myriad Pro"/>
          <w:b/>
          <w:color w:val="000000"/>
          <w:sz w:val="21"/>
          <w:szCs w:val="21"/>
        </w:rPr>
        <w:t xml:space="preserve">ing </w:t>
      </w:r>
      <w:r w:rsidR="00000F9B" w:rsidRPr="00B54F02">
        <w:rPr>
          <w:rFonts w:ascii="Myriad Pro" w:hAnsi="Myriad Pro"/>
          <w:b/>
          <w:color w:val="000000"/>
          <w:sz w:val="21"/>
          <w:szCs w:val="21"/>
        </w:rPr>
        <w:t>Interest and Availability</w:t>
      </w:r>
      <w:r w:rsidR="00000F9B" w:rsidRPr="00B54F02">
        <w:rPr>
          <w:rFonts w:ascii="Myriad Pro" w:hAnsi="Myriad Pro"/>
          <w:color w:val="000000"/>
          <w:sz w:val="21"/>
          <w:szCs w:val="21"/>
        </w:rPr>
        <w:t xml:space="preserve"> using the</w:t>
      </w:r>
      <w:r w:rsidR="008D35EC" w:rsidRPr="00B54F02">
        <w:rPr>
          <w:rFonts w:ascii="Myriad Pro" w:hAnsi="Myriad Pro"/>
          <w:color w:val="000000"/>
          <w:sz w:val="21"/>
          <w:szCs w:val="21"/>
        </w:rPr>
        <w:t xml:space="preserve"> template</w:t>
      </w:r>
      <w:r w:rsidR="00000F9B" w:rsidRPr="00B54F02">
        <w:rPr>
          <w:rFonts w:ascii="Myriad Pro" w:hAnsi="Myriad Pro"/>
          <w:color w:val="000000"/>
          <w:sz w:val="21"/>
          <w:szCs w:val="21"/>
        </w:rPr>
        <w:t xml:space="preserve"> </w:t>
      </w:r>
      <w:r w:rsidR="00BB58C4" w:rsidRPr="00B54F02">
        <w:rPr>
          <w:rFonts w:ascii="Myriad Pro" w:hAnsi="Myriad Pro"/>
          <w:color w:val="000000"/>
          <w:sz w:val="21"/>
          <w:szCs w:val="21"/>
        </w:rPr>
        <w:t xml:space="preserve">to be </w:t>
      </w:r>
      <w:r w:rsidR="00000F9B" w:rsidRPr="00B54F02">
        <w:rPr>
          <w:rFonts w:ascii="Myriad Pro" w:hAnsi="Myriad Pro"/>
          <w:color w:val="000000"/>
          <w:sz w:val="21"/>
          <w:szCs w:val="21"/>
        </w:rPr>
        <w:t>provided by UNDP</w:t>
      </w:r>
    </w:p>
    <w:p w14:paraId="5CF94075" w14:textId="6D4849EC" w:rsidR="00000F9B" w:rsidRDefault="00000F9B" w:rsidP="00F70FD0">
      <w:pPr>
        <w:pStyle w:val="ListParagraph"/>
        <w:numPr>
          <w:ilvl w:val="0"/>
          <w:numId w:val="3"/>
        </w:numPr>
        <w:spacing w:before="120" w:after="120"/>
        <w:contextualSpacing w:val="0"/>
        <w:jc w:val="both"/>
        <w:rPr>
          <w:rFonts w:ascii="Myriad Pro" w:hAnsi="Myriad Pro"/>
          <w:color w:val="000000"/>
          <w:sz w:val="21"/>
          <w:szCs w:val="21"/>
        </w:rPr>
      </w:pPr>
      <w:r w:rsidRPr="00B54F02">
        <w:rPr>
          <w:rFonts w:ascii="Myriad Pro" w:hAnsi="Myriad Pro"/>
          <w:b/>
          <w:color w:val="000000"/>
          <w:sz w:val="21"/>
          <w:szCs w:val="21"/>
        </w:rPr>
        <w:t>CV</w:t>
      </w:r>
      <w:r w:rsidR="00341F3F" w:rsidRPr="00B54F02">
        <w:rPr>
          <w:rFonts w:ascii="Myriad Pro" w:hAnsi="Myriad Pro"/>
          <w:color w:val="000000"/>
          <w:sz w:val="21"/>
          <w:szCs w:val="21"/>
        </w:rPr>
        <w:t>, includ</w:t>
      </w:r>
      <w:r w:rsidR="00B54F02">
        <w:rPr>
          <w:rFonts w:ascii="Myriad Pro" w:hAnsi="Myriad Pro"/>
          <w:color w:val="000000"/>
          <w:sz w:val="21"/>
          <w:szCs w:val="21"/>
        </w:rPr>
        <w:t>ing</w:t>
      </w:r>
      <w:r w:rsidR="00341F3F" w:rsidRPr="00B54F02">
        <w:rPr>
          <w:rFonts w:ascii="Myriad Pro" w:hAnsi="Myriad Pro"/>
          <w:color w:val="000000"/>
          <w:sz w:val="21"/>
          <w:szCs w:val="21"/>
        </w:rPr>
        <w:t xml:space="preserve"> Education/Qualification, Processional Certification, Employment Records /Experience </w:t>
      </w:r>
    </w:p>
    <w:p w14:paraId="499EE0BC" w14:textId="77777777" w:rsidR="00C607B5" w:rsidRPr="00AC48CE" w:rsidRDefault="00C607B5" w:rsidP="00C607B5">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w:t>
      </w:r>
      <w:proofErr w:type="spellStart"/>
      <w:r w:rsidRPr="00AC48CE">
        <w:rPr>
          <w:rFonts w:ascii="Myriad Pro" w:hAnsi="Myriad Pro"/>
          <w:color w:val="000000"/>
          <w:sz w:val="21"/>
          <w:szCs w:val="21"/>
        </w:rPr>
        <w:t>etc</w:t>
      </w:r>
      <w:proofErr w:type="spellEnd"/>
      <w:r w:rsidRPr="00AC48CE">
        <w:rPr>
          <w:rFonts w:ascii="Myriad Pro" w:hAnsi="Myriad Pro"/>
          <w:color w:val="000000"/>
          <w:sz w:val="21"/>
          <w:szCs w:val="21"/>
        </w:rPr>
        <w:t xml:space="preserve">), supported by a breakdown of costs, as per template attached to the </w:t>
      </w:r>
      <w:hyperlink r:id="rId18"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0948D1A2" w14:textId="77777777" w:rsidR="00C607B5" w:rsidRPr="00B54F02" w:rsidRDefault="00C607B5" w:rsidP="00C607B5">
      <w:pPr>
        <w:pStyle w:val="ListParagraph"/>
        <w:spacing w:before="120" w:after="120"/>
        <w:contextualSpacing w:val="0"/>
        <w:jc w:val="both"/>
        <w:rPr>
          <w:rFonts w:ascii="Myriad Pro" w:hAnsi="Myriad Pro"/>
          <w:color w:val="000000"/>
          <w:sz w:val="21"/>
          <w:szCs w:val="21"/>
        </w:rPr>
      </w:pPr>
    </w:p>
    <w:p w14:paraId="5763CFA4" w14:textId="7B927457" w:rsidR="00000F9B" w:rsidRDefault="00000F9B" w:rsidP="00C4471A">
      <w:pPr>
        <w:tabs>
          <w:tab w:val="left" w:pos="4680"/>
        </w:tabs>
        <w:jc w:val="both"/>
        <w:rPr>
          <w:rFonts w:ascii="Myriad Pro" w:hAnsi="Myriad Pro"/>
          <w:color w:val="000000"/>
          <w:sz w:val="21"/>
          <w:szCs w:val="21"/>
        </w:rPr>
      </w:pPr>
      <w:r w:rsidRPr="008D35EC">
        <w:rPr>
          <w:rFonts w:ascii="Myriad Pro" w:hAnsi="Myriad Pro"/>
          <w:color w:val="000000"/>
          <w:sz w:val="21"/>
          <w:szCs w:val="21"/>
        </w:rPr>
        <w:t>All application materials should be submitted to the address</w:t>
      </w:r>
      <w:r w:rsidR="00D91946">
        <w:rPr>
          <w:color w:val="000000"/>
          <w:sz w:val="21"/>
          <w:szCs w:val="21"/>
          <w:lang w:val="hy-AM"/>
        </w:rPr>
        <w:t xml:space="preserve">։ </w:t>
      </w:r>
      <w:r w:rsidRPr="008D35EC">
        <w:rPr>
          <w:rFonts w:ascii="Myriad Pro" w:hAnsi="Myriad Pro"/>
          <w:color w:val="000000"/>
          <w:sz w:val="21"/>
          <w:szCs w:val="21"/>
        </w:rPr>
        <w:t xml:space="preserve"> </w:t>
      </w:r>
      <w:hyperlink r:id="rId19" w:history="1">
        <w:r w:rsidR="00D91946" w:rsidRPr="00EE252F">
          <w:rPr>
            <w:rStyle w:val="Hyperlink"/>
            <w:rFonts w:ascii="Myriad Pro" w:hAnsi="Myriad Pro"/>
            <w:sz w:val="21"/>
            <w:szCs w:val="21"/>
          </w:rPr>
          <w:t>silva.abelyan@undp.org</w:t>
        </w:r>
      </w:hyperlink>
      <w:r w:rsidR="00D91946">
        <w:rPr>
          <w:color w:val="000000"/>
          <w:sz w:val="21"/>
          <w:szCs w:val="21"/>
          <w:lang w:val="hy-AM"/>
        </w:rPr>
        <w:t xml:space="preserve"> </w:t>
      </w:r>
      <w:r w:rsidRPr="008D35EC">
        <w:rPr>
          <w:rFonts w:ascii="Myriad Pro" w:hAnsi="Myriad Pro"/>
          <w:color w:val="000000"/>
          <w:sz w:val="21"/>
          <w:szCs w:val="21"/>
        </w:rPr>
        <w:t xml:space="preserve">indicating the following reference “Consultant for Terminal Evaluation of </w:t>
      </w:r>
      <w:bookmarkStart w:id="5" w:name="_Hlk530139037"/>
      <w:r w:rsidR="00C4471A" w:rsidRPr="008D35EC">
        <w:rPr>
          <w:b/>
          <w:bCs/>
          <w:noProof/>
          <w:sz w:val="24"/>
        </w:rPr>
        <w:t xml:space="preserve">“Elimination of obsolete pesticide stockpiles and addressing POPs contaminated sites within a sound chemicals management </w:t>
      </w:r>
      <w:r w:rsidR="00C4471A" w:rsidRPr="00D91946">
        <w:rPr>
          <w:b/>
          <w:bCs/>
          <w:noProof/>
          <w:sz w:val="24"/>
        </w:rPr>
        <w:t>framework</w:t>
      </w:r>
      <w:r w:rsidR="00C4471A" w:rsidRPr="00D91946">
        <w:rPr>
          <w:noProof/>
          <w:sz w:val="24"/>
        </w:rPr>
        <w:t>” full sized project</w:t>
      </w:r>
      <w:r w:rsidR="00D91946">
        <w:rPr>
          <w:noProof/>
          <w:sz w:val="24"/>
        </w:rPr>
        <w:t xml:space="preserve">, </w:t>
      </w:r>
      <w:bookmarkEnd w:id="5"/>
      <w:r w:rsidR="0068402B" w:rsidRPr="00354A19">
        <w:rPr>
          <w:rFonts w:ascii="Myriad Pro" w:hAnsi="Myriad Pro"/>
          <w:sz w:val="21"/>
          <w:szCs w:val="21"/>
          <w:shd w:val="clear" w:color="auto" w:fill="D9D9D9" w:themeFill="background1" w:themeFillShade="D9"/>
        </w:rPr>
        <w:t xml:space="preserve">no later </w:t>
      </w:r>
      <w:r w:rsidR="008361D0" w:rsidRPr="00354A19">
        <w:rPr>
          <w:rFonts w:ascii="Myriad Pro" w:hAnsi="Myriad Pro"/>
          <w:sz w:val="21"/>
          <w:szCs w:val="21"/>
          <w:shd w:val="clear" w:color="auto" w:fill="D9D9D9" w:themeFill="background1" w:themeFillShade="D9"/>
        </w:rPr>
        <w:t xml:space="preserve">than </w:t>
      </w:r>
      <w:r w:rsidR="00D91946" w:rsidRPr="00354A19">
        <w:rPr>
          <w:sz w:val="21"/>
          <w:szCs w:val="21"/>
          <w:shd w:val="clear" w:color="auto" w:fill="D9D9D9" w:themeFill="background1" w:themeFillShade="D9"/>
        </w:rPr>
        <w:t>day/time indicated in the distribution email.</w:t>
      </w:r>
      <w:r w:rsidR="00D91946" w:rsidRPr="00D91946">
        <w:rPr>
          <w:sz w:val="21"/>
          <w:szCs w:val="21"/>
          <w:shd w:val="clear" w:color="auto" w:fill="D9D9D9" w:themeFill="background1" w:themeFillShade="D9"/>
        </w:rPr>
        <w:t xml:space="preserve"> </w:t>
      </w:r>
      <w:r w:rsidRPr="00D91946">
        <w:rPr>
          <w:rFonts w:ascii="Myriad Pro" w:hAnsi="Myriad Pro"/>
          <w:color w:val="000000"/>
          <w:sz w:val="21"/>
          <w:szCs w:val="21"/>
        </w:rPr>
        <w:t>Incomplete applications will be excluded from further consideration.</w:t>
      </w:r>
    </w:p>
    <w:p w14:paraId="0CD55D9B" w14:textId="7BD7DAFC" w:rsidR="0046666A" w:rsidRDefault="007A29F1" w:rsidP="00F845AC">
      <w:pPr>
        <w:spacing w:before="120" w:after="120"/>
        <w:rPr>
          <w:rFonts w:ascii="Myriad Pro" w:hAnsi="Myriad Pro"/>
          <w:color w:val="000000"/>
          <w:sz w:val="21"/>
          <w:szCs w:val="21"/>
        </w:rPr>
      </w:pPr>
      <w:r w:rsidRPr="009537E1">
        <w:rPr>
          <w:rFonts w:ascii="Myriad Pro" w:hAnsi="Myriad Pro"/>
          <w:b/>
          <w:color w:val="000000"/>
          <w:sz w:val="21"/>
          <w:szCs w:val="21"/>
        </w:rPr>
        <w:lastRenderedPageBreak/>
        <w:t xml:space="preserve">Criteria for Evaluation of Proposal: </w:t>
      </w:r>
      <w:r w:rsidR="00000F9B" w:rsidRPr="009537E1">
        <w:rPr>
          <w:rFonts w:ascii="Myriad Pro" w:hAnsi="Myriad Pro"/>
          <w:color w:val="000000"/>
          <w:sz w:val="21"/>
          <w:szCs w:val="21"/>
        </w:rPr>
        <w:t xml:space="preserve">Only those applications which are responsive and compliant </w:t>
      </w:r>
      <w:r w:rsidR="00121C0C">
        <w:rPr>
          <w:rFonts w:ascii="Myriad Pro" w:hAnsi="Myriad Pro"/>
          <w:color w:val="000000"/>
          <w:sz w:val="21"/>
          <w:szCs w:val="21"/>
        </w:rPr>
        <w:t>will be evaluated</w:t>
      </w:r>
      <w:r w:rsidR="00BD47D0">
        <w:rPr>
          <w:rFonts w:ascii="Myriad Pro" w:hAnsi="Myriad Pro"/>
          <w:color w:val="000000"/>
          <w:sz w:val="21"/>
          <w:szCs w:val="21"/>
        </w:rPr>
        <w:t xml:space="preserve">. Applications </w:t>
      </w:r>
      <w:r w:rsidR="00470BC9" w:rsidRPr="009537E1">
        <w:rPr>
          <w:rFonts w:ascii="Myriad Pro" w:hAnsi="Myriad Pro"/>
          <w:color w:val="000000"/>
          <w:sz w:val="21"/>
          <w:szCs w:val="21"/>
        </w:rPr>
        <w:t>obtaining a minimum of 70 points for Technical Criteria would be considered for the Financial Evaluation</w:t>
      </w:r>
      <w:r w:rsidR="00000F9B" w:rsidRPr="009537E1">
        <w:rPr>
          <w:rFonts w:ascii="Myriad Pro" w:hAnsi="Myriad Pro"/>
          <w:color w:val="000000"/>
          <w:sz w:val="21"/>
          <w:szCs w:val="21"/>
        </w:rPr>
        <w:t xml:space="preserve">. Offers will be evaluated according to the Combined Scoring method </w:t>
      </w:r>
      <w:r w:rsidR="00B63E24" w:rsidRPr="00AC48CE">
        <w:rPr>
          <w:rFonts w:ascii="Myriad Pro" w:hAnsi="Myriad Pro"/>
          <w:color w:val="000000"/>
          <w:sz w:val="21"/>
          <w:szCs w:val="21"/>
        </w:rPr>
        <w:t>–</w:t>
      </w:r>
      <w:r w:rsidR="00B63E24">
        <w:rPr>
          <w:rFonts w:ascii="Myriad Pro" w:hAnsi="Myriad Pro"/>
          <w:color w:val="000000"/>
          <w:sz w:val="21"/>
          <w:szCs w:val="21"/>
        </w:rPr>
        <w:t xml:space="preserve"> </w:t>
      </w:r>
      <w:r w:rsidR="00B63E24" w:rsidRPr="00AC48CE">
        <w:rPr>
          <w:rFonts w:ascii="Myriad Pro" w:hAnsi="Myriad Pro"/>
          <w:color w:val="000000"/>
          <w:sz w:val="21"/>
          <w:szCs w:val="21"/>
        </w:rPr>
        <w:t>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r w:rsidR="0046666A" w:rsidRPr="0046666A">
        <w:rPr>
          <w:rFonts w:ascii="Myriad Pro" w:hAnsi="Myriad Pro"/>
          <w:color w:val="000000"/>
          <w:sz w:val="21"/>
          <w:szCs w:val="21"/>
        </w:rPr>
        <w:t xml:space="preserve"> </w:t>
      </w:r>
    </w:p>
    <w:p w14:paraId="442819A3" w14:textId="77777777" w:rsidR="00000F9B" w:rsidRPr="005C29D4" w:rsidRDefault="00000F9B" w:rsidP="00A16B91">
      <w:pPr>
        <w:pStyle w:val="ListParagraph"/>
        <w:numPr>
          <w:ilvl w:val="0"/>
          <w:numId w:val="1"/>
        </w:numPr>
        <w:spacing w:before="600" w:after="240"/>
        <w:ind w:left="360"/>
        <w:contextualSpacing w:val="0"/>
        <w:rPr>
          <w:rFonts w:ascii="Myriad Pro" w:hAnsi="Myriad Pro"/>
          <w:b/>
          <w:bCs/>
          <w:sz w:val="26"/>
          <w:szCs w:val="26"/>
        </w:rPr>
      </w:pPr>
      <w:r w:rsidRPr="005C29D4">
        <w:rPr>
          <w:rFonts w:ascii="Myriad Pro" w:hAnsi="Myriad Pro"/>
          <w:b/>
          <w:bCs/>
          <w:sz w:val="26"/>
          <w:szCs w:val="26"/>
        </w:rPr>
        <w:t>TOR ANNEXES</w:t>
      </w:r>
    </w:p>
    <w:p w14:paraId="4670271C" w14:textId="77777777" w:rsidR="00000F9B" w:rsidRPr="00DE193D" w:rsidRDefault="00000F9B" w:rsidP="001D75DC">
      <w:pPr>
        <w:pStyle w:val="ListParagraph"/>
        <w:numPr>
          <w:ilvl w:val="0"/>
          <w:numId w:val="7"/>
        </w:numPr>
        <w:spacing w:before="24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A: Project Logical/Results Framework</w:t>
      </w:r>
    </w:p>
    <w:p w14:paraId="579936A3" w14:textId="6821DA53" w:rsidR="00000F9B" w:rsidRPr="00DE193D"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B: Project Information Package to be reviewed by TE </w:t>
      </w:r>
      <w:r w:rsidR="00C73519">
        <w:rPr>
          <w:rFonts w:ascii="Myriad Pro" w:hAnsi="Myriad Pro"/>
          <w:color w:val="000000"/>
          <w:sz w:val="21"/>
          <w:szCs w:val="21"/>
        </w:rPr>
        <w:t>evaluator</w:t>
      </w:r>
    </w:p>
    <w:p w14:paraId="2D9AE3C7" w14:textId="6BAD344B" w:rsidR="00000F9B" w:rsidRPr="00CB18FE"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C: Content of the TE report</w:t>
      </w:r>
    </w:p>
    <w:p w14:paraId="2A2115A6" w14:textId="6250FE0B" w:rsidR="00000F9B" w:rsidRPr="00DE193D"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D</w:t>
      </w:r>
      <w:r w:rsidRPr="00DE193D">
        <w:rPr>
          <w:rFonts w:ascii="Myriad Pro" w:hAnsi="Myriad Pro"/>
          <w:color w:val="000000"/>
          <w:sz w:val="21"/>
          <w:szCs w:val="21"/>
        </w:rPr>
        <w:t>: Evaluation Criteria Matrix template</w:t>
      </w:r>
    </w:p>
    <w:p w14:paraId="5248384D" w14:textId="18315458" w:rsidR="00000F9B" w:rsidRPr="00DE193D"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E</w:t>
      </w:r>
      <w:r w:rsidRPr="00DE193D">
        <w:rPr>
          <w:rFonts w:ascii="Myriad Pro" w:hAnsi="Myriad Pro"/>
          <w:color w:val="000000"/>
          <w:sz w:val="21"/>
          <w:szCs w:val="21"/>
        </w:rPr>
        <w:t>: UNEG Code of Conduct for Evaluators</w:t>
      </w:r>
    </w:p>
    <w:p w14:paraId="37A4C840" w14:textId="62F5FB10" w:rsidR="00000F9B" w:rsidRPr="00DE193D"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F</w:t>
      </w:r>
      <w:r w:rsidRPr="00DE193D">
        <w:rPr>
          <w:rFonts w:ascii="Myriad Pro" w:hAnsi="Myriad Pro"/>
          <w:color w:val="000000"/>
          <w:sz w:val="21"/>
          <w:szCs w:val="21"/>
        </w:rPr>
        <w:t>: TE Rating Scales</w:t>
      </w:r>
    </w:p>
    <w:p w14:paraId="47A316C4" w14:textId="4A7714EB" w:rsidR="00000F9B" w:rsidRPr="00DE193D"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G</w:t>
      </w:r>
      <w:r w:rsidRPr="00DE193D">
        <w:rPr>
          <w:rFonts w:ascii="Myriad Pro" w:hAnsi="Myriad Pro"/>
          <w:color w:val="000000"/>
          <w:sz w:val="21"/>
          <w:szCs w:val="21"/>
        </w:rPr>
        <w:t>: TE Report Clearance Form</w:t>
      </w:r>
    </w:p>
    <w:p w14:paraId="56AD3D09" w14:textId="6D02F6E3" w:rsidR="00000F9B" w:rsidRPr="00DE193D" w:rsidRDefault="00000F9B" w:rsidP="001D75DC">
      <w:pPr>
        <w:pStyle w:val="ListParagraph"/>
        <w:numPr>
          <w:ilvl w:val="0"/>
          <w:numId w:val="7"/>
        </w:numPr>
        <w:spacing w:before="120" w:after="120"/>
        <w:contextualSpacing w:val="0"/>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H</w:t>
      </w:r>
      <w:r w:rsidRPr="00DE193D">
        <w:rPr>
          <w:rFonts w:ascii="Myriad Pro" w:hAnsi="Myriad Pro"/>
          <w:color w:val="000000"/>
          <w:sz w:val="21"/>
          <w:szCs w:val="21"/>
        </w:rPr>
        <w:t>: TE Audit Trail</w:t>
      </w:r>
    </w:p>
    <w:p w14:paraId="775BBC84" w14:textId="518815E6" w:rsidR="00E55941" w:rsidRDefault="00E55941" w:rsidP="001D75DC">
      <w:pPr>
        <w:spacing w:before="120" w:after="120"/>
        <w:sectPr w:rsidR="00E55941" w:rsidSect="00470BC9">
          <w:footerReference w:type="default" r:id="rId20"/>
          <w:pgSz w:w="12240" w:h="15840"/>
          <w:pgMar w:top="994" w:right="1152" w:bottom="990" w:left="1440" w:header="720" w:footer="0" w:gutter="0"/>
          <w:cols w:space="720"/>
          <w:docGrid w:linePitch="360"/>
        </w:sectPr>
      </w:pPr>
    </w:p>
    <w:p w14:paraId="590F1433" w14:textId="7846EF36" w:rsidR="00BD1612" w:rsidRDefault="00BD1612" w:rsidP="00BD1612">
      <w:pPr>
        <w:rPr>
          <w:rFonts w:ascii="Myriad Pro" w:hAnsi="Myriad Pro"/>
          <w:b/>
          <w:bCs/>
          <w:sz w:val="26"/>
          <w:szCs w:val="26"/>
        </w:rPr>
      </w:pPr>
      <w:proofErr w:type="spellStart"/>
      <w:r w:rsidRPr="00BD1612">
        <w:rPr>
          <w:rFonts w:ascii="Myriad Pro" w:hAnsi="Myriad Pro"/>
          <w:b/>
          <w:bCs/>
          <w:sz w:val="26"/>
          <w:szCs w:val="26"/>
        </w:rPr>
        <w:lastRenderedPageBreak/>
        <w:t>ToR</w:t>
      </w:r>
      <w:proofErr w:type="spellEnd"/>
      <w:r w:rsidRPr="00BD1612">
        <w:rPr>
          <w:rFonts w:ascii="Myriad Pro" w:hAnsi="Myriad Pro"/>
          <w:b/>
          <w:bCs/>
          <w:sz w:val="26"/>
          <w:szCs w:val="26"/>
        </w:rPr>
        <w:t xml:space="preserve"> Annex A: Project Logical/Results Framework</w:t>
      </w:r>
    </w:p>
    <w:p w14:paraId="46DE1E0B" w14:textId="77777777" w:rsidR="00E55941" w:rsidRDefault="00E55941" w:rsidP="00E55941">
      <w:pPr>
        <w:jc w:val="center"/>
        <w:rPr>
          <w:b/>
        </w:rPr>
      </w:pPr>
      <w:r w:rsidRPr="00A76D84">
        <w:rPr>
          <w:b/>
        </w:rPr>
        <w:t>Elimination of obsolete pesticide stockpiles and addressing POPs contaminated sites within a Sound Chemicals Management Framework in Armenia” UNDP-GEF full-sized project</w:t>
      </w:r>
    </w:p>
    <w:tbl>
      <w:tblPr>
        <w:tblStyle w:val="TableGrid"/>
        <w:tblW w:w="15300" w:type="dxa"/>
        <w:tblInd w:w="-995" w:type="dxa"/>
        <w:tblLayout w:type="fixed"/>
        <w:tblCellMar>
          <w:left w:w="115" w:type="dxa"/>
          <w:right w:w="115" w:type="dxa"/>
        </w:tblCellMar>
        <w:tblLook w:val="04A0" w:firstRow="1" w:lastRow="0" w:firstColumn="1" w:lastColumn="0" w:noHBand="0" w:noVBand="1"/>
      </w:tblPr>
      <w:tblGrid>
        <w:gridCol w:w="2070"/>
        <w:gridCol w:w="2880"/>
        <w:gridCol w:w="3240"/>
        <w:gridCol w:w="3510"/>
        <w:gridCol w:w="3600"/>
      </w:tblGrid>
      <w:tr w:rsidR="00E55941" w:rsidRPr="003E5FB6" w14:paraId="2B467014" w14:textId="77777777" w:rsidTr="00E55941">
        <w:trPr>
          <w:trHeight w:val="405"/>
          <w:tblHeader/>
        </w:trPr>
        <w:tc>
          <w:tcPr>
            <w:tcW w:w="2070" w:type="dxa"/>
            <w:shd w:val="clear" w:color="auto" w:fill="D9E2F3" w:themeFill="accent1" w:themeFillTint="33"/>
            <w:hideMark/>
          </w:tcPr>
          <w:p w14:paraId="1A6EC20D" w14:textId="77777777" w:rsidR="00E55941" w:rsidRPr="003E5FB6" w:rsidRDefault="00E55941" w:rsidP="00E55941">
            <w:pPr>
              <w:spacing w:before="40" w:after="40"/>
              <w:rPr>
                <w:b/>
                <w:bCs/>
                <w:sz w:val="20"/>
                <w:szCs w:val="20"/>
              </w:rPr>
            </w:pPr>
            <w:r w:rsidRPr="003E5FB6">
              <w:rPr>
                <w:b/>
                <w:bCs/>
                <w:sz w:val="20"/>
                <w:szCs w:val="20"/>
              </w:rPr>
              <w:t>Objective/Outcome</w:t>
            </w:r>
          </w:p>
        </w:tc>
        <w:tc>
          <w:tcPr>
            <w:tcW w:w="2880" w:type="dxa"/>
            <w:shd w:val="clear" w:color="auto" w:fill="D9E2F3" w:themeFill="accent1" w:themeFillTint="33"/>
            <w:hideMark/>
          </w:tcPr>
          <w:p w14:paraId="26173C60" w14:textId="77777777" w:rsidR="00E55941" w:rsidRPr="003E5FB6" w:rsidRDefault="00E55941" w:rsidP="00E55941">
            <w:pPr>
              <w:spacing w:before="40" w:after="40"/>
              <w:rPr>
                <w:b/>
                <w:bCs/>
                <w:sz w:val="20"/>
                <w:szCs w:val="20"/>
              </w:rPr>
            </w:pPr>
            <w:r w:rsidRPr="003E5FB6">
              <w:rPr>
                <w:b/>
                <w:bCs/>
                <w:sz w:val="20"/>
                <w:szCs w:val="20"/>
              </w:rPr>
              <w:t>Indicator</w:t>
            </w:r>
          </w:p>
        </w:tc>
        <w:tc>
          <w:tcPr>
            <w:tcW w:w="3240" w:type="dxa"/>
            <w:shd w:val="clear" w:color="auto" w:fill="D9E2F3" w:themeFill="accent1" w:themeFillTint="33"/>
            <w:hideMark/>
          </w:tcPr>
          <w:p w14:paraId="6473E592" w14:textId="77777777" w:rsidR="00E55941" w:rsidRPr="003E5FB6" w:rsidRDefault="00E55941" w:rsidP="00E55941">
            <w:pPr>
              <w:spacing w:before="40" w:after="40"/>
              <w:rPr>
                <w:b/>
                <w:bCs/>
                <w:sz w:val="20"/>
                <w:szCs w:val="20"/>
              </w:rPr>
            </w:pPr>
            <w:r w:rsidRPr="003E5FB6">
              <w:rPr>
                <w:b/>
                <w:bCs/>
                <w:sz w:val="20"/>
                <w:szCs w:val="20"/>
              </w:rPr>
              <w:t>Baseline</w:t>
            </w:r>
          </w:p>
        </w:tc>
        <w:tc>
          <w:tcPr>
            <w:tcW w:w="3510" w:type="dxa"/>
            <w:shd w:val="clear" w:color="auto" w:fill="D9E2F3" w:themeFill="accent1" w:themeFillTint="33"/>
            <w:hideMark/>
          </w:tcPr>
          <w:p w14:paraId="4D3B02CE" w14:textId="77777777" w:rsidR="00E55941" w:rsidRPr="003E5FB6" w:rsidRDefault="00E55941" w:rsidP="00E55941">
            <w:pPr>
              <w:spacing w:before="40" w:after="40"/>
              <w:rPr>
                <w:b/>
                <w:bCs/>
                <w:sz w:val="20"/>
                <w:szCs w:val="20"/>
              </w:rPr>
            </w:pPr>
            <w:r w:rsidRPr="003E5FB6">
              <w:rPr>
                <w:b/>
                <w:bCs/>
                <w:sz w:val="20"/>
                <w:szCs w:val="20"/>
              </w:rPr>
              <w:t>Mid-term target</w:t>
            </w:r>
          </w:p>
        </w:tc>
        <w:tc>
          <w:tcPr>
            <w:tcW w:w="3600" w:type="dxa"/>
            <w:shd w:val="clear" w:color="auto" w:fill="D9E2F3" w:themeFill="accent1" w:themeFillTint="33"/>
            <w:hideMark/>
          </w:tcPr>
          <w:p w14:paraId="6BE780D6" w14:textId="77777777" w:rsidR="00E55941" w:rsidRPr="003E5FB6" w:rsidRDefault="00E55941" w:rsidP="00E55941">
            <w:pPr>
              <w:spacing w:before="40" w:after="40"/>
              <w:rPr>
                <w:b/>
                <w:bCs/>
                <w:sz w:val="20"/>
                <w:szCs w:val="20"/>
              </w:rPr>
            </w:pPr>
            <w:r w:rsidRPr="003E5FB6">
              <w:rPr>
                <w:b/>
                <w:bCs/>
                <w:sz w:val="20"/>
                <w:szCs w:val="20"/>
              </w:rPr>
              <w:t>End-project target</w:t>
            </w:r>
          </w:p>
        </w:tc>
      </w:tr>
      <w:tr w:rsidR="00E55941" w:rsidRPr="003E5FB6" w14:paraId="2AA69DEF" w14:textId="77777777" w:rsidTr="00E55941">
        <w:trPr>
          <w:trHeight w:val="3905"/>
        </w:trPr>
        <w:tc>
          <w:tcPr>
            <w:tcW w:w="2070" w:type="dxa"/>
            <w:hideMark/>
          </w:tcPr>
          <w:p w14:paraId="48467D1E" w14:textId="77777777" w:rsidR="00E55941" w:rsidRPr="003E5FB6" w:rsidRDefault="00E55941" w:rsidP="00E55941">
            <w:pPr>
              <w:spacing w:before="40" w:after="40"/>
              <w:rPr>
                <w:sz w:val="20"/>
                <w:szCs w:val="20"/>
              </w:rPr>
            </w:pPr>
            <w:r w:rsidRPr="003E5FB6">
              <w:rPr>
                <w:b/>
                <w:bCs/>
                <w:sz w:val="20"/>
                <w:szCs w:val="20"/>
              </w:rPr>
              <w:t>Objective:</w:t>
            </w:r>
            <w:r w:rsidRPr="003E5FB6">
              <w:rPr>
                <w:sz w:val="20"/>
                <w:szCs w:val="20"/>
              </w:rPr>
              <w:br/>
              <w:t xml:space="preserve">Protection of health and environment through elimination of obsolete pesticide stockpiles and addressing contaminated sites </w:t>
            </w:r>
            <w:r>
              <w:rPr>
                <w:sz w:val="20"/>
                <w:szCs w:val="20"/>
              </w:rPr>
              <w:t>within</w:t>
            </w:r>
            <w:r w:rsidRPr="003E5FB6">
              <w:rPr>
                <w:sz w:val="20"/>
                <w:szCs w:val="20"/>
              </w:rPr>
              <w:t xml:space="preserve"> a sound chemicals management strategy</w:t>
            </w:r>
          </w:p>
        </w:tc>
        <w:tc>
          <w:tcPr>
            <w:tcW w:w="2880" w:type="dxa"/>
            <w:hideMark/>
          </w:tcPr>
          <w:p w14:paraId="533AB72C" w14:textId="77777777" w:rsidR="00E55941" w:rsidRPr="003E5FB6" w:rsidRDefault="00E55941" w:rsidP="00E55941">
            <w:pPr>
              <w:spacing w:before="40" w:after="40"/>
              <w:rPr>
                <w:sz w:val="20"/>
                <w:szCs w:val="20"/>
              </w:rPr>
            </w:pPr>
            <w:r w:rsidRPr="003E5FB6">
              <w:rPr>
                <w:sz w:val="20"/>
                <w:szCs w:val="20"/>
              </w:rPr>
              <w:t xml:space="preserve">Obsolete pesticides (OPs) stockpiles including POPs pesticides (Category 1 waste) </w:t>
            </w:r>
            <w:r>
              <w:rPr>
                <w:sz w:val="20"/>
                <w:szCs w:val="20"/>
              </w:rPr>
              <w:t xml:space="preserve">and highly contaminated soil (Category 2 waste) </w:t>
            </w:r>
            <w:r w:rsidRPr="003E5FB6">
              <w:rPr>
                <w:sz w:val="20"/>
                <w:szCs w:val="20"/>
              </w:rPr>
              <w:t>are securely packaged</w:t>
            </w:r>
            <w:r>
              <w:rPr>
                <w:sz w:val="20"/>
                <w:szCs w:val="20"/>
              </w:rPr>
              <w:t xml:space="preserve"> and/or </w:t>
            </w:r>
            <w:r w:rsidRPr="003E5FB6">
              <w:rPr>
                <w:sz w:val="20"/>
                <w:szCs w:val="20"/>
              </w:rPr>
              <w:t>stored pending elimination</w:t>
            </w:r>
            <w:r>
              <w:rPr>
                <w:sz w:val="20"/>
                <w:szCs w:val="20"/>
              </w:rPr>
              <w:t xml:space="preserve">; low contaminated soil (Category 3 waste) stored pending backfilling </w:t>
            </w:r>
          </w:p>
        </w:tc>
        <w:tc>
          <w:tcPr>
            <w:tcW w:w="3240" w:type="dxa"/>
            <w:hideMark/>
          </w:tcPr>
          <w:p w14:paraId="0E91F392" w14:textId="77777777" w:rsidR="00E55941" w:rsidRDefault="00E55941" w:rsidP="00E55941">
            <w:pPr>
              <w:spacing w:before="40" w:after="40"/>
              <w:rPr>
                <w:sz w:val="20"/>
                <w:szCs w:val="20"/>
              </w:rPr>
            </w:pPr>
            <w:r w:rsidRPr="003E5FB6">
              <w:rPr>
                <w:sz w:val="20"/>
                <w:szCs w:val="20"/>
              </w:rPr>
              <w:t xml:space="preserve">The major current obsolete pesticides (OPs) stockpile site and major remaining location of POPs pesticides at the </w:t>
            </w:r>
            <w:proofErr w:type="spellStart"/>
            <w:r w:rsidRPr="003E5FB6">
              <w:rPr>
                <w:sz w:val="20"/>
                <w:szCs w:val="20"/>
              </w:rPr>
              <w:t>Nubarashen</w:t>
            </w:r>
            <w:proofErr w:type="spellEnd"/>
            <w:r w:rsidRPr="003E5FB6">
              <w:rPr>
                <w:sz w:val="20"/>
                <w:szCs w:val="20"/>
              </w:rPr>
              <w:t xml:space="preserve"> burial site is in a state that creates a risk to health and the environment. And has expanded to create a significant contaminated si</w:t>
            </w:r>
            <w:r>
              <w:rPr>
                <w:sz w:val="20"/>
                <w:szCs w:val="20"/>
              </w:rPr>
              <w:t>te</w:t>
            </w:r>
          </w:p>
          <w:p w14:paraId="1039E0B0" w14:textId="77777777" w:rsidR="00E55941" w:rsidRDefault="00E55941" w:rsidP="00E55941">
            <w:pPr>
              <w:spacing w:before="40" w:after="40"/>
              <w:rPr>
                <w:sz w:val="20"/>
                <w:szCs w:val="20"/>
              </w:rPr>
            </w:pPr>
            <w:r w:rsidRPr="003E5FB6">
              <w:rPr>
                <w:sz w:val="20"/>
                <w:szCs w:val="20"/>
              </w:rPr>
              <w:t>Lesser stockpiles and associated site contamination exist unaddressed at 24 OP storehouses</w:t>
            </w:r>
          </w:p>
          <w:p w14:paraId="176D7FB4" w14:textId="77777777" w:rsidR="00E55941" w:rsidRPr="003E5FB6" w:rsidRDefault="00E55941" w:rsidP="00E55941">
            <w:pPr>
              <w:spacing w:before="40" w:after="40"/>
              <w:rPr>
                <w:sz w:val="20"/>
                <w:szCs w:val="20"/>
              </w:rPr>
            </w:pPr>
            <w:r w:rsidRPr="003E5FB6">
              <w:rPr>
                <w:sz w:val="20"/>
                <w:szCs w:val="20"/>
              </w:rPr>
              <w:t>Contaminated soils classified sufficiently to constitute a potent risk remain uncontained at some of these storehouse sites</w:t>
            </w:r>
          </w:p>
        </w:tc>
        <w:tc>
          <w:tcPr>
            <w:tcW w:w="3510" w:type="dxa"/>
            <w:hideMark/>
          </w:tcPr>
          <w:p w14:paraId="5EC8E5F8" w14:textId="77777777" w:rsidR="00E55941" w:rsidRDefault="00E55941" w:rsidP="00E55941">
            <w:pPr>
              <w:spacing w:before="40" w:after="40"/>
              <w:rPr>
                <w:sz w:val="20"/>
                <w:szCs w:val="20"/>
              </w:rPr>
            </w:pPr>
            <w:r w:rsidRPr="003E5FB6">
              <w:rPr>
                <w:sz w:val="20"/>
                <w:szCs w:val="20"/>
              </w:rPr>
              <w:t xml:space="preserve">1,052 t of obsolete pesticides (OPs) and POPs pesticides (Category 1 waste) </w:t>
            </w:r>
            <w:r>
              <w:rPr>
                <w:sz w:val="20"/>
                <w:szCs w:val="20"/>
              </w:rPr>
              <w:t xml:space="preserve">excavated, </w:t>
            </w:r>
            <w:proofErr w:type="gramStart"/>
            <w:r>
              <w:rPr>
                <w:sz w:val="20"/>
                <w:szCs w:val="20"/>
              </w:rPr>
              <w:t>packaged</w:t>
            </w:r>
            <w:proofErr w:type="gramEnd"/>
            <w:r>
              <w:rPr>
                <w:sz w:val="20"/>
                <w:szCs w:val="20"/>
              </w:rPr>
              <w:t xml:space="preserve"> and </w:t>
            </w:r>
            <w:r w:rsidRPr="003E5FB6">
              <w:rPr>
                <w:sz w:val="20"/>
                <w:szCs w:val="20"/>
              </w:rPr>
              <w:t xml:space="preserve">securely stored pending </w:t>
            </w:r>
            <w:r>
              <w:rPr>
                <w:sz w:val="20"/>
                <w:szCs w:val="20"/>
              </w:rPr>
              <w:t xml:space="preserve">removal and </w:t>
            </w:r>
            <w:r w:rsidRPr="003E5FB6">
              <w:rPr>
                <w:sz w:val="20"/>
                <w:szCs w:val="20"/>
              </w:rPr>
              <w:t xml:space="preserve">environmental sound </w:t>
            </w:r>
            <w:r>
              <w:rPr>
                <w:sz w:val="20"/>
                <w:szCs w:val="20"/>
              </w:rPr>
              <w:t>disposal</w:t>
            </w:r>
            <w:r w:rsidRPr="003E5FB6">
              <w:rPr>
                <w:sz w:val="20"/>
                <w:szCs w:val="20"/>
              </w:rPr>
              <w:br/>
            </w:r>
          </w:p>
          <w:p w14:paraId="5C2B432B" w14:textId="77777777" w:rsidR="00E55941" w:rsidRDefault="00E55941" w:rsidP="00E55941">
            <w:pPr>
              <w:spacing w:before="40" w:after="40"/>
              <w:rPr>
                <w:sz w:val="20"/>
                <w:szCs w:val="20"/>
              </w:rPr>
            </w:pPr>
            <w:r w:rsidRPr="003E5FB6">
              <w:rPr>
                <w:sz w:val="20"/>
                <w:szCs w:val="20"/>
              </w:rPr>
              <w:t>4,123 t of highly contaminated POPs waste</w:t>
            </w:r>
            <w:r>
              <w:rPr>
                <w:sz w:val="20"/>
                <w:szCs w:val="20"/>
              </w:rPr>
              <w:t>/</w:t>
            </w:r>
            <w:r w:rsidRPr="003E5FB6">
              <w:rPr>
                <w:sz w:val="20"/>
                <w:szCs w:val="20"/>
              </w:rPr>
              <w:t>soil</w:t>
            </w:r>
            <w:r>
              <w:rPr>
                <w:sz w:val="20"/>
                <w:szCs w:val="20"/>
              </w:rPr>
              <w:t xml:space="preserve"> (</w:t>
            </w:r>
            <w:r w:rsidRPr="003E5FB6">
              <w:rPr>
                <w:sz w:val="20"/>
                <w:szCs w:val="20"/>
              </w:rPr>
              <w:t>Category 2 waste)</w:t>
            </w:r>
            <w:r>
              <w:rPr>
                <w:sz w:val="20"/>
                <w:szCs w:val="20"/>
              </w:rPr>
              <w:t xml:space="preserve"> and</w:t>
            </w:r>
          </w:p>
          <w:p w14:paraId="02BCADEE" w14:textId="77777777" w:rsidR="00E55941" w:rsidRPr="003E5FB6" w:rsidRDefault="00E55941" w:rsidP="00E55941">
            <w:pPr>
              <w:spacing w:before="40" w:after="40"/>
              <w:rPr>
                <w:sz w:val="20"/>
                <w:szCs w:val="20"/>
              </w:rPr>
            </w:pPr>
            <w:r w:rsidRPr="003E5FB6">
              <w:rPr>
                <w:sz w:val="20"/>
                <w:szCs w:val="20"/>
              </w:rPr>
              <w:t xml:space="preserve">8,500 t of POPs low contaminated </w:t>
            </w:r>
            <w:r>
              <w:rPr>
                <w:sz w:val="20"/>
                <w:szCs w:val="20"/>
              </w:rPr>
              <w:t>waste/</w:t>
            </w:r>
            <w:r w:rsidRPr="003E5FB6">
              <w:rPr>
                <w:sz w:val="20"/>
                <w:szCs w:val="20"/>
              </w:rPr>
              <w:t xml:space="preserve">soil (Category 3 </w:t>
            </w:r>
            <w:r>
              <w:rPr>
                <w:sz w:val="20"/>
                <w:szCs w:val="20"/>
              </w:rPr>
              <w:t>soil</w:t>
            </w:r>
            <w:r w:rsidRPr="003E5FB6">
              <w:rPr>
                <w:sz w:val="20"/>
                <w:szCs w:val="20"/>
              </w:rPr>
              <w:t xml:space="preserve">) </w:t>
            </w:r>
            <w:r>
              <w:rPr>
                <w:sz w:val="20"/>
                <w:szCs w:val="20"/>
              </w:rPr>
              <w:t xml:space="preserve">excavated and safeguarded for temporary storage on-site </w:t>
            </w:r>
          </w:p>
        </w:tc>
        <w:tc>
          <w:tcPr>
            <w:tcW w:w="3600" w:type="dxa"/>
            <w:hideMark/>
          </w:tcPr>
          <w:p w14:paraId="1B6926C1" w14:textId="77777777" w:rsidR="00E55941" w:rsidRDefault="00E55941" w:rsidP="00E55941">
            <w:pPr>
              <w:spacing w:before="40" w:after="40"/>
              <w:rPr>
                <w:sz w:val="20"/>
                <w:szCs w:val="20"/>
              </w:rPr>
            </w:pPr>
            <w:r w:rsidRPr="003E5FB6">
              <w:rPr>
                <w:sz w:val="20"/>
                <w:szCs w:val="20"/>
              </w:rPr>
              <w:t xml:space="preserve">Removal </w:t>
            </w:r>
            <w:r>
              <w:rPr>
                <w:sz w:val="20"/>
                <w:szCs w:val="20"/>
              </w:rPr>
              <w:t xml:space="preserve">of 1,052 t of </w:t>
            </w:r>
            <w:r w:rsidRPr="003E5FB6">
              <w:rPr>
                <w:sz w:val="20"/>
                <w:szCs w:val="20"/>
              </w:rPr>
              <w:t xml:space="preserve">obsolete pesticides (OPs) and POPs pesticides (Category 1 waste) </w:t>
            </w:r>
            <w:r>
              <w:rPr>
                <w:sz w:val="20"/>
                <w:szCs w:val="20"/>
              </w:rPr>
              <w:t>for</w:t>
            </w:r>
            <w:r w:rsidRPr="003E5FB6">
              <w:rPr>
                <w:sz w:val="20"/>
                <w:szCs w:val="20"/>
              </w:rPr>
              <w:t xml:space="preserve"> environmentally sound </w:t>
            </w:r>
            <w:r>
              <w:rPr>
                <w:sz w:val="20"/>
                <w:szCs w:val="20"/>
              </w:rPr>
              <w:t>disposal</w:t>
            </w:r>
            <w:r w:rsidRPr="003E5FB6">
              <w:rPr>
                <w:sz w:val="20"/>
                <w:szCs w:val="20"/>
              </w:rPr>
              <w:br/>
            </w:r>
            <w:r w:rsidRPr="003E5FB6">
              <w:rPr>
                <w:sz w:val="20"/>
                <w:szCs w:val="20"/>
              </w:rPr>
              <w:br/>
              <w:t xml:space="preserve">4,123 t of Category 2 waste </w:t>
            </w:r>
            <w:r>
              <w:rPr>
                <w:sz w:val="20"/>
                <w:szCs w:val="20"/>
              </w:rPr>
              <w:t>safeguarded and securely stored on-site before treatment</w:t>
            </w:r>
            <w:r w:rsidRPr="003E5FB6">
              <w:rPr>
                <w:sz w:val="20"/>
                <w:szCs w:val="20"/>
              </w:rPr>
              <w:br/>
            </w:r>
          </w:p>
          <w:p w14:paraId="2C0082CC" w14:textId="77777777" w:rsidR="00E55941" w:rsidRPr="003E5FB6" w:rsidRDefault="00E55941" w:rsidP="00E55941">
            <w:pPr>
              <w:spacing w:before="40" w:after="40"/>
              <w:rPr>
                <w:sz w:val="20"/>
                <w:szCs w:val="20"/>
              </w:rPr>
            </w:pPr>
            <w:r w:rsidRPr="003E5FB6">
              <w:rPr>
                <w:sz w:val="20"/>
                <w:szCs w:val="20"/>
              </w:rPr>
              <w:t>8,500 t of Category 3 waste</w:t>
            </w:r>
            <w:r>
              <w:rPr>
                <w:sz w:val="20"/>
                <w:szCs w:val="20"/>
              </w:rPr>
              <w:t>/soil</w:t>
            </w:r>
            <w:r w:rsidRPr="003E5FB6">
              <w:rPr>
                <w:sz w:val="20"/>
                <w:szCs w:val="20"/>
              </w:rPr>
              <w:t xml:space="preserve"> securely</w:t>
            </w:r>
            <w:r>
              <w:rPr>
                <w:sz w:val="20"/>
                <w:szCs w:val="20"/>
              </w:rPr>
              <w:t xml:space="preserve"> stored on-site before</w:t>
            </w:r>
            <w:r w:rsidRPr="003E5FB6">
              <w:rPr>
                <w:sz w:val="20"/>
                <w:szCs w:val="20"/>
              </w:rPr>
              <w:t xml:space="preserve"> </w:t>
            </w:r>
            <w:r>
              <w:rPr>
                <w:sz w:val="20"/>
                <w:szCs w:val="20"/>
              </w:rPr>
              <w:t>backfilling</w:t>
            </w:r>
          </w:p>
        </w:tc>
      </w:tr>
      <w:tr w:rsidR="00E55941" w:rsidRPr="003E5FB6" w14:paraId="4C8ADD9F" w14:textId="77777777" w:rsidTr="00E55941">
        <w:trPr>
          <w:trHeight w:val="2339"/>
        </w:trPr>
        <w:tc>
          <w:tcPr>
            <w:tcW w:w="2070" w:type="dxa"/>
            <w:hideMark/>
          </w:tcPr>
          <w:p w14:paraId="55059AC9" w14:textId="77777777" w:rsidR="00E55941" w:rsidRPr="003E5FB6" w:rsidRDefault="00E55941" w:rsidP="00E55941">
            <w:pPr>
              <w:spacing w:before="40" w:after="40"/>
              <w:rPr>
                <w:sz w:val="20"/>
                <w:szCs w:val="20"/>
              </w:rPr>
            </w:pPr>
          </w:p>
        </w:tc>
        <w:tc>
          <w:tcPr>
            <w:tcW w:w="2880" w:type="dxa"/>
            <w:hideMark/>
          </w:tcPr>
          <w:p w14:paraId="530FFD5D" w14:textId="77777777" w:rsidR="00E55941" w:rsidRPr="003E5FB6" w:rsidRDefault="00E55941" w:rsidP="00E55941">
            <w:pPr>
              <w:spacing w:before="40" w:after="40"/>
              <w:rPr>
                <w:sz w:val="20"/>
                <w:szCs w:val="20"/>
              </w:rPr>
            </w:pPr>
            <w:r w:rsidRPr="003E5FB6">
              <w:rPr>
                <w:sz w:val="20"/>
                <w:szCs w:val="20"/>
              </w:rPr>
              <w:t xml:space="preserve">Major stockpiles of OPs and POPs pesticide wastes have been </w:t>
            </w:r>
            <w:r>
              <w:rPr>
                <w:sz w:val="20"/>
                <w:szCs w:val="20"/>
              </w:rPr>
              <w:t>disposed</w:t>
            </w:r>
            <w:r w:rsidRPr="003E5FB6">
              <w:rPr>
                <w:sz w:val="20"/>
                <w:szCs w:val="20"/>
              </w:rPr>
              <w:t xml:space="preserve"> in an environmental sound manner</w:t>
            </w:r>
          </w:p>
        </w:tc>
        <w:tc>
          <w:tcPr>
            <w:tcW w:w="3240" w:type="dxa"/>
            <w:hideMark/>
          </w:tcPr>
          <w:p w14:paraId="2777CBA7" w14:textId="77777777" w:rsidR="00E55941" w:rsidRPr="003E5FB6" w:rsidRDefault="00E55941" w:rsidP="00E55941">
            <w:pPr>
              <w:spacing w:before="40" w:after="40"/>
              <w:rPr>
                <w:sz w:val="20"/>
                <w:szCs w:val="20"/>
              </w:rPr>
            </w:pPr>
            <w:r w:rsidRPr="003E5FB6">
              <w:rPr>
                <w:sz w:val="20"/>
                <w:szCs w:val="20"/>
              </w:rPr>
              <w:t>No elimination of national stockpiles of OPs has been attempted</w:t>
            </w:r>
          </w:p>
        </w:tc>
        <w:tc>
          <w:tcPr>
            <w:tcW w:w="3510" w:type="dxa"/>
            <w:hideMark/>
          </w:tcPr>
          <w:p w14:paraId="39CC8A9A" w14:textId="77777777" w:rsidR="00E55941" w:rsidRPr="003E5FB6" w:rsidRDefault="00E55941" w:rsidP="00E55941">
            <w:pPr>
              <w:spacing w:before="40" w:after="40"/>
              <w:rPr>
                <w:sz w:val="20"/>
                <w:szCs w:val="20"/>
              </w:rPr>
            </w:pPr>
            <w:r w:rsidRPr="003E5FB6">
              <w:rPr>
                <w:sz w:val="20"/>
                <w:szCs w:val="20"/>
              </w:rPr>
              <w:t xml:space="preserve">Commercial arrangements made for the export </w:t>
            </w:r>
            <w:r>
              <w:rPr>
                <w:sz w:val="20"/>
                <w:szCs w:val="20"/>
              </w:rPr>
              <w:t xml:space="preserve">and disposal </w:t>
            </w:r>
            <w:r w:rsidRPr="003E5FB6">
              <w:rPr>
                <w:sz w:val="20"/>
                <w:szCs w:val="20"/>
              </w:rPr>
              <w:t xml:space="preserve">of 1,052 t of </w:t>
            </w:r>
            <w:r>
              <w:rPr>
                <w:sz w:val="20"/>
                <w:szCs w:val="20"/>
              </w:rPr>
              <w:t xml:space="preserve">Category 1 </w:t>
            </w:r>
            <w:r w:rsidRPr="003E5FB6">
              <w:rPr>
                <w:sz w:val="20"/>
                <w:szCs w:val="20"/>
              </w:rPr>
              <w:t>waste</w:t>
            </w:r>
            <w:r w:rsidRPr="003E5FB6">
              <w:rPr>
                <w:sz w:val="20"/>
                <w:szCs w:val="20"/>
              </w:rPr>
              <w:br/>
            </w:r>
            <w:r w:rsidRPr="003E5FB6">
              <w:rPr>
                <w:sz w:val="20"/>
                <w:szCs w:val="20"/>
              </w:rPr>
              <w:br/>
              <w:t>Technology selection and demonstration along with commercial arrangements made for the treatment/</w:t>
            </w:r>
            <w:r>
              <w:rPr>
                <w:sz w:val="20"/>
                <w:szCs w:val="20"/>
              </w:rPr>
              <w:t>disposal</w:t>
            </w:r>
            <w:r w:rsidRPr="003E5FB6">
              <w:rPr>
                <w:sz w:val="20"/>
                <w:szCs w:val="20"/>
              </w:rPr>
              <w:t xml:space="preserve"> of 4,123 t of </w:t>
            </w:r>
            <w:r>
              <w:rPr>
                <w:sz w:val="20"/>
                <w:szCs w:val="20"/>
              </w:rPr>
              <w:t>Category 2 waste</w:t>
            </w:r>
          </w:p>
        </w:tc>
        <w:tc>
          <w:tcPr>
            <w:tcW w:w="3600" w:type="dxa"/>
            <w:hideMark/>
          </w:tcPr>
          <w:p w14:paraId="76EE13FA" w14:textId="77777777" w:rsidR="00E55941" w:rsidRDefault="00E55941" w:rsidP="00E55941">
            <w:pPr>
              <w:spacing w:before="40" w:after="40"/>
              <w:rPr>
                <w:sz w:val="20"/>
                <w:szCs w:val="20"/>
              </w:rPr>
            </w:pPr>
            <w:r w:rsidRPr="003E5FB6">
              <w:rPr>
                <w:sz w:val="20"/>
                <w:szCs w:val="20"/>
              </w:rPr>
              <w:t>1,05</w:t>
            </w:r>
            <w:r>
              <w:rPr>
                <w:sz w:val="20"/>
                <w:szCs w:val="20"/>
              </w:rPr>
              <w:t>2 t of Category 1 waste</w:t>
            </w:r>
            <w:r w:rsidRPr="003E5FB6">
              <w:rPr>
                <w:sz w:val="20"/>
                <w:szCs w:val="20"/>
              </w:rPr>
              <w:t xml:space="preserve"> exported and </w:t>
            </w:r>
            <w:r>
              <w:rPr>
                <w:sz w:val="20"/>
                <w:szCs w:val="20"/>
              </w:rPr>
              <w:t>disposed</w:t>
            </w:r>
            <w:r w:rsidRPr="003E5FB6">
              <w:rPr>
                <w:sz w:val="20"/>
                <w:szCs w:val="20"/>
              </w:rPr>
              <w:br/>
            </w:r>
            <w:r w:rsidRPr="003E5FB6">
              <w:rPr>
                <w:sz w:val="20"/>
                <w:szCs w:val="20"/>
              </w:rPr>
              <w:br/>
              <w:t xml:space="preserve">4,123 t of </w:t>
            </w:r>
            <w:r>
              <w:rPr>
                <w:sz w:val="20"/>
                <w:szCs w:val="20"/>
              </w:rPr>
              <w:t>Category 2 waste</w:t>
            </w:r>
            <w:r w:rsidRPr="003E5FB6">
              <w:rPr>
                <w:sz w:val="20"/>
                <w:szCs w:val="20"/>
              </w:rPr>
              <w:t xml:space="preserve"> treated/</w:t>
            </w:r>
            <w:r>
              <w:rPr>
                <w:sz w:val="20"/>
                <w:szCs w:val="20"/>
              </w:rPr>
              <w:t>disposed</w:t>
            </w:r>
            <w:r w:rsidRPr="003E5FB6">
              <w:rPr>
                <w:sz w:val="20"/>
                <w:szCs w:val="20"/>
              </w:rPr>
              <w:t xml:space="preserve"> </w:t>
            </w:r>
          </w:p>
          <w:p w14:paraId="26815C73" w14:textId="77777777" w:rsidR="00E55941" w:rsidRDefault="00E55941" w:rsidP="00E55941">
            <w:pPr>
              <w:spacing w:before="40" w:after="40"/>
              <w:rPr>
                <w:sz w:val="20"/>
                <w:szCs w:val="20"/>
              </w:rPr>
            </w:pPr>
          </w:p>
          <w:p w14:paraId="4BC480B8" w14:textId="77777777" w:rsidR="00E55941" w:rsidRPr="003E5FB6" w:rsidRDefault="00E55941" w:rsidP="00E55941">
            <w:pPr>
              <w:spacing w:before="40" w:after="40"/>
              <w:rPr>
                <w:sz w:val="20"/>
                <w:szCs w:val="20"/>
              </w:rPr>
            </w:pPr>
            <w:r w:rsidRPr="003E5FB6">
              <w:rPr>
                <w:sz w:val="20"/>
                <w:szCs w:val="20"/>
              </w:rPr>
              <w:t>8,500 t of Category 3 waste</w:t>
            </w:r>
            <w:r>
              <w:rPr>
                <w:sz w:val="20"/>
                <w:szCs w:val="20"/>
              </w:rPr>
              <w:t>/soil</w:t>
            </w:r>
            <w:r w:rsidRPr="003E5FB6">
              <w:rPr>
                <w:sz w:val="20"/>
                <w:szCs w:val="20"/>
              </w:rPr>
              <w:t xml:space="preserve"> </w:t>
            </w:r>
            <w:r>
              <w:rPr>
                <w:sz w:val="20"/>
                <w:szCs w:val="20"/>
              </w:rPr>
              <w:t>backfilled</w:t>
            </w:r>
            <w:r w:rsidRPr="003E5FB6">
              <w:rPr>
                <w:sz w:val="20"/>
                <w:szCs w:val="20"/>
              </w:rPr>
              <w:t xml:space="preserve"> and monitored at the restored and stabilized</w:t>
            </w:r>
            <w:r>
              <w:rPr>
                <w:sz w:val="20"/>
                <w:szCs w:val="20"/>
              </w:rPr>
              <w:t xml:space="preserve"> </w:t>
            </w:r>
            <w:proofErr w:type="spellStart"/>
            <w:r>
              <w:rPr>
                <w:sz w:val="20"/>
                <w:szCs w:val="20"/>
              </w:rPr>
              <w:t>Nubarashen</w:t>
            </w:r>
            <w:proofErr w:type="spellEnd"/>
            <w:r>
              <w:rPr>
                <w:sz w:val="20"/>
                <w:szCs w:val="20"/>
              </w:rPr>
              <w:t xml:space="preserve"> ex-burial site</w:t>
            </w:r>
            <w:r w:rsidRPr="003E5FB6">
              <w:rPr>
                <w:sz w:val="20"/>
                <w:szCs w:val="20"/>
              </w:rPr>
              <w:t xml:space="preserve"> </w:t>
            </w:r>
          </w:p>
        </w:tc>
      </w:tr>
      <w:tr w:rsidR="00E55941" w:rsidRPr="003E5FB6" w14:paraId="3B98E02E" w14:textId="77777777" w:rsidTr="00E55941">
        <w:trPr>
          <w:trHeight w:val="2051"/>
        </w:trPr>
        <w:tc>
          <w:tcPr>
            <w:tcW w:w="2070" w:type="dxa"/>
            <w:hideMark/>
          </w:tcPr>
          <w:p w14:paraId="0665013F" w14:textId="77777777" w:rsidR="00E55941" w:rsidRPr="003E5FB6" w:rsidRDefault="00E55941" w:rsidP="00E55941">
            <w:pPr>
              <w:spacing w:before="40" w:after="40"/>
              <w:rPr>
                <w:sz w:val="20"/>
                <w:szCs w:val="20"/>
              </w:rPr>
            </w:pPr>
          </w:p>
        </w:tc>
        <w:tc>
          <w:tcPr>
            <w:tcW w:w="2880" w:type="dxa"/>
            <w:hideMark/>
          </w:tcPr>
          <w:p w14:paraId="6BED7140" w14:textId="77777777" w:rsidR="00E55941" w:rsidRPr="003E5FB6" w:rsidRDefault="00E55941" w:rsidP="00E55941">
            <w:pPr>
              <w:spacing w:before="40" w:after="40"/>
              <w:rPr>
                <w:sz w:val="20"/>
                <w:szCs w:val="20"/>
              </w:rPr>
            </w:pPr>
            <w:r w:rsidRPr="003E5FB6">
              <w:rPr>
                <w:sz w:val="20"/>
                <w:szCs w:val="20"/>
              </w:rPr>
              <w:t xml:space="preserve">National legal instruments and regulatory framework for hazardous waste </w:t>
            </w:r>
            <w:r>
              <w:rPr>
                <w:rFonts w:ascii="Sylfaen" w:hAnsi="Sylfaen"/>
                <w:sz w:val="20"/>
                <w:szCs w:val="20"/>
              </w:rPr>
              <w:t>(</w:t>
            </w:r>
            <w:r w:rsidRPr="00B7186E">
              <w:rPr>
                <w:sz w:val="20"/>
                <w:szCs w:val="20"/>
              </w:rPr>
              <w:t>HW)</w:t>
            </w:r>
            <w:r>
              <w:rPr>
                <w:rFonts w:ascii="Sylfaen" w:hAnsi="Sylfaen"/>
                <w:sz w:val="20"/>
                <w:szCs w:val="20"/>
              </w:rPr>
              <w:t xml:space="preserve"> </w:t>
            </w:r>
            <w:r w:rsidRPr="003E5FB6">
              <w:rPr>
                <w:sz w:val="20"/>
                <w:szCs w:val="20"/>
              </w:rPr>
              <w:t>and contaminated sites are updated with gaps filled, conflicts resolved and consistent with relevant international requirements</w:t>
            </w:r>
          </w:p>
        </w:tc>
        <w:tc>
          <w:tcPr>
            <w:tcW w:w="3240" w:type="dxa"/>
            <w:hideMark/>
          </w:tcPr>
          <w:p w14:paraId="0F1E9A44" w14:textId="77777777" w:rsidR="00E55941" w:rsidRPr="003E5FB6" w:rsidRDefault="00E55941" w:rsidP="00E55941">
            <w:pPr>
              <w:spacing w:before="40" w:after="40"/>
              <w:rPr>
                <w:sz w:val="20"/>
                <w:szCs w:val="20"/>
              </w:rPr>
            </w:pPr>
            <w:r w:rsidRPr="003E5FB6">
              <w:rPr>
                <w:sz w:val="20"/>
                <w:szCs w:val="20"/>
              </w:rPr>
              <w:t>Current legal and regulatory framework for</w:t>
            </w:r>
            <w:r>
              <w:rPr>
                <w:sz w:val="20"/>
                <w:szCs w:val="20"/>
              </w:rPr>
              <w:t xml:space="preserve"> HW</w:t>
            </w:r>
            <w:r w:rsidRPr="003E5FB6">
              <w:rPr>
                <w:sz w:val="20"/>
                <w:szCs w:val="20"/>
              </w:rPr>
              <w:t xml:space="preserve"> and contaminated site management has significant gaps and conflicting provisions</w:t>
            </w:r>
          </w:p>
        </w:tc>
        <w:tc>
          <w:tcPr>
            <w:tcW w:w="3510" w:type="dxa"/>
            <w:hideMark/>
          </w:tcPr>
          <w:p w14:paraId="2410D97A" w14:textId="77777777" w:rsidR="00E55941" w:rsidRPr="003E5FB6" w:rsidRDefault="00E55941" w:rsidP="00E55941">
            <w:pPr>
              <w:spacing w:before="40" w:after="40"/>
              <w:rPr>
                <w:sz w:val="20"/>
                <w:szCs w:val="20"/>
              </w:rPr>
            </w:pPr>
            <w:r w:rsidRPr="003E5FB6">
              <w:rPr>
                <w:sz w:val="20"/>
                <w:szCs w:val="20"/>
              </w:rPr>
              <w:t xml:space="preserve">Completed </w:t>
            </w:r>
            <w:r>
              <w:rPr>
                <w:sz w:val="20"/>
                <w:szCs w:val="20"/>
              </w:rPr>
              <w:t xml:space="preserve">analysis and </w:t>
            </w:r>
            <w:r w:rsidRPr="003E5FB6">
              <w:rPr>
                <w:sz w:val="20"/>
                <w:szCs w:val="20"/>
              </w:rPr>
              <w:t xml:space="preserve">definition of current gaps and requirements for legal and regulatory changes documented and actions agreed </w:t>
            </w:r>
            <w:r w:rsidRPr="003E5FB6">
              <w:rPr>
                <w:sz w:val="20"/>
                <w:szCs w:val="20"/>
              </w:rPr>
              <w:br/>
              <w:t>(</w:t>
            </w:r>
            <w:r>
              <w:rPr>
                <w:sz w:val="20"/>
                <w:szCs w:val="20"/>
              </w:rPr>
              <w:t>t</w:t>
            </w:r>
            <w:r w:rsidRPr="003E5FB6">
              <w:rPr>
                <w:sz w:val="20"/>
                <w:szCs w:val="20"/>
              </w:rPr>
              <w:t>o be completed when Component 3 inputs received)</w:t>
            </w:r>
          </w:p>
        </w:tc>
        <w:tc>
          <w:tcPr>
            <w:tcW w:w="3600" w:type="dxa"/>
            <w:hideMark/>
          </w:tcPr>
          <w:p w14:paraId="3573EEB2" w14:textId="77777777" w:rsidR="00E55941" w:rsidRPr="003E5FB6" w:rsidRDefault="00E55941" w:rsidP="00E55941">
            <w:pPr>
              <w:spacing w:before="40" w:after="40"/>
              <w:rPr>
                <w:sz w:val="20"/>
                <w:szCs w:val="20"/>
              </w:rPr>
            </w:pPr>
            <w:r w:rsidRPr="003E5FB6">
              <w:rPr>
                <w:sz w:val="20"/>
                <w:szCs w:val="20"/>
              </w:rPr>
              <w:t xml:space="preserve">Respectively updated regulatory framework for chemical </w:t>
            </w:r>
            <w:r>
              <w:rPr>
                <w:sz w:val="20"/>
                <w:szCs w:val="20"/>
              </w:rPr>
              <w:t>HW</w:t>
            </w:r>
            <w:r w:rsidRPr="003E5FB6">
              <w:rPr>
                <w:sz w:val="20"/>
                <w:szCs w:val="20"/>
              </w:rPr>
              <w:t xml:space="preserve"> management </w:t>
            </w:r>
            <w:r>
              <w:rPr>
                <w:sz w:val="20"/>
                <w:szCs w:val="20"/>
              </w:rPr>
              <w:t>documented</w:t>
            </w:r>
          </w:p>
        </w:tc>
      </w:tr>
      <w:tr w:rsidR="00E55941" w:rsidRPr="003E5FB6" w14:paraId="23A8C6C6" w14:textId="77777777" w:rsidTr="00E55941">
        <w:trPr>
          <w:trHeight w:val="2060"/>
        </w:trPr>
        <w:tc>
          <w:tcPr>
            <w:tcW w:w="2070" w:type="dxa"/>
            <w:hideMark/>
          </w:tcPr>
          <w:p w14:paraId="72DD236B" w14:textId="77777777" w:rsidR="00E55941" w:rsidRPr="003E5FB6" w:rsidRDefault="00E55941" w:rsidP="00E55941">
            <w:pPr>
              <w:spacing w:before="40" w:after="40"/>
              <w:rPr>
                <w:sz w:val="20"/>
                <w:szCs w:val="20"/>
              </w:rPr>
            </w:pPr>
          </w:p>
        </w:tc>
        <w:tc>
          <w:tcPr>
            <w:tcW w:w="2880" w:type="dxa"/>
            <w:hideMark/>
          </w:tcPr>
          <w:p w14:paraId="28A4B07D" w14:textId="77777777" w:rsidR="00E55941" w:rsidRPr="003E5FB6" w:rsidRDefault="00E55941" w:rsidP="00E55941">
            <w:pPr>
              <w:spacing w:before="40" w:after="40"/>
              <w:rPr>
                <w:sz w:val="20"/>
                <w:szCs w:val="20"/>
              </w:rPr>
            </w:pPr>
            <w:r w:rsidRPr="003E5FB6">
              <w:rPr>
                <w:sz w:val="20"/>
                <w:szCs w:val="20"/>
              </w:rPr>
              <w:t xml:space="preserve">Core national technical capacity in place relative to </w:t>
            </w:r>
            <w:r>
              <w:rPr>
                <w:sz w:val="20"/>
                <w:szCs w:val="20"/>
              </w:rPr>
              <w:t>HW</w:t>
            </w:r>
            <w:r w:rsidRPr="003E5FB6">
              <w:rPr>
                <w:sz w:val="20"/>
                <w:szCs w:val="20"/>
              </w:rPr>
              <w:t xml:space="preserve"> management, risk assessment and contaminated site management</w:t>
            </w:r>
          </w:p>
        </w:tc>
        <w:tc>
          <w:tcPr>
            <w:tcW w:w="3240" w:type="dxa"/>
            <w:hideMark/>
          </w:tcPr>
          <w:p w14:paraId="5113858C" w14:textId="77777777" w:rsidR="00E55941" w:rsidRPr="003E5FB6" w:rsidRDefault="00E55941" w:rsidP="00E55941">
            <w:pPr>
              <w:spacing w:before="40" w:after="40"/>
              <w:rPr>
                <w:sz w:val="20"/>
                <w:szCs w:val="20"/>
              </w:rPr>
            </w:pPr>
            <w:r w:rsidRPr="003E5FB6">
              <w:rPr>
                <w:sz w:val="20"/>
                <w:szCs w:val="20"/>
              </w:rPr>
              <w:t>Limited technical capacity in key areas of expertise and support infrastructure</w:t>
            </w:r>
          </w:p>
        </w:tc>
        <w:tc>
          <w:tcPr>
            <w:tcW w:w="3510" w:type="dxa"/>
            <w:hideMark/>
          </w:tcPr>
          <w:p w14:paraId="74F73967" w14:textId="77777777" w:rsidR="00E55941" w:rsidRPr="003E5FB6" w:rsidRDefault="00E55941" w:rsidP="00E55941">
            <w:pPr>
              <w:spacing w:before="40" w:after="40"/>
              <w:rPr>
                <w:sz w:val="20"/>
                <w:szCs w:val="20"/>
              </w:rPr>
            </w:pPr>
            <w:r w:rsidRPr="003E5FB6">
              <w:rPr>
                <w:sz w:val="20"/>
                <w:szCs w:val="20"/>
              </w:rPr>
              <w:t xml:space="preserve">Identification and documentation of key methodologies and scope for the required risk assessment and initial application </w:t>
            </w:r>
            <w:r>
              <w:rPr>
                <w:sz w:val="20"/>
                <w:szCs w:val="20"/>
              </w:rPr>
              <w:t>in the project activities</w:t>
            </w:r>
            <w:r w:rsidRPr="003E5FB6">
              <w:rPr>
                <w:sz w:val="20"/>
                <w:szCs w:val="20"/>
              </w:rPr>
              <w:t xml:space="preserve"> </w:t>
            </w:r>
          </w:p>
        </w:tc>
        <w:tc>
          <w:tcPr>
            <w:tcW w:w="3600" w:type="dxa"/>
            <w:hideMark/>
          </w:tcPr>
          <w:p w14:paraId="4B6213B0" w14:textId="77777777" w:rsidR="00E55941" w:rsidRDefault="00E55941" w:rsidP="00E55941">
            <w:pPr>
              <w:spacing w:before="40" w:after="40"/>
              <w:rPr>
                <w:sz w:val="20"/>
                <w:szCs w:val="20"/>
              </w:rPr>
            </w:pPr>
            <w:r w:rsidRPr="003E5FB6">
              <w:rPr>
                <w:sz w:val="20"/>
                <w:szCs w:val="20"/>
              </w:rPr>
              <w:t xml:space="preserve">Environmental and health risk assessment methodologies documented, </w:t>
            </w:r>
            <w:proofErr w:type="gramStart"/>
            <w:r w:rsidRPr="003E5FB6">
              <w:rPr>
                <w:sz w:val="20"/>
                <w:szCs w:val="20"/>
              </w:rPr>
              <w:t>disseminated</w:t>
            </w:r>
            <w:proofErr w:type="gramEnd"/>
            <w:r w:rsidRPr="003E5FB6">
              <w:rPr>
                <w:sz w:val="20"/>
                <w:szCs w:val="20"/>
              </w:rPr>
              <w:t xml:space="preserve"> and implemented as part of the national regulatory assessment process for </w:t>
            </w:r>
            <w:r>
              <w:rPr>
                <w:sz w:val="20"/>
                <w:szCs w:val="20"/>
              </w:rPr>
              <w:t>chemical HW and contaminated site management</w:t>
            </w:r>
          </w:p>
          <w:p w14:paraId="0C9A16BD" w14:textId="77777777" w:rsidR="00E55941" w:rsidRDefault="00E55941" w:rsidP="00E55941">
            <w:pPr>
              <w:spacing w:before="40" w:after="40"/>
              <w:rPr>
                <w:sz w:val="20"/>
                <w:szCs w:val="20"/>
              </w:rPr>
            </w:pPr>
          </w:p>
          <w:p w14:paraId="0E67154C" w14:textId="77777777" w:rsidR="00E55941" w:rsidRPr="003E5FB6" w:rsidRDefault="00E55941" w:rsidP="00E55941">
            <w:pPr>
              <w:spacing w:before="40" w:after="40"/>
              <w:rPr>
                <w:sz w:val="20"/>
                <w:szCs w:val="20"/>
              </w:rPr>
            </w:pPr>
            <w:r w:rsidRPr="003E5FB6">
              <w:rPr>
                <w:sz w:val="20"/>
                <w:szCs w:val="20"/>
              </w:rPr>
              <w:t xml:space="preserve">Professionals in regulatory agencies, academia, </w:t>
            </w:r>
            <w:proofErr w:type="gramStart"/>
            <w:r w:rsidRPr="003E5FB6">
              <w:rPr>
                <w:sz w:val="20"/>
                <w:szCs w:val="20"/>
              </w:rPr>
              <w:t>NGOs</w:t>
            </w:r>
            <w:proofErr w:type="gramEnd"/>
            <w:r w:rsidRPr="003E5FB6">
              <w:rPr>
                <w:sz w:val="20"/>
                <w:szCs w:val="20"/>
              </w:rPr>
              <w:t xml:space="preserve"> and environmental service providers trained on their application</w:t>
            </w:r>
          </w:p>
        </w:tc>
      </w:tr>
      <w:tr w:rsidR="00E55941" w:rsidRPr="003E5FB6" w14:paraId="243000AB" w14:textId="77777777" w:rsidTr="00E55941">
        <w:trPr>
          <w:trHeight w:val="1205"/>
        </w:trPr>
        <w:tc>
          <w:tcPr>
            <w:tcW w:w="2070" w:type="dxa"/>
          </w:tcPr>
          <w:p w14:paraId="1CDE5C52" w14:textId="77777777" w:rsidR="00E55941" w:rsidRPr="003E5FB6" w:rsidRDefault="00E55941" w:rsidP="00E55941">
            <w:pPr>
              <w:spacing w:before="40" w:after="40"/>
              <w:rPr>
                <w:sz w:val="20"/>
                <w:szCs w:val="20"/>
              </w:rPr>
            </w:pPr>
          </w:p>
        </w:tc>
        <w:tc>
          <w:tcPr>
            <w:tcW w:w="2880" w:type="dxa"/>
          </w:tcPr>
          <w:p w14:paraId="198866B8" w14:textId="77777777" w:rsidR="00E55941" w:rsidRPr="003E5FB6" w:rsidRDefault="00E55941" w:rsidP="00E55941">
            <w:pPr>
              <w:spacing w:before="40" w:after="40"/>
              <w:rPr>
                <w:sz w:val="20"/>
                <w:szCs w:val="20"/>
              </w:rPr>
            </w:pPr>
            <w:r>
              <w:rPr>
                <w:sz w:val="20"/>
                <w:szCs w:val="20"/>
              </w:rPr>
              <w:t>Co-financing is available timely to complete the planned activities</w:t>
            </w:r>
          </w:p>
        </w:tc>
        <w:tc>
          <w:tcPr>
            <w:tcW w:w="3240" w:type="dxa"/>
          </w:tcPr>
          <w:p w14:paraId="20D96BC6" w14:textId="77777777" w:rsidR="00E55941" w:rsidRPr="003E5FB6" w:rsidRDefault="00E55941" w:rsidP="00E55941">
            <w:pPr>
              <w:spacing w:before="40" w:after="40"/>
              <w:rPr>
                <w:sz w:val="20"/>
                <w:szCs w:val="20"/>
              </w:rPr>
            </w:pPr>
            <w:r>
              <w:rPr>
                <w:sz w:val="20"/>
                <w:szCs w:val="20"/>
              </w:rPr>
              <w:t>Government commitment letter on 16,02 million USD co-financing including in-kind and cash contribution</w:t>
            </w:r>
          </w:p>
        </w:tc>
        <w:tc>
          <w:tcPr>
            <w:tcW w:w="3510" w:type="dxa"/>
          </w:tcPr>
          <w:p w14:paraId="500856FB" w14:textId="77777777" w:rsidR="00E55941" w:rsidRPr="003E5FB6" w:rsidRDefault="00E55941" w:rsidP="00E55941">
            <w:pPr>
              <w:spacing w:before="40" w:after="40"/>
              <w:rPr>
                <w:sz w:val="20"/>
                <w:szCs w:val="20"/>
              </w:rPr>
            </w:pPr>
            <w:r>
              <w:rPr>
                <w:sz w:val="20"/>
                <w:szCs w:val="20"/>
              </w:rPr>
              <w:t>Development of a plan on timely availability of necessary co-financing cash component developed and agreed with the Government </w:t>
            </w:r>
          </w:p>
        </w:tc>
        <w:tc>
          <w:tcPr>
            <w:tcW w:w="3600" w:type="dxa"/>
          </w:tcPr>
          <w:p w14:paraId="6AFDC308" w14:textId="77777777" w:rsidR="00E55941" w:rsidRPr="003E5FB6" w:rsidRDefault="00E55941" w:rsidP="00E55941">
            <w:pPr>
              <w:spacing w:before="40" w:after="40"/>
              <w:rPr>
                <w:sz w:val="20"/>
                <w:szCs w:val="20"/>
              </w:rPr>
            </w:pPr>
            <w:r>
              <w:rPr>
                <w:sz w:val="20"/>
                <w:szCs w:val="20"/>
              </w:rPr>
              <w:t xml:space="preserve">Timely availability of necessary co-financing cash component </w:t>
            </w:r>
          </w:p>
        </w:tc>
      </w:tr>
      <w:tr w:rsidR="00E55941" w:rsidRPr="003E5FB6" w14:paraId="0741EA82" w14:textId="77777777" w:rsidTr="00E55941">
        <w:trPr>
          <w:trHeight w:val="440"/>
        </w:trPr>
        <w:tc>
          <w:tcPr>
            <w:tcW w:w="15300" w:type="dxa"/>
            <w:gridSpan w:val="5"/>
            <w:shd w:val="clear" w:color="auto" w:fill="D9E2F3" w:themeFill="accent1" w:themeFillTint="33"/>
            <w:hideMark/>
          </w:tcPr>
          <w:p w14:paraId="60967636" w14:textId="77777777" w:rsidR="00E55941" w:rsidRPr="003E5FB6" w:rsidRDefault="00E55941" w:rsidP="00E55941">
            <w:pPr>
              <w:spacing w:before="40" w:after="40"/>
              <w:rPr>
                <w:b/>
                <w:bCs/>
                <w:sz w:val="20"/>
                <w:szCs w:val="20"/>
              </w:rPr>
            </w:pPr>
            <w:r w:rsidRPr="003E5FB6">
              <w:rPr>
                <w:b/>
                <w:bCs/>
                <w:sz w:val="20"/>
                <w:szCs w:val="20"/>
              </w:rPr>
              <w:t>ACTIVITY 1. Capture and Containment of Obsolete Pesticide Stockpiles and Wastes</w:t>
            </w:r>
          </w:p>
        </w:tc>
      </w:tr>
      <w:tr w:rsidR="00E55941" w:rsidRPr="003E5FB6" w14:paraId="11F631B6" w14:textId="77777777" w:rsidTr="00E55941">
        <w:trPr>
          <w:trHeight w:val="2510"/>
        </w:trPr>
        <w:tc>
          <w:tcPr>
            <w:tcW w:w="2070" w:type="dxa"/>
            <w:vMerge w:val="restart"/>
            <w:hideMark/>
          </w:tcPr>
          <w:p w14:paraId="06CE3E7E" w14:textId="77777777" w:rsidR="00E55941" w:rsidRPr="003E5FB6" w:rsidRDefault="00E55941" w:rsidP="00E55941">
            <w:pPr>
              <w:spacing w:before="40" w:after="40"/>
              <w:rPr>
                <w:sz w:val="20"/>
                <w:szCs w:val="20"/>
              </w:rPr>
            </w:pPr>
            <w:r w:rsidRPr="003E5FB6">
              <w:rPr>
                <w:b/>
                <w:bCs/>
                <w:sz w:val="20"/>
                <w:szCs w:val="20"/>
              </w:rPr>
              <w:t>Outcome 1.1:</w:t>
            </w:r>
            <w:r w:rsidRPr="003E5FB6">
              <w:rPr>
                <w:sz w:val="20"/>
                <w:szCs w:val="20"/>
              </w:rPr>
              <w:t xml:space="preserve"> </w:t>
            </w:r>
            <w:r w:rsidRPr="003E5FB6">
              <w:rPr>
                <w:sz w:val="20"/>
                <w:szCs w:val="20"/>
              </w:rPr>
              <w:br/>
              <w:t xml:space="preserve">Removal of priority OP and POPs pesticides waste from the </w:t>
            </w:r>
            <w:proofErr w:type="spellStart"/>
            <w:r w:rsidRPr="003E5FB6">
              <w:rPr>
                <w:sz w:val="20"/>
                <w:szCs w:val="20"/>
              </w:rPr>
              <w:t>Nubarashen</w:t>
            </w:r>
            <w:proofErr w:type="spellEnd"/>
            <w:r w:rsidRPr="003E5FB6">
              <w:rPr>
                <w:sz w:val="20"/>
                <w:szCs w:val="20"/>
              </w:rPr>
              <w:t xml:space="preserve"> burial site, secure containment of residual contamination on-site, site stabilization and restoration, with the site secured under appropriate institutional arrangements providing effective access limitations, monitoring and future land use control, all </w:t>
            </w:r>
            <w:r w:rsidRPr="003E5FB6">
              <w:rPr>
                <w:sz w:val="20"/>
                <w:szCs w:val="20"/>
              </w:rPr>
              <w:lastRenderedPageBreak/>
              <w:t>endorsed by an informed public</w:t>
            </w:r>
          </w:p>
        </w:tc>
        <w:tc>
          <w:tcPr>
            <w:tcW w:w="2880" w:type="dxa"/>
            <w:hideMark/>
          </w:tcPr>
          <w:p w14:paraId="54F734A3" w14:textId="77777777" w:rsidR="00E55941" w:rsidRDefault="00E55941" w:rsidP="00E55941">
            <w:pPr>
              <w:spacing w:before="40" w:after="40"/>
              <w:rPr>
                <w:sz w:val="20"/>
                <w:szCs w:val="20"/>
              </w:rPr>
            </w:pPr>
            <w:r w:rsidRPr="003E5FB6">
              <w:rPr>
                <w:sz w:val="20"/>
                <w:szCs w:val="20"/>
              </w:rPr>
              <w:lastRenderedPageBreak/>
              <w:t>Detailed site assessment, design documentation, tender specification, implementation procedures including</w:t>
            </w:r>
            <w:r>
              <w:rPr>
                <w:sz w:val="20"/>
                <w:szCs w:val="20"/>
              </w:rPr>
              <w:t xml:space="preserve"> Environmental Health and Safety (</w:t>
            </w:r>
            <w:r w:rsidRPr="003E5FB6">
              <w:rPr>
                <w:sz w:val="20"/>
                <w:szCs w:val="20"/>
              </w:rPr>
              <w:t>EHS</w:t>
            </w:r>
            <w:r>
              <w:rPr>
                <w:sz w:val="20"/>
                <w:szCs w:val="20"/>
              </w:rPr>
              <w:t>)</w:t>
            </w:r>
            <w:r w:rsidRPr="003E5FB6">
              <w:rPr>
                <w:sz w:val="20"/>
                <w:szCs w:val="20"/>
              </w:rPr>
              <w:t xml:space="preserve"> procedures, </w:t>
            </w:r>
            <w:r>
              <w:rPr>
                <w:sz w:val="20"/>
                <w:szCs w:val="20"/>
              </w:rPr>
              <w:t>Environmental Impact Assessment (</w:t>
            </w:r>
            <w:r w:rsidRPr="003E5FB6">
              <w:rPr>
                <w:sz w:val="20"/>
                <w:szCs w:val="20"/>
              </w:rPr>
              <w:t>EIA</w:t>
            </w:r>
            <w:r>
              <w:rPr>
                <w:sz w:val="20"/>
                <w:szCs w:val="20"/>
              </w:rPr>
              <w:t>)</w:t>
            </w:r>
            <w:r w:rsidRPr="003E5FB6">
              <w:rPr>
                <w:sz w:val="20"/>
                <w:szCs w:val="20"/>
              </w:rPr>
              <w:t xml:space="preserve"> and required approvals in place to initiate </w:t>
            </w:r>
            <w:proofErr w:type="spellStart"/>
            <w:r w:rsidRPr="003E5FB6">
              <w:rPr>
                <w:sz w:val="20"/>
                <w:szCs w:val="20"/>
              </w:rPr>
              <w:t>Nubarashen</w:t>
            </w:r>
            <w:proofErr w:type="spellEnd"/>
            <w:r w:rsidRPr="003E5FB6">
              <w:rPr>
                <w:sz w:val="20"/>
                <w:szCs w:val="20"/>
              </w:rPr>
              <w:t xml:space="preserve"> burial site works</w:t>
            </w:r>
          </w:p>
          <w:p w14:paraId="6E0F116F" w14:textId="77777777" w:rsidR="00E55941" w:rsidRDefault="00E55941" w:rsidP="00E55941">
            <w:pPr>
              <w:rPr>
                <w:sz w:val="20"/>
                <w:szCs w:val="20"/>
              </w:rPr>
            </w:pPr>
          </w:p>
          <w:p w14:paraId="31402345" w14:textId="0ECD1E46" w:rsidR="00E55941" w:rsidRPr="00E55941" w:rsidRDefault="00E55941" w:rsidP="00E55941">
            <w:pPr>
              <w:jc w:val="center"/>
              <w:rPr>
                <w:sz w:val="20"/>
                <w:szCs w:val="20"/>
              </w:rPr>
            </w:pPr>
          </w:p>
        </w:tc>
        <w:tc>
          <w:tcPr>
            <w:tcW w:w="3240" w:type="dxa"/>
            <w:hideMark/>
          </w:tcPr>
          <w:p w14:paraId="0495CA17" w14:textId="77777777" w:rsidR="00E55941" w:rsidRPr="003E5FB6" w:rsidRDefault="00E55941" w:rsidP="00E55941">
            <w:pPr>
              <w:tabs>
                <w:tab w:val="left" w:pos="232"/>
              </w:tabs>
              <w:spacing w:before="40" w:after="40"/>
              <w:ind w:left="52" w:right="-28"/>
              <w:rPr>
                <w:sz w:val="20"/>
                <w:szCs w:val="20"/>
              </w:rPr>
            </w:pPr>
            <w:r w:rsidRPr="003E5FB6">
              <w:rPr>
                <w:sz w:val="20"/>
                <w:szCs w:val="20"/>
              </w:rPr>
              <w:t>Preliminary site assessment completed during PPG</w:t>
            </w:r>
            <w:r w:rsidRPr="003E5FB6">
              <w:rPr>
                <w:sz w:val="20"/>
                <w:szCs w:val="20"/>
              </w:rPr>
              <w:br/>
            </w:r>
            <w:r w:rsidRPr="003E5FB6">
              <w:rPr>
                <w:sz w:val="20"/>
                <w:szCs w:val="20"/>
              </w:rPr>
              <w:br/>
              <w:t>Conceptual design for waste excavation and containment, site stabilization completed during the PPG</w:t>
            </w:r>
            <w:r w:rsidRPr="003E5FB6">
              <w:rPr>
                <w:sz w:val="20"/>
                <w:szCs w:val="20"/>
              </w:rPr>
              <w:br/>
            </w:r>
          </w:p>
          <w:p w14:paraId="0176746E" w14:textId="77777777" w:rsidR="00E55941" w:rsidRPr="003E5FB6" w:rsidRDefault="00E55941" w:rsidP="00E55941">
            <w:pPr>
              <w:spacing w:before="40" w:after="40"/>
              <w:ind w:left="52"/>
              <w:rPr>
                <w:sz w:val="20"/>
                <w:szCs w:val="20"/>
              </w:rPr>
            </w:pPr>
            <w:r w:rsidRPr="003E5FB6">
              <w:rPr>
                <w:sz w:val="20"/>
                <w:szCs w:val="20"/>
              </w:rPr>
              <w:t>No formal E</w:t>
            </w:r>
            <w:r>
              <w:rPr>
                <w:sz w:val="20"/>
                <w:szCs w:val="20"/>
              </w:rPr>
              <w:t>IA or site approvals initiated</w:t>
            </w:r>
          </w:p>
        </w:tc>
        <w:tc>
          <w:tcPr>
            <w:tcW w:w="3510" w:type="dxa"/>
            <w:hideMark/>
          </w:tcPr>
          <w:p w14:paraId="385D498C" w14:textId="77777777" w:rsidR="00E55941" w:rsidRPr="003E5FB6" w:rsidRDefault="00E55941" w:rsidP="00E55941">
            <w:pPr>
              <w:spacing w:before="40" w:after="40"/>
              <w:rPr>
                <w:sz w:val="20"/>
                <w:szCs w:val="20"/>
              </w:rPr>
            </w:pPr>
            <w:r w:rsidRPr="003E5FB6">
              <w:rPr>
                <w:sz w:val="20"/>
                <w:szCs w:val="20"/>
              </w:rPr>
              <w:t xml:space="preserve">Detailed design with supporting tender documents and </w:t>
            </w:r>
            <w:r>
              <w:rPr>
                <w:sz w:val="20"/>
                <w:szCs w:val="20"/>
              </w:rPr>
              <w:t>site clean-up</w:t>
            </w:r>
            <w:r w:rsidRPr="003E5FB6">
              <w:rPr>
                <w:sz w:val="20"/>
                <w:szCs w:val="20"/>
              </w:rPr>
              <w:t xml:space="preserve"> specifications </w:t>
            </w:r>
            <w:r>
              <w:rPr>
                <w:sz w:val="20"/>
                <w:szCs w:val="20"/>
              </w:rPr>
              <w:t>developed</w:t>
            </w:r>
            <w:r w:rsidRPr="003E5FB6">
              <w:rPr>
                <w:sz w:val="20"/>
                <w:szCs w:val="20"/>
              </w:rPr>
              <w:br/>
            </w:r>
            <w:r w:rsidRPr="003E5FB6">
              <w:rPr>
                <w:sz w:val="20"/>
                <w:szCs w:val="20"/>
              </w:rPr>
              <w:br/>
              <w:t>EIA and formal approvals in place</w:t>
            </w:r>
            <w:r w:rsidRPr="003E5FB6">
              <w:rPr>
                <w:sz w:val="20"/>
                <w:szCs w:val="20"/>
              </w:rPr>
              <w:br/>
            </w:r>
            <w:r w:rsidRPr="003E5FB6">
              <w:rPr>
                <w:sz w:val="20"/>
                <w:szCs w:val="20"/>
              </w:rPr>
              <w:br/>
              <w:t>Operational procedures including EHS procedures in place and utilized</w:t>
            </w:r>
          </w:p>
        </w:tc>
        <w:tc>
          <w:tcPr>
            <w:tcW w:w="3600" w:type="dxa"/>
            <w:hideMark/>
          </w:tcPr>
          <w:p w14:paraId="6DDB526E" w14:textId="77777777" w:rsidR="00E55941" w:rsidRPr="003E5FB6" w:rsidRDefault="00E55941" w:rsidP="00E55941">
            <w:pPr>
              <w:spacing w:before="40" w:after="40"/>
              <w:rPr>
                <w:sz w:val="20"/>
                <w:szCs w:val="20"/>
              </w:rPr>
            </w:pPr>
            <w:r w:rsidRPr="003E5FB6">
              <w:rPr>
                <w:sz w:val="20"/>
                <w:szCs w:val="20"/>
              </w:rPr>
              <w:t xml:space="preserve">Implementation of designed works, conformance </w:t>
            </w:r>
            <w:r>
              <w:rPr>
                <w:sz w:val="20"/>
                <w:szCs w:val="20"/>
              </w:rPr>
              <w:t xml:space="preserve">of </w:t>
            </w:r>
            <w:r w:rsidRPr="003E5FB6">
              <w:rPr>
                <w:sz w:val="20"/>
                <w:szCs w:val="20"/>
              </w:rPr>
              <w:t xml:space="preserve">operational procedures </w:t>
            </w:r>
            <w:r>
              <w:rPr>
                <w:sz w:val="20"/>
                <w:szCs w:val="20"/>
              </w:rPr>
              <w:t>with approved</w:t>
            </w:r>
            <w:r w:rsidRPr="003E5FB6">
              <w:rPr>
                <w:sz w:val="20"/>
                <w:szCs w:val="20"/>
              </w:rPr>
              <w:t xml:space="preserve"> conditions verified</w:t>
            </w:r>
          </w:p>
        </w:tc>
      </w:tr>
      <w:tr w:rsidR="00E55941" w:rsidRPr="003E5FB6" w14:paraId="28259E57" w14:textId="77777777" w:rsidTr="00E55941">
        <w:trPr>
          <w:trHeight w:val="2105"/>
        </w:trPr>
        <w:tc>
          <w:tcPr>
            <w:tcW w:w="2070" w:type="dxa"/>
            <w:vMerge/>
            <w:hideMark/>
          </w:tcPr>
          <w:p w14:paraId="2CDDCE63" w14:textId="77777777" w:rsidR="00E55941" w:rsidRPr="003E5FB6" w:rsidRDefault="00E55941" w:rsidP="00E55941">
            <w:pPr>
              <w:spacing w:before="40" w:after="40"/>
              <w:rPr>
                <w:sz w:val="20"/>
                <w:szCs w:val="20"/>
              </w:rPr>
            </w:pPr>
          </w:p>
        </w:tc>
        <w:tc>
          <w:tcPr>
            <w:tcW w:w="2880" w:type="dxa"/>
            <w:hideMark/>
          </w:tcPr>
          <w:p w14:paraId="54437971" w14:textId="77777777" w:rsidR="00E55941" w:rsidRPr="003E5FB6" w:rsidRDefault="00E55941" w:rsidP="00E55941">
            <w:pPr>
              <w:spacing w:before="40" w:after="40"/>
              <w:rPr>
                <w:sz w:val="20"/>
                <w:szCs w:val="20"/>
              </w:rPr>
            </w:pPr>
            <w:r w:rsidRPr="003E5FB6">
              <w:rPr>
                <w:sz w:val="20"/>
                <w:szCs w:val="20"/>
              </w:rPr>
              <w:t xml:space="preserve">Volume of Category 1 waste excavated and </w:t>
            </w:r>
            <w:proofErr w:type="gramStart"/>
            <w:r w:rsidRPr="003E5FB6">
              <w:rPr>
                <w:sz w:val="20"/>
                <w:szCs w:val="20"/>
              </w:rPr>
              <w:t>removed</w:t>
            </w:r>
            <w:proofErr w:type="gramEnd"/>
            <w:r w:rsidRPr="003E5FB6">
              <w:rPr>
                <w:sz w:val="20"/>
                <w:szCs w:val="20"/>
              </w:rPr>
              <w:t xml:space="preserve"> and volume of Category 2 waste/soil excavated</w:t>
            </w:r>
            <w:r>
              <w:rPr>
                <w:sz w:val="20"/>
                <w:szCs w:val="20"/>
              </w:rPr>
              <w:t>, displaced</w:t>
            </w:r>
            <w:r w:rsidRPr="003E5FB6">
              <w:rPr>
                <w:sz w:val="20"/>
                <w:szCs w:val="20"/>
              </w:rPr>
              <w:t xml:space="preserve"> </w:t>
            </w:r>
            <w:r>
              <w:rPr>
                <w:sz w:val="20"/>
                <w:szCs w:val="20"/>
              </w:rPr>
              <w:t>for</w:t>
            </w:r>
            <w:r w:rsidRPr="003E5FB6">
              <w:rPr>
                <w:sz w:val="20"/>
                <w:szCs w:val="20"/>
              </w:rPr>
              <w:t xml:space="preserve"> temporary secure storage</w:t>
            </w:r>
            <w:r>
              <w:rPr>
                <w:sz w:val="20"/>
                <w:szCs w:val="20"/>
              </w:rPr>
              <w:t xml:space="preserve"> on-site and secure containment in stabilized </w:t>
            </w:r>
            <w:proofErr w:type="spellStart"/>
            <w:r w:rsidRPr="003E5FB6">
              <w:rPr>
                <w:sz w:val="20"/>
                <w:szCs w:val="20"/>
              </w:rPr>
              <w:t>Nubarashen</w:t>
            </w:r>
            <w:proofErr w:type="spellEnd"/>
            <w:r w:rsidRPr="003E5FB6">
              <w:rPr>
                <w:sz w:val="20"/>
                <w:szCs w:val="20"/>
              </w:rPr>
              <w:t xml:space="preserve"> </w:t>
            </w:r>
            <w:r>
              <w:rPr>
                <w:sz w:val="20"/>
                <w:szCs w:val="20"/>
              </w:rPr>
              <w:t xml:space="preserve">ex-burial </w:t>
            </w:r>
            <w:r w:rsidRPr="003E5FB6">
              <w:rPr>
                <w:sz w:val="20"/>
                <w:szCs w:val="20"/>
              </w:rPr>
              <w:t xml:space="preserve">site </w:t>
            </w:r>
          </w:p>
        </w:tc>
        <w:tc>
          <w:tcPr>
            <w:tcW w:w="3240" w:type="dxa"/>
            <w:hideMark/>
          </w:tcPr>
          <w:p w14:paraId="3B96B6D9" w14:textId="77777777" w:rsidR="00E55941" w:rsidRPr="003E5FB6" w:rsidRDefault="00E55941" w:rsidP="00E55941">
            <w:pPr>
              <w:spacing w:before="40" w:after="40"/>
              <w:rPr>
                <w:sz w:val="20"/>
                <w:szCs w:val="20"/>
              </w:rPr>
            </w:pPr>
            <w:r w:rsidRPr="003E5FB6">
              <w:rPr>
                <w:sz w:val="20"/>
                <w:szCs w:val="20"/>
              </w:rPr>
              <w:t>An estimated 5,17</w:t>
            </w:r>
            <w:r>
              <w:rPr>
                <w:sz w:val="20"/>
                <w:szCs w:val="20"/>
              </w:rPr>
              <w:t>5</w:t>
            </w:r>
            <w:r w:rsidRPr="003E5FB6">
              <w:rPr>
                <w:sz w:val="20"/>
                <w:szCs w:val="20"/>
              </w:rPr>
              <w:t xml:space="preserve"> t of Category 1 and Category 2 waste is found in and ar</w:t>
            </w:r>
            <w:r>
              <w:rPr>
                <w:sz w:val="20"/>
                <w:szCs w:val="20"/>
              </w:rPr>
              <w:t xml:space="preserve">ound the </w:t>
            </w:r>
            <w:proofErr w:type="spellStart"/>
            <w:r>
              <w:rPr>
                <w:sz w:val="20"/>
                <w:szCs w:val="20"/>
              </w:rPr>
              <w:t>Nubarashen</w:t>
            </w:r>
            <w:proofErr w:type="spellEnd"/>
            <w:r>
              <w:rPr>
                <w:sz w:val="20"/>
                <w:szCs w:val="20"/>
              </w:rPr>
              <w:t xml:space="preserve"> burial site</w:t>
            </w:r>
            <w:r>
              <w:rPr>
                <w:sz w:val="20"/>
                <w:szCs w:val="20"/>
              </w:rPr>
              <w:br/>
            </w:r>
            <w:r>
              <w:rPr>
                <w:sz w:val="20"/>
                <w:szCs w:val="20"/>
              </w:rPr>
              <w:br/>
              <w:t>Risk assessments identified</w:t>
            </w:r>
            <w:r w:rsidRPr="003E5FB6">
              <w:rPr>
                <w:sz w:val="20"/>
                <w:szCs w:val="20"/>
              </w:rPr>
              <w:t xml:space="preserve"> the need to ensure removal of </w:t>
            </w:r>
            <w:proofErr w:type="gramStart"/>
            <w:r w:rsidRPr="003E5FB6">
              <w:rPr>
                <w:sz w:val="20"/>
                <w:szCs w:val="20"/>
              </w:rPr>
              <w:t>high risk</w:t>
            </w:r>
            <w:proofErr w:type="gramEnd"/>
            <w:r w:rsidRPr="003E5FB6">
              <w:rPr>
                <w:sz w:val="20"/>
                <w:szCs w:val="20"/>
              </w:rPr>
              <w:t xml:space="preserve"> POPs waste</w:t>
            </w:r>
          </w:p>
        </w:tc>
        <w:tc>
          <w:tcPr>
            <w:tcW w:w="3510" w:type="dxa"/>
            <w:hideMark/>
          </w:tcPr>
          <w:p w14:paraId="1FF171A9" w14:textId="77777777" w:rsidR="00E55941" w:rsidRDefault="00E55941" w:rsidP="00E55941">
            <w:pPr>
              <w:spacing w:before="40" w:after="40"/>
              <w:rPr>
                <w:sz w:val="20"/>
                <w:szCs w:val="20"/>
              </w:rPr>
            </w:pPr>
            <w:r w:rsidRPr="003E5FB6">
              <w:rPr>
                <w:sz w:val="20"/>
                <w:szCs w:val="20"/>
              </w:rPr>
              <w:t>Excavation</w:t>
            </w:r>
            <w:r>
              <w:rPr>
                <w:sz w:val="20"/>
                <w:szCs w:val="20"/>
              </w:rPr>
              <w:t xml:space="preserve"> and</w:t>
            </w:r>
            <w:r w:rsidRPr="003E5FB6">
              <w:rPr>
                <w:sz w:val="20"/>
                <w:szCs w:val="20"/>
              </w:rPr>
              <w:t xml:space="preserve"> packaging of 1,052 t Category 1 </w:t>
            </w:r>
            <w:r>
              <w:rPr>
                <w:sz w:val="20"/>
                <w:szCs w:val="20"/>
              </w:rPr>
              <w:t xml:space="preserve">waste for </w:t>
            </w:r>
            <w:r w:rsidRPr="003E5FB6">
              <w:rPr>
                <w:sz w:val="20"/>
                <w:szCs w:val="20"/>
              </w:rPr>
              <w:t xml:space="preserve">secure temporary storage on-site </w:t>
            </w:r>
          </w:p>
          <w:p w14:paraId="0CA2172C" w14:textId="77777777" w:rsidR="00E55941" w:rsidRDefault="00E55941" w:rsidP="00E55941">
            <w:pPr>
              <w:spacing w:before="40" w:after="40"/>
              <w:rPr>
                <w:sz w:val="20"/>
                <w:szCs w:val="20"/>
              </w:rPr>
            </w:pPr>
          </w:p>
          <w:p w14:paraId="415F9DFE" w14:textId="77777777" w:rsidR="00E55941" w:rsidRPr="003E5FB6" w:rsidRDefault="00E55941" w:rsidP="00E55941">
            <w:pPr>
              <w:spacing w:before="40" w:after="40"/>
              <w:rPr>
                <w:sz w:val="20"/>
                <w:szCs w:val="20"/>
              </w:rPr>
            </w:pPr>
            <w:r>
              <w:rPr>
                <w:sz w:val="20"/>
                <w:szCs w:val="20"/>
              </w:rPr>
              <w:t>Excavation and</w:t>
            </w:r>
            <w:r w:rsidRPr="003E5FB6">
              <w:rPr>
                <w:sz w:val="20"/>
                <w:szCs w:val="20"/>
              </w:rPr>
              <w:t xml:space="preserve"> </w:t>
            </w:r>
            <w:r>
              <w:rPr>
                <w:sz w:val="20"/>
                <w:szCs w:val="20"/>
              </w:rPr>
              <w:t>safeguarding</w:t>
            </w:r>
            <w:r w:rsidRPr="003E5FB6">
              <w:rPr>
                <w:sz w:val="20"/>
                <w:szCs w:val="20"/>
              </w:rPr>
              <w:t xml:space="preserve"> </w:t>
            </w:r>
            <w:r>
              <w:rPr>
                <w:sz w:val="20"/>
                <w:szCs w:val="20"/>
              </w:rPr>
              <w:t>of</w:t>
            </w:r>
            <w:r w:rsidRPr="003E5FB6">
              <w:rPr>
                <w:sz w:val="20"/>
                <w:szCs w:val="20"/>
              </w:rPr>
              <w:t xml:space="preserve"> </w:t>
            </w:r>
            <w:r>
              <w:rPr>
                <w:sz w:val="20"/>
                <w:szCs w:val="20"/>
              </w:rPr>
              <w:t xml:space="preserve">4,123 t of Category 2 </w:t>
            </w:r>
            <w:r w:rsidRPr="003E5FB6">
              <w:rPr>
                <w:sz w:val="20"/>
                <w:szCs w:val="20"/>
              </w:rPr>
              <w:t xml:space="preserve">waste </w:t>
            </w:r>
            <w:r>
              <w:rPr>
                <w:sz w:val="20"/>
                <w:szCs w:val="20"/>
              </w:rPr>
              <w:t>for</w:t>
            </w:r>
            <w:r w:rsidRPr="003D32BA">
              <w:rPr>
                <w:sz w:val="20"/>
                <w:szCs w:val="20"/>
              </w:rPr>
              <w:t xml:space="preserve"> secure temporary storage on-site </w:t>
            </w:r>
          </w:p>
        </w:tc>
        <w:tc>
          <w:tcPr>
            <w:tcW w:w="3600" w:type="dxa"/>
            <w:hideMark/>
          </w:tcPr>
          <w:p w14:paraId="0C3CFD28" w14:textId="77777777" w:rsidR="00E55941" w:rsidRDefault="00E55941" w:rsidP="00E55941">
            <w:pPr>
              <w:spacing w:before="40" w:after="40"/>
              <w:rPr>
                <w:sz w:val="20"/>
                <w:szCs w:val="20"/>
              </w:rPr>
            </w:pPr>
            <w:r>
              <w:rPr>
                <w:sz w:val="20"/>
                <w:szCs w:val="20"/>
              </w:rPr>
              <w:t xml:space="preserve">Removal </w:t>
            </w:r>
            <w:r w:rsidRPr="003E5FB6">
              <w:rPr>
                <w:sz w:val="20"/>
                <w:szCs w:val="20"/>
              </w:rPr>
              <w:t xml:space="preserve">of 1,052 t Category 1 </w:t>
            </w:r>
            <w:r>
              <w:rPr>
                <w:sz w:val="20"/>
                <w:szCs w:val="20"/>
              </w:rPr>
              <w:t xml:space="preserve">waste for </w:t>
            </w:r>
            <w:r w:rsidRPr="003E5FB6">
              <w:rPr>
                <w:sz w:val="20"/>
                <w:szCs w:val="20"/>
              </w:rPr>
              <w:t xml:space="preserve">secure temporary storage </w:t>
            </w:r>
          </w:p>
          <w:p w14:paraId="1AC89FE1" w14:textId="77777777" w:rsidR="00E55941" w:rsidRDefault="00E55941" w:rsidP="00E55941">
            <w:pPr>
              <w:spacing w:before="40" w:after="40"/>
              <w:rPr>
                <w:sz w:val="20"/>
                <w:szCs w:val="20"/>
              </w:rPr>
            </w:pPr>
          </w:p>
          <w:p w14:paraId="1DAA44FF" w14:textId="77777777" w:rsidR="00E55941" w:rsidRPr="003E5FB6" w:rsidRDefault="00E55941" w:rsidP="00E55941">
            <w:pPr>
              <w:spacing w:before="40" w:after="40"/>
              <w:rPr>
                <w:sz w:val="20"/>
                <w:szCs w:val="20"/>
              </w:rPr>
            </w:pPr>
            <w:r>
              <w:rPr>
                <w:sz w:val="20"/>
                <w:szCs w:val="20"/>
              </w:rPr>
              <w:t xml:space="preserve">Displacement </w:t>
            </w:r>
            <w:r w:rsidRPr="003E5FB6">
              <w:rPr>
                <w:sz w:val="20"/>
                <w:szCs w:val="20"/>
              </w:rPr>
              <w:t xml:space="preserve">of </w:t>
            </w:r>
            <w:r>
              <w:rPr>
                <w:sz w:val="20"/>
                <w:szCs w:val="20"/>
              </w:rPr>
              <w:t xml:space="preserve">4,123 t </w:t>
            </w:r>
            <w:r w:rsidRPr="00FA185A">
              <w:rPr>
                <w:sz w:val="20"/>
                <w:szCs w:val="20"/>
              </w:rPr>
              <w:t xml:space="preserve">of Category 2 waste for secure temporary storage on-site and containment </w:t>
            </w:r>
            <w:r>
              <w:rPr>
                <w:sz w:val="20"/>
                <w:szCs w:val="20"/>
              </w:rPr>
              <w:t xml:space="preserve">in </w:t>
            </w:r>
            <w:r w:rsidRPr="001B6FEA">
              <w:rPr>
                <w:sz w:val="20"/>
                <w:szCs w:val="20"/>
              </w:rPr>
              <w:t xml:space="preserve">stabilized </w:t>
            </w:r>
            <w:proofErr w:type="spellStart"/>
            <w:r w:rsidRPr="001B6FEA">
              <w:rPr>
                <w:sz w:val="20"/>
                <w:szCs w:val="20"/>
              </w:rPr>
              <w:t>Nubarashen</w:t>
            </w:r>
            <w:proofErr w:type="spellEnd"/>
            <w:r w:rsidRPr="001B6FEA">
              <w:rPr>
                <w:sz w:val="20"/>
                <w:szCs w:val="20"/>
              </w:rPr>
              <w:t xml:space="preserve"> ex-burial site </w:t>
            </w:r>
            <w:r w:rsidRPr="00FA185A">
              <w:rPr>
                <w:sz w:val="20"/>
                <w:szCs w:val="20"/>
              </w:rPr>
              <w:t xml:space="preserve">after environmentally sound treatment </w:t>
            </w:r>
          </w:p>
        </w:tc>
      </w:tr>
      <w:tr w:rsidR="00E55941" w:rsidRPr="003E5FB6" w14:paraId="488CB36E" w14:textId="77777777" w:rsidTr="00E55941">
        <w:trPr>
          <w:trHeight w:val="557"/>
        </w:trPr>
        <w:tc>
          <w:tcPr>
            <w:tcW w:w="2070" w:type="dxa"/>
            <w:vMerge/>
            <w:hideMark/>
          </w:tcPr>
          <w:p w14:paraId="46382FD2" w14:textId="77777777" w:rsidR="00E55941" w:rsidRPr="003E5FB6" w:rsidRDefault="00E55941" w:rsidP="00E55941">
            <w:pPr>
              <w:spacing w:before="40" w:after="40"/>
              <w:rPr>
                <w:sz w:val="20"/>
                <w:szCs w:val="20"/>
              </w:rPr>
            </w:pPr>
          </w:p>
        </w:tc>
        <w:tc>
          <w:tcPr>
            <w:tcW w:w="2880" w:type="dxa"/>
            <w:hideMark/>
          </w:tcPr>
          <w:p w14:paraId="748F5850" w14:textId="77777777" w:rsidR="00E55941" w:rsidRPr="003E5FB6" w:rsidRDefault="00E55941" w:rsidP="00E55941">
            <w:pPr>
              <w:spacing w:before="40" w:after="40"/>
              <w:rPr>
                <w:sz w:val="20"/>
                <w:szCs w:val="20"/>
              </w:rPr>
            </w:pPr>
            <w:r>
              <w:rPr>
                <w:sz w:val="20"/>
                <w:szCs w:val="20"/>
              </w:rPr>
              <w:t xml:space="preserve">Excavation, </w:t>
            </w:r>
            <w:proofErr w:type="gramStart"/>
            <w:r>
              <w:rPr>
                <w:sz w:val="20"/>
                <w:szCs w:val="20"/>
              </w:rPr>
              <w:t>displacement</w:t>
            </w:r>
            <w:proofErr w:type="gramEnd"/>
            <w:r>
              <w:rPr>
                <w:sz w:val="20"/>
                <w:szCs w:val="20"/>
              </w:rPr>
              <w:t xml:space="preserve"> and </w:t>
            </w:r>
            <w:r w:rsidRPr="003E5FB6">
              <w:rPr>
                <w:sz w:val="20"/>
                <w:szCs w:val="20"/>
              </w:rPr>
              <w:t>secure</w:t>
            </w:r>
            <w:r>
              <w:rPr>
                <w:sz w:val="20"/>
                <w:szCs w:val="20"/>
              </w:rPr>
              <w:t xml:space="preserve"> storage</w:t>
            </w:r>
            <w:r w:rsidRPr="003E5FB6">
              <w:rPr>
                <w:sz w:val="20"/>
                <w:szCs w:val="20"/>
              </w:rPr>
              <w:t xml:space="preserve"> of 8,500 t of Category 3 soil </w:t>
            </w:r>
            <w:r>
              <w:rPr>
                <w:sz w:val="20"/>
                <w:szCs w:val="20"/>
              </w:rPr>
              <w:t>and backfilling</w:t>
            </w:r>
            <w:r w:rsidRPr="003E5FB6">
              <w:rPr>
                <w:sz w:val="20"/>
                <w:szCs w:val="20"/>
              </w:rPr>
              <w:t xml:space="preserve"> in </w:t>
            </w:r>
            <w:r>
              <w:rPr>
                <w:sz w:val="20"/>
                <w:szCs w:val="20"/>
              </w:rPr>
              <w:t xml:space="preserve">stabilized </w:t>
            </w:r>
            <w:proofErr w:type="spellStart"/>
            <w:r w:rsidRPr="003E5FB6">
              <w:rPr>
                <w:sz w:val="20"/>
                <w:szCs w:val="20"/>
              </w:rPr>
              <w:t>Nubarashen</w:t>
            </w:r>
            <w:proofErr w:type="spellEnd"/>
            <w:r w:rsidRPr="003E5FB6">
              <w:rPr>
                <w:sz w:val="20"/>
                <w:szCs w:val="20"/>
              </w:rPr>
              <w:t xml:space="preserve"> </w:t>
            </w:r>
            <w:r>
              <w:rPr>
                <w:sz w:val="20"/>
                <w:szCs w:val="20"/>
              </w:rPr>
              <w:t xml:space="preserve">ex-burial </w:t>
            </w:r>
            <w:r w:rsidRPr="003E5FB6">
              <w:rPr>
                <w:sz w:val="20"/>
                <w:szCs w:val="20"/>
              </w:rPr>
              <w:t>site</w:t>
            </w:r>
          </w:p>
        </w:tc>
        <w:tc>
          <w:tcPr>
            <w:tcW w:w="3240" w:type="dxa"/>
            <w:hideMark/>
          </w:tcPr>
          <w:p w14:paraId="3A3BEAC7" w14:textId="77777777" w:rsidR="00E55941" w:rsidRPr="003E5FB6" w:rsidRDefault="00E55941" w:rsidP="00E55941">
            <w:pPr>
              <w:spacing w:before="40" w:after="40"/>
              <w:rPr>
                <w:sz w:val="20"/>
                <w:szCs w:val="20"/>
              </w:rPr>
            </w:pPr>
            <w:r w:rsidRPr="003E5FB6">
              <w:rPr>
                <w:sz w:val="20"/>
                <w:szCs w:val="20"/>
              </w:rPr>
              <w:t>Containment of pure pesticide burial cells compromised</w:t>
            </w:r>
            <w:r w:rsidRPr="003E5FB6">
              <w:rPr>
                <w:sz w:val="20"/>
                <w:szCs w:val="20"/>
              </w:rPr>
              <w:br/>
            </w:r>
            <w:r w:rsidRPr="003E5FB6">
              <w:rPr>
                <w:sz w:val="20"/>
                <w:szCs w:val="20"/>
              </w:rPr>
              <w:br/>
              <w:t xml:space="preserve">Contamination has spread to soil across and around the </w:t>
            </w:r>
            <w:proofErr w:type="spellStart"/>
            <w:r w:rsidRPr="003E5FB6">
              <w:rPr>
                <w:sz w:val="20"/>
                <w:szCs w:val="20"/>
              </w:rPr>
              <w:t>Nubarashen</w:t>
            </w:r>
            <w:proofErr w:type="spellEnd"/>
            <w:r w:rsidRPr="003E5FB6">
              <w:rPr>
                <w:sz w:val="20"/>
                <w:szCs w:val="20"/>
              </w:rPr>
              <w:t xml:space="preserve"> site</w:t>
            </w:r>
          </w:p>
        </w:tc>
        <w:tc>
          <w:tcPr>
            <w:tcW w:w="3510" w:type="dxa"/>
            <w:hideMark/>
          </w:tcPr>
          <w:p w14:paraId="27AA958F" w14:textId="77777777" w:rsidR="00E55941" w:rsidRPr="003E5FB6" w:rsidRDefault="00E55941" w:rsidP="00E55941">
            <w:pPr>
              <w:spacing w:before="40" w:after="40"/>
              <w:rPr>
                <w:sz w:val="20"/>
                <w:szCs w:val="20"/>
              </w:rPr>
            </w:pPr>
            <w:r>
              <w:rPr>
                <w:sz w:val="20"/>
                <w:szCs w:val="20"/>
              </w:rPr>
              <w:t>Excavation,</w:t>
            </w:r>
            <w:r w:rsidRPr="003E5FB6">
              <w:rPr>
                <w:sz w:val="20"/>
                <w:szCs w:val="20"/>
              </w:rPr>
              <w:t xml:space="preserve"> </w:t>
            </w:r>
            <w:r>
              <w:rPr>
                <w:sz w:val="20"/>
                <w:szCs w:val="20"/>
              </w:rPr>
              <w:t xml:space="preserve">displacement </w:t>
            </w:r>
            <w:r w:rsidRPr="003E5FB6">
              <w:rPr>
                <w:sz w:val="20"/>
                <w:szCs w:val="20"/>
              </w:rPr>
              <w:t xml:space="preserve">of 8,500 t of Category 3 soil </w:t>
            </w:r>
            <w:r>
              <w:rPr>
                <w:sz w:val="20"/>
                <w:szCs w:val="20"/>
              </w:rPr>
              <w:t xml:space="preserve">for </w:t>
            </w:r>
            <w:r w:rsidRPr="003E5FB6">
              <w:rPr>
                <w:sz w:val="20"/>
                <w:szCs w:val="20"/>
              </w:rPr>
              <w:t>secure temporary storage</w:t>
            </w:r>
            <w:r>
              <w:rPr>
                <w:sz w:val="20"/>
                <w:szCs w:val="20"/>
              </w:rPr>
              <w:t xml:space="preserve"> o</w:t>
            </w:r>
            <w:r w:rsidRPr="003E5FB6">
              <w:rPr>
                <w:sz w:val="20"/>
                <w:szCs w:val="20"/>
              </w:rPr>
              <w:t>n-site</w:t>
            </w:r>
          </w:p>
        </w:tc>
        <w:tc>
          <w:tcPr>
            <w:tcW w:w="3600" w:type="dxa"/>
            <w:hideMark/>
          </w:tcPr>
          <w:p w14:paraId="56384A71" w14:textId="77777777" w:rsidR="00E55941" w:rsidRPr="003E5FB6" w:rsidRDefault="00E55941" w:rsidP="00E55941">
            <w:pPr>
              <w:spacing w:before="40" w:after="40"/>
              <w:rPr>
                <w:sz w:val="20"/>
                <w:szCs w:val="20"/>
              </w:rPr>
            </w:pPr>
            <w:r w:rsidRPr="003E5FB6">
              <w:rPr>
                <w:sz w:val="20"/>
                <w:szCs w:val="20"/>
              </w:rPr>
              <w:t>On-site secure permanent backfilling of 8,500 t of Category 3 soil at the restored and stabilized</w:t>
            </w:r>
            <w:r>
              <w:rPr>
                <w:sz w:val="20"/>
                <w:szCs w:val="20"/>
              </w:rPr>
              <w:t xml:space="preserve"> </w:t>
            </w:r>
            <w:proofErr w:type="spellStart"/>
            <w:r>
              <w:rPr>
                <w:sz w:val="20"/>
                <w:szCs w:val="20"/>
              </w:rPr>
              <w:t>Nubarashen</w:t>
            </w:r>
            <w:proofErr w:type="spellEnd"/>
            <w:r>
              <w:rPr>
                <w:sz w:val="20"/>
                <w:szCs w:val="20"/>
              </w:rPr>
              <w:t xml:space="preserve"> ex-burial site</w:t>
            </w:r>
          </w:p>
        </w:tc>
      </w:tr>
      <w:tr w:rsidR="00E55941" w:rsidRPr="003E5FB6" w14:paraId="2702E879" w14:textId="77777777" w:rsidTr="00E55941">
        <w:trPr>
          <w:trHeight w:val="4760"/>
        </w:trPr>
        <w:tc>
          <w:tcPr>
            <w:tcW w:w="2070" w:type="dxa"/>
            <w:vMerge/>
            <w:hideMark/>
          </w:tcPr>
          <w:p w14:paraId="58CC6FC1" w14:textId="77777777" w:rsidR="00E55941" w:rsidRPr="003E5FB6" w:rsidRDefault="00E55941" w:rsidP="00E55941">
            <w:pPr>
              <w:spacing w:before="40" w:after="40"/>
              <w:rPr>
                <w:sz w:val="20"/>
                <w:szCs w:val="20"/>
              </w:rPr>
            </w:pPr>
          </w:p>
        </w:tc>
        <w:tc>
          <w:tcPr>
            <w:tcW w:w="2880" w:type="dxa"/>
            <w:hideMark/>
          </w:tcPr>
          <w:p w14:paraId="35E8356D" w14:textId="77777777" w:rsidR="00E55941" w:rsidRPr="003E5FB6" w:rsidRDefault="00E55941" w:rsidP="00E55941">
            <w:pPr>
              <w:spacing w:before="40" w:after="40"/>
              <w:rPr>
                <w:sz w:val="20"/>
                <w:szCs w:val="20"/>
              </w:rPr>
            </w:pPr>
            <w:r w:rsidRPr="003E5FB6">
              <w:rPr>
                <w:sz w:val="20"/>
                <w:szCs w:val="20"/>
              </w:rPr>
              <w:t xml:space="preserve">Availability of restoration, monitoring and access control provisions for the </w:t>
            </w:r>
            <w:proofErr w:type="spellStart"/>
            <w:r w:rsidRPr="003E5FB6">
              <w:rPr>
                <w:sz w:val="20"/>
                <w:szCs w:val="20"/>
              </w:rPr>
              <w:t>Nubarashen</w:t>
            </w:r>
            <w:proofErr w:type="spellEnd"/>
            <w:r w:rsidRPr="003E5FB6">
              <w:rPr>
                <w:sz w:val="20"/>
                <w:szCs w:val="20"/>
              </w:rPr>
              <w:t xml:space="preserve"> burial site and completion of civil works to stabilize the surrounding land and drainage system</w:t>
            </w:r>
          </w:p>
        </w:tc>
        <w:tc>
          <w:tcPr>
            <w:tcW w:w="3240" w:type="dxa"/>
            <w:hideMark/>
          </w:tcPr>
          <w:p w14:paraId="2856692C" w14:textId="77777777" w:rsidR="00E55941" w:rsidRDefault="00E55941" w:rsidP="00E55941">
            <w:pPr>
              <w:spacing w:before="60" w:after="60"/>
              <w:rPr>
                <w:sz w:val="20"/>
                <w:szCs w:val="20"/>
              </w:rPr>
            </w:pPr>
            <w:r w:rsidRPr="003E5FB6">
              <w:rPr>
                <w:sz w:val="20"/>
                <w:szCs w:val="20"/>
              </w:rPr>
              <w:t>Only temporary containment works in place involving basic drainage, and cover of the burial site itself</w:t>
            </w:r>
            <w:r w:rsidRPr="003E5FB6">
              <w:rPr>
                <w:sz w:val="20"/>
                <w:szCs w:val="20"/>
              </w:rPr>
              <w:br/>
            </w:r>
          </w:p>
          <w:p w14:paraId="160D76E8" w14:textId="77777777" w:rsidR="00E55941" w:rsidRDefault="00E55941" w:rsidP="00E55941">
            <w:pPr>
              <w:spacing w:before="60" w:after="60"/>
              <w:rPr>
                <w:sz w:val="20"/>
                <w:szCs w:val="20"/>
              </w:rPr>
            </w:pPr>
            <w:r w:rsidRPr="003E5FB6">
              <w:rPr>
                <w:sz w:val="20"/>
                <w:szCs w:val="20"/>
              </w:rPr>
              <w:t>Site is generally intact but poorly maintained and sparsely vegetated, subject to erosion, drainage blockage and surrounding geotechnical and hydrogeological instability</w:t>
            </w:r>
            <w:r w:rsidRPr="003E5FB6">
              <w:rPr>
                <w:sz w:val="20"/>
                <w:szCs w:val="20"/>
              </w:rPr>
              <w:br/>
            </w:r>
          </w:p>
          <w:p w14:paraId="1D97656B" w14:textId="77777777" w:rsidR="00E55941" w:rsidRDefault="00E55941" w:rsidP="00E55941">
            <w:pPr>
              <w:spacing w:before="60" w:after="60"/>
              <w:rPr>
                <w:sz w:val="20"/>
                <w:szCs w:val="20"/>
              </w:rPr>
            </w:pPr>
            <w:r w:rsidRPr="003E5FB6">
              <w:rPr>
                <w:sz w:val="20"/>
                <w:szCs w:val="20"/>
              </w:rPr>
              <w:t>Basic ground water monitoring capability in place</w:t>
            </w:r>
            <w:r w:rsidRPr="003E5FB6">
              <w:rPr>
                <w:sz w:val="20"/>
                <w:szCs w:val="20"/>
              </w:rPr>
              <w:br/>
            </w:r>
          </w:p>
          <w:p w14:paraId="541A8A1E" w14:textId="77777777" w:rsidR="00E55941" w:rsidRPr="003E5FB6" w:rsidRDefault="00E55941" w:rsidP="00E55941">
            <w:pPr>
              <w:spacing w:before="60" w:after="60"/>
              <w:rPr>
                <w:sz w:val="20"/>
                <w:szCs w:val="20"/>
              </w:rPr>
            </w:pPr>
            <w:r w:rsidRPr="003E5FB6">
              <w:rPr>
                <w:sz w:val="20"/>
                <w:szCs w:val="20"/>
              </w:rPr>
              <w:t xml:space="preserve">Site security and access control as part of an emergency measures order but </w:t>
            </w:r>
            <w:proofErr w:type="gramStart"/>
            <w:r w:rsidRPr="003E5FB6">
              <w:rPr>
                <w:sz w:val="20"/>
                <w:szCs w:val="20"/>
              </w:rPr>
              <w:t>general public</w:t>
            </w:r>
            <w:proofErr w:type="gramEnd"/>
            <w:r w:rsidRPr="003E5FB6">
              <w:rPr>
                <w:sz w:val="20"/>
                <w:szCs w:val="20"/>
              </w:rPr>
              <w:t xml:space="preserve"> access to area permitted</w:t>
            </w:r>
          </w:p>
        </w:tc>
        <w:tc>
          <w:tcPr>
            <w:tcW w:w="3510" w:type="dxa"/>
            <w:hideMark/>
          </w:tcPr>
          <w:p w14:paraId="19318F58" w14:textId="77777777" w:rsidR="00E55941" w:rsidRDefault="00E55941" w:rsidP="00E55941">
            <w:pPr>
              <w:spacing w:before="40" w:after="40"/>
              <w:rPr>
                <w:sz w:val="20"/>
                <w:szCs w:val="20"/>
              </w:rPr>
            </w:pPr>
            <w:r w:rsidRPr="003E5FB6">
              <w:rPr>
                <w:sz w:val="20"/>
                <w:szCs w:val="20"/>
              </w:rPr>
              <w:t xml:space="preserve">Upgraded and enforced public access controls </w:t>
            </w:r>
          </w:p>
          <w:p w14:paraId="1D54F2C5" w14:textId="77777777" w:rsidR="00E55941" w:rsidRDefault="00E55941" w:rsidP="00E55941">
            <w:pPr>
              <w:spacing w:before="40" w:after="40"/>
              <w:rPr>
                <w:sz w:val="20"/>
                <w:szCs w:val="20"/>
              </w:rPr>
            </w:pPr>
            <w:r w:rsidRPr="003E5FB6">
              <w:rPr>
                <w:sz w:val="20"/>
                <w:szCs w:val="20"/>
              </w:rPr>
              <w:br/>
              <w:t xml:space="preserve">Upgraded access roads, security controls and site protection </w:t>
            </w:r>
            <w:proofErr w:type="gramStart"/>
            <w:r w:rsidRPr="003E5FB6">
              <w:rPr>
                <w:sz w:val="20"/>
                <w:szCs w:val="20"/>
              </w:rPr>
              <w:t>measures</w:t>
            </w:r>
            <w:proofErr w:type="gramEnd"/>
            <w:r w:rsidRPr="003E5FB6">
              <w:rPr>
                <w:sz w:val="20"/>
                <w:szCs w:val="20"/>
              </w:rPr>
              <w:t xml:space="preserve"> suitable for the active excavation and restoration works </w:t>
            </w:r>
          </w:p>
          <w:p w14:paraId="5EF23433" w14:textId="77777777" w:rsidR="00E55941" w:rsidRPr="003E5FB6" w:rsidRDefault="00E55941" w:rsidP="00E55941">
            <w:pPr>
              <w:spacing w:before="40" w:after="40"/>
              <w:rPr>
                <w:sz w:val="20"/>
                <w:szCs w:val="20"/>
              </w:rPr>
            </w:pPr>
            <w:r w:rsidRPr="003E5FB6">
              <w:rPr>
                <w:sz w:val="20"/>
                <w:szCs w:val="20"/>
              </w:rPr>
              <w:br/>
              <w:t xml:space="preserve">Temporary repairs and modification to on-site upstream and downstream drainage to assure minimum water ingress during active site excavation and remediation works </w:t>
            </w:r>
          </w:p>
        </w:tc>
        <w:tc>
          <w:tcPr>
            <w:tcW w:w="3600" w:type="dxa"/>
            <w:hideMark/>
          </w:tcPr>
          <w:p w14:paraId="0CC9710E" w14:textId="77777777" w:rsidR="00E55941" w:rsidRPr="003E5FB6" w:rsidRDefault="00E55941" w:rsidP="00E55941">
            <w:pPr>
              <w:spacing w:before="40" w:after="40"/>
              <w:rPr>
                <w:sz w:val="20"/>
                <w:szCs w:val="20"/>
              </w:rPr>
            </w:pPr>
            <w:r>
              <w:rPr>
                <w:sz w:val="20"/>
                <w:szCs w:val="20"/>
              </w:rPr>
              <w:t>F</w:t>
            </w:r>
            <w:r w:rsidRPr="003E5FB6">
              <w:rPr>
                <w:sz w:val="20"/>
                <w:szCs w:val="20"/>
              </w:rPr>
              <w:t xml:space="preserve">ully restored </w:t>
            </w:r>
            <w:r>
              <w:rPr>
                <w:sz w:val="20"/>
                <w:szCs w:val="20"/>
              </w:rPr>
              <w:t>s</w:t>
            </w:r>
            <w:r w:rsidRPr="003E5FB6">
              <w:rPr>
                <w:sz w:val="20"/>
                <w:szCs w:val="20"/>
              </w:rPr>
              <w:t>ite with sustainable phytoremediation vegetation, appropriately fenced and gated with signage including a 100m buffer zone aro</w:t>
            </w:r>
            <w:r>
              <w:rPr>
                <w:sz w:val="20"/>
                <w:szCs w:val="20"/>
              </w:rPr>
              <w:t>und the former burial site</w:t>
            </w:r>
            <w:r>
              <w:rPr>
                <w:sz w:val="20"/>
                <w:szCs w:val="20"/>
              </w:rPr>
              <w:br/>
            </w:r>
            <w:r>
              <w:rPr>
                <w:sz w:val="20"/>
                <w:szCs w:val="20"/>
              </w:rPr>
              <w:br/>
              <w:t>U</w:t>
            </w:r>
            <w:r w:rsidRPr="003E5FB6">
              <w:rPr>
                <w:sz w:val="20"/>
                <w:szCs w:val="20"/>
              </w:rPr>
              <w:t>pgraded and functional site drainage system</w:t>
            </w:r>
            <w:r w:rsidRPr="003E5FB6">
              <w:rPr>
                <w:sz w:val="20"/>
                <w:szCs w:val="20"/>
              </w:rPr>
              <w:br/>
            </w:r>
            <w:r w:rsidRPr="003E5FB6">
              <w:rPr>
                <w:sz w:val="20"/>
                <w:szCs w:val="20"/>
              </w:rPr>
              <w:br/>
              <w:t xml:space="preserve">Permanent measures </w:t>
            </w:r>
            <w:r>
              <w:rPr>
                <w:sz w:val="20"/>
                <w:szCs w:val="20"/>
              </w:rPr>
              <w:t xml:space="preserve">to </w:t>
            </w:r>
            <w:r w:rsidRPr="003E5FB6">
              <w:rPr>
                <w:sz w:val="20"/>
                <w:szCs w:val="20"/>
              </w:rPr>
              <w:t>maintain land stability upstream and downstream of site</w:t>
            </w:r>
            <w:r w:rsidRPr="003E5FB6">
              <w:rPr>
                <w:sz w:val="20"/>
                <w:szCs w:val="20"/>
              </w:rPr>
              <w:br/>
            </w:r>
            <w:r w:rsidRPr="003E5FB6">
              <w:rPr>
                <w:sz w:val="20"/>
                <w:szCs w:val="20"/>
              </w:rPr>
              <w:br/>
              <w:t>Long term monitoring program in place and funded by national budgets</w:t>
            </w:r>
            <w:r w:rsidRPr="003E5FB6">
              <w:rPr>
                <w:sz w:val="20"/>
                <w:szCs w:val="20"/>
              </w:rPr>
              <w:br/>
            </w:r>
            <w:r w:rsidRPr="003E5FB6">
              <w:rPr>
                <w:sz w:val="20"/>
                <w:szCs w:val="20"/>
              </w:rPr>
              <w:br/>
              <w:t xml:space="preserve">Institutional arrangements made respecting long-term land use of the site and surrounding territory </w:t>
            </w:r>
          </w:p>
        </w:tc>
      </w:tr>
      <w:tr w:rsidR="00E55941" w:rsidRPr="003E5FB6" w14:paraId="2F19EFCF" w14:textId="77777777" w:rsidTr="00E55941">
        <w:trPr>
          <w:trHeight w:val="1601"/>
        </w:trPr>
        <w:tc>
          <w:tcPr>
            <w:tcW w:w="2070" w:type="dxa"/>
            <w:hideMark/>
          </w:tcPr>
          <w:p w14:paraId="359D4140" w14:textId="77777777" w:rsidR="00E55941" w:rsidRPr="003E5FB6" w:rsidRDefault="00E55941" w:rsidP="00E55941">
            <w:pPr>
              <w:spacing w:before="40" w:after="40"/>
              <w:rPr>
                <w:sz w:val="20"/>
                <w:szCs w:val="20"/>
              </w:rPr>
            </w:pPr>
          </w:p>
        </w:tc>
        <w:tc>
          <w:tcPr>
            <w:tcW w:w="2880" w:type="dxa"/>
            <w:hideMark/>
          </w:tcPr>
          <w:p w14:paraId="6CDCFF2D" w14:textId="77777777" w:rsidR="00E55941" w:rsidRPr="003E5FB6" w:rsidRDefault="00E55941" w:rsidP="00E55941">
            <w:pPr>
              <w:spacing w:before="40" w:after="40"/>
              <w:rPr>
                <w:sz w:val="20"/>
                <w:szCs w:val="20"/>
              </w:rPr>
            </w:pPr>
            <w:r w:rsidRPr="003E5FB6">
              <w:rPr>
                <w:sz w:val="20"/>
                <w:szCs w:val="20"/>
              </w:rPr>
              <w:t xml:space="preserve">Availability of trained capability in the practical handling/management of chemicals </w:t>
            </w:r>
            <w:r>
              <w:rPr>
                <w:sz w:val="20"/>
                <w:szCs w:val="20"/>
              </w:rPr>
              <w:t xml:space="preserve">HW </w:t>
            </w:r>
            <w:r w:rsidRPr="003E5FB6">
              <w:rPr>
                <w:sz w:val="20"/>
                <w:szCs w:val="20"/>
              </w:rPr>
              <w:t xml:space="preserve">and contaminated site clean-up </w:t>
            </w:r>
          </w:p>
        </w:tc>
        <w:tc>
          <w:tcPr>
            <w:tcW w:w="3240" w:type="dxa"/>
            <w:hideMark/>
          </w:tcPr>
          <w:p w14:paraId="753653C3" w14:textId="77777777" w:rsidR="00E55941" w:rsidRPr="003E5FB6" w:rsidRDefault="00E55941" w:rsidP="00E55941">
            <w:pPr>
              <w:spacing w:before="40" w:after="40"/>
              <w:rPr>
                <w:sz w:val="20"/>
                <w:szCs w:val="20"/>
              </w:rPr>
            </w:pPr>
            <w:r w:rsidRPr="003E5FB6">
              <w:rPr>
                <w:sz w:val="20"/>
                <w:szCs w:val="20"/>
              </w:rPr>
              <w:t>Limited national capability in the practical management of hazardous chemicals wastes and contaminated site clean-up</w:t>
            </w:r>
          </w:p>
        </w:tc>
        <w:tc>
          <w:tcPr>
            <w:tcW w:w="3510" w:type="dxa"/>
            <w:hideMark/>
          </w:tcPr>
          <w:p w14:paraId="403847C4" w14:textId="77777777" w:rsidR="00E55941" w:rsidRPr="003E5FB6" w:rsidRDefault="00E55941" w:rsidP="00E55941">
            <w:pPr>
              <w:spacing w:before="40" w:after="40"/>
              <w:rPr>
                <w:sz w:val="20"/>
                <w:szCs w:val="20"/>
              </w:rPr>
            </w:pPr>
            <w:r w:rsidRPr="003E5FB6">
              <w:rPr>
                <w:sz w:val="20"/>
                <w:szCs w:val="20"/>
              </w:rPr>
              <w:t xml:space="preserve">Training delivered to 20 national technical and regulatory staff in support of </w:t>
            </w:r>
            <w:proofErr w:type="spellStart"/>
            <w:r w:rsidRPr="003E5FB6">
              <w:rPr>
                <w:sz w:val="20"/>
                <w:szCs w:val="20"/>
              </w:rPr>
              <w:t>Nubarashen</w:t>
            </w:r>
            <w:proofErr w:type="spellEnd"/>
            <w:r w:rsidRPr="003E5FB6">
              <w:rPr>
                <w:sz w:val="20"/>
                <w:szCs w:val="20"/>
              </w:rPr>
              <w:t xml:space="preserve"> burial site </w:t>
            </w:r>
            <w:r>
              <w:rPr>
                <w:sz w:val="20"/>
                <w:szCs w:val="20"/>
              </w:rPr>
              <w:t>HW</w:t>
            </w:r>
            <w:r w:rsidRPr="003E5FB6">
              <w:rPr>
                <w:sz w:val="20"/>
                <w:szCs w:val="20"/>
              </w:rPr>
              <w:t xml:space="preserve"> waste excavation, packaging, </w:t>
            </w:r>
            <w:r>
              <w:rPr>
                <w:sz w:val="20"/>
                <w:szCs w:val="20"/>
              </w:rPr>
              <w:t xml:space="preserve">secure storage, </w:t>
            </w:r>
            <w:proofErr w:type="gramStart"/>
            <w:r w:rsidRPr="003E5FB6">
              <w:rPr>
                <w:sz w:val="20"/>
                <w:szCs w:val="20"/>
              </w:rPr>
              <w:t>trans</w:t>
            </w:r>
            <w:r>
              <w:rPr>
                <w:sz w:val="20"/>
                <w:szCs w:val="20"/>
              </w:rPr>
              <w:t>portation</w:t>
            </w:r>
            <w:proofErr w:type="gramEnd"/>
            <w:r>
              <w:rPr>
                <w:sz w:val="20"/>
                <w:szCs w:val="20"/>
              </w:rPr>
              <w:t xml:space="preserve"> and site </w:t>
            </w:r>
            <w:r w:rsidRPr="003E5FB6">
              <w:rPr>
                <w:sz w:val="20"/>
                <w:szCs w:val="20"/>
              </w:rPr>
              <w:t>restoration operations</w:t>
            </w:r>
          </w:p>
        </w:tc>
        <w:tc>
          <w:tcPr>
            <w:tcW w:w="3600" w:type="dxa"/>
            <w:hideMark/>
          </w:tcPr>
          <w:p w14:paraId="4A2601A5" w14:textId="77777777" w:rsidR="00E55941" w:rsidRPr="003E5FB6" w:rsidRDefault="00E55941" w:rsidP="00E55941">
            <w:pPr>
              <w:spacing w:before="40" w:after="40"/>
              <w:rPr>
                <w:sz w:val="20"/>
                <w:szCs w:val="20"/>
              </w:rPr>
            </w:pPr>
            <w:r>
              <w:rPr>
                <w:sz w:val="20"/>
                <w:szCs w:val="20"/>
              </w:rPr>
              <w:t>Developed s</w:t>
            </w:r>
            <w:r w:rsidRPr="003E5FB6">
              <w:rPr>
                <w:sz w:val="20"/>
                <w:szCs w:val="20"/>
              </w:rPr>
              <w:t xml:space="preserve">ustainable operational capability in the public and private sector for chemical </w:t>
            </w:r>
            <w:r>
              <w:rPr>
                <w:sz w:val="20"/>
                <w:szCs w:val="20"/>
              </w:rPr>
              <w:t>HW</w:t>
            </w:r>
            <w:r w:rsidRPr="003E5FB6">
              <w:rPr>
                <w:sz w:val="20"/>
                <w:szCs w:val="20"/>
              </w:rPr>
              <w:t xml:space="preserve"> and contaminated site clean-up management </w:t>
            </w:r>
          </w:p>
        </w:tc>
      </w:tr>
      <w:tr w:rsidR="00E55941" w:rsidRPr="003E5FB6" w14:paraId="7F1EB3CE" w14:textId="77777777" w:rsidTr="00BB0F51">
        <w:trPr>
          <w:trHeight w:val="2105"/>
        </w:trPr>
        <w:tc>
          <w:tcPr>
            <w:tcW w:w="2070" w:type="dxa"/>
            <w:hideMark/>
          </w:tcPr>
          <w:p w14:paraId="11119C03" w14:textId="77777777" w:rsidR="00E55941" w:rsidRPr="003E5FB6" w:rsidRDefault="00E55941" w:rsidP="00E55941">
            <w:pPr>
              <w:spacing w:before="40" w:after="40"/>
              <w:rPr>
                <w:sz w:val="20"/>
                <w:szCs w:val="20"/>
              </w:rPr>
            </w:pPr>
          </w:p>
        </w:tc>
        <w:tc>
          <w:tcPr>
            <w:tcW w:w="2880" w:type="dxa"/>
            <w:hideMark/>
          </w:tcPr>
          <w:p w14:paraId="6B9AE153" w14:textId="77777777" w:rsidR="00E55941" w:rsidRPr="003E5FB6" w:rsidRDefault="00E55941" w:rsidP="00E55941">
            <w:pPr>
              <w:spacing w:before="40" w:after="40"/>
              <w:rPr>
                <w:sz w:val="20"/>
                <w:szCs w:val="20"/>
              </w:rPr>
            </w:pPr>
            <w:r w:rsidRPr="003E5FB6">
              <w:rPr>
                <w:sz w:val="20"/>
                <w:szCs w:val="20"/>
              </w:rPr>
              <w:t xml:space="preserve">High level of public awareness, </w:t>
            </w:r>
            <w:proofErr w:type="gramStart"/>
            <w:r w:rsidRPr="003E5FB6">
              <w:rPr>
                <w:sz w:val="20"/>
                <w:szCs w:val="20"/>
              </w:rPr>
              <w:t>engagement</w:t>
            </w:r>
            <w:proofErr w:type="gramEnd"/>
            <w:r w:rsidRPr="003E5FB6">
              <w:rPr>
                <w:sz w:val="20"/>
                <w:szCs w:val="20"/>
              </w:rPr>
              <w:t xml:space="preserve"> and support for the clean- up activities and ongoing custody and monitoring arrangements for the </w:t>
            </w:r>
            <w:proofErr w:type="spellStart"/>
            <w:r w:rsidRPr="003E5FB6">
              <w:rPr>
                <w:sz w:val="20"/>
                <w:szCs w:val="20"/>
              </w:rPr>
              <w:t>Nubarashen</w:t>
            </w:r>
            <w:proofErr w:type="spellEnd"/>
            <w:r w:rsidRPr="003E5FB6">
              <w:rPr>
                <w:sz w:val="20"/>
                <w:szCs w:val="20"/>
              </w:rPr>
              <w:t xml:space="preserve"> burial site supported by appropriate awareness products</w:t>
            </w:r>
          </w:p>
        </w:tc>
        <w:tc>
          <w:tcPr>
            <w:tcW w:w="3240" w:type="dxa"/>
            <w:hideMark/>
          </w:tcPr>
          <w:p w14:paraId="2FC31CDF" w14:textId="77777777" w:rsidR="00E55941" w:rsidRPr="003E5FB6" w:rsidRDefault="00E55941" w:rsidP="00E55941">
            <w:pPr>
              <w:spacing w:before="40" w:after="40"/>
              <w:rPr>
                <w:sz w:val="20"/>
                <w:szCs w:val="20"/>
              </w:rPr>
            </w:pPr>
            <w:r w:rsidRPr="003E5FB6">
              <w:rPr>
                <w:sz w:val="20"/>
                <w:szCs w:val="20"/>
              </w:rPr>
              <w:t>Limited awareness on the site, risks and activities being undertaken with respect to its clean-up</w:t>
            </w:r>
          </w:p>
        </w:tc>
        <w:tc>
          <w:tcPr>
            <w:tcW w:w="3510" w:type="dxa"/>
            <w:hideMark/>
          </w:tcPr>
          <w:p w14:paraId="6B376A41" w14:textId="77777777" w:rsidR="00E55941" w:rsidRPr="003E5FB6" w:rsidRDefault="00E55941" w:rsidP="00E55941">
            <w:pPr>
              <w:spacing w:before="40" w:after="40"/>
              <w:rPr>
                <w:sz w:val="20"/>
                <w:szCs w:val="20"/>
              </w:rPr>
            </w:pPr>
            <w:r w:rsidRPr="003E5FB6">
              <w:rPr>
                <w:sz w:val="20"/>
                <w:szCs w:val="20"/>
              </w:rPr>
              <w:t xml:space="preserve">3 public consultation events </w:t>
            </w:r>
            <w:proofErr w:type="gramStart"/>
            <w:r w:rsidRPr="003E5FB6">
              <w:rPr>
                <w:sz w:val="20"/>
                <w:szCs w:val="20"/>
              </w:rPr>
              <w:t>held</w:t>
            </w:r>
            <w:proofErr w:type="gramEnd"/>
            <w:r w:rsidRPr="003E5FB6">
              <w:rPr>
                <w:sz w:val="20"/>
                <w:szCs w:val="20"/>
              </w:rPr>
              <w:t xml:space="preserve"> and </w:t>
            </w:r>
            <w:r w:rsidRPr="00FA185A">
              <w:rPr>
                <w:sz w:val="20"/>
                <w:szCs w:val="20"/>
              </w:rPr>
              <w:t>10</w:t>
            </w:r>
            <w:r w:rsidRPr="003E5FB6">
              <w:rPr>
                <w:sz w:val="20"/>
                <w:szCs w:val="20"/>
              </w:rPr>
              <w:t xml:space="preserve"> public documents/web/media products produced</w:t>
            </w:r>
          </w:p>
        </w:tc>
        <w:tc>
          <w:tcPr>
            <w:tcW w:w="3600" w:type="dxa"/>
            <w:hideMark/>
          </w:tcPr>
          <w:p w14:paraId="47F4383F" w14:textId="77777777" w:rsidR="00E55941" w:rsidRPr="003E5FB6" w:rsidRDefault="00E55941" w:rsidP="00E55941">
            <w:pPr>
              <w:spacing w:before="40" w:after="40"/>
              <w:rPr>
                <w:sz w:val="20"/>
                <w:szCs w:val="20"/>
              </w:rPr>
            </w:pPr>
            <w:r w:rsidRPr="003E5FB6">
              <w:rPr>
                <w:sz w:val="20"/>
                <w:szCs w:val="20"/>
              </w:rPr>
              <w:t xml:space="preserve">5 public consultation events </w:t>
            </w:r>
            <w:proofErr w:type="gramStart"/>
            <w:r w:rsidRPr="003E5FB6">
              <w:rPr>
                <w:sz w:val="20"/>
                <w:szCs w:val="20"/>
              </w:rPr>
              <w:t>held</w:t>
            </w:r>
            <w:proofErr w:type="gramEnd"/>
            <w:r w:rsidRPr="003E5FB6">
              <w:rPr>
                <w:sz w:val="20"/>
                <w:szCs w:val="20"/>
              </w:rPr>
              <w:t xml:space="preserve"> and 15 public documents/web/media products produced (cumulative numbers)</w:t>
            </w:r>
            <w:r w:rsidRPr="003E5FB6">
              <w:rPr>
                <w:sz w:val="20"/>
                <w:szCs w:val="20"/>
              </w:rPr>
              <w:br/>
            </w:r>
            <w:r w:rsidRPr="003E5FB6">
              <w:rPr>
                <w:sz w:val="20"/>
                <w:szCs w:val="20"/>
              </w:rPr>
              <w:br/>
            </w:r>
            <w:r>
              <w:rPr>
                <w:sz w:val="20"/>
                <w:szCs w:val="20"/>
              </w:rPr>
              <w:t>S</w:t>
            </w:r>
            <w:r w:rsidRPr="003E5FB6">
              <w:rPr>
                <w:sz w:val="20"/>
                <w:szCs w:val="20"/>
              </w:rPr>
              <w:t>urvey indicating the views of affected public stakeholders conducted upon completion</w:t>
            </w:r>
          </w:p>
        </w:tc>
      </w:tr>
      <w:tr w:rsidR="00E55941" w:rsidRPr="003E5FB6" w14:paraId="4D6D74F2" w14:textId="77777777" w:rsidTr="00066FCF">
        <w:trPr>
          <w:trHeight w:val="2402"/>
        </w:trPr>
        <w:tc>
          <w:tcPr>
            <w:tcW w:w="2070" w:type="dxa"/>
            <w:vMerge w:val="restart"/>
            <w:hideMark/>
          </w:tcPr>
          <w:p w14:paraId="57E4EDC1" w14:textId="77777777" w:rsidR="00E55941" w:rsidRPr="003E5FB6" w:rsidRDefault="00E55941" w:rsidP="00E55941">
            <w:pPr>
              <w:spacing w:before="40" w:after="40"/>
              <w:rPr>
                <w:sz w:val="20"/>
                <w:szCs w:val="20"/>
              </w:rPr>
            </w:pPr>
            <w:r w:rsidRPr="003E5FB6">
              <w:rPr>
                <w:b/>
                <w:bCs/>
                <w:sz w:val="20"/>
                <w:szCs w:val="20"/>
              </w:rPr>
              <w:t xml:space="preserve">Outcome 1.2: </w:t>
            </w:r>
            <w:r w:rsidRPr="003E5FB6">
              <w:rPr>
                <w:sz w:val="20"/>
                <w:szCs w:val="20"/>
              </w:rPr>
              <w:t xml:space="preserve">Development of the national </w:t>
            </w:r>
            <w:r>
              <w:rPr>
                <w:sz w:val="20"/>
                <w:szCs w:val="20"/>
              </w:rPr>
              <w:t xml:space="preserve">chemical </w:t>
            </w:r>
            <w:r w:rsidRPr="003E5FB6">
              <w:rPr>
                <w:sz w:val="20"/>
                <w:szCs w:val="20"/>
              </w:rPr>
              <w:t xml:space="preserve">hazardous waste </w:t>
            </w:r>
            <w:r>
              <w:rPr>
                <w:sz w:val="20"/>
                <w:szCs w:val="20"/>
              </w:rPr>
              <w:t xml:space="preserve">(HW) </w:t>
            </w:r>
            <w:r w:rsidRPr="003E5FB6">
              <w:rPr>
                <w:sz w:val="20"/>
                <w:szCs w:val="20"/>
              </w:rPr>
              <w:t xml:space="preserve">management site and </w:t>
            </w:r>
            <w:r>
              <w:rPr>
                <w:sz w:val="20"/>
                <w:szCs w:val="20"/>
              </w:rPr>
              <w:t>upgrading</w:t>
            </w:r>
            <w:r w:rsidRPr="003E5FB6">
              <w:rPr>
                <w:sz w:val="20"/>
                <w:szCs w:val="20"/>
              </w:rPr>
              <w:t xml:space="preserve"> with secure storage and basic infrastructure capacities to allow the secure storage</w:t>
            </w:r>
            <w:r>
              <w:rPr>
                <w:sz w:val="20"/>
                <w:szCs w:val="20"/>
              </w:rPr>
              <w:t xml:space="preserve"> of</w:t>
            </w:r>
            <w:r w:rsidRPr="003E5FB6">
              <w:rPr>
                <w:sz w:val="20"/>
                <w:szCs w:val="20"/>
              </w:rPr>
              <w:t xml:space="preserve"> </w:t>
            </w:r>
            <w:r>
              <w:rPr>
                <w:sz w:val="20"/>
                <w:szCs w:val="20"/>
              </w:rPr>
              <w:t xml:space="preserve">chemical HW  </w:t>
            </w:r>
          </w:p>
        </w:tc>
        <w:tc>
          <w:tcPr>
            <w:tcW w:w="2880" w:type="dxa"/>
            <w:hideMark/>
          </w:tcPr>
          <w:p w14:paraId="0481F223" w14:textId="77777777" w:rsidR="00E55941" w:rsidRPr="003E5FB6" w:rsidRDefault="00E55941" w:rsidP="00E55941">
            <w:pPr>
              <w:spacing w:before="40" w:after="40"/>
              <w:rPr>
                <w:sz w:val="20"/>
                <w:szCs w:val="20"/>
              </w:rPr>
            </w:pPr>
            <w:r>
              <w:rPr>
                <w:sz w:val="20"/>
                <w:szCs w:val="20"/>
              </w:rPr>
              <w:t>Availability of d</w:t>
            </w:r>
            <w:r w:rsidRPr="003E5FB6">
              <w:rPr>
                <w:sz w:val="20"/>
                <w:szCs w:val="20"/>
              </w:rPr>
              <w:t xml:space="preserve">etailed design documentation, tender specification, implementation procedures including EHS procedures, EIA and required approvals to initiate the </w:t>
            </w:r>
            <w:r>
              <w:rPr>
                <w:sz w:val="20"/>
                <w:szCs w:val="20"/>
              </w:rPr>
              <w:t>chemical HW management</w:t>
            </w:r>
            <w:r w:rsidRPr="003E5FB6">
              <w:rPr>
                <w:sz w:val="20"/>
                <w:szCs w:val="20"/>
              </w:rPr>
              <w:t xml:space="preserve"> site development</w:t>
            </w:r>
          </w:p>
        </w:tc>
        <w:tc>
          <w:tcPr>
            <w:tcW w:w="3240" w:type="dxa"/>
            <w:hideMark/>
          </w:tcPr>
          <w:p w14:paraId="0832E735" w14:textId="77777777" w:rsidR="00E55941" w:rsidRPr="003E5FB6" w:rsidRDefault="00E55941" w:rsidP="00E55941">
            <w:pPr>
              <w:spacing w:before="40" w:after="40"/>
              <w:rPr>
                <w:sz w:val="20"/>
                <w:szCs w:val="20"/>
              </w:rPr>
            </w:pPr>
            <w:r w:rsidRPr="003E5FB6">
              <w:rPr>
                <w:sz w:val="20"/>
                <w:szCs w:val="20"/>
              </w:rPr>
              <w:t>M</w:t>
            </w:r>
            <w:r>
              <w:rPr>
                <w:sz w:val="20"/>
                <w:szCs w:val="20"/>
              </w:rPr>
              <w:t xml:space="preserve">inistry of Emergency Situations site in Kotayk </w:t>
            </w:r>
            <w:proofErr w:type="spellStart"/>
            <w:r>
              <w:rPr>
                <w:sz w:val="20"/>
                <w:szCs w:val="20"/>
              </w:rPr>
              <w:t>m</w:t>
            </w:r>
            <w:r w:rsidRPr="003E5FB6">
              <w:rPr>
                <w:sz w:val="20"/>
                <w:szCs w:val="20"/>
              </w:rPr>
              <w:t>arz</w:t>
            </w:r>
            <w:proofErr w:type="spellEnd"/>
            <w:r w:rsidRPr="003E5FB6">
              <w:rPr>
                <w:sz w:val="20"/>
                <w:szCs w:val="20"/>
              </w:rPr>
              <w:t xml:space="preserve"> assessed as suitable for development</w:t>
            </w:r>
            <w:r w:rsidRPr="003E5FB6">
              <w:rPr>
                <w:sz w:val="20"/>
                <w:szCs w:val="20"/>
              </w:rPr>
              <w:br/>
            </w:r>
            <w:r w:rsidRPr="003E5FB6">
              <w:rPr>
                <w:sz w:val="20"/>
                <w:szCs w:val="20"/>
              </w:rPr>
              <w:br/>
              <w:t>Preliminary conceptual design survey and cost estimate complete</w:t>
            </w:r>
            <w:r w:rsidRPr="003E5FB6">
              <w:rPr>
                <w:sz w:val="20"/>
                <w:szCs w:val="20"/>
              </w:rPr>
              <w:br/>
            </w:r>
            <w:r w:rsidRPr="003E5FB6">
              <w:rPr>
                <w:sz w:val="20"/>
                <w:szCs w:val="20"/>
              </w:rPr>
              <w:br/>
              <w:t>Initial public consultation with authorities and local public undertaken</w:t>
            </w:r>
          </w:p>
        </w:tc>
        <w:tc>
          <w:tcPr>
            <w:tcW w:w="3510" w:type="dxa"/>
            <w:hideMark/>
          </w:tcPr>
          <w:p w14:paraId="23DCA277" w14:textId="77777777" w:rsidR="00E55941" w:rsidRDefault="00E55941" w:rsidP="00E55941">
            <w:pPr>
              <w:spacing w:before="40" w:after="40"/>
              <w:rPr>
                <w:sz w:val="20"/>
                <w:szCs w:val="20"/>
              </w:rPr>
            </w:pPr>
            <w:r>
              <w:rPr>
                <w:sz w:val="20"/>
                <w:szCs w:val="20"/>
              </w:rPr>
              <w:t>Developed d</w:t>
            </w:r>
            <w:r w:rsidRPr="003E5FB6">
              <w:rPr>
                <w:sz w:val="20"/>
                <w:szCs w:val="20"/>
              </w:rPr>
              <w:t>etailed design with supporting tender documents and construction specifications</w:t>
            </w:r>
            <w:r>
              <w:rPr>
                <w:sz w:val="20"/>
                <w:szCs w:val="20"/>
              </w:rPr>
              <w:t xml:space="preserve"> for chemical HW site development</w:t>
            </w:r>
            <w:r w:rsidRPr="003E5FB6">
              <w:rPr>
                <w:sz w:val="20"/>
                <w:szCs w:val="20"/>
              </w:rPr>
              <w:t xml:space="preserve"> </w:t>
            </w:r>
          </w:p>
          <w:p w14:paraId="62516A46" w14:textId="77777777" w:rsidR="00E55941" w:rsidRPr="003E5FB6" w:rsidRDefault="00E55941" w:rsidP="00E55941">
            <w:pPr>
              <w:spacing w:before="40" w:after="40"/>
              <w:rPr>
                <w:sz w:val="20"/>
                <w:szCs w:val="20"/>
              </w:rPr>
            </w:pPr>
            <w:r w:rsidRPr="003E5FB6">
              <w:rPr>
                <w:sz w:val="20"/>
                <w:szCs w:val="20"/>
              </w:rPr>
              <w:br/>
              <w:t>EIA and formal approvals in place</w:t>
            </w:r>
            <w:r w:rsidRPr="003E5FB6">
              <w:rPr>
                <w:sz w:val="20"/>
                <w:szCs w:val="20"/>
              </w:rPr>
              <w:br/>
            </w:r>
            <w:r w:rsidRPr="003E5FB6">
              <w:rPr>
                <w:sz w:val="20"/>
                <w:szCs w:val="20"/>
              </w:rPr>
              <w:br/>
              <w:t xml:space="preserve">Operational procedures including EHS procedures </w:t>
            </w:r>
            <w:r>
              <w:rPr>
                <w:sz w:val="20"/>
                <w:szCs w:val="20"/>
              </w:rPr>
              <w:t>developed</w:t>
            </w:r>
            <w:r w:rsidRPr="003E5FB6">
              <w:rPr>
                <w:sz w:val="20"/>
                <w:szCs w:val="20"/>
              </w:rPr>
              <w:t xml:space="preserve"> and utilized</w:t>
            </w:r>
          </w:p>
        </w:tc>
        <w:tc>
          <w:tcPr>
            <w:tcW w:w="3600" w:type="dxa"/>
            <w:hideMark/>
          </w:tcPr>
          <w:p w14:paraId="6866DE5D" w14:textId="77777777" w:rsidR="00E55941" w:rsidRPr="003E5FB6" w:rsidRDefault="00E55941" w:rsidP="00E55941">
            <w:pPr>
              <w:spacing w:before="40" w:after="40"/>
              <w:rPr>
                <w:sz w:val="20"/>
                <w:szCs w:val="20"/>
              </w:rPr>
            </w:pPr>
            <w:r w:rsidRPr="003E5FB6">
              <w:rPr>
                <w:sz w:val="20"/>
                <w:szCs w:val="20"/>
              </w:rPr>
              <w:t xml:space="preserve">Implementation of designed works, conformance </w:t>
            </w:r>
            <w:r>
              <w:rPr>
                <w:sz w:val="20"/>
                <w:szCs w:val="20"/>
              </w:rPr>
              <w:t xml:space="preserve">of </w:t>
            </w:r>
            <w:r w:rsidRPr="003E5FB6">
              <w:rPr>
                <w:sz w:val="20"/>
                <w:szCs w:val="20"/>
              </w:rPr>
              <w:t xml:space="preserve">operational procedures </w:t>
            </w:r>
            <w:r>
              <w:rPr>
                <w:sz w:val="20"/>
                <w:szCs w:val="20"/>
              </w:rPr>
              <w:t>with approved</w:t>
            </w:r>
            <w:r w:rsidRPr="003E5FB6">
              <w:rPr>
                <w:sz w:val="20"/>
                <w:szCs w:val="20"/>
              </w:rPr>
              <w:t xml:space="preserve"> conditions verified</w:t>
            </w:r>
          </w:p>
        </w:tc>
      </w:tr>
      <w:tr w:rsidR="00E55941" w:rsidRPr="003E5FB6" w14:paraId="471639E9" w14:textId="77777777" w:rsidTr="00E55941">
        <w:trPr>
          <w:trHeight w:val="3140"/>
        </w:trPr>
        <w:tc>
          <w:tcPr>
            <w:tcW w:w="2070" w:type="dxa"/>
            <w:vMerge/>
            <w:hideMark/>
          </w:tcPr>
          <w:p w14:paraId="7B2C359D" w14:textId="77777777" w:rsidR="00E55941" w:rsidRPr="003E5FB6" w:rsidRDefault="00E55941" w:rsidP="00E55941">
            <w:pPr>
              <w:spacing w:before="40" w:after="40"/>
              <w:rPr>
                <w:sz w:val="20"/>
                <w:szCs w:val="20"/>
              </w:rPr>
            </w:pPr>
          </w:p>
        </w:tc>
        <w:tc>
          <w:tcPr>
            <w:tcW w:w="2880" w:type="dxa"/>
            <w:hideMark/>
          </w:tcPr>
          <w:p w14:paraId="6A11AFBC" w14:textId="77777777" w:rsidR="00E55941" w:rsidRPr="003E5FB6" w:rsidRDefault="00E55941" w:rsidP="00E55941">
            <w:pPr>
              <w:spacing w:before="40" w:after="40"/>
              <w:rPr>
                <w:sz w:val="20"/>
                <w:szCs w:val="20"/>
              </w:rPr>
            </w:pPr>
            <w:r w:rsidRPr="003E5FB6">
              <w:rPr>
                <w:sz w:val="20"/>
                <w:szCs w:val="20"/>
              </w:rPr>
              <w:t xml:space="preserve">National </w:t>
            </w:r>
            <w:r>
              <w:rPr>
                <w:sz w:val="20"/>
                <w:szCs w:val="20"/>
              </w:rPr>
              <w:t xml:space="preserve">chemical HW </w:t>
            </w:r>
            <w:r w:rsidRPr="003E5FB6">
              <w:rPr>
                <w:sz w:val="20"/>
                <w:szCs w:val="20"/>
              </w:rPr>
              <w:t xml:space="preserve">management site developed and operates to international standards and number of trained and equipped staff for the practical operation of the facility </w:t>
            </w:r>
          </w:p>
        </w:tc>
        <w:tc>
          <w:tcPr>
            <w:tcW w:w="3240" w:type="dxa"/>
            <w:hideMark/>
          </w:tcPr>
          <w:p w14:paraId="438FA81F" w14:textId="77777777" w:rsidR="00E55941" w:rsidRPr="003E5FB6" w:rsidRDefault="00E55941" w:rsidP="00E55941">
            <w:pPr>
              <w:spacing w:before="40" w:after="40"/>
              <w:rPr>
                <w:sz w:val="20"/>
                <w:szCs w:val="20"/>
              </w:rPr>
            </w:pPr>
            <w:r w:rsidRPr="003E5FB6">
              <w:rPr>
                <w:sz w:val="20"/>
                <w:szCs w:val="20"/>
              </w:rPr>
              <w:t xml:space="preserve">No suitable </w:t>
            </w:r>
            <w:r>
              <w:rPr>
                <w:sz w:val="20"/>
                <w:szCs w:val="20"/>
              </w:rPr>
              <w:t xml:space="preserve">chemical </w:t>
            </w:r>
            <w:r w:rsidRPr="003E5FB6">
              <w:rPr>
                <w:sz w:val="20"/>
                <w:szCs w:val="20"/>
              </w:rPr>
              <w:t>HW storage or management f</w:t>
            </w:r>
            <w:r>
              <w:rPr>
                <w:sz w:val="20"/>
                <w:szCs w:val="20"/>
              </w:rPr>
              <w:t>acilities available in Armenia</w:t>
            </w:r>
          </w:p>
        </w:tc>
        <w:tc>
          <w:tcPr>
            <w:tcW w:w="3510" w:type="dxa"/>
            <w:hideMark/>
          </w:tcPr>
          <w:p w14:paraId="79318B85" w14:textId="77777777" w:rsidR="00E55941" w:rsidRPr="003E5FB6" w:rsidRDefault="00E55941" w:rsidP="00E55941">
            <w:pPr>
              <w:spacing w:before="40" w:after="40"/>
              <w:rPr>
                <w:sz w:val="20"/>
                <w:szCs w:val="20"/>
              </w:rPr>
            </w:pPr>
            <w:r>
              <w:rPr>
                <w:sz w:val="20"/>
                <w:szCs w:val="20"/>
              </w:rPr>
              <w:t xml:space="preserve">Construction and upgrading works of </w:t>
            </w:r>
            <w:r w:rsidRPr="003E5FB6">
              <w:rPr>
                <w:sz w:val="20"/>
                <w:szCs w:val="20"/>
              </w:rPr>
              <w:t xml:space="preserve">the national </w:t>
            </w:r>
            <w:r>
              <w:rPr>
                <w:sz w:val="20"/>
                <w:szCs w:val="20"/>
              </w:rPr>
              <w:t xml:space="preserve">chemical </w:t>
            </w:r>
            <w:r w:rsidRPr="003E5FB6">
              <w:rPr>
                <w:sz w:val="20"/>
                <w:szCs w:val="20"/>
              </w:rPr>
              <w:t>HW management site completed to national and international standards</w:t>
            </w:r>
            <w:r w:rsidRPr="003E5FB6">
              <w:rPr>
                <w:sz w:val="20"/>
                <w:szCs w:val="20"/>
              </w:rPr>
              <w:br/>
            </w:r>
            <w:r w:rsidRPr="003E5FB6">
              <w:rPr>
                <w:sz w:val="20"/>
                <w:szCs w:val="20"/>
              </w:rPr>
              <w:br/>
              <w:t xml:space="preserve">Training delivered to </w:t>
            </w:r>
            <w:r w:rsidRPr="00B7186E">
              <w:rPr>
                <w:sz w:val="20"/>
                <w:szCs w:val="20"/>
              </w:rPr>
              <w:t>10</w:t>
            </w:r>
            <w:r w:rsidRPr="003E5FB6">
              <w:rPr>
                <w:sz w:val="20"/>
                <w:szCs w:val="20"/>
              </w:rPr>
              <w:t xml:space="preserve"> national technical and regulatory staff in support of national </w:t>
            </w:r>
            <w:r>
              <w:rPr>
                <w:sz w:val="20"/>
                <w:szCs w:val="20"/>
              </w:rPr>
              <w:t xml:space="preserve">chemical </w:t>
            </w:r>
            <w:r w:rsidRPr="003E5FB6">
              <w:rPr>
                <w:sz w:val="20"/>
                <w:szCs w:val="20"/>
              </w:rPr>
              <w:t>HW facility operations</w:t>
            </w:r>
            <w:r w:rsidRPr="003E5FB6">
              <w:rPr>
                <w:sz w:val="20"/>
                <w:szCs w:val="20"/>
              </w:rPr>
              <w:br/>
            </w:r>
            <w:r w:rsidRPr="003E5FB6">
              <w:rPr>
                <w:sz w:val="20"/>
                <w:szCs w:val="20"/>
              </w:rPr>
              <w:br/>
              <w:t xml:space="preserve">National </w:t>
            </w:r>
            <w:r>
              <w:rPr>
                <w:sz w:val="20"/>
                <w:szCs w:val="20"/>
              </w:rPr>
              <w:t xml:space="preserve">chemical </w:t>
            </w:r>
            <w:r w:rsidRPr="003E5FB6">
              <w:rPr>
                <w:sz w:val="20"/>
                <w:szCs w:val="20"/>
              </w:rPr>
              <w:t xml:space="preserve">HW management site operational and being used for the storage of </w:t>
            </w:r>
            <w:r>
              <w:rPr>
                <w:sz w:val="20"/>
                <w:szCs w:val="20"/>
              </w:rPr>
              <w:t>chemical HW</w:t>
            </w:r>
          </w:p>
        </w:tc>
        <w:tc>
          <w:tcPr>
            <w:tcW w:w="3600" w:type="dxa"/>
            <w:hideMark/>
          </w:tcPr>
          <w:p w14:paraId="7CC25A7C" w14:textId="77777777" w:rsidR="00E55941" w:rsidRPr="003E5FB6" w:rsidRDefault="00E55941" w:rsidP="00E55941">
            <w:pPr>
              <w:spacing w:before="40" w:after="40"/>
              <w:rPr>
                <w:sz w:val="20"/>
                <w:szCs w:val="20"/>
              </w:rPr>
            </w:pPr>
            <w:r w:rsidRPr="003E5FB6">
              <w:rPr>
                <w:sz w:val="20"/>
                <w:szCs w:val="20"/>
              </w:rPr>
              <w:t xml:space="preserve">National </w:t>
            </w:r>
            <w:r>
              <w:rPr>
                <w:sz w:val="20"/>
                <w:szCs w:val="20"/>
              </w:rPr>
              <w:t xml:space="preserve">chemical </w:t>
            </w:r>
            <w:r w:rsidRPr="003E5FB6">
              <w:rPr>
                <w:sz w:val="20"/>
                <w:szCs w:val="20"/>
              </w:rPr>
              <w:t xml:space="preserve">HW management site utilized for general </w:t>
            </w:r>
            <w:r>
              <w:rPr>
                <w:sz w:val="20"/>
                <w:szCs w:val="20"/>
              </w:rPr>
              <w:t xml:space="preserve">chemical </w:t>
            </w:r>
            <w:r w:rsidRPr="003E5FB6">
              <w:rPr>
                <w:sz w:val="20"/>
                <w:szCs w:val="20"/>
              </w:rPr>
              <w:t>HW management activities on a sustainable basis</w:t>
            </w:r>
            <w:r w:rsidRPr="003E5FB6">
              <w:rPr>
                <w:sz w:val="20"/>
                <w:szCs w:val="20"/>
              </w:rPr>
              <w:br/>
            </w:r>
            <w:r w:rsidRPr="003E5FB6">
              <w:rPr>
                <w:sz w:val="20"/>
                <w:szCs w:val="20"/>
              </w:rPr>
              <w:br/>
              <w:t xml:space="preserve">Sustainable operational capability for </w:t>
            </w:r>
            <w:r>
              <w:rPr>
                <w:sz w:val="20"/>
                <w:szCs w:val="20"/>
              </w:rPr>
              <w:t xml:space="preserve">chemical HW </w:t>
            </w:r>
            <w:r w:rsidRPr="003E5FB6">
              <w:rPr>
                <w:sz w:val="20"/>
                <w:szCs w:val="20"/>
              </w:rPr>
              <w:t xml:space="preserve">management facility </w:t>
            </w:r>
            <w:r>
              <w:rPr>
                <w:sz w:val="20"/>
                <w:szCs w:val="20"/>
              </w:rPr>
              <w:t>developed</w:t>
            </w:r>
          </w:p>
        </w:tc>
      </w:tr>
      <w:tr w:rsidR="00E55941" w:rsidRPr="003E5FB6" w14:paraId="157C1D48" w14:textId="77777777" w:rsidTr="00E55941">
        <w:trPr>
          <w:trHeight w:val="2123"/>
        </w:trPr>
        <w:tc>
          <w:tcPr>
            <w:tcW w:w="2070" w:type="dxa"/>
            <w:vMerge/>
            <w:hideMark/>
          </w:tcPr>
          <w:p w14:paraId="3AB88B04" w14:textId="77777777" w:rsidR="00E55941" w:rsidRPr="003E5FB6" w:rsidRDefault="00E55941" w:rsidP="00E55941">
            <w:pPr>
              <w:spacing w:before="40" w:after="40"/>
              <w:rPr>
                <w:sz w:val="20"/>
                <w:szCs w:val="20"/>
              </w:rPr>
            </w:pPr>
          </w:p>
        </w:tc>
        <w:tc>
          <w:tcPr>
            <w:tcW w:w="2880" w:type="dxa"/>
            <w:hideMark/>
          </w:tcPr>
          <w:p w14:paraId="7E3D45A5" w14:textId="349174A1" w:rsidR="00E55941" w:rsidRPr="003E5FB6" w:rsidRDefault="00E55941" w:rsidP="00E55941">
            <w:pPr>
              <w:spacing w:before="40" w:after="40"/>
              <w:rPr>
                <w:sz w:val="20"/>
                <w:szCs w:val="20"/>
              </w:rPr>
            </w:pPr>
            <w:r w:rsidRPr="003E5FB6">
              <w:rPr>
                <w:sz w:val="20"/>
                <w:szCs w:val="20"/>
              </w:rPr>
              <w:t xml:space="preserve">Number of public </w:t>
            </w:r>
            <w:proofErr w:type="gramStart"/>
            <w:r w:rsidRPr="003E5FB6">
              <w:rPr>
                <w:sz w:val="20"/>
                <w:szCs w:val="20"/>
              </w:rPr>
              <w:t>consultation</w:t>
            </w:r>
            <w:proofErr w:type="gramEnd"/>
            <w:r w:rsidRPr="003E5FB6">
              <w:rPr>
                <w:sz w:val="20"/>
                <w:szCs w:val="20"/>
              </w:rPr>
              <w:t xml:space="preserve"> held and public documents/web/ media products delivered to display high level of public a</w:t>
            </w:r>
            <w:r>
              <w:rPr>
                <w:sz w:val="20"/>
                <w:szCs w:val="20"/>
              </w:rPr>
              <w:t>wareness, engagement and enhancement</w:t>
            </w:r>
            <w:r w:rsidRPr="003E5FB6">
              <w:rPr>
                <w:sz w:val="20"/>
                <w:szCs w:val="20"/>
              </w:rPr>
              <w:t xml:space="preserve"> support for the national </w:t>
            </w:r>
            <w:r>
              <w:rPr>
                <w:sz w:val="20"/>
                <w:szCs w:val="20"/>
              </w:rPr>
              <w:t xml:space="preserve">chemical </w:t>
            </w:r>
            <w:r w:rsidRPr="003E5FB6">
              <w:rPr>
                <w:sz w:val="20"/>
                <w:szCs w:val="20"/>
              </w:rPr>
              <w:t xml:space="preserve">HW facility activities </w:t>
            </w:r>
          </w:p>
        </w:tc>
        <w:tc>
          <w:tcPr>
            <w:tcW w:w="3240" w:type="dxa"/>
            <w:hideMark/>
          </w:tcPr>
          <w:p w14:paraId="0FA5CA79" w14:textId="77777777" w:rsidR="00E55941" w:rsidRPr="003E5FB6" w:rsidRDefault="00E55941" w:rsidP="00E55941">
            <w:pPr>
              <w:spacing w:before="40" w:after="40"/>
              <w:rPr>
                <w:sz w:val="20"/>
                <w:szCs w:val="20"/>
              </w:rPr>
            </w:pPr>
            <w:r w:rsidRPr="003E5FB6">
              <w:rPr>
                <w:sz w:val="20"/>
                <w:szCs w:val="20"/>
              </w:rPr>
              <w:t>Initial public consultations with local authorities and affected public stakeholders undertaken</w:t>
            </w:r>
          </w:p>
        </w:tc>
        <w:tc>
          <w:tcPr>
            <w:tcW w:w="3510" w:type="dxa"/>
            <w:hideMark/>
          </w:tcPr>
          <w:p w14:paraId="66553D6D" w14:textId="77777777" w:rsidR="00E55941" w:rsidRPr="003E5FB6" w:rsidRDefault="00E55941" w:rsidP="00E55941">
            <w:pPr>
              <w:spacing w:before="40" w:after="40"/>
              <w:rPr>
                <w:sz w:val="20"/>
                <w:szCs w:val="20"/>
              </w:rPr>
            </w:pPr>
            <w:r w:rsidRPr="003E5FB6">
              <w:rPr>
                <w:sz w:val="20"/>
                <w:szCs w:val="20"/>
              </w:rPr>
              <w:t xml:space="preserve">3 public consultation events </w:t>
            </w:r>
            <w:proofErr w:type="gramStart"/>
            <w:r w:rsidRPr="003E5FB6">
              <w:rPr>
                <w:sz w:val="20"/>
                <w:szCs w:val="20"/>
              </w:rPr>
              <w:t>held</w:t>
            </w:r>
            <w:proofErr w:type="gramEnd"/>
            <w:r w:rsidRPr="003E5FB6">
              <w:rPr>
                <w:sz w:val="20"/>
                <w:szCs w:val="20"/>
              </w:rPr>
              <w:t xml:space="preserve"> and 5 public documents/web/media products delivered</w:t>
            </w:r>
          </w:p>
        </w:tc>
        <w:tc>
          <w:tcPr>
            <w:tcW w:w="3600" w:type="dxa"/>
            <w:hideMark/>
          </w:tcPr>
          <w:p w14:paraId="6F2264A6" w14:textId="77777777" w:rsidR="00E55941" w:rsidRPr="003E5FB6" w:rsidRDefault="00E55941" w:rsidP="00E55941">
            <w:pPr>
              <w:spacing w:before="40" w:after="40"/>
              <w:rPr>
                <w:sz w:val="20"/>
                <w:szCs w:val="20"/>
              </w:rPr>
            </w:pPr>
            <w:r w:rsidRPr="003E5FB6">
              <w:rPr>
                <w:sz w:val="20"/>
                <w:szCs w:val="20"/>
              </w:rPr>
              <w:t xml:space="preserve">5 public consultation events </w:t>
            </w:r>
            <w:proofErr w:type="gramStart"/>
            <w:r w:rsidRPr="003E5FB6">
              <w:rPr>
                <w:sz w:val="20"/>
                <w:szCs w:val="20"/>
              </w:rPr>
              <w:t>held</w:t>
            </w:r>
            <w:proofErr w:type="gramEnd"/>
            <w:r w:rsidRPr="003E5FB6">
              <w:rPr>
                <w:sz w:val="20"/>
                <w:szCs w:val="20"/>
              </w:rPr>
              <w:t xml:space="preserve"> and 10 public documents/web/media products delivered </w:t>
            </w:r>
          </w:p>
        </w:tc>
      </w:tr>
      <w:tr w:rsidR="00E55941" w:rsidRPr="003E5FB6" w14:paraId="4C6D5BF7" w14:textId="77777777" w:rsidTr="00E55941">
        <w:trPr>
          <w:trHeight w:val="2627"/>
        </w:trPr>
        <w:tc>
          <w:tcPr>
            <w:tcW w:w="2070" w:type="dxa"/>
            <w:vMerge w:val="restart"/>
            <w:hideMark/>
          </w:tcPr>
          <w:p w14:paraId="557C1910" w14:textId="77777777" w:rsidR="00E55941" w:rsidRPr="003E5FB6" w:rsidRDefault="00E55941" w:rsidP="00E55941">
            <w:pPr>
              <w:spacing w:before="40" w:after="40"/>
              <w:rPr>
                <w:sz w:val="20"/>
                <w:szCs w:val="20"/>
              </w:rPr>
            </w:pPr>
            <w:r w:rsidRPr="003E5FB6">
              <w:rPr>
                <w:b/>
                <w:bCs/>
                <w:sz w:val="20"/>
                <w:szCs w:val="20"/>
              </w:rPr>
              <w:t xml:space="preserve">Outcome 1.3: </w:t>
            </w:r>
            <w:r w:rsidRPr="003E5FB6">
              <w:rPr>
                <w:sz w:val="20"/>
                <w:szCs w:val="20"/>
              </w:rPr>
              <w:t xml:space="preserve">Remaining significant historical </w:t>
            </w:r>
            <w:r>
              <w:rPr>
                <w:sz w:val="20"/>
                <w:szCs w:val="20"/>
              </w:rPr>
              <w:t>obsolete pesticides (</w:t>
            </w:r>
            <w:r w:rsidRPr="003E5FB6">
              <w:rPr>
                <w:sz w:val="20"/>
                <w:szCs w:val="20"/>
              </w:rPr>
              <w:t>OP</w:t>
            </w:r>
            <w:r>
              <w:rPr>
                <w:sz w:val="20"/>
                <w:szCs w:val="20"/>
              </w:rPr>
              <w:t>s)</w:t>
            </w:r>
            <w:r w:rsidRPr="003E5FB6">
              <w:rPr>
                <w:sz w:val="20"/>
                <w:szCs w:val="20"/>
              </w:rPr>
              <w:t xml:space="preserve"> storehouses addressed, OP stocks packaged and </w:t>
            </w:r>
            <w:proofErr w:type="gramStart"/>
            <w:r w:rsidRPr="003E5FB6">
              <w:rPr>
                <w:sz w:val="20"/>
                <w:szCs w:val="20"/>
              </w:rPr>
              <w:t>removed</w:t>
            </w:r>
            <w:proofErr w:type="gramEnd"/>
            <w:r w:rsidRPr="003E5FB6">
              <w:rPr>
                <w:sz w:val="20"/>
                <w:szCs w:val="20"/>
              </w:rPr>
              <w:t xml:space="preserve"> and residual site contamination cleaned up</w:t>
            </w:r>
          </w:p>
        </w:tc>
        <w:tc>
          <w:tcPr>
            <w:tcW w:w="2880" w:type="dxa"/>
            <w:hideMark/>
          </w:tcPr>
          <w:p w14:paraId="14DA66B6" w14:textId="77777777" w:rsidR="00E55941" w:rsidRPr="003E5FB6" w:rsidRDefault="00E55941" w:rsidP="00E55941">
            <w:pPr>
              <w:spacing w:before="40" w:after="40"/>
              <w:rPr>
                <w:sz w:val="20"/>
                <w:szCs w:val="20"/>
              </w:rPr>
            </w:pPr>
            <w:r>
              <w:rPr>
                <w:sz w:val="20"/>
                <w:szCs w:val="20"/>
              </w:rPr>
              <w:t>Availability</w:t>
            </w:r>
            <w:r w:rsidRPr="003E5FB6">
              <w:rPr>
                <w:sz w:val="20"/>
                <w:szCs w:val="20"/>
              </w:rPr>
              <w:t xml:space="preserve"> of completed/ documented screening assessments of identified historical OP storehouse stockpile sites and volume of OP stockpiles and clean</w:t>
            </w:r>
            <w:r>
              <w:rPr>
                <w:sz w:val="20"/>
                <w:szCs w:val="20"/>
              </w:rPr>
              <w:t>ed</w:t>
            </w:r>
            <w:r w:rsidRPr="003E5FB6">
              <w:rPr>
                <w:sz w:val="20"/>
                <w:szCs w:val="20"/>
              </w:rPr>
              <w:t xml:space="preserve"> residuals packed and removed</w:t>
            </w:r>
            <w:r>
              <w:rPr>
                <w:sz w:val="20"/>
                <w:szCs w:val="20"/>
              </w:rPr>
              <w:t xml:space="preserve"> to storage </w:t>
            </w:r>
          </w:p>
        </w:tc>
        <w:tc>
          <w:tcPr>
            <w:tcW w:w="3240" w:type="dxa"/>
            <w:hideMark/>
          </w:tcPr>
          <w:p w14:paraId="19A31D2D" w14:textId="77777777" w:rsidR="00E55941" w:rsidRPr="003E5FB6" w:rsidRDefault="00E55941" w:rsidP="00E55941">
            <w:pPr>
              <w:spacing w:before="40" w:after="40"/>
              <w:rPr>
                <w:sz w:val="20"/>
                <w:szCs w:val="20"/>
              </w:rPr>
            </w:pPr>
            <w:r w:rsidRPr="003E5FB6">
              <w:rPr>
                <w:sz w:val="20"/>
                <w:szCs w:val="20"/>
              </w:rPr>
              <w:t>Fragmented historical assessment and inventory work consolidated for project preparation</w:t>
            </w:r>
            <w:r w:rsidRPr="003E5FB6">
              <w:rPr>
                <w:sz w:val="20"/>
                <w:szCs w:val="20"/>
              </w:rPr>
              <w:br/>
            </w:r>
            <w:r w:rsidRPr="003E5FB6">
              <w:rPr>
                <w:sz w:val="20"/>
                <w:szCs w:val="20"/>
              </w:rPr>
              <w:br/>
              <w:t>24 OP stockpile sites identified and up to 6 sites considered priorities for substantive clean-up</w:t>
            </w:r>
            <w:r w:rsidRPr="003E5FB6">
              <w:rPr>
                <w:sz w:val="20"/>
                <w:szCs w:val="20"/>
              </w:rPr>
              <w:br/>
            </w:r>
            <w:r w:rsidRPr="003E5FB6">
              <w:rPr>
                <w:sz w:val="20"/>
                <w:szCs w:val="20"/>
              </w:rPr>
              <w:br/>
              <w:t>Preliminary commitment for EU funding of initial work pending</w:t>
            </w:r>
          </w:p>
        </w:tc>
        <w:tc>
          <w:tcPr>
            <w:tcW w:w="3510" w:type="dxa"/>
            <w:hideMark/>
          </w:tcPr>
          <w:p w14:paraId="21A2FEA6" w14:textId="77777777" w:rsidR="00E55941" w:rsidRPr="003E5FB6" w:rsidRDefault="00E55941" w:rsidP="00E55941">
            <w:pPr>
              <w:spacing w:before="40" w:after="40"/>
              <w:rPr>
                <w:sz w:val="20"/>
                <w:szCs w:val="20"/>
              </w:rPr>
            </w:pPr>
            <w:r w:rsidRPr="003E5FB6">
              <w:rPr>
                <w:sz w:val="20"/>
                <w:szCs w:val="20"/>
              </w:rPr>
              <w:t>EU/M</w:t>
            </w:r>
            <w:r>
              <w:rPr>
                <w:sz w:val="20"/>
                <w:szCs w:val="20"/>
              </w:rPr>
              <w:t xml:space="preserve">inistry of Agriculture - </w:t>
            </w:r>
            <w:proofErr w:type="spellStart"/>
            <w:r>
              <w:rPr>
                <w:sz w:val="20"/>
                <w:szCs w:val="20"/>
              </w:rPr>
              <w:t>MoA</w:t>
            </w:r>
            <w:proofErr w:type="spellEnd"/>
            <w:r w:rsidRPr="003E5FB6">
              <w:rPr>
                <w:sz w:val="20"/>
                <w:szCs w:val="20"/>
              </w:rPr>
              <w:t xml:space="preserve">/FAO administered site assessment, packaging and surficial clean-up undertaken to make available 150 t of </w:t>
            </w:r>
            <w:r>
              <w:rPr>
                <w:sz w:val="20"/>
                <w:szCs w:val="20"/>
              </w:rPr>
              <w:t>OPs and residuals for storage and e</w:t>
            </w:r>
            <w:r w:rsidRPr="003E5FB6">
              <w:rPr>
                <w:sz w:val="20"/>
                <w:szCs w:val="20"/>
              </w:rPr>
              <w:t>nvironmentally sound disposal arranged by FAO</w:t>
            </w:r>
            <w:r w:rsidRPr="003E5FB6">
              <w:rPr>
                <w:sz w:val="20"/>
                <w:szCs w:val="20"/>
              </w:rPr>
              <w:br/>
            </w:r>
            <w:r w:rsidRPr="003E5FB6">
              <w:rPr>
                <w:sz w:val="20"/>
                <w:szCs w:val="20"/>
              </w:rPr>
              <w:br/>
              <w:t xml:space="preserve">Public consultation conducted at </w:t>
            </w:r>
            <w:r>
              <w:rPr>
                <w:sz w:val="20"/>
                <w:szCs w:val="20"/>
              </w:rPr>
              <w:t xml:space="preserve">priority </w:t>
            </w:r>
            <w:r w:rsidRPr="003E5FB6">
              <w:rPr>
                <w:sz w:val="20"/>
                <w:szCs w:val="20"/>
              </w:rPr>
              <w:t>OP storehouse sites</w:t>
            </w:r>
          </w:p>
        </w:tc>
        <w:tc>
          <w:tcPr>
            <w:tcW w:w="3600" w:type="dxa"/>
            <w:hideMark/>
          </w:tcPr>
          <w:p w14:paraId="050FDBBC" w14:textId="77777777" w:rsidR="00E55941" w:rsidRPr="003E5FB6" w:rsidRDefault="00E55941" w:rsidP="00E55941">
            <w:pPr>
              <w:spacing w:before="40" w:after="40"/>
              <w:rPr>
                <w:sz w:val="20"/>
                <w:szCs w:val="20"/>
              </w:rPr>
            </w:pPr>
            <w:r w:rsidRPr="003E5FB6">
              <w:rPr>
                <w:sz w:val="20"/>
                <w:szCs w:val="20"/>
              </w:rPr>
              <w:t xml:space="preserve">Under </w:t>
            </w:r>
            <w:proofErr w:type="spellStart"/>
            <w:r w:rsidRPr="003E5FB6">
              <w:rPr>
                <w:sz w:val="20"/>
                <w:szCs w:val="20"/>
              </w:rPr>
              <w:t>MoA</w:t>
            </w:r>
            <w:proofErr w:type="spellEnd"/>
            <w:r w:rsidRPr="003E5FB6">
              <w:rPr>
                <w:sz w:val="20"/>
                <w:szCs w:val="20"/>
              </w:rPr>
              <w:t xml:space="preserve"> supervision the former </w:t>
            </w:r>
            <w:r>
              <w:rPr>
                <w:sz w:val="20"/>
                <w:szCs w:val="20"/>
              </w:rPr>
              <w:t>priority</w:t>
            </w:r>
            <w:r w:rsidRPr="003E5FB6">
              <w:rPr>
                <w:sz w:val="20"/>
                <w:szCs w:val="20"/>
              </w:rPr>
              <w:t xml:space="preserve"> OP store</w:t>
            </w:r>
            <w:r>
              <w:rPr>
                <w:sz w:val="20"/>
                <w:szCs w:val="20"/>
              </w:rPr>
              <w:t>house sites</w:t>
            </w:r>
            <w:r w:rsidRPr="003E5FB6">
              <w:rPr>
                <w:sz w:val="20"/>
                <w:szCs w:val="20"/>
              </w:rPr>
              <w:t xml:space="preserve"> are maintained </w:t>
            </w:r>
            <w:r>
              <w:rPr>
                <w:sz w:val="20"/>
                <w:szCs w:val="20"/>
              </w:rPr>
              <w:t>for</w:t>
            </w:r>
            <w:r w:rsidRPr="003E5FB6">
              <w:rPr>
                <w:sz w:val="20"/>
                <w:szCs w:val="20"/>
              </w:rPr>
              <w:t xml:space="preserve"> other productive uses</w:t>
            </w:r>
          </w:p>
        </w:tc>
      </w:tr>
      <w:tr w:rsidR="00E55941" w:rsidRPr="003E5FB6" w14:paraId="340952D0" w14:textId="77777777" w:rsidTr="00066FCF">
        <w:trPr>
          <w:trHeight w:val="2717"/>
        </w:trPr>
        <w:tc>
          <w:tcPr>
            <w:tcW w:w="2070" w:type="dxa"/>
            <w:vMerge/>
            <w:hideMark/>
          </w:tcPr>
          <w:p w14:paraId="1A6DF411" w14:textId="77777777" w:rsidR="00E55941" w:rsidRPr="003E5FB6" w:rsidRDefault="00E55941" w:rsidP="00E55941">
            <w:pPr>
              <w:spacing w:before="40" w:after="40"/>
              <w:rPr>
                <w:sz w:val="20"/>
                <w:szCs w:val="20"/>
              </w:rPr>
            </w:pPr>
          </w:p>
        </w:tc>
        <w:tc>
          <w:tcPr>
            <w:tcW w:w="2880" w:type="dxa"/>
            <w:hideMark/>
          </w:tcPr>
          <w:p w14:paraId="0738E1C8" w14:textId="77777777" w:rsidR="00E55941" w:rsidRPr="003E5FB6" w:rsidRDefault="00E55941" w:rsidP="00E55941">
            <w:pPr>
              <w:spacing w:before="40" w:after="40"/>
              <w:rPr>
                <w:sz w:val="20"/>
                <w:szCs w:val="20"/>
              </w:rPr>
            </w:pPr>
            <w:r>
              <w:rPr>
                <w:sz w:val="20"/>
                <w:szCs w:val="20"/>
              </w:rPr>
              <w:t>Availability</w:t>
            </w:r>
            <w:r w:rsidRPr="003E5FB6">
              <w:rPr>
                <w:sz w:val="20"/>
                <w:szCs w:val="20"/>
              </w:rPr>
              <w:t xml:space="preserve"> of comple</w:t>
            </w:r>
            <w:r>
              <w:rPr>
                <w:sz w:val="20"/>
                <w:szCs w:val="20"/>
              </w:rPr>
              <w:t>ted</w:t>
            </w:r>
            <w:r w:rsidRPr="003E5FB6">
              <w:rPr>
                <w:sz w:val="20"/>
                <w:szCs w:val="20"/>
              </w:rPr>
              <w:t>/ documented detailed contaminated site and risk assessments and remediation/clean-up designs on identified priority store</w:t>
            </w:r>
            <w:r>
              <w:rPr>
                <w:sz w:val="20"/>
                <w:szCs w:val="20"/>
              </w:rPr>
              <w:t xml:space="preserve">house </w:t>
            </w:r>
            <w:r w:rsidRPr="003E5FB6">
              <w:rPr>
                <w:sz w:val="20"/>
                <w:szCs w:val="20"/>
              </w:rPr>
              <w:t xml:space="preserve">sites and </w:t>
            </w:r>
            <w:proofErr w:type="gramStart"/>
            <w:r w:rsidRPr="003E5FB6">
              <w:rPr>
                <w:sz w:val="20"/>
                <w:szCs w:val="20"/>
              </w:rPr>
              <w:t>a number of</w:t>
            </w:r>
            <w:proofErr w:type="gramEnd"/>
            <w:r w:rsidRPr="003E5FB6">
              <w:rPr>
                <w:sz w:val="20"/>
                <w:szCs w:val="20"/>
              </w:rPr>
              <w:t xml:space="preserve"> public consultation events held at </w:t>
            </w:r>
            <w:r>
              <w:rPr>
                <w:sz w:val="20"/>
                <w:szCs w:val="20"/>
              </w:rPr>
              <w:t xml:space="preserve">number of </w:t>
            </w:r>
            <w:r w:rsidRPr="003E5FB6">
              <w:rPr>
                <w:sz w:val="20"/>
                <w:szCs w:val="20"/>
              </w:rPr>
              <w:t>priority store</w:t>
            </w:r>
            <w:r>
              <w:rPr>
                <w:sz w:val="20"/>
                <w:szCs w:val="20"/>
              </w:rPr>
              <w:t xml:space="preserve">house </w:t>
            </w:r>
            <w:r w:rsidRPr="003E5FB6">
              <w:rPr>
                <w:sz w:val="20"/>
                <w:szCs w:val="20"/>
              </w:rPr>
              <w:t xml:space="preserve">sites and public acceptance of actions </w:t>
            </w:r>
          </w:p>
        </w:tc>
        <w:tc>
          <w:tcPr>
            <w:tcW w:w="3240" w:type="dxa"/>
            <w:hideMark/>
          </w:tcPr>
          <w:p w14:paraId="2C3A7293" w14:textId="77777777" w:rsidR="00E55941" w:rsidRPr="003E5FB6" w:rsidRDefault="00E55941" w:rsidP="00E55941">
            <w:pPr>
              <w:spacing w:before="40" w:after="40"/>
              <w:rPr>
                <w:sz w:val="20"/>
                <w:szCs w:val="20"/>
              </w:rPr>
            </w:pPr>
            <w:r w:rsidRPr="003E5FB6">
              <w:rPr>
                <w:sz w:val="20"/>
                <w:szCs w:val="20"/>
              </w:rPr>
              <w:t>Limited site assessment work done by local and international NGOs</w:t>
            </w:r>
            <w:r w:rsidRPr="003E5FB6">
              <w:rPr>
                <w:sz w:val="20"/>
                <w:szCs w:val="20"/>
              </w:rPr>
              <w:br/>
            </w:r>
            <w:r w:rsidRPr="003E5FB6">
              <w:rPr>
                <w:sz w:val="20"/>
                <w:szCs w:val="20"/>
              </w:rPr>
              <w:br/>
              <w:t>No dedicated public consultation activities on priority sites to date</w:t>
            </w:r>
          </w:p>
        </w:tc>
        <w:tc>
          <w:tcPr>
            <w:tcW w:w="3510" w:type="dxa"/>
            <w:hideMark/>
          </w:tcPr>
          <w:p w14:paraId="594A3EBA" w14:textId="77777777" w:rsidR="00E55941" w:rsidRPr="003E5FB6" w:rsidRDefault="00E55941" w:rsidP="00E55941">
            <w:pPr>
              <w:spacing w:before="40" w:after="40"/>
              <w:rPr>
                <w:sz w:val="20"/>
                <w:szCs w:val="20"/>
              </w:rPr>
            </w:pPr>
            <w:r w:rsidRPr="003E5FB6">
              <w:rPr>
                <w:sz w:val="20"/>
                <w:szCs w:val="20"/>
              </w:rPr>
              <w:t xml:space="preserve">Preliminary site assessment reports received from </w:t>
            </w:r>
            <w:proofErr w:type="spellStart"/>
            <w:r w:rsidRPr="003E5FB6">
              <w:rPr>
                <w:sz w:val="20"/>
                <w:szCs w:val="20"/>
              </w:rPr>
              <w:t>MoA</w:t>
            </w:r>
            <w:proofErr w:type="spellEnd"/>
            <w:r w:rsidRPr="003E5FB6">
              <w:rPr>
                <w:sz w:val="20"/>
                <w:szCs w:val="20"/>
              </w:rPr>
              <w:t xml:space="preserve"> and reviewed/evaluated</w:t>
            </w:r>
            <w:r w:rsidRPr="003E5FB6">
              <w:rPr>
                <w:sz w:val="20"/>
                <w:szCs w:val="20"/>
              </w:rPr>
              <w:br/>
            </w:r>
            <w:r w:rsidRPr="003E5FB6">
              <w:rPr>
                <w:sz w:val="20"/>
                <w:szCs w:val="20"/>
              </w:rPr>
              <w:br/>
              <w:t xml:space="preserve">Priority </w:t>
            </w:r>
            <w:r>
              <w:rPr>
                <w:sz w:val="20"/>
                <w:szCs w:val="20"/>
              </w:rPr>
              <w:t xml:space="preserve">OP storehouse </w:t>
            </w:r>
            <w:r w:rsidRPr="003E5FB6">
              <w:rPr>
                <w:sz w:val="20"/>
                <w:szCs w:val="20"/>
              </w:rPr>
              <w:t xml:space="preserve">sites for substantive clean-up agreed with </w:t>
            </w:r>
            <w:proofErr w:type="spellStart"/>
            <w:r w:rsidRPr="003E5FB6">
              <w:rPr>
                <w:sz w:val="20"/>
                <w:szCs w:val="20"/>
              </w:rPr>
              <w:t>MoA</w:t>
            </w:r>
            <w:proofErr w:type="spellEnd"/>
            <w:r w:rsidRPr="003E5FB6">
              <w:rPr>
                <w:sz w:val="20"/>
                <w:szCs w:val="20"/>
              </w:rPr>
              <w:t xml:space="preserve"> and MNP</w:t>
            </w:r>
            <w:r w:rsidRPr="003E5FB6">
              <w:rPr>
                <w:sz w:val="20"/>
                <w:szCs w:val="20"/>
              </w:rPr>
              <w:br/>
            </w:r>
            <w:r w:rsidRPr="003E5FB6">
              <w:rPr>
                <w:sz w:val="20"/>
                <w:szCs w:val="20"/>
              </w:rPr>
              <w:br/>
            </w:r>
          </w:p>
        </w:tc>
        <w:tc>
          <w:tcPr>
            <w:tcW w:w="3600" w:type="dxa"/>
            <w:hideMark/>
          </w:tcPr>
          <w:p w14:paraId="105550CC" w14:textId="77777777" w:rsidR="00E55941" w:rsidRPr="003E5FB6" w:rsidRDefault="00E55941" w:rsidP="00E55941">
            <w:pPr>
              <w:spacing w:before="40" w:after="40"/>
              <w:rPr>
                <w:sz w:val="20"/>
                <w:szCs w:val="20"/>
              </w:rPr>
            </w:pPr>
            <w:r w:rsidRPr="003E5FB6">
              <w:rPr>
                <w:sz w:val="20"/>
                <w:szCs w:val="20"/>
              </w:rPr>
              <w:t xml:space="preserve">Detailed contaminated site and risk assessments and remediation/clean-up designs on identified up to 6 priority </w:t>
            </w:r>
            <w:r>
              <w:rPr>
                <w:sz w:val="20"/>
                <w:szCs w:val="20"/>
              </w:rPr>
              <w:t xml:space="preserve">OP storehouse </w:t>
            </w:r>
            <w:r w:rsidRPr="003E5FB6">
              <w:rPr>
                <w:sz w:val="20"/>
                <w:szCs w:val="20"/>
              </w:rPr>
              <w:t>sites completed/documented</w:t>
            </w:r>
            <w:r w:rsidRPr="003E5FB6">
              <w:rPr>
                <w:sz w:val="20"/>
                <w:szCs w:val="20"/>
              </w:rPr>
              <w:br/>
            </w:r>
            <w:r w:rsidRPr="003E5FB6">
              <w:rPr>
                <w:sz w:val="20"/>
                <w:szCs w:val="20"/>
              </w:rPr>
              <w:br/>
              <w:t xml:space="preserve">6 public consultation events held </w:t>
            </w:r>
            <w:r>
              <w:rPr>
                <w:sz w:val="20"/>
                <w:szCs w:val="20"/>
              </w:rPr>
              <w:t>in the communities of</w:t>
            </w:r>
            <w:r w:rsidRPr="003E5FB6">
              <w:rPr>
                <w:sz w:val="20"/>
                <w:szCs w:val="20"/>
              </w:rPr>
              <w:t xml:space="preserve"> 6 priority </w:t>
            </w:r>
            <w:r>
              <w:rPr>
                <w:sz w:val="20"/>
                <w:szCs w:val="20"/>
              </w:rPr>
              <w:t xml:space="preserve">OP storehouse </w:t>
            </w:r>
            <w:r w:rsidRPr="003E5FB6">
              <w:rPr>
                <w:sz w:val="20"/>
                <w:szCs w:val="20"/>
              </w:rPr>
              <w:t>sites</w:t>
            </w:r>
          </w:p>
        </w:tc>
      </w:tr>
      <w:tr w:rsidR="00E55941" w:rsidRPr="003E5FB6" w14:paraId="797AE837" w14:textId="77777777" w:rsidTr="00066FCF">
        <w:trPr>
          <w:trHeight w:val="1295"/>
        </w:trPr>
        <w:tc>
          <w:tcPr>
            <w:tcW w:w="2070" w:type="dxa"/>
            <w:vMerge/>
            <w:hideMark/>
          </w:tcPr>
          <w:p w14:paraId="64BAD1F2" w14:textId="77777777" w:rsidR="00E55941" w:rsidRPr="003E5FB6" w:rsidRDefault="00E55941" w:rsidP="00E55941">
            <w:pPr>
              <w:spacing w:before="40" w:after="40"/>
              <w:rPr>
                <w:sz w:val="20"/>
                <w:szCs w:val="20"/>
              </w:rPr>
            </w:pPr>
          </w:p>
        </w:tc>
        <w:tc>
          <w:tcPr>
            <w:tcW w:w="2880" w:type="dxa"/>
            <w:hideMark/>
          </w:tcPr>
          <w:p w14:paraId="67D96D4C" w14:textId="77777777" w:rsidR="00E55941" w:rsidRDefault="00E55941" w:rsidP="00E55941">
            <w:pPr>
              <w:spacing w:before="40" w:after="40"/>
              <w:rPr>
                <w:sz w:val="20"/>
                <w:szCs w:val="20"/>
              </w:rPr>
            </w:pPr>
            <w:r w:rsidRPr="003E5FB6">
              <w:rPr>
                <w:sz w:val="20"/>
                <w:szCs w:val="20"/>
              </w:rPr>
              <w:t>Volume of OPs stockpiles packed, r</w:t>
            </w:r>
            <w:r>
              <w:rPr>
                <w:sz w:val="20"/>
                <w:szCs w:val="20"/>
              </w:rPr>
              <w:t xml:space="preserve">emoved from </w:t>
            </w:r>
            <w:proofErr w:type="gramStart"/>
            <w:r w:rsidRPr="003E5FB6">
              <w:rPr>
                <w:sz w:val="20"/>
                <w:szCs w:val="20"/>
              </w:rPr>
              <w:t>a number of</w:t>
            </w:r>
            <w:proofErr w:type="gramEnd"/>
            <w:r w:rsidRPr="003E5FB6">
              <w:rPr>
                <w:sz w:val="20"/>
                <w:szCs w:val="20"/>
              </w:rPr>
              <w:t xml:space="preserve"> priority </w:t>
            </w:r>
            <w:r>
              <w:rPr>
                <w:sz w:val="20"/>
                <w:szCs w:val="20"/>
              </w:rPr>
              <w:t xml:space="preserve">OP storehouse </w:t>
            </w:r>
            <w:r w:rsidRPr="003E5FB6">
              <w:rPr>
                <w:sz w:val="20"/>
                <w:szCs w:val="20"/>
              </w:rPr>
              <w:t>sites and residual site contamination cleaned</w:t>
            </w:r>
            <w:r>
              <w:rPr>
                <w:sz w:val="20"/>
                <w:szCs w:val="20"/>
              </w:rPr>
              <w:t>-</w:t>
            </w:r>
            <w:r w:rsidRPr="003E5FB6">
              <w:rPr>
                <w:sz w:val="20"/>
                <w:szCs w:val="20"/>
              </w:rPr>
              <w:t>up</w:t>
            </w:r>
          </w:p>
          <w:p w14:paraId="6EE1C32B" w14:textId="77777777" w:rsidR="00A777EB" w:rsidRDefault="00A777EB" w:rsidP="00E55941">
            <w:pPr>
              <w:spacing w:before="40" w:after="40"/>
              <w:rPr>
                <w:sz w:val="20"/>
                <w:szCs w:val="20"/>
              </w:rPr>
            </w:pPr>
          </w:p>
          <w:p w14:paraId="6E152FB1" w14:textId="1B42DB3F" w:rsidR="00A777EB" w:rsidRPr="003E5FB6" w:rsidRDefault="00A777EB" w:rsidP="00E55941">
            <w:pPr>
              <w:spacing w:before="40" w:after="40"/>
              <w:rPr>
                <w:sz w:val="20"/>
                <w:szCs w:val="20"/>
              </w:rPr>
            </w:pPr>
          </w:p>
        </w:tc>
        <w:tc>
          <w:tcPr>
            <w:tcW w:w="3240" w:type="dxa"/>
            <w:hideMark/>
          </w:tcPr>
          <w:p w14:paraId="3DD38007" w14:textId="77777777" w:rsidR="00E55941" w:rsidRPr="003E5FB6" w:rsidRDefault="00E55941" w:rsidP="00E55941">
            <w:pPr>
              <w:spacing w:before="40" w:after="40"/>
              <w:rPr>
                <w:sz w:val="20"/>
                <w:szCs w:val="20"/>
              </w:rPr>
            </w:pPr>
            <w:r w:rsidRPr="00BA2037">
              <w:rPr>
                <w:sz w:val="20"/>
                <w:szCs w:val="20"/>
              </w:rPr>
              <w:t>No clean</w:t>
            </w:r>
            <w:r>
              <w:rPr>
                <w:sz w:val="20"/>
                <w:szCs w:val="20"/>
              </w:rPr>
              <w:t>-</w:t>
            </w:r>
            <w:r w:rsidRPr="00BA2037">
              <w:rPr>
                <w:sz w:val="20"/>
                <w:szCs w:val="20"/>
              </w:rPr>
              <w:t>up activity undertaken at any OP store</w:t>
            </w:r>
            <w:r>
              <w:rPr>
                <w:sz w:val="20"/>
                <w:szCs w:val="20"/>
              </w:rPr>
              <w:t xml:space="preserve">house site </w:t>
            </w:r>
          </w:p>
        </w:tc>
        <w:tc>
          <w:tcPr>
            <w:tcW w:w="3510" w:type="dxa"/>
            <w:hideMark/>
          </w:tcPr>
          <w:p w14:paraId="75E36794" w14:textId="77777777" w:rsidR="00E55941" w:rsidRPr="003E5FB6" w:rsidRDefault="00E55941" w:rsidP="00E55941">
            <w:pPr>
              <w:spacing w:before="40" w:after="40"/>
              <w:rPr>
                <w:sz w:val="20"/>
                <w:szCs w:val="20"/>
              </w:rPr>
            </w:pPr>
            <w:r w:rsidRPr="003E5FB6">
              <w:rPr>
                <w:sz w:val="20"/>
                <w:szCs w:val="20"/>
              </w:rPr>
              <w:t>No action</w:t>
            </w:r>
          </w:p>
        </w:tc>
        <w:tc>
          <w:tcPr>
            <w:tcW w:w="3600" w:type="dxa"/>
            <w:hideMark/>
          </w:tcPr>
          <w:p w14:paraId="30098D35" w14:textId="77777777" w:rsidR="00E55941" w:rsidRPr="003E5FB6" w:rsidRDefault="00E55941" w:rsidP="00E55941">
            <w:pPr>
              <w:spacing w:before="40" w:after="40"/>
              <w:rPr>
                <w:sz w:val="20"/>
                <w:szCs w:val="20"/>
              </w:rPr>
            </w:pPr>
            <w:r w:rsidRPr="003E5FB6">
              <w:rPr>
                <w:sz w:val="20"/>
                <w:szCs w:val="20"/>
              </w:rPr>
              <w:t xml:space="preserve">Excavation/removal, </w:t>
            </w:r>
            <w:r>
              <w:rPr>
                <w:sz w:val="20"/>
                <w:szCs w:val="20"/>
              </w:rPr>
              <w:t>disposal</w:t>
            </w:r>
            <w:r w:rsidRPr="003E5FB6">
              <w:rPr>
                <w:sz w:val="20"/>
                <w:szCs w:val="20"/>
              </w:rPr>
              <w:t xml:space="preserve"> and/or containment of up to 150 t of POPs waste from up to 6 priority </w:t>
            </w:r>
            <w:r>
              <w:rPr>
                <w:sz w:val="20"/>
                <w:szCs w:val="20"/>
              </w:rPr>
              <w:t xml:space="preserve">OP storehouse </w:t>
            </w:r>
            <w:r w:rsidRPr="003E5FB6">
              <w:rPr>
                <w:sz w:val="20"/>
                <w:szCs w:val="20"/>
              </w:rPr>
              <w:t>sites completed</w:t>
            </w:r>
          </w:p>
        </w:tc>
      </w:tr>
      <w:tr w:rsidR="00E55941" w:rsidRPr="003E5FB6" w14:paraId="51069C8A" w14:textId="77777777" w:rsidTr="00A777EB">
        <w:trPr>
          <w:trHeight w:val="377"/>
        </w:trPr>
        <w:tc>
          <w:tcPr>
            <w:tcW w:w="15300" w:type="dxa"/>
            <w:gridSpan w:val="5"/>
            <w:shd w:val="clear" w:color="auto" w:fill="D9E2F3" w:themeFill="accent1" w:themeFillTint="33"/>
            <w:hideMark/>
          </w:tcPr>
          <w:p w14:paraId="7B2B8E7F" w14:textId="77777777" w:rsidR="00E55941" w:rsidRPr="003E5FB6" w:rsidRDefault="00E55941" w:rsidP="00E55941">
            <w:pPr>
              <w:spacing w:before="40" w:after="40"/>
              <w:rPr>
                <w:b/>
                <w:bCs/>
                <w:sz w:val="20"/>
                <w:szCs w:val="20"/>
              </w:rPr>
            </w:pPr>
            <w:r w:rsidRPr="003E5FB6">
              <w:rPr>
                <w:b/>
                <w:bCs/>
                <w:sz w:val="20"/>
                <w:szCs w:val="20"/>
              </w:rPr>
              <w:lastRenderedPageBreak/>
              <w:t>ACTIVITY 2. Obsolete Pesticide Stockpile and Waste Elimination</w:t>
            </w:r>
          </w:p>
        </w:tc>
      </w:tr>
      <w:tr w:rsidR="00E55941" w:rsidRPr="003E5FB6" w14:paraId="4BC66E04" w14:textId="77777777" w:rsidTr="00E55941">
        <w:trPr>
          <w:trHeight w:val="737"/>
        </w:trPr>
        <w:tc>
          <w:tcPr>
            <w:tcW w:w="2070" w:type="dxa"/>
            <w:hideMark/>
          </w:tcPr>
          <w:p w14:paraId="05B04476" w14:textId="77777777" w:rsidR="00E55941" w:rsidRPr="00361AED" w:rsidRDefault="00E55941" w:rsidP="00E55941">
            <w:pPr>
              <w:spacing w:before="40" w:after="40"/>
              <w:rPr>
                <w:bCs/>
                <w:sz w:val="20"/>
                <w:szCs w:val="20"/>
              </w:rPr>
            </w:pPr>
            <w:r w:rsidRPr="00361AED">
              <w:rPr>
                <w:b/>
                <w:bCs/>
                <w:sz w:val="20"/>
                <w:szCs w:val="20"/>
              </w:rPr>
              <w:t>Outcome 2.1:</w:t>
            </w:r>
            <w:r w:rsidRPr="00361AED">
              <w:rPr>
                <w:sz w:val="20"/>
                <w:szCs w:val="20"/>
              </w:rPr>
              <w:t xml:space="preserve"> </w:t>
            </w:r>
            <w:r w:rsidRPr="00361AED">
              <w:rPr>
                <w:sz w:val="20"/>
                <w:szCs w:val="20"/>
              </w:rPr>
              <w:br/>
            </w:r>
            <w:r>
              <w:rPr>
                <w:sz w:val="20"/>
                <w:szCs w:val="20"/>
              </w:rPr>
              <w:t xml:space="preserve">Export and environmentally </w:t>
            </w:r>
            <w:r w:rsidRPr="003E5FB6">
              <w:rPr>
                <w:sz w:val="20"/>
                <w:szCs w:val="20"/>
              </w:rPr>
              <w:t xml:space="preserve">sound </w:t>
            </w:r>
            <w:r>
              <w:rPr>
                <w:sz w:val="20"/>
                <w:szCs w:val="20"/>
              </w:rPr>
              <w:t xml:space="preserve">disposal </w:t>
            </w:r>
            <w:r w:rsidRPr="003E5FB6">
              <w:rPr>
                <w:sz w:val="20"/>
                <w:szCs w:val="20"/>
              </w:rPr>
              <w:t xml:space="preserve">of </w:t>
            </w:r>
            <w:r w:rsidRPr="00361AED">
              <w:rPr>
                <w:sz w:val="20"/>
                <w:szCs w:val="20"/>
              </w:rPr>
              <w:t xml:space="preserve">Category 1 waste </w:t>
            </w:r>
          </w:p>
        </w:tc>
        <w:tc>
          <w:tcPr>
            <w:tcW w:w="2880" w:type="dxa"/>
            <w:hideMark/>
          </w:tcPr>
          <w:p w14:paraId="563F0CAD" w14:textId="77777777" w:rsidR="00E55941" w:rsidRPr="003E5FB6" w:rsidRDefault="00E55941" w:rsidP="00E55941">
            <w:pPr>
              <w:spacing w:before="40" w:after="40"/>
              <w:rPr>
                <w:sz w:val="20"/>
                <w:szCs w:val="20"/>
              </w:rPr>
            </w:pPr>
            <w:r w:rsidRPr="003E5FB6">
              <w:rPr>
                <w:sz w:val="20"/>
                <w:szCs w:val="20"/>
              </w:rPr>
              <w:t xml:space="preserve">Volume of Category </w:t>
            </w:r>
            <w:r>
              <w:rPr>
                <w:sz w:val="20"/>
                <w:szCs w:val="20"/>
              </w:rPr>
              <w:t xml:space="preserve">1 </w:t>
            </w:r>
            <w:r w:rsidRPr="003E5FB6">
              <w:rPr>
                <w:sz w:val="20"/>
                <w:szCs w:val="20"/>
              </w:rPr>
              <w:t xml:space="preserve">waste </w:t>
            </w:r>
            <w:r>
              <w:rPr>
                <w:sz w:val="20"/>
                <w:szCs w:val="20"/>
              </w:rPr>
              <w:t>exported and disposed</w:t>
            </w:r>
            <w:r w:rsidRPr="003E5FB6">
              <w:rPr>
                <w:sz w:val="20"/>
                <w:szCs w:val="20"/>
              </w:rPr>
              <w:t xml:space="preserve"> under an environmentally sound </w:t>
            </w:r>
          </w:p>
        </w:tc>
        <w:tc>
          <w:tcPr>
            <w:tcW w:w="3240" w:type="dxa"/>
            <w:hideMark/>
          </w:tcPr>
          <w:p w14:paraId="4BD63053" w14:textId="77777777" w:rsidR="00E55941" w:rsidRPr="003E5FB6" w:rsidRDefault="00E55941" w:rsidP="00E55941">
            <w:pPr>
              <w:spacing w:before="40" w:after="40"/>
              <w:rPr>
                <w:sz w:val="20"/>
                <w:szCs w:val="20"/>
              </w:rPr>
            </w:pPr>
            <w:r w:rsidRPr="003E5FB6">
              <w:rPr>
                <w:sz w:val="20"/>
                <w:szCs w:val="20"/>
              </w:rPr>
              <w:t>No destruction of POPs pesticides, POPs wastes or OPs yet undertaken</w:t>
            </w:r>
          </w:p>
        </w:tc>
        <w:tc>
          <w:tcPr>
            <w:tcW w:w="3510" w:type="dxa"/>
            <w:hideMark/>
          </w:tcPr>
          <w:p w14:paraId="7308B412" w14:textId="77777777" w:rsidR="00E55941" w:rsidRPr="003E5FB6" w:rsidRDefault="00E55941" w:rsidP="00E55941">
            <w:pPr>
              <w:spacing w:before="40" w:after="40"/>
              <w:rPr>
                <w:sz w:val="20"/>
                <w:szCs w:val="20"/>
              </w:rPr>
            </w:pPr>
            <w:r>
              <w:rPr>
                <w:sz w:val="20"/>
                <w:szCs w:val="20"/>
              </w:rPr>
              <w:t>I</w:t>
            </w:r>
            <w:r w:rsidRPr="003E5FB6">
              <w:rPr>
                <w:sz w:val="20"/>
                <w:szCs w:val="20"/>
              </w:rPr>
              <w:t>nternational pre-qualification</w:t>
            </w:r>
            <w:r>
              <w:rPr>
                <w:sz w:val="20"/>
                <w:szCs w:val="20"/>
              </w:rPr>
              <w:t xml:space="preserve"> of Category 1 waste disposal facility</w:t>
            </w:r>
            <w:r w:rsidRPr="003E5FB6">
              <w:rPr>
                <w:sz w:val="20"/>
                <w:szCs w:val="20"/>
              </w:rPr>
              <w:t>, tender and contract documents prepared and implemented</w:t>
            </w:r>
            <w:r w:rsidRPr="003E5FB6">
              <w:rPr>
                <w:sz w:val="20"/>
                <w:szCs w:val="20"/>
              </w:rPr>
              <w:br/>
            </w:r>
            <w:r w:rsidRPr="003E5FB6">
              <w:rPr>
                <w:sz w:val="20"/>
                <w:szCs w:val="20"/>
              </w:rPr>
              <w:br/>
            </w:r>
            <w:r>
              <w:rPr>
                <w:sz w:val="20"/>
                <w:szCs w:val="20"/>
              </w:rPr>
              <w:t>Export</w:t>
            </w:r>
            <w:r w:rsidRPr="003E5FB6">
              <w:rPr>
                <w:sz w:val="20"/>
                <w:szCs w:val="20"/>
              </w:rPr>
              <w:t xml:space="preserve"> </w:t>
            </w:r>
            <w:r>
              <w:rPr>
                <w:sz w:val="20"/>
                <w:szCs w:val="20"/>
              </w:rPr>
              <w:t xml:space="preserve">from Armenia and environmentally </w:t>
            </w:r>
            <w:r w:rsidRPr="003E5FB6">
              <w:rPr>
                <w:sz w:val="20"/>
                <w:szCs w:val="20"/>
              </w:rPr>
              <w:t xml:space="preserve">sound </w:t>
            </w:r>
            <w:r>
              <w:rPr>
                <w:sz w:val="20"/>
                <w:szCs w:val="20"/>
              </w:rPr>
              <w:t xml:space="preserve">disposal </w:t>
            </w:r>
            <w:r w:rsidRPr="003E5FB6">
              <w:rPr>
                <w:sz w:val="20"/>
                <w:szCs w:val="20"/>
              </w:rPr>
              <w:t xml:space="preserve">of 1,052 t Category 1 </w:t>
            </w:r>
            <w:r>
              <w:rPr>
                <w:sz w:val="20"/>
                <w:szCs w:val="20"/>
              </w:rPr>
              <w:t>waste</w:t>
            </w:r>
            <w:r w:rsidRPr="003E5FB6">
              <w:rPr>
                <w:sz w:val="20"/>
                <w:szCs w:val="20"/>
              </w:rPr>
              <w:t xml:space="preserve"> </w:t>
            </w:r>
            <w:r>
              <w:rPr>
                <w:sz w:val="20"/>
                <w:szCs w:val="20"/>
              </w:rPr>
              <w:t xml:space="preserve">for destruction </w:t>
            </w:r>
            <w:r w:rsidRPr="003E5FB6">
              <w:rPr>
                <w:sz w:val="20"/>
                <w:szCs w:val="20"/>
              </w:rPr>
              <w:t xml:space="preserve">at a qualified </w:t>
            </w:r>
            <w:r>
              <w:rPr>
                <w:sz w:val="20"/>
                <w:szCs w:val="20"/>
              </w:rPr>
              <w:t>disposal</w:t>
            </w:r>
            <w:r w:rsidRPr="003E5FB6">
              <w:rPr>
                <w:sz w:val="20"/>
                <w:szCs w:val="20"/>
              </w:rPr>
              <w:t xml:space="preserve"> facility </w:t>
            </w:r>
          </w:p>
        </w:tc>
        <w:tc>
          <w:tcPr>
            <w:tcW w:w="3600" w:type="dxa"/>
            <w:hideMark/>
          </w:tcPr>
          <w:p w14:paraId="2FF1012A" w14:textId="77777777" w:rsidR="00E55941" w:rsidRPr="003E5FB6" w:rsidRDefault="00E55941" w:rsidP="00E55941">
            <w:pPr>
              <w:spacing w:before="40" w:after="40"/>
              <w:rPr>
                <w:sz w:val="20"/>
                <w:szCs w:val="20"/>
              </w:rPr>
            </w:pPr>
            <w:r>
              <w:rPr>
                <w:sz w:val="20"/>
                <w:szCs w:val="20"/>
              </w:rPr>
              <w:t>E</w:t>
            </w:r>
            <w:r w:rsidRPr="003E5FB6">
              <w:rPr>
                <w:sz w:val="20"/>
                <w:szCs w:val="20"/>
              </w:rPr>
              <w:t>nvironmental</w:t>
            </w:r>
            <w:r>
              <w:rPr>
                <w:sz w:val="20"/>
                <w:szCs w:val="20"/>
              </w:rPr>
              <w:t>ly</w:t>
            </w:r>
            <w:r w:rsidRPr="003E5FB6">
              <w:rPr>
                <w:sz w:val="20"/>
                <w:szCs w:val="20"/>
              </w:rPr>
              <w:t xml:space="preserve"> sound </w:t>
            </w:r>
            <w:r>
              <w:rPr>
                <w:sz w:val="20"/>
                <w:szCs w:val="20"/>
              </w:rPr>
              <w:t>disposal</w:t>
            </w:r>
            <w:r w:rsidRPr="003E5FB6">
              <w:rPr>
                <w:sz w:val="20"/>
                <w:szCs w:val="20"/>
              </w:rPr>
              <w:t xml:space="preserve"> of any contingency volumes of Category 1 waste at </w:t>
            </w:r>
            <w:r>
              <w:rPr>
                <w:sz w:val="20"/>
                <w:szCs w:val="20"/>
              </w:rPr>
              <w:t xml:space="preserve">a </w:t>
            </w:r>
            <w:r w:rsidRPr="003E5FB6">
              <w:rPr>
                <w:sz w:val="20"/>
                <w:szCs w:val="20"/>
              </w:rPr>
              <w:t xml:space="preserve">qualified </w:t>
            </w:r>
            <w:r>
              <w:rPr>
                <w:sz w:val="20"/>
                <w:szCs w:val="20"/>
              </w:rPr>
              <w:t>disposal</w:t>
            </w:r>
            <w:r w:rsidRPr="003E5FB6">
              <w:rPr>
                <w:sz w:val="20"/>
                <w:szCs w:val="20"/>
              </w:rPr>
              <w:t xml:space="preserve"> facility</w:t>
            </w:r>
          </w:p>
        </w:tc>
      </w:tr>
      <w:tr w:rsidR="00E55941" w:rsidRPr="003E5FB6" w14:paraId="7A1FCAEF" w14:textId="77777777" w:rsidTr="00E55941">
        <w:trPr>
          <w:trHeight w:val="2825"/>
        </w:trPr>
        <w:tc>
          <w:tcPr>
            <w:tcW w:w="2070" w:type="dxa"/>
            <w:vMerge w:val="restart"/>
            <w:hideMark/>
          </w:tcPr>
          <w:p w14:paraId="16776D6B" w14:textId="77777777" w:rsidR="00E55941" w:rsidRPr="003E5FB6" w:rsidRDefault="00E55941" w:rsidP="00E55941">
            <w:pPr>
              <w:spacing w:before="40" w:after="40"/>
              <w:rPr>
                <w:b/>
                <w:bCs/>
                <w:sz w:val="20"/>
                <w:szCs w:val="20"/>
              </w:rPr>
            </w:pPr>
            <w:r w:rsidRPr="003E5FB6">
              <w:rPr>
                <w:b/>
                <w:bCs/>
                <w:sz w:val="20"/>
                <w:szCs w:val="20"/>
              </w:rPr>
              <w:t>Outcome 2.2:</w:t>
            </w:r>
            <w:r w:rsidRPr="003E5FB6">
              <w:rPr>
                <w:sz w:val="20"/>
                <w:szCs w:val="20"/>
              </w:rPr>
              <w:t xml:space="preserve"> Environmentally sound </w:t>
            </w:r>
            <w:r>
              <w:rPr>
                <w:sz w:val="20"/>
                <w:szCs w:val="20"/>
              </w:rPr>
              <w:t>treatment</w:t>
            </w:r>
            <w:r w:rsidRPr="003E5FB6">
              <w:rPr>
                <w:sz w:val="20"/>
                <w:szCs w:val="20"/>
              </w:rPr>
              <w:t xml:space="preserve"> of Category 2 waste/soil</w:t>
            </w:r>
            <w:r>
              <w:rPr>
                <w:sz w:val="20"/>
                <w:szCs w:val="20"/>
              </w:rPr>
              <w:t xml:space="preserve"> </w:t>
            </w:r>
            <w:r w:rsidRPr="003E5FB6">
              <w:rPr>
                <w:sz w:val="20"/>
                <w:szCs w:val="20"/>
              </w:rPr>
              <w:t xml:space="preserve"> </w:t>
            </w:r>
          </w:p>
        </w:tc>
        <w:tc>
          <w:tcPr>
            <w:tcW w:w="2880" w:type="dxa"/>
          </w:tcPr>
          <w:p w14:paraId="7EAD4CCD" w14:textId="77777777" w:rsidR="00E55941" w:rsidRPr="00361AED" w:rsidRDefault="00E55941" w:rsidP="00E55941">
            <w:pPr>
              <w:spacing w:before="40" w:after="40"/>
              <w:rPr>
                <w:sz w:val="20"/>
                <w:szCs w:val="20"/>
              </w:rPr>
            </w:pPr>
            <w:r>
              <w:rPr>
                <w:sz w:val="20"/>
                <w:szCs w:val="20"/>
              </w:rPr>
              <w:t>Volume of t</w:t>
            </w:r>
            <w:r w:rsidRPr="001E49EB">
              <w:rPr>
                <w:sz w:val="20"/>
                <w:szCs w:val="20"/>
              </w:rPr>
              <w:t>reat</w:t>
            </w:r>
            <w:r>
              <w:rPr>
                <w:sz w:val="20"/>
                <w:szCs w:val="20"/>
              </w:rPr>
              <w:t xml:space="preserve">ed </w:t>
            </w:r>
            <w:r w:rsidRPr="001E49EB">
              <w:rPr>
                <w:sz w:val="20"/>
                <w:szCs w:val="20"/>
              </w:rPr>
              <w:t xml:space="preserve">Category 2 waste below the low POPs content and demonstration of commercial viability </w:t>
            </w:r>
            <w:r>
              <w:rPr>
                <w:sz w:val="20"/>
                <w:szCs w:val="20"/>
              </w:rPr>
              <w:t xml:space="preserve">of the </w:t>
            </w:r>
            <w:r w:rsidRPr="001E49EB">
              <w:rPr>
                <w:sz w:val="20"/>
                <w:szCs w:val="20"/>
              </w:rPr>
              <w:t>Category 2 waste</w:t>
            </w:r>
            <w:r>
              <w:rPr>
                <w:sz w:val="20"/>
                <w:szCs w:val="20"/>
              </w:rPr>
              <w:t>/soil treatment technology</w:t>
            </w:r>
            <w:r w:rsidRPr="001E49EB">
              <w:rPr>
                <w:sz w:val="20"/>
                <w:szCs w:val="20"/>
              </w:rPr>
              <w:t xml:space="preserve"> in Armenia </w:t>
            </w:r>
          </w:p>
        </w:tc>
        <w:tc>
          <w:tcPr>
            <w:tcW w:w="3240" w:type="dxa"/>
          </w:tcPr>
          <w:p w14:paraId="596857BF" w14:textId="77777777" w:rsidR="00E55941" w:rsidRPr="001E49EB" w:rsidRDefault="00E55941" w:rsidP="00E55941">
            <w:pPr>
              <w:spacing w:before="40" w:after="40"/>
              <w:rPr>
                <w:sz w:val="20"/>
                <w:szCs w:val="20"/>
              </w:rPr>
            </w:pPr>
            <w:r w:rsidRPr="001E49EB">
              <w:rPr>
                <w:sz w:val="20"/>
                <w:szCs w:val="20"/>
              </w:rPr>
              <w:t>No highly contaminated soil treatment/remediation facilities available in the country</w:t>
            </w:r>
          </w:p>
        </w:tc>
        <w:tc>
          <w:tcPr>
            <w:tcW w:w="3510" w:type="dxa"/>
          </w:tcPr>
          <w:p w14:paraId="12FB1D38" w14:textId="77777777" w:rsidR="00E55941" w:rsidRDefault="00E55941" w:rsidP="00E55941">
            <w:pPr>
              <w:spacing w:before="40" w:after="40"/>
              <w:rPr>
                <w:sz w:val="20"/>
                <w:szCs w:val="20"/>
              </w:rPr>
            </w:pPr>
            <w:r w:rsidRPr="000152A4">
              <w:rPr>
                <w:sz w:val="20"/>
                <w:szCs w:val="20"/>
              </w:rPr>
              <w:t>International pre-qualification</w:t>
            </w:r>
            <w:r>
              <w:rPr>
                <w:sz w:val="20"/>
                <w:szCs w:val="20"/>
              </w:rPr>
              <w:t xml:space="preserve"> of Category 2 waste treatment technology, </w:t>
            </w:r>
            <w:r w:rsidRPr="000152A4">
              <w:rPr>
                <w:sz w:val="20"/>
                <w:szCs w:val="20"/>
              </w:rPr>
              <w:t xml:space="preserve">tender and contract documents prepared and implemented </w:t>
            </w:r>
          </w:p>
          <w:p w14:paraId="469CB739" w14:textId="77777777" w:rsidR="00E55941" w:rsidRDefault="00E55941" w:rsidP="00E55941">
            <w:pPr>
              <w:spacing w:before="40" w:after="40"/>
              <w:rPr>
                <w:sz w:val="20"/>
                <w:szCs w:val="20"/>
              </w:rPr>
            </w:pPr>
          </w:p>
          <w:p w14:paraId="052DE34C" w14:textId="77777777" w:rsidR="00E55941" w:rsidRDefault="00E55941" w:rsidP="00E55941">
            <w:pPr>
              <w:spacing w:before="40" w:after="40"/>
              <w:rPr>
                <w:sz w:val="20"/>
                <w:szCs w:val="20"/>
              </w:rPr>
            </w:pPr>
            <w:r>
              <w:rPr>
                <w:sz w:val="20"/>
                <w:szCs w:val="20"/>
              </w:rPr>
              <w:t>Waste t</w:t>
            </w:r>
            <w:r w:rsidRPr="000152A4">
              <w:rPr>
                <w:sz w:val="20"/>
                <w:szCs w:val="20"/>
              </w:rPr>
              <w:t>reat</w:t>
            </w:r>
            <w:r>
              <w:rPr>
                <w:sz w:val="20"/>
                <w:szCs w:val="20"/>
              </w:rPr>
              <w:t xml:space="preserve">ability </w:t>
            </w:r>
            <w:r w:rsidRPr="000152A4">
              <w:rPr>
                <w:sz w:val="20"/>
                <w:szCs w:val="20"/>
              </w:rPr>
              <w:t>testing o</w:t>
            </w:r>
            <w:r>
              <w:rPr>
                <w:sz w:val="20"/>
                <w:szCs w:val="20"/>
              </w:rPr>
              <w:t>f</w:t>
            </w:r>
            <w:r w:rsidRPr="000152A4">
              <w:rPr>
                <w:sz w:val="20"/>
                <w:szCs w:val="20"/>
              </w:rPr>
              <w:t xml:space="preserve"> candidate sho</w:t>
            </w:r>
            <w:r>
              <w:rPr>
                <w:sz w:val="20"/>
                <w:szCs w:val="20"/>
              </w:rPr>
              <w:t>rtlisted technologies completed</w:t>
            </w:r>
          </w:p>
          <w:p w14:paraId="4C758911" w14:textId="77777777" w:rsidR="00E55941" w:rsidRPr="000152A4" w:rsidRDefault="00E55941" w:rsidP="00E55941">
            <w:pPr>
              <w:spacing w:before="40" w:after="40"/>
              <w:rPr>
                <w:sz w:val="20"/>
                <w:szCs w:val="20"/>
              </w:rPr>
            </w:pPr>
          </w:p>
          <w:p w14:paraId="54181C54" w14:textId="77777777" w:rsidR="00E55941" w:rsidRPr="000152A4" w:rsidRDefault="00E55941" w:rsidP="00E55941">
            <w:pPr>
              <w:spacing w:before="40" w:after="40"/>
              <w:rPr>
                <w:sz w:val="20"/>
                <w:szCs w:val="20"/>
              </w:rPr>
            </w:pPr>
            <w:r w:rsidRPr="000152A4">
              <w:rPr>
                <w:sz w:val="20"/>
                <w:szCs w:val="20"/>
              </w:rPr>
              <w:t xml:space="preserve">Site preparation arrangements for hosting the </w:t>
            </w:r>
            <w:r>
              <w:rPr>
                <w:sz w:val="20"/>
                <w:szCs w:val="20"/>
              </w:rPr>
              <w:t>feasible</w:t>
            </w:r>
            <w:r w:rsidRPr="000152A4">
              <w:rPr>
                <w:sz w:val="20"/>
                <w:szCs w:val="20"/>
              </w:rPr>
              <w:t xml:space="preserve"> technolo</w:t>
            </w:r>
            <w:r>
              <w:rPr>
                <w:sz w:val="20"/>
                <w:szCs w:val="20"/>
              </w:rPr>
              <w:t>gy as required completed</w:t>
            </w:r>
          </w:p>
        </w:tc>
        <w:tc>
          <w:tcPr>
            <w:tcW w:w="3600" w:type="dxa"/>
          </w:tcPr>
          <w:p w14:paraId="3C03A379" w14:textId="77777777" w:rsidR="00E55941" w:rsidRDefault="00E55941" w:rsidP="00E55941">
            <w:pPr>
              <w:spacing w:before="40" w:after="40"/>
              <w:rPr>
                <w:sz w:val="20"/>
                <w:szCs w:val="20"/>
              </w:rPr>
            </w:pPr>
            <w:r>
              <w:rPr>
                <w:sz w:val="20"/>
                <w:szCs w:val="20"/>
              </w:rPr>
              <w:t>E</w:t>
            </w:r>
            <w:r w:rsidRPr="000152A4">
              <w:rPr>
                <w:sz w:val="20"/>
                <w:szCs w:val="20"/>
              </w:rPr>
              <w:t>nvironmental</w:t>
            </w:r>
            <w:r>
              <w:rPr>
                <w:sz w:val="20"/>
                <w:szCs w:val="20"/>
              </w:rPr>
              <w:t>ly</w:t>
            </w:r>
            <w:r w:rsidRPr="000152A4">
              <w:rPr>
                <w:sz w:val="20"/>
                <w:szCs w:val="20"/>
              </w:rPr>
              <w:t xml:space="preserve"> sound </w:t>
            </w:r>
            <w:r>
              <w:rPr>
                <w:sz w:val="20"/>
                <w:szCs w:val="20"/>
              </w:rPr>
              <w:t>treatment</w:t>
            </w:r>
            <w:r w:rsidRPr="000152A4">
              <w:rPr>
                <w:sz w:val="20"/>
                <w:szCs w:val="20"/>
              </w:rPr>
              <w:t xml:space="preserve"> of </w:t>
            </w:r>
            <w:r>
              <w:rPr>
                <w:sz w:val="20"/>
                <w:szCs w:val="20"/>
              </w:rPr>
              <w:t>4,123</w:t>
            </w:r>
            <w:r w:rsidRPr="000152A4">
              <w:rPr>
                <w:sz w:val="20"/>
                <w:szCs w:val="20"/>
              </w:rPr>
              <w:t xml:space="preserve"> t of Category </w:t>
            </w:r>
            <w:r>
              <w:rPr>
                <w:sz w:val="20"/>
                <w:szCs w:val="20"/>
              </w:rPr>
              <w:t xml:space="preserve">2 </w:t>
            </w:r>
            <w:r w:rsidRPr="000152A4">
              <w:rPr>
                <w:sz w:val="20"/>
                <w:szCs w:val="20"/>
              </w:rPr>
              <w:t>waste to le</w:t>
            </w:r>
            <w:r>
              <w:rPr>
                <w:sz w:val="20"/>
                <w:szCs w:val="20"/>
              </w:rPr>
              <w:t>vels below the low POPs content</w:t>
            </w:r>
          </w:p>
          <w:p w14:paraId="72A33471" w14:textId="77777777" w:rsidR="00E55941" w:rsidRPr="000152A4" w:rsidRDefault="00E55941" w:rsidP="00E55941">
            <w:pPr>
              <w:tabs>
                <w:tab w:val="left" w:pos="1002"/>
              </w:tabs>
              <w:spacing w:before="40" w:after="40"/>
              <w:rPr>
                <w:sz w:val="20"/>
                <w:szCs w:val="20"/>
              </w:rPr>
            </w:pPr>
          </w:p>
        </w:tc>
      </w:tr>
      <w:tr w:rsidR="00E55941" w:rsidRPr="003E5FB6" w14:paraId="51B3ABE7" w14:textId="77777777" w:rsidTr="00E55941">
        <w:trPr>
          <w:trHeight w:val="1637"/>
        </w:trPr>
        <w:tc>
          <w:tcPr>
            <w:tcW w:w="2070" w:type="dxa"/>
            <w:vMerge/>
          </w:tcPr>
          <w:p w14:paraId="30B924A4" w14:textId="77777777" w:rsidR="00E55941" w:rsidRPr="003E5FB6" w:rsidRDefault="00E55941" w:rsidP="00E55941">
            <w:pPr>
              <w:spacing w:before="40" w:after="40"/>
              <w:rPr>
                <w:b/>
                <w:bCs/>
                <w:sz w:val="20"/>
                <w:szCs w:val="20"/>
              </w:rPr>
            </w:pPr>
          </w:p>
        </w:tc>
        <w:tc>
          <w:tcPr>
            <w:tcW w:w="2880" w:type="dxa"/>
          </w:tcPr>
          <w:p w14:paraId="49BF7E1F" w14:textId="77777777" w:rsidR="00E55941" w:rsidRPr="003E5FB6" w:rsidRDefault="00E55941" w:rsidP="00E55941">
            <w:pPr>
              <w:spacing w:before="40" w:after="40"/>
              <w:rPr>
                <w:sz w:val="20"/>
                <w:szCs w:val="20"/>
              </w:rPr>
            </w:pPr>
            <w:r w:rsidRPr="003E5FB6">
              <w:rPr>
                <w:sz w:val="20"/>
                <w:szCs w:val="20"/>
              </w:rPr>
              <w:t xml:space="preserve">Number of national technical personnel </w:t>
            </w:r>
            <w:r>
              <w:rPr>
                <w:sz w:val="20"/>
                <w:szCs w:val="20"/>
              </w:rPr>
              <w:t xml:space="preserve">completed </w:t>
            </w:r>
            <w:r w:rsidRPr="003E5FB6">
              <w:rPr>
                <w:sz w:val="20"/>
                <w:szCs w:val="20"/>
              </w:rPr>
              <w:t>operational train</w:t>
            </w:r>
            <w:r>
              <w:rPr>
                <w:sz w:val="20"/>
                <w:szCs w:val="20"/>
              </w:rPr>
              <w:t>ing</w:t>
            </w:r>
            <w:r w:rsidRPr="003E5FB6">
              <w:rPr>
                <w:sz w:val="20"/>
                <w:szCs w:val="20"/>
              </w:rPr>
              <w:t xml:space="preserve">, </w:t>
            </w:r>
            <w:r>
              <w:rPr>
                <w:sz w:val="20"/>
                <w:szCs w:val="20"/>
              </w:rPr>
              <w:t>availability</w:t>
            </w:r>
            <w:r w:rsidRPr="003E5FB6">
              <w:rPr>
                <w:sz w:val="20"/>
                <w:szCs w:val="20"/>
              </w:rPr>
              <w:t xml:space="preserve"> of service providers of a mod</w:t>
            </w:r>
            <w:r>
              <w:rPr>
                <w:sz w:val="20"/>
                <w:szCs w:val="20"/>
              </w:rPr>
              <w:t>ern contaminated soil treatment</w:t>
            </w:r>
            <w:r w:rsidRPr="003E5FB6">
              <w:rPr>
                <w:sz w:val="20"/>
                <w:szCs w:val="20"/>
              </w:rPr>
              <w:t xml:space="preserve"> technology </w:t>
            </w:r>
          </w:p>
        </w:tc>
        <w:tc>
          <w:tcPr>
            <w:tcW w:w="3240" w:type="dxa"/>
          </w:tcPr>
          <w:p w14:paraId="52563D3C" w14:textId="77777777" w:rsidR="00E55941" w:rsidRPr="003E5FB6" w:rsidRDefault="00E55941" w:rsidP="00E55941">
            <w:pPr>
              <w:spacing w:before="40" w:after="40"/>
              <w:rPr>
                <w:sz w:val="20"/>
                <w:szCs w:val="20"/>
              </w:rPr>
            </w:pPr>
            <w:r w:rsidRPr="003E5FB6">
              <w:rPr>
                <w:sz w:val="20"/>
                <w:szCs w:val="20"/>
              </w:rPr>
              <w:t>No currently qualified technical person</w:t>
            </w:r>
            <w:r>
              <w:rPr>
                <w:sz w:val="20"/>
                <w:szCs w:val="20"/>
              </w:rPr>
              <w:t>nel</w:t>
            </w:r>
            <w:r w:rsidRPr="003E5FB6">
              <w:rPr>
                <w:sz w:val="20"/>
                <w:szCs w:val="20"/>
              </w:rPr>
              <w:t xml:space="preserve"> or service pro</w:t>
            </w:r>
            <w:r>
              <w:rPr>
                <w:sz w:val="20"/>
                <w:szCs w:val="20"/>
              </w:rPr>
              <w:t>viders in Armenia for treatment</w:t>
            </w:r>
            <w:r w:rsidRPr="003E5FB6">
              <w:rPr>
                <w:sz w:val="20"/>
                <w:szCs w:val="20"/>
              </w:rPr>
              <w:t xml:space="preserve"> of POPs contaminated soil</w:t>
            </w:r>
          </w:p>
        </w:tc>
        <w:tc>
          <w:tcPr>
            <w:tcW w:w="3510" w:type="dxa"/>
          </w:tcPr>
          <w:p w14:paraId="5177F5B2" w14:textId="77777777" w:rsidR="00E55941" w:rsidRPr="003E5FB6" w:rsidRDefault="00E55941" w:rsidP="00E55941">
            <w:pPr>
              <w:spacing w:before="40" w:after="40"/>
              <w:rPr>
                <w:sz w:val="20"/>
                <w:szCs w:val="20"/>
              </w:rPr>
            </w:pPr>
            <w:r>
              <w:rPr>
                <w:sz w:val="20"/>
                <w:szCs w:val="20"/>
              </w:rPr>
              <w:t>20 national technical personnel</w:t>
            </w:r>
            <w:r w:rsidRPr="003E5FB6">
              <w:rPr>
                <w:sz w:val="20"/>
                <w:szCs w:val="20"/>
              </w:rPr>
              <w:t xml:space="preserve"> trained on a modern contaminated soil treatment technology</w:t>
            </w:r>
          </w:p>
        </w:tc>
        <w:tc>
          <w:tcPr>
            <w:tcW w:w="3600" w:type="dxa"/>
          </w:tcPr>
          <w:p w14:paraId="021991C6" w14:textId="77777777" w:rsidR="00E55941" w:rsidRPr="003E5FB6" w:rsidRDefault="00E55941" w:rsidP="00E55941">
            <w:pPr>
              <w:tabs>
                <w:tab w:val="left" w:pos="176"/>
              </w:tabs>
              <w:spacing w:before="40" w:after="40"/>
              <w:ind w:left="61"/>
              <w:rPr>
                <w:sz w:val="20"/>
                <w:szCs w:val="20"/>
              </w:rPr>
            </w:pPr>
            <w:r w:rsidRPr="003E5FB6">
              <w:rPr>
                <w:sz w:val="20"/>
                <w:szCs w:val="20"/>
              </w:rPr>
              <w:t>20 national technical personnel qualified on a modern contaminated soil treatment technology</w:t>
            </w:r>
            <w:r>
              <w:rPr>
                <w:sz w:val="20"/>
                <w:szCs w:val="20"/>
              </w:rPr>
              <w:t xml:space="preserve"> operation</w:t>
            </w:r>
          </w:p>
          <w:p w14:paraId="29F9FFD2" w14:textId="77777777" w:rsidR="00E55941" w:rsidRPr="003E5FB6" w:rsidRDefault="00E55941" w:rsidP="00E55941">
            <w:pPr>
              <w:tabs>
                <w:tab w:val="left" w:pos="176"/>
              </w:tabs>
              <w:spacing w:before="40" w:after="40"/>
              <w:ind w:left="61"/>
              <w:rPr>
                <w:sz w:val="20"/>
                <w:szCs w:val="20"/>
              </w:rPr>
            </w:pPr>
          </w:p>
          <w:p w14:paraId="76D7D92E" w14:textId="77777777" w:rsidR="00E55941" w:rsidRPr="003E5FB6" w:rsidRDefault="00E55941" w:rsidP="00E55941">
            <w:pPr>
              <w:spacing w:before="40" w:after="40"/>
              <w:ind w:left="61"/>
              <w:rPr>
                <w:sz w:val="20"/>
                <w:szCs w:val="20"/>
              </w:rPr>
            </w:pPr>
          </w:p>
        </w:tc>
      </w:tr>
      <w:tr w:rsidR="00E55941" w:rsidRPr="003E5FB6" w14:paraId="6659EE0B" w14:textId="77777777" w:rsidTr="00E55941">
        <w:trPr>
          <w:trHeight w:val="450"/>
        </w:trPr>
        <w:tc>
          <w:tcPr>
            <w:tcW w:w="15300" w:type="dxa"/>
            <w:gridSpan w:val="5"/>
            <w:shd w:val="clear" w:color="auto" w:fill="D9E2F3" w:themeFill="accent1" w:themeFillTint="33"/>
            <w:hideMark/>
          </w:tcPr>
          <w:p w14:paraId="74D68FDC" w14:textId="77777777" w:rsidR="00E55941" w:rsidRPr="003E5FB6" w:rsidRDefault="00E55941" w:rsidP="00E55941">
            <w:pPr>
              <w:spacing w:before="40" w:after="40"/>
              <w:rPr>
                <w:b/>
                <w:bCs/>
                <w:sz w:val="20"/>
                <w:szCs w:val="20"/>
              </w:rPr>
            </w:pPr>
            <w:r w:rsidRPr="003E5FB6">
              <w:rPr>
                <w:b/>
                <w:bCs/>
                <w:sz w:val="20"/>
                <w:szCs w:val="20"/>
              </w:rPr>
              <w:t>ACTIVITY 3. Institutional and Regulatory Capacity Strengthening for Sound Chemicals Management and Contaminated Sites</w:t>
            </w:r>
          </w:p>
        </w:tc>
      </w:tr>
      <w:tr w:rsidR="00E55941" w:rsidRPr="003E5FB6" w14:paraId="5CCC9300" w14:textId="77777777" w:rsidTr="00E55941">
        <w:trPr>
          <w:trHeight w:val="2051"/>
        </w:trPr>
        <w:tc>
          <w:tcPr>
            <w:tcW w:w="2070" w:type="dxa"/>
            <w:vMerge w:val="restart"/>
            <w:hideMark/>
          </w:tcPr>
          <w:p w14:paraId="230E1768" w14:textId="77777777" w:rsidR="00E55941" w:rsidRPr="003E5FB6" w:rsidRDefault="00E55941" w:rsidP="00E55941">
            <w:pPr>
              <w:spacing w:before="40" w:after="40"/>
              <w:rPr>
                <w:sz w:val="20"/>
                <w:szCs w:val="20"/>
              </w:rPr>
            </w:pPr>
            <w:r w:rsidRPr="003E5FB6">
              <w:rPr>
                <w:b/>
                <w:bCs/>
                <w:sz w:val="20"/>
                <w:szCs w:val="20"/>
              </w:rPr>
              <w:lastRenderedPageBreak/>
              <w:t xml:space="preserve">Outcome 3.1: </w:t>
            </w:r>
            <w:r w:rsidRPr="003E5FB6">
              <w:rPr>
                <w:sz w:val="20"/>
                <w:szCs w:val="20"/>
              </w:rPr>
              <w:t>Legal/regulatory and technical guidance tools for management of chemical wastes, including POPs, and, contaminated sites management within a national sound chemicals management framework strengthened</w:t>
            </w:r>
          </w:p>
          <w:p w14:paraId="6EA4AA79" w14:textId="77777777" w:rsidR="00E55941" w:rsidRDefault="00E55941" w:rsidP="00E55941">
            <w:pPr>
              <w:spacing w:before="40" w:after="40"/>
              <w:rPr>
                <w:b/>
                <w:bCs/>
                <w:sz w:val="20"/>
                <w:szCs w:val="20"/>
              </w:rPr>
            </w:pPr>
          </w:p>
          <w:p w14:paraId="3E2CDEEA" w14:textId="77777777" w:rsidR="00E55941" w:rsidRDefault="00E55941" w:rsidP="00E55941">
            <w:pPr>
              <w:spacing w:before="40" w:after="40"/>
              <w:rPr>
                <w:b/>
                <w:bCs/>
                <w:sz w:val="20"/>
                <w:szCs w:val="20"/>
              </w:rPr>
            </w:pPr>
          </w:p>
          <w:p w14:paraId="5A7093B1" w14:textId="77777777" w:rsidR="00E55941" w:rsidRDefault="00E55941" w:rsidP="00E55941">
            <w:pPr>
              <w:spacing w:before="40" w:after="40"/>
              <w:rPr>
                <w:b/>
                <w:bCs/>
                <w:sz w:val="20"/>
                <w:szCs w:val="20"/>
              </w:rPr>
            </w:pPr>
          </w:p>
          <w:p w14:paraId="2BDEE197" w14:textId="77777777" w:rsidR="00E55941" w:rsidRDefault="00E55941" w:rsidP="00E55941">
            <w:pPr>
              <w:spacing w:before="40" w:after="40"/>
              <w:rPr>
                <w:b/>
                <w:bCs/>
                <w:sz w:val="20"/>
                <w:szCs w:val="20"/>
              </w:rPr>
            </w:pPr>
          </w:p>
          <w:p w14:paraId="2081341A" w14:textId="77777777" w:rsidR="00E55941" w:rsidRDefault="00E55941" w:rsidP="00E55941">
            <w:pPr>
              <w:spacing w:before="40" w:after="40"/>
              <w:rPr>
                <w:b/>
                <w:bCs/>
                <w:sz w:val="20"/>
                <w:szCs w:val="20"/>
              </w:rPr>
            </w:pPr>
          </w:p>
          <w:p w14:paraId="17B87F8C" w14:textId="77777777" w:rsidR="00E55941" w:rsidRDefault="00E55941" w:rsidP="00E55941">
            <w:pPr>
              <w:spacing w:before="40" w:after="40"/>
              <w:rPr>
                <w:b/>
                <w:bCs/>
                <w:sz w:val="20"/>
                <w:szCs w:val="20"/>
              </w:rPr>
            </w:pPr>
          </w:p>
          <w:p w14:paraId="1C01D6E2" w14:textId="77777777" w:rsidR="00E55941" w:rsidRDefault="00E55941" w:rsidP="00E55941">
            <w:pPr>
              <w:spacing w:before="40" w:after="40"/>
              <w:rPr>
                <w:b/>
                <w:bCs/>
                <w:sz w:val="20"/>
                <w:szCs w:val="20"/>
              </w:rPr>
            </w:pPr>
          </w:p>
          <w:p w14:paraId="0D9D5859" w14:textId="77777777" w:rsidR="00E55941" w:rsidRDefault="00E55941" w:rsidP="00E55941">
            <w:pPr>
              <w:spacing w:before="40" w:after="40"/>
              <w:rPr>
                <w:b/>
                <w:bCs/>
                <w:sz w:val="20"/>
                <w:szCs w:val="20"/>
              </w:rPr>
            </w:pPr>
          </w:p>
          <w:p w14:paraId="6853034E" w14:textId="77777777" w:rsidR="00E55941" w:rsidRDefault="00E55941" w:rsidP="00E55941">
            <w:pPr>
              <w:spacing w:before="40" w:after="40"/>
              <w:rPr>
                <w:b/>
                <w:bCs/>
                <w:sz w:val="20"/>
                <w:szCs w:val="20"/>
              </w:rPr>
            </w:pPr>
          </w:p>
          <w:p w14:paraId="53B2B149" w14:textId="77777777" w:rsidR="00E55941" w:rsidRDefault="00E55941" w:rsidP="00E55941">
            <w:pPr>
              <w:spacing w:before="40" w:after="40"/>
              <w:rPr>
                <w:b/>
                <w:bCs/>
                <w:sz w:val="20"/>
                <w:szCs w:val="20"/>
              </w:rPr>
            </w:pPr>
          </w:p>
          <w:p w14:paraId="09481138" w14:textId="77777777" w:rsidR="00E55941" w:rsidRDefault="00E55941" w:rsidP="00E55941">
            <w:pPr>
              <w:spacing w:before="40" w:after="40"/>
              <w:rPr>
                <w:b/>
                <w:bCs/>
                <w:sz w:val="20"/>
                <w:szCs w:val="20"/>
              </w:rPr>
            </w:pPr>
          </w:p>
          <w:p w14:paraId="2CC940B3" w14:textId="77777777" w:rsidR="00E55941" w:rsidRDefault="00E55941" w:rsidP="00E55941">
            <w:pPr>
              <w:spacing w:before="40" w:after="40"/>
              <w:rPr>
                <w:b/>
                <w:bCs/>
                <w:sz w:val="20"/>
                <w:szCs w:val="20"/>
              </w:rPr>
            </w:pPr>
          </w:p>
          <w:p w14:paraId="3FC3E513" w14:textId="77777777" w:rsidR="00E55941" w:rsidRPr="003E5FB6" w:rsidRDefault="00E55941" w:rsidP="00E55941">
            <w:pPr>
              <w:spacing w:before="40" w:after="40"/>
              <w:rPr>
                <w:sz w:val="20"/>
                <w:szCs w:val="20"/>
              </w:rPr>
            </w:pPr>
          </w:p>
        </w:tc>
        <w:tc>
          <w:tcPr>
            <w:tcW w:w="2880" w:type="dxa"/>
            <w:hideMark/>
          </w:tcPr>
          <w:p w14:paraId="5937DFC5" w14:textId="77777777" w:rsidR="00E55941" w:rsidRPr="003E5FB6" w:rsidRDefault="00E55941" w:rsidP="00E55941">
            <w:pPr>
              <w:spacing w:before="40" w:after="40"/>
              <w:rPr>
                <w:sz w:val="20"/>
                <w:szCs w:val="20"/>
              </w:rPr>
            </w:pPr>
            <w:r w:rsidRPr="003E5FB6">
              <w:rPr>
                <w:sz w:val="20"/>
                <w:szCs w:val="20"/>
              </w:rPr>
              <w:t xml:space="preserve">Policies, </w:t>
            </w:r>
            <w:proofErr w:type="gramStart"/>
            <w:r w:rsidRPr="003E5FB6">
              <w:rPr>
                <w:sz w:val="20"/>
                <w:szCs w:val="20"/>
              </w:rPr>
              <w:t>legislation</w:t>
            </w:r>
            <w:proofErr w:type="gramEnd"/>
            <w:r w:rsidRPr="003E5FB6">
              <w:rPr>
                <w:sz w:val="20"/>
                <w:szCs w:val="20"/>
              </w:rPr>
              <w:t xml:space="preserve"> and regulatory measures respecting chemical </w:t>
            </w:r>
            <w:r>
              <w:rPr>
                <w:sz w:val="20"/>
                <w:szCs w:val="20"/>
              </w:rPr>
              <w:t>HW</w:t>
            </w:r>
            <w:r w:rsidRPr="003E5FB6">
              <w:rPr>
                <w:sz w:val="20"/>
                <w:szCs w:val="20"/>
              </w:rPr>
              <w:t xml:space="preserve"> and contaminated sites management reviewed, updated and appropriate revisions implemented</w:t>
            </w:r>
          </w:p>
        </w:tc>
        <w:tc>
          <w:tcPr>
            <w:tcW w:w="3240" w:type="dxa"/>
            <w:hideMark/>
          </w:tcPr>
          <w:p w14:paraId="4F90688D" w14:textId="77777777" w:rsidR="00E55941" w:rsidRPr="003E5FB6" w:rsidRDefault="00E55941" w:rsidP="00E55941">
            <w:pPr>
              <w:spacing w:before="40" w:after="40"/>
              <w:rPr>
                <w:sz w:val="20"/>
                <w:szCs w:val="20"/>
              </w:rPr>
            </w:pPr>
            <w:r w:rsidRPr="003E5FB6">
              <w:rPr>
                <w:sz w:val="20"/>
                <w:szCs w:val="20"/>
              </w:rPr>
              <w:t>Basic framework legislation in place but has gaps, inconsistencies and conflicts with international standards and obligations</w:t>
            </w:r>
            <w:r>
              <w:rPr>
                <w:sz w:val="20"/>
                <w:szCs w:val="20"/>
              </w:rPr>
              <w:t xml:space="preserve"> under Stockholm and Basel Conventions</w:t>
            </w:r>
            <w:r w:rsidRPr="003E5FB6">
              <w:rPr>
                <w:sz w:val="20"/>
                <w:szCs w:val="20"/>
              </w:rPr>
              <w:t xml:space="preserve"> </w:t>
            </w:r>
          </w:p>
        </w:tc>
        <w:tc>
          <w:tcPr>
            <w:tcW w:w="3510" w:type="dxa"/>
            <w:hideMark/>
          </w:tcPr>
          <w:p w14:paraId="7207B6D8" w14:textId="77777777" w:rsidR="00E55941" w:rsidRPr="003E5FB6" w:rsidRDefault="00E55941" w:rsidP="00E55941">
            <w:pPr>
              <w:spacing w:before="40" w:after="40"/>
              <w:rPr>
                <w:sz w:val="20"/>
                <w:szCs w:val="20"/>
              </w:rPr>
            </w:pPr>
            <w:r w:rsidRPr="003E5FB6">
              <w:rPr>
                <w:sz w:val="20"/>
                <w:szCs w:val="20"/>
              </w:rPr>
              <w:t>Systematic review and clarification of existing legislation and regulation</w:t>
            </w:r>
            <w:r>
              <w:rPr>
                <w:sz w:val="20"/>
                <w:szCs w:val="20"/>
              </w:rPr>
              <w:t xml:space="preserve">s on chemical </w:t>
            </w:r>
            <w:r w:rsidRPr="003E5FB6">
              <w:rPr>
                <w:sz w:val="20"/>
                <w:szCs w:val="20"/>
              </w:rPr>
              <w:t>HW and contaminated sites management completed</w:t>
            </w:r>
            <w:r w:rsidRPr="003E5FB6">
              <w:rPr>
                <w:sz w:val="20"/>
                <w:szCs w:val="20"/>
              </w:rPr>
              <w:br/>
            </w:r>
            <w:r w:rsidRPr="003E5FB6">
              <w:rPr>
                <w:sz w:val="20"/>
                <w:szCs w:val="20"/>
              </w:rPr>
              <w:br/>
              <w:t>Action plan for streamlining and filling gaps in existing legislation consistent with international practice adopted and implemented</w:t>
            </w:r>
          </w:p>
        </w:tc>
        <w:tc>
          <w:tcPr>
            <w:tcW w:w="3600" w:type="dxa"/>
            <w:hideMark/>
          </w:tcPr>
          <w:p w14:paraId="2CFE8391" w14:textId="77777777" w:rsidR="00E55941" w:rsidRPr="003E5FB6" w:rsidRDefault="00E55941" w:rsidP="00E55941">
            <w:pPr>
              <w:spacing w:before="40" w:after="40"/>
              <w:rPr>
                <w:sz w:val="20"/>
                <w:szCs w:val="20"/>
              </w:rPr>
            </w:pPr>
            <w:r w:rsidRPr="003E5FB6">
              <w:rPr>
                <w:sz w:val="20"/>
                <w:szCs w:val="20"/>
              </w:rPr>
              <w:t xml:space="preserve">List of </w:t>
            </w:r>
            <w:r>
              <w:rPr>
                <w:sz w:val="20"/>
                <w:szCs w:val="20"/>
              </w:rPr>
              <w:t xml:space="preserve">project </w:t>
            </w:r>
            <w:r w:rsidRPr="003E5FB6">
              <w:rPr>
                <w:sz w:val="20"/>
                <w:szCs w:val="20"/>
              </w:rPr>
              <w:t xml:space="preserve">specific legislative and regulatory </w:t>
            </w:r>
            <w:r>
              <w:rPr>
                <w:sz w:val="20"/>
                <w:szCs w:val="20"/>
              </w:rPr>
              <w:t xml:space="preserve">review </w:t>
            </w:r>
            <w:r w:rsidRPr="003E5FB6">
              <w:rPr>
                <w:sz w:val="20"/>
                <w:szCs w:val="20"/>
              </w:rPr>
              <w:t xml:space="preserve">measures </w:t>
            </w:r>
          </w:p>
          <w:p w14:paraId="3B0A1855" w14:textId="77777777" w:rsidR="00E55941" w:rsidRPr="003E5FB6" w:rsidRDefault="00E55941" w:rsidP="00E55941">
            <w:pPr>
              <w:spacing w:before="40" w:after="40"/>
              <w:rPr>
                <w:sz w:val="20"/>
                <w:szCs w:val="20"/>
              </w:rPr>
            </w:pPr>
          </w:p>
          <w:p w14:paraId="0D5459BC" w14:textId="77777777" w:rsidR="00E55941" w:rsidRPr="003E5FB6" w:rsidRDefault="00E55941" w:rsidP="00E55941">
            <w:pPr>
              <w:spacing w:before="40" w:after="40"/>
              <w:rPr>
                <w:sz w:val="20"/>
                <w:szCs w:val="20"/>
              </w:rPr>
            </w:pPr>
          </w:p>
          <w:p w14:paraId="78034780" w14:textId="77777777" w:rsidR="00E55941" w:rsidRPr="003E5FB6" w:rsidRDefault="00E55941" w:rsidP="00E55941">
            <w:pPr>
              <w:spacing w:before="40" w:after="40"/>
              <w:rPr>
                <w:sz w:val="20"/>
                <w:szCs w:val="20"/>
              </w:rPr>
            </w:pPr>
          </w:p>
          <w:p w14:paraId="30DB0145" w14:textId="77777777" w:rsidR="00E55941" w:rsidRPr="003E5FB6" w:rsidRDefault="00E55941" w:rsidP="00E55941">
            <w:pPr>
              <w:tabs>
                <w:tab w:val="left" w:pos="2325"/>
              </w:tabs>
              <w:spacing w:before="40" w:after="40"/>
              <w:rPr>
                <w:sz w:val="20"/>
                <w:szCs w:val="20"/>
              </w:rPr>
            </w:pPr>
          </w:p>
        </w:tc>
      </w:tr>
      <w:tr w:rsidR="00E55941" w:rsidRPr="003E5FB6" w14:paraId="2FFAAB37" w14:textId="77777777" w:rsidTr="00E55941">
        <w:trPr>
          <w:trHeight w:val="56"/>
        </w:trPr>
        <w:tc>
          <w:tcPr>
            <w:tcW w:w="2070" w:type="dxa"/>
            <w:vMerge/>
          </w:tcPr>
          <w:p w14:paraId="2F304629" w14:textId="77777777" w:rsidR="00E55941" w:rsidRPr="003E5FB6" w:rsidRDefault="00E55941" w:rsidP="00E55941">
            <w:pPr>
              <w:spacing w:before="40" w:after="40"/>
              <w:rPr>
                <w:b/>
                <w:bCs/>
                <w:sz w:val="20"/>
                <w:szCs w:val="20"/>
              </w:rPr>
            </w:pPr>
          </w:p>
        </w:tc>
        <w:tc>
          <w:tcPr>
            <w:tcW w:w="2880" w:type="dxa"/>
          </w:tcPr>
          <w:p w14:paraId="6A006098" w14:textId="77777777" w:rsidR="00E55941" w:rsidRPr="003E5FB6" w:rsidRDefault="00E55941" w:rsidP="00E55941">
            <w:pPr>
              <w:spacing w:before="40" w:after="40"/>
              <w:rPr>
                <w:sz w:val="20"/>
                <w:szCs w:val="20"/>
              </w:rPr>
            </w:pPr>
            <w:r>
              <w:rPr>
                <w:sz w:val="20"/>
                <w:szCs w:val="20"/>
              </w:rPr>
              <w:t>Availability</w:t>
            </w:r>
            <w:r w:rsidRPr="003E5FB6">
              <w:rPr>
                <w:sz w:val="20"/>
                <w:szCs w:val="20"/>
              </w:rPr>
              <w:t xml:space="preserve"> of technical guid</w:t>
            </w:r>
            <w:r>
              <w:rPr>
                <w:sz w:val="20"/>
                <w:szCs w:val="20"/>
              </w:rPr>
              <w:t>ance</w:t>
            </w:r>
            <w:r w:rsidRPr="003E5FB6">
              <w:rPr>
                <w:sz w:val="20"/>
                <w:szCs w:val="20"/>
              </w:rPr>
              <w:t xml:space="preserve"> on environmental and health risk assessment methodologies and practices applicable to </w:t>
            </w:r>
            <w:r>
              <w:rPr>
                <w:sz w:val="20"/>
                <w:szCs w:val="20"/>
              </w:rPr>
              <w:t>chemical HW</w:t>
            </w:r>
            <w:r w:rsidRPr="003E5FB6">
              <w:rPr>
                <w:sz w:val="20"/>
                <w:szCs w:val="20"/>
              </w:rPr>
              <w:t xml:space="preserve"> and contaminated sites and on operational and EHS procedures for </w:t>
            </w:r>
            <w:r>
              <w:rPr>
                <w:sz w:val="20"/>
                <w:szCs w:val="20"/>
              </w:rPr>
              <w:t>chemical HW</w:t>
            </w:r>
            <w:r w:rsidRPr="003E5FB6">
              <w:rPr>
                <w:sz w:val="20"/>
                <w:szCs w:val="20"/>
              </w:rPr>
              <w:t xml:space="preserve"> handling, transport, storage and disposal, developed in accordance with international practice</w:t>
            </w:r>
            <w:r>
              <w:rPr>
                <w:sz w:val="20"/>
                <w:szCs w:val="20"/>
              </w:rPr>
              <w:t>s</w:t>
            </w:r>
            <w:r w:rsidRPr="003E5FB6">
              <w:rPr>
                <w:sz w:val="20"/>
                <w:szCs w:val="20"/>
              </w:rPr>
              <w:t xml:space="preserve"> and a number of relevant national personnel trained</w:t>
            </w:r>
          </w:p>
        </w:tc>
        <w:tc>
          <w:tcPr>
            <w:tcW w:w="3240" w:type="dxa"/>
          </w:tcPr>
          <w:p w14:paraId="2B868EEC" w14:textId="77777777" w:rsidR="00E55941" w:rsidRDefault="00E55941" w:rsidP="00E55941">
            <w:pPr>
              <w:spacing w:before="40" w:after="40"/>
              <w:rPr>
                <w:sz w:val="20"/>
                <w:szCs w:val="20"/>
              </w:rPr>
            </w:pPr>
            <w:r w:rsidRPr="003E5FB6">
              <w:rPr>
                <w:sz w:val="20"/>
                <w:szCs w:val="20"/>
              </w:rPr>
              <w:t xml:space="preserve">While requirements exist in legislation requiring technical guidelines on operational safety procedures for hazardous chemicals waste handling, transport, </w:t>
            </w:r>
            <w:proofErr w:type="gramStart"/>
            <w:r w:rsidRPr="003E5FB6">
              <w:rPr>
                <w:sz w:val="20"/>
                <w:szCs w:val="20"/>
              </w:rPr>
              <w:t>storage</w:t>
            </w:r>
            <w:proofErr w:type="gramEnd"/>
            <w:r w:rsidRPr="003E5FB6">
              <w:rPr>
                <w:sz w:val="20"/>
                <w:szCs w:val="20"/>
              </w:rPr>
              <w:t xml:space="preserve"> and disposal to be in place these have not been developed and adopted</w:t>
            </w:r>
            <w:r w:rsidRPr="003E5FB6">
              <w:rPr>
                <w:sz w:val="20"/>
                <w:szCs w:val="20"/>
              </w:rPr>
              <w:br/>
            </w:r>
            <w:r w:rsidRPr="003E5FB6">
              <w:rPr>
                <w:sz w:val="20"/>
                <w:szCs w:val="20"/>
              </w:rPr>
              <w:br/>
              <w:t>Limited national expertise exists in implementation of operational procedures for HW management</w:t>
            </w:r>
          </w:p>
          <w:p w14:paraId="6425B632" w14:textId="77777777" w:rsidR="00E55941" w:rsidRDefault="00E55941" w:rsidP="00E55941">
            <w:pPr>
              <w:spacing w:before="40" w:after="40"/>
              <w:rPr>
                <w:sz w:val="20"/>
                <w:szCs w:val="20"/>
              </w:rPr>
            </w:pPr>
          </w:p>
          <w:p w14:paraId="15CB7A6D" w14:textId="77777777" w:rsidR="00E55941" w:rsidRPr="003E5FB6" w:rsidRDefault="00E55941" w:rsidP="00E55941">
            <w:pPr>
              <w:spacing w:before="40" w:after="40"/>
              <w:rPr>
                <w:sz w:val="20"/>
                <w:szCs w:val="20"/>
              </w:rPr>
            </w:pPr>
            <w:r w:rsidRPr="006E6D2B">
              <w:rPr>
                <w:sz w:val="20"/>
                <w:szCs w:val="20"/>
              </w:rPr>
              <w:t>No nationally adopted guidance materials exist for environme</w:t>
            </w:r>
            <w:r>
              <w:rPr>
                <w:sz w:val="20"/>
                <w:szCs w:val="20"/>
              </w:rPr>
              <w:t>ntal and health risk assessment</w:t>
            </w:r>
          </w:p>
        </w:tc>
        <w:tc>
          <w:tcPr>
            <w:tcW w:w="3510" w:type="dxa"/>
          </w:tcPr>
          <w:p w14:paraId="3A246E68" w14:textId="77777777" w:rsidR="00E55941" w:rsidRDefault="00E55941" w:rsidP="00E55941">
            <w:pPr>
              <w:spacing w:before="40" w:after="40"/>
              <w:rPr>
                <w:sz w:val="20"/>
                <w:szCs w:val="20"/>
              </w:rPr>
            </w:pPr>
            <w:r w:rsidRPr="003E5FB6">
              <w:rPr>
                <w:sz w:val="20"/>
                <w:szCs w:val="20"/>
              </w:rPr>
              <w:t xml:space="preserve">Draft guidance materials on environmental and health risk assessment methodologies and practices applicable to </w:t>
            </w:r>
            <w:r>
              <w:rPr>
                <w:sz w:val="20"/>
                <w:szCs w:val="20"/>
              </w:rPr>
              <w:t>chemical HW</w:t>
            </w:r>
            <w:r w:rsidRPr="003E5FB6">
              <w:rPr>
                <w:sz w:val="20"/>
                <w:szCs w:val="20"/>
              </w:rPr>
              <w:t xml:space="preserve"> and contaminated sites developed in accordance with international practice p</w:t>
            </w:r>
            <w:r>
              <w:rPr>
                <w:sz w:val="20"/>
                <w:szCs w:val="20"/>
              </w:rPr>
              <w:t>repared and reviewed</w:t>
            </w:r>
          </w:p>
          <w:p w14:paraId="22AC5836" w14:textId="77777777" w:rsidR="00E55941" w:rsidRDefault="00E55941" w:rsidP="00E55941">
            <w:pPr>
              <w:spacing w:before="40" w:after="40"/>
              <w:rPr>
                <w:sz w:val="20"/>
                <w:szCs w:val="20"/>
              </w:rPr>
            </w:pPr>
          </w:p>
          <w:p w14:paraId="48C0CD95" w14:textId="77777777" w:rsidR="00E55941" w:rsidRDefault="00E55941" w:rsidP="00E55941">
            <w:pPr>
              <w:spacing w:before="40" w:after="40"/>
              <w:rPr>
                <w:sz w:val="20"/>
                <w:szCs w:val="20"/>
              </w:rPr>
            </w:pPr>
            <w:r w:rsidRPr="003E5FB6">
              <w:rPr>
                <w:sz w:val="20"/>
                <w:szCs w:val="20"/>
              </w:rPr>
              <w:t xml:space="preserve">Draft guidance materials on operational and EHS procedures for </w:t>
            </w:r>
            <w:r>
              <w:rPr>
                <w:sz w:val="20"/>
                <w:szCs w:val="20"/>
              </w:rPr>
              <w:t xml:space="preserve">chemical HW </w:t>
            </w:r>
            <w:r w:rsidRPr="003E5FB6">
              <w:rPr>
                <w:sz w:val="20"/>
                <w:szCs w:val="20"/>
              </w:rPr>
              <w:t xml:space="preserve">handling, transport, </w:t>
            </w:r>
            <w:proofErr w:type="gramStart"/>
            <w:r w:rsidRPr="003E5FB6">
              <w:rPr>
                <w:sz w:val="20"/>
                <w:szCs w:val="20"/>
              </w:rPr>
              <w:t>storage</w:t>
            </w:r>
            <w:proofErr w:type="gramEnd"/>
            <w:r w:rsidRPr="003E5FB6">
              <w:rPr>
                <w:sz w:val="20"/>
                <w:szCs w:val="20"/>
              </w:rPr>
              <w:t xml:space="preserve"> and disposal consistent with international practice</w:t>
            </w:r>
            <w:r>
              <w:rPr>
                <w:sz w:val="20"/>
                <w:szCs w:val="20"/>
              </w:rPr>
              <w:t>s</w:t>
            </w:r>
            <w:r w:rsidRPr="003E5FB6">
              <w:rPr>
                <w:sz w:val="20"/>
                <w:szCs w:val="20"/>
              </w:rPr>
              <w:t xml:space="preserve"> prepared and review</w:t>
            </w:r>
            <w:r>
              <w:rPr>
                <w:sz w:val="20"/>
                <w:szCs w:val="20"/>
              </w:rPr>
              <w:t>ed</w:t>
            </w:r>
          </w:p>
          <w:p w14:paraId="279BAF49" w14:textId="77777777" w:rsidR="00E55941" w:rsidRDefault="00E55941" w:rsidP="00E55941">
            <w:pPr>
              <w:spacing w:before="40" w:after="40"/>
              <w:rPr>
                <w:sz w:val="20"/>
                <w:szCs w:val="20"/>
              </w:rPr>
            </w:pPr>
          </w:p>
          <w:p w14:paraId="1AA05B6A" w14:textId="77777777" w:rsidR="00E55941" w:rsidRDefault="00E55941" w:rsidP="00E55941">
            <w:pPr>
              <w:spacing w:before="40" w:after="40"/>
              <w:rPr>
                <w:sz w:val="20"/>
                <w:szCs w:val="20"/>
              </w:rPr>
            </w:pPr>
            <w:r w:rsidRPr="003E5FB6">
              <w:rPr>
                <w:sz w:val="20"/>
                <w:szCs w:val="20"/>
              </w:rPr>
              <w:t>Training program on chemical</w:t>
            </w:r>
            <w:r>
              <w:rPr>
                <w:sz w:val="20"/>
                <w:szCs w:val="20"/>
              </w:rPr>
              <w:t xml:space="preserve"> HW </w:t>
            </w:r>
            <w:r w:rsidRPr="003E5FB6">
              <w:rPr>
                <w:sz w:val="20"/>
                <w:szCs w:val="20"/>
              </w:rPr>
              <w:t xml:space="preserve">handling, transport, </w:t>
            </w:r>
            <w:proofErr w:type="gramStart"/>
            <w:r w:rsidRPr="003E5FB6">
              <w:rPr>
                <w:sz w:val="20"/>
                <w:szCs w:val="20"/>
              </w:rPr>
              <w:t>storage</w:t>
            </w:r>
            <w:proofErr w:type="gramEnd"/>
            <w:r w:rsidRPr="003E5FB6">
              <w:rPr>
                <w:sz w:val="20"/>
                <w:szCs w:val="20"/>
              </w:rPr>
              <w:t xml:space="preserve"> and disposal developed</w:t>
            </w:r>
          </w:p>
          <w:p w14:paraId="14DFA776" w14:textId="77777777" w:rsidR="00E55941" w:rsidRDefault="00E55941" w:rsidP="00E55941">
            <w:pPr>
              <w:spacing w:before="40" w:after="40"/>
              <w:rPr>
                <w:sz w:val="20"/>
                <w:szCs w:val="20"/>
              </w:rPr>
            </w:pPr>
          </w:p>
          <w:p w14:paraId="632804F3" w14:textId="77777777" w:rsidR="00E55941" w:rsidRPr="003E5FB6" w:rsidRDefault="00E55941" w:rsidP="00E55941">
            <w:pPr>
              <w:spacing w:before="40" w:after="40"/>
              <w:rPr>
                <w:sz w:val="20"/>
                <w:szCs w:val="20"/>
              </w:rPr>
            </w:pPr>
            <w:r>
              <w:rPr>
                <w:sz w:val="20"/>
                <w:szCs w:val="20"/>
              </w:rPr>
              <w:t>Training session</w:t>
            </w:r>
            <w:r w:rsidRPr="003E5FB6">
              <w:rPr>
                <w:sz w:val="20"/>
                <w:szCs w:val="20"/>
              </w:rPr>
              <w:t>s involving at least 10 train</w:t>
            </w:r>
            <w:r>
              <w:rPr>
                <w:sz w:val="20"/>
                <w:szCs w:val="20"/>
              </w:rPr>
              <w:t>-</w:t>
            </w:r>
            <w:r w:rsidRPr="003E5FB6">
              <w:rPr>
                <w:sz w:val="20"/>
                <w:szCs w:val="20"/>
              </w:rPr>
              <w:t>the</w:t>
            </w:r>
            <w:r>
              <w:rPr>
                <w:sz w:val="20"/>
                <w:szCs w:val="20"/>
              </w:rPr>
              <w:t>-</w:t>
            </w:r>
            <w:r w:rsidRPr="003E5FB6">
              <w:rPr>
                <w:sz w:val="20"/>
                <w:szCs w:val="20"/>
              </w:rPr>
              <w:t>trainers is undertaken</w:t>
            </w:r>
          </w:p>
        </w:tc>
        <w:tc>
          <w:tcPr>
            <w:tcW w:w="3600" w:type="dxa"/>
          </w:tcPr>
          <w:p w14:paraId="1152C921" w14:textId="77777777" w:rsidR="00E55941" w:rsidRPr="003E5FB6" w:rsidRDefault="00E55941" w:rsidP="00E55941">
            <w:pPr>
              <w:spacing w:before="40" w:after="40"/>
              <w:rPr>
                <w:sz w:val="20"/>
                <w:szCs w:val="20"/>
              </w:rPr>
            </w:pPr>
            <w:r>
              <w:rPr>
                <w:sz w:val="20"/>
                <w:szCs w:val="20"/>
              </w:rPr>
              <w:t>G</w:t>
            </w:r>
            <w:r w:rsidRPr="003E5FB6">
              <w:rPr>
                <w:sz w:val="20"/>
                <w:szCs w:val="20"/>
              </w:rPr>
              <w:t>uidance materials on environmental and health risk assessment methodologies</w:t>
            </w:r>
            <w:r>
              <w:rPr>
                <w:sz w:val="20"/>
                <w:szCs w:val="20"/>
              </w:rPr>
              <w:t>/</w:t>
            </w:r>
            <w:r w:rsidRPr="003E5FB6">
              <w:rPr>
                <w:sz w:val="20"/>
                <w:szCs w:val="20"/>
              </w:rPr>
              <w:t xml:space="preserve">practices and on operational and EHS procedures applicable to </w:t>
            </w:r>
            <w:r>
              <w:rPr>
                <w:sz w:val="20"/>
                <w:szCs w:val="20"/>
              </w:rPr>
              <w:t>chemical HW</w:t>
            </w:r>
            <w:r w:rsidRPr="003E5FB6">
              <w:rPr>
                <w:sz w:val="20"/>
                <w:szCs w:val="20"/>
              </w:rPr>
              <w:t xml:space="preserve"> and contaminated sites handling, transport, storage and disposal consistent with international practice </w:t>
            </w:r>
            <w:r>
              <w:rPr>
                <w:sz w:val="20"/>
                <w:szCs w:val="20"/>
              </w:rPr>
              <w:t>a</w:t>
            </w:r>
            <w:r w:rsidRPr="003E5FB6">
              <w:rPr>
                <w:sz w:val="20"/>
                <w:szCs w:val="20"/>
              </w:rPr>
              <w:t xml:space="preserve">dopted </w:t>
            </w:r>
            <w:r>
              <w:rPr>
                <w:sz w:val="20"/>
                <w:szCs w:val="20"/>
              </w:rPr>
              <w:t xml:space="preserve">and </w:t>
            </w:r>
            <w:r w:rsidRPr="003E5FB6">
              <w:rPr>
                <w:sz w:val="20"/>
                <w:szCs w:val="20"/>
              </w:rPr>
              <w:t>implemented</w:t>
            </w:r>
            <w:r w:rsidRPr="003E5FB6">
              <w:rPr>
                <w:sz w:val="20"/>
                <w:szCs w:val="20"/>
              </w:rPr>
              <w:br/>
            </w:r>
            <w:r w:rsidRPr="003E5FB6">
              <w:rPr>
                <w:sz w:val="20"/>
                <w:szCs w:val="20"/>
              </w:rPr>
              <w:br/>
            </w:r>
            <w:r>
              <w:rPr>
                <w:sz w:val="20"/>
                <w:szCs w:val="20"/>
              </w:rPr>
              <w:t>A</w:t>
            </w:r>
            <w:r w:rsidRPr="003E5FB6">
              <w:rPr>
                <w:sz w:val="20"/>
                <w:szCs w:val="20"/>
              </w:rPr>
              <w:t>t least 50 relevant technical professionals from regulatory authorities, academia, NGOs and e</w:t>
            </w:r>
            <w:r>
              <w:rPr>
                <w:sz w:val="20"/>
                <w:szCs w:val="20"/>
              </w:rPr>
              <w:t xml:space="preserve">nvironmental service provider </w:t>
            </w:r>
            <w:r w:rsidRPr="003E5FB6">
              <w:rPr>
                <w:sz w:val="20"/>
                <w:szCs w:val="20"/>
              </w:rPr>
              <w:t xml:space="preserve">personnel </w:t>
            </w:r>
            <w:r>
              <w:rPr>
                <w:sz w:val="20"/>
                <w:szCs w:val="20"/>
              </w:rPr>
              <w:t xml:space="preserve">in </w:t>
            </w:r>
            <w:r w:rsidRPr="003E5FB6">
              <w:rPr>
                <w:sz w:val="20"/>
                <w:szCs w:val="20"/>
              </w:rPr>
              <w:t xml:space="preserve">regulatory </w:t>
            </w:r>
            <w:r>
              <w:rPr>
                <w:sz w:val="20"/>
                <w:szCs w:val="20"/>
              </w:rPr>
              <w:t xml:space="preserve">and private sectors </w:t>
            </w:r>
            <w:r w:rsidRPr="003E5FB6">
              <w:rPr>
                <w:sz w:val="20"/>
                <w:szCs w:val="20"/>
              </w:rPr>
              <w:t>attain</w:t>
            </w:r>
            <w:r>
              <w:rPr>
                <w:sz w:val="20"/>
                <w:szCs w:val="20"/>
              </w:rPr>
              <w:t>ed</w:t>
            </w:r>
            <w:r w:rsidRPr="003E5FB6">
              <w:rPr>
                <w:sz w:val="20"/>
                <w:szCs w:val="20"/>
              </w:rPr>
              <w:t xml:space="preserve"> relevant certification </w:t>
            </w:r>
            <w:r>
              <w:rPr>
                <w:sz w:val="20"/>
                <w:szCs w:val="20"/>
              </w:rPr>
              <w:t>for completion of the n</w:t>
            </w:r>
            <w:r w:rsidRPr="003E5FB6">
              <w:rPr>
                <w:sz w:val="20"/>
                <w:szCs w:val="20"/>
              </w:rPr>
              <w:t xml:space="preserve">ational training program </w:t>
            </w:r>
          </w:p>
        </w:tc>
      </w:tr>
      <w:tr w:rsidR="00E55941" w:rsidRPr="003E5FB6" w14:paraId="3870DF69" w14:textId="77777777" w:rsidTr="00E55941">
        <w:trPr>
          <w:trHeight w:val="2420"/>
        </w:trPr>
        <w:tc>
          <w:tcPr>
            <w:tcW w:w="2070" w:type="dxa"/>
            <w:vMerge w:val="restart"/>
            <w:hideMark/>
          </w:tcPr>
          <w:p w14:paraId="3E87279C" w14:textId="77777777" w:rsidR="00E55941" w:rsidRPr="003E5FB6" w:rsidRDefault="00E55941" w:rsidP="00E55941">
            <w:pPr>
              <w:spacing w:before="40" w:after="40"/>
              <w:rPr>
                <w:sz w:val="20"/>
                <w:szCs w:val="20"/>
              </w:rPr>
            </w:pPr>
            <w:r w:rsidRPr="003E5FB6">
              <w:rPr>
                <w:b/>
                <w:bCs/>
                <w:sz w:val="20"/>
                <w:szCs w:val="20"/>
              </w:rPr>
              <w:lastRenderedPageBreak/>
              <w:t xml:space="preserve">Outcome 3.3: </w:t>
            </w:r>
            <w:r w:rsidRPr="003E5FB6">
              <w:rPr>
                <w:sz w:val="20"/>
                <w:szCs w:val="20"/>
              </w:rPr>
              <w:br/>
              <w:t xml:space="preserve">Basic national capacity for effective </w:t>
            </w:r>
            <w:r>
              <w:rPr>
                <w:sz w:val="20"/>
                <w:szCs w:val="20"/>
              </w:rPr>
              <w:t xml:space="preserve">POPs containing </w:t>
            </w:r>
            <w:r w:rsidRPr="003E5FB6">
              <w:rPr>
                <w:sz w:val="20"/>
                <w:szCs w:val="20"/>
              </w:rPr>
              <w:t xml:space="preserve">hazardous chemicals sampling and analysis </w:t>
            </w:r>
            <w:r>
              <w:rPr>
                <w:sz w:val="20"/>
                <w:szCs w:val="20"/>
              </w:rPr>
              <w:t>developed</w:t>
            </w:r>
            <w:r w:rsidRPr="003E5FB6">
              <w:rPr>
                <w:sz w:val="20"/>
                <w:szCs w:val="20"/>
              </w:rPr>
              <w:t xml:space="preserve">, operational </w:t>
            </w:r>
            <w:r>
              <w:rPr>
                <w:sz w:val="20"/>
                <w:szCs w:val="20"/>
              </w:rPr>
              <w:t xml:space="preserve">to be </w:t>
            </w:r>
            <w:r w:rsidRPr="003E5FB6">
              <w:rPr>
                <w:sz w:val="20"/>
                <w:szCs w:val="20"/>
              </w:rPr>
              <w:t>certified to international standards</w:t>
            </w:r>
          </w:p>
        </w:tc>
        <w:tc>
          <w:tcPr>
            <w:tcW w:w="2880" w:type="dxa"/>
            <w:hideMark/>
          </w:tcPr>
          <w:p w14:paraId="62076236" w14:textId="77777777" w:rsidR="00E55941" w:rsidRPr="003E5FB6" w:rsidRDefault="00E55941" w:rsidP="00E55941">
            <w:pPr>
              <w:spacing w:before="40" w:after="40"/>
              <w:rPr>
                <w:sz w:val="20"/>
                <w:szCs w:val="20"/>
              </w:rPr>
            </w:pPr>
            <w:r>
              <w:rPr>
                <w:sz w:val="20"/>
                <w:szCs w:val="20"/>
              </w:rPr>
              <w:t>Availability</w:t>
            </w:r>
            <w:r w:rsidRPr="003E5FB6">
              <w:rPr>
                <w:sz w:val="20"/>
                <w:szCs w:val="20"/>
              </w:rPr>
              <w:t xml:space="preserve"> of adopted national strategy for rationalization and upgraded national laboratory capability to serve a sound chemicals management framework </w:t>
            </w:r>
            <w:r>
              <w:rPr>
                <w:sz w:val="20"/>
                <w:szCs w:val="20"/>
              </w:rPr>
              <w:t>focusing</w:t>
            </w:r>
            <w:r w:rsidRPr="003E5FB6">
              <w:rPr>
                <w:sz w:val="20"/>
                <w:szCs w:val="20"/>
              </w:rPr>
              <w:t xml:space="preserve"> for POPs analysis and management</w:t>
            </w:r>
          </w:p>
        </w:tc>
        <w:tc>
          <w:tcPr>
            <w:tcW w:w="3240" w:type="dxa"/>
            <w:hideMark/>
          </w:tcPr>
          <w:p w14:paraId="504FA9F4" w14:textId="77777777" w:rsidR="00E55941" w:rsidRPr="003E5FB6" w:rsidRDefault="00E55941" w:rsidP="00E55941">
            <w:pPr>
              <w:spacing w:before="40" w:after="40"/>
              <w:rPr>
                <w:sz w:val="20"/>
                <w:szCs w:val="20"/>
              </w:rPr>
            </w:pPr>
            <w:r>
              <w:rPr>
                <w:sz w:val="20"/>
                <w:szCs w:val="20"/>
              </w:rPr>
              <w:t>Highly fragmented under-</w:t>
            </w:r>
            <w:r w:rsidRPr="003E5FB6">
              <w:rPr>
                <w:sz w:val="20"/>
                <w:szCs w:val="20"/>
              </w:rPr>
              <w:t xml:space="preserve">equipped and resourced laboratory infrastructure distributed across the regulatory, </w:t>
            </w:r>
            <w:proofErr w:type="gramStart"/>
            <w:r w:rsidRPr="003E5FB6">
              <w:rPr>
                <w:sz w:val="20"/>
                <w:szCs w:val="20"/>
              </w:rPr>
              <w:t>academic</w:t>
            </w:r>
            <w:proofErr w:type="gramEnd"/>
            <w:r w:rsidRPr="003E5FB6">
              <w:rPr>
                <w:sz w:val="20"/>
                <w:szCs w:val="20"/>
              </w:rPr>
              <w:t xml:space="preserve"> and private sector</w:t>
            </w:r>
            <w:r w:rsidRPr="003E5FB6">
              <w:rPr>
                <w:sz w:val="20"/>
                <w:szCs w:val="20"/>
              </w:rPr>
              <w:br/>
            </w:r>
            <w:r w:rsidRPr="003E5FB6">
              <w:rPr>
                <w:sz w:val="20"/>
                <w:szCs w:val="20"/>
              </w:rPr>
              <w:br/>
              <w:t>Lack of fully creditable capability to service the needs of regulators and the industrial/private sector</w:t>
            </w:r>
          </w:p>
        </w:tc>
        <w:tc>
          <w:tcPr>
            <w:tcW w:w="3510" w:type="dxa"/>
            <w:hideMark/>
          </w:tcPr>
          <w:p w14:paraId="1B37C48B" w14:textId="77777777" w:rsidR="00E55941" w:rsidRPr="003E5FB6" w:rsidRDefault="00E55941" w:rsidP="00E55941">
            <w:pPr>
              <w:spacing w:before="40" w:after="40"/>
              <w:rPr>
                <w:sz w:val="20"/>
                <w:szCs w:val="20"/>
              </w:rPr>
            </w:pPr>
            <w:r w:rsidRPr="003E5FB6">
              <w:rPr>
                <w:sz w:val="20"/>
                <w:szCs w:val="20"/>
              </w:rPr>
              <w:t>National laboratory</w:t>
            </w:r>
            <w:r>
              <w:rPr>
                <w:sz w:val="20"/>
                <w:szCs w:val="20"/>
              </w:rPr>
              <w:t xml:space="preserve"> enhancement</w:t>
            </w:r>
            <w:r w:rsidRPr="003E5FB6">
              <w:rPr>
                <w:sz w:val="20"/>
                <w:szCs w:val="20"/>
              </w:rPr>
              <w:t xml:space="preserve"> strategy developed, endorsed by major institutional and public </w:t>
            </w:r>
            <w:proofErr w:type="gramStart"/>
            <w:r w:rsidRPr="003E5FB6">
              <w:rPr>
                <w:sz w:val="20"/>
                <w:szCs w:val="20"/>
              </w:rPr>
              <w:t>stakeholders</w:t>
            </w:r>
            <w:proofErr w:type="gramEnd"/>
            <w:r w:rsidRPr="003E5FB6">
              <w:rPr>
                <w:sz w:val="20"/>
                <w:szCs w:val="20"/>
              </w:rPr>
              <w:t xml:space="preserve"> and endorsed for implementation by the government</w:t>
            </w:r>
          </w:p>
        </w:tc>
        <w:tc>
          <w:tcPr>
            <w:tcW w:w="3600" w:type="dxa"/>
            <w:hideMark/>
          </w:tcPr>
          <w:p w14:paraId="457BC63D" w14:textId="77777777" w:rsidR="00E55941" w:rsidRPr="003E5FB6" w:rsidRDefault="00E55941" w:rsidP="00E55941">
            <w:pPr>
              <w:spacing w:before="40" w:after="40"/>
              <w:rPr>
                <w:sz w:val="20"/>
                <w:szCs w:val="20"/>
              </w:rPr>
            </w:pPr>
            <w:r w:rsidRPr="003E5FB6">
              <w:rPr>
                <w:sz w:val="20"/>
                <w:szCs w:val="20"/>
              </w:rPr>
              <w:t>National laboratory</w:t>
            </w:r>
            <w:r>
              <w:rPr>
                <w:sz w:val="20"/>
                <w:szCs w:val="20"/>
              </w:rPr>
              <w:t xml:space="preserve"> enhancement</w:t>
            </w:r>
            <w:r w:rsidRPr="003E5FB6">
              <w:rPr>
                <w:sz w:val="20"/>
                <w:szCs w:val="20"/>
              </w:rPr>
              <w:t xml:space="preserve"> strategy </w:t>
            </w:r>
            <w:r>
              <w:rPr>
                <w:sz w:val="20"/>
                <w:szCs w:val="20"/>
              </w:rPr>
              <w:t xml:space="preserve">supporting the </w:t>
            </w:r>
            <w:r w:rsidRPr="003E5FB6">
              <w:rPr>
                <w:sz w:val="20"/>
                <w:szCs w:val="20"/>
              </w:rPr>
              <w:t xml:space="preserve">availability of capability for effective hazardous chemicals sampling and analysis </w:t>
            </w:r>
            <w:r>
              <w:rPr>
                <w:sz w:val="20"/>
                <w:szCs w:val="20"/>
              </w:rPr>
              <w:t xml:space="preserve">for sound </w:t>
            </w:r>
            <w:r w:rsidRPr="003E5FB6">
              <w:rPr>
                <w:sz w:val="20"/>
                <w:szCs w:val="20"/>
              </w:rPr>
              <w:t>POPs chemicals management implemented</w:t>
            </w:r>
          </w:p>
        </w:tc>
      </w:tr>
      <w:tr w:rsidR="00E55941" w:rsidRPr="003E5FB6" w14:paraId="6E6F0680" w14:textId="77777777" w:rsidTr="00E55941">
        <w:trPr>
          <w:trHeight w:val="791"/>
        </w:trPr>
        <w:tc>
          <w:tcPr>
            <w:tcW w:w="2070" w:type="dxa"/>
            <w:vMerge/>
            <w:hideMark/>
          </w:tcPr>
          <w:p w14:paraId="5D37A366" w14:textId="77777777" w:rsidR="00E55941" w:rsidRPr="003E5FB6" w:rsidRDefault="00E55941" w:rsidP="00E55941">
            <w:pPr>
              <w:spacing w:before="40" w:after="40"/>
              <w:rPr>
                <w:sz w:val="20"/>
                <w:szCs w:val="20"/>
              </w:rPr>
            </w:pPr>
          </w:p>
        </w:tc>
        <w:tc>
          <w:tcPr>
            <w:tcW w:w="2880" w:type="dxa"/>
            <w:hideMark/>
          </w:tcPr>
          <w:p w14:paraId="3A845B3E" w14:textId="77777777" w:rsidR="00E55941" w:rsidRPr="003E5FB6" w:rsidRDefault="00E55941" w:rsidP="00E55941">
            <w:pPr>
              <w:spacing w:before="40" w:after="40"/>
              <w:rPr>
                <w:sz w:val="20"/>
                <w:szCs w:val="20"/>
              </w:rPr>
            </w:pPr>
            <w:r w:rsidRPr="003E5FB6">
              <w:rPr>
                <w:sz w:val="20"/>
                <w:szCs w:val="20"/>
              </w:rPr>
              <w:t>Number of designated n</w:t>
            </w:r>
            <w:r>
              <w:rPr>
                <w:sz w:val="20"/>
                <w:szCs w:val="20"/>
              </w:rPr>
              <w:t>ational laboratories</w:t>
            </w:r>
            <w:r>
              <w:rPr>
                <w:rFonts w:ascii="Sylfaen" w:hAnsi="Sylfaen"/>
                <w:sz w:val="20"/>
                <w:szCs w:val="20"/>
                <w:lang w:val="hy-AM"/>
              </w:rPr>
              <w:t xml:space="preserve"> </w:t>
            </w:r>
            <w:r w:rsidRPr="003E5FB6">
              <w:rPr>
                <w:sz w:val="20"/>
                <w:szCs w:val="20"/>
              </w:rPr>
              <w:t xml:space="preserve">upgraded with suitable capability for </w:t>
            </w:r>
            <w:r>
              <w:rPr>
                <w:sz w:val="20"/>
                <w:szCs w:val="20"/>
              </w:rPr>
              <w:t xml:space="preserve">POPs </w:t>
            </w:r>
            <w:r w:rsidRPr="003E5FB6">
              <w:rPr>
                <w:sz w:val="20"/>
                <w:szCs w:val="20"/>
              </w:rPr>
              <w:t>hazardous chemical waste sampling</w:t>
            </w:r>
            <w:r>
              <w:rPr>
                <w:sz w:val="20"/>
                <w:szCs w:val="20"/>
              </w:rPr>
              <w:t>/</w:t>
            </w:r>
            <w:r w:rsidRPr="003E5FB6">
              <w:rPr>
                <w:sz w:val="20"/>
                <w:szCs w:val="20"/>
              </w:rPr>
              <w:t>analysis</w:t>
            </w:r>
            <w:r>
              <w:rPr>
                <w:sz w:val="20"/>
                <w:szCs w:val="20"/>
              </w:rPr>
              <w:t xml:space="preserve"> and n</w:t>
            </w:r>
            <w:r w:rsidRPr="003E5FB6">
              <w:rPr>
                <w:sz w:val="20"/>
                <w:szCs w:val="20"/>
              </w:rPr>
              <w:t xml:space="preserve">umber of laboratory personnel </w:t>
            </w:r>
            <w:r>
              <w:rPr>
                <w:sz w:val="20"/>
                <w:szCs w:val="20"/>
              </w:rPr>
              <w:t>completed</w:t>
            </w:r>
            <w:r w:rsidRPr="003E5FB6">
              <w:rPr>
                <w:sz w:val="20"/>
                <w:szCs w:val="20"/>
              </w:rPr>
              <w:t xml:space="preserve"> training program</w:t>
            </w:r>
          </w:p>
        </w:tc>
        <w:tc>
          <w:tcPr>
            <w:tcW w:w="3240" w:type="dxa"/>
            <w:hideMark/>
          </w:tcPr>
          <w:p w14:paraId="02AD358A" w14:textId="77777777" w:rsidR="00E55941" w:rsidRDefault="00E55941" w:rsidP="00E55941">
            <w:pPr>
              <w:spacing w:before="40" w:after="40"/>
              <w:rPr>
                <w:sz w:val="20"/>
                <w:szCs w:val="20"/>
              </w:rPr>
            </w:pPr>
            <w:r w:rsidRPr="003E5FB6">
              <w:rPr>
                <w:sz w:val="20"/>
                <w:szCs w:val="20"/>
              </w:rPr>
              <w:t>Reasonably good but somewhat outdated capability in MNP regulatory laboratory and one modern academic laboratory.</w:t>
            </w:r>
            <w:r w:rsidRPr="003E5FB6">
              <w:rPr>
                <w:sz w:val="20"/>
                <w:szCs w:val="20"/>
              </w:rPr>
              <w:br/>
            </w:r>
            <w:r w:rsidRPr="003E5FB6">
              <w:rPr>
                <w:sz w:val="20"/>
                <w:szCs w:val="20"/>
              </w:rPr>
              <w:br/>
              <w:t xml:space="preserve">Growing </w:t>
            </w:r>
            <w:r>
              <w:rPr>
                <w:sz w:val="20"/>
                <w:szCs w:val="20"/>
              </w:rPr>
              <w:t xml:space="preserve">number of </w:t>
            </w:r>
            <w:r w:rsidRPr="003E5FB6">
              <w:rPr>
                <w:sz w:val="20"/>
                <w:szCs w:val="20"/>
              </w:rPr>
              <w:t xml:space="preserve">private sector laboratories </w:t>
            </w:r>
          </w:p>
          <w:p w14:paraId="49EBA4B5" w14:textId="77777777" w:rsidR="00E55941" w:rsidRDefault="00E55941" w:rsidP="00E55941">
            <w:pPr>
              <w:spacing w:before="40" w:after="40"/>
              <w:rPr>
                <w:sz w:val="20"/>
                <w:szCs w:val="20"/>
              </w:rPr>
            </w:pPr>
          </w:p>
          <w:p w14:paraId="701A88B9" w14:textId="77777777" w:rsidR="00E55941" w:rsidRPr="003E5FB6" w:rsidRDefault="00E55941" w:rsidP="00E55941">
            <w:pPr>
              <w:spacing w:before="40" w:after="40"/>
              <w:rPr>
                <w:sz w:val="20"/>
                <w:szCs w:val="20"/>
              </w:rPr>
            </w:pPr>
            <w:r w:rsidRPr="003E5FB6">
              <w:rPr>
                <w:sz w:val="20"/>
                <w:szCs w:val="20"/>
              </w:rPr>
              <w:t>Variable levels of training and qualifications in existing laboratory personnel</w:t>
            </w:r>
          </w:p>
        </w:tc>
        <w:tc>
          <w:tcPr>
            <w:tcW w:w="3510" w:type="dxa"/>
            <w:hideMark/>
          </w:tcPr>
          <w:p w14:paraId="44FC114D" w14:textId="77777777" w:rsidR="00E55941" w:rsidRDefault="00E55941" w:rsidP="00E55941">
            <w:pPr>
              <w:spacing w:before="40" w:after="40"/>
              <w:rPr>
                <w:sz w:val="20"/>
                <w:szCs w:val="20"/>
              </w:rPr>
            </w:pPr>
            <w:r w:rsidRPr="003E5FB6">
              <w:rPr>
                <w:sz w:val="20"/>
                <w:szCs w:val="20"/>
              </w:rPr>
              <w:t xml:space="preserve">Selection of </w:t>
            </w:r>
            <w:r>
              <w:rPr>
                <w:sz w:val="20"/>
                <w:szCs w:val="20"/>
              </w:rPr>
              <w:t>2</w:t>
            </w:r>
            <w:r w:rsidRPr="003E5FB6">
              <w:rPr>
                <w:sz w:val="20"/>
                <w:szCs w:val="20"/>
              </w:rPr>
              <w:t xml:space="preserve"> </w:t>
            </w:r>
            <w:r>
              <w:rPr>
                <w:sz w:val="20"/>
                <w:szCs w:val="20"/>
              </w:rPr>
              <w:t>designated laboratories</w:t>
            </w:r>
            <w:r w:rsidRPr="003E5FB6">
              <w:rPr>
                <w:sz w:val="20"/>
                <w:szCs w:val="20"/>
              </w:rPr>
              <w:t xml:space="preserve"> </w:t>
            </w:r>
            <w:r>
              <w:rPr>
                <w:sz w:val="20"/>
                <w:szCs w:val="20"/>
              </w:rPr>
              <w:t>from regulatory and</w:t>
            </w:r>
            <w:r w:rsidRPr="003E5FB6">
              <w:rPr>
                <w:sz w:val="20"/>
                <w:szCs w:val="20"/>
              </w:rPr>
              <w:t xml:space="preserve"> academic</w:t>
            </w:r>
            <w:r>
              <w:rPr>
                <w:sz w:val="20"/>
                <w:szCs w:val="20"/>
              </w:rPr>
              <w:t>/</w:t>
            </w:r>
            <w:r w:rsidRPr="003E5FB6">
              <w:rPr>
                <w:sz w:val="20"/>
                <w:szCs w:val="20"/>
              </w:rPr>
              <w:t>private sector for upgrading</w:t>
            </w:r>
            <w:r w:rsidRPr="003E5FB6">
              <w:rPr>
                <w:sz w:val="20"/>
                <w:szCs w:val="20"/>
              </w:rPr>
              <w:br/>
            </w:r>
            <w:r w:rsidRPr="003E5FB6">
              <w:rPr>
                <w:sz w:val="20"/>
                <w:szCs w:val="20"/>
              </w:rPr>
              <w:br/>
              <w:t>Approved specifications and plans for upgrading</w:t>
            </w:r>
            <w:r>
              <w:rPr>
                <w:sz w:val="20"/>
                <w:szCs w:val="20"/>
              </w:rPr>
              <w:t xml:space="preserve"> of designated laboratories</w:t>
            </w:r>
            <w:r w:rsidRPr="003E5FB6">
              <w:rPr>
                <w:sz w:val="20"/>
                <w:szCs w:val="20"/>
              </w:rPr>
              <w:t xml:space="preserve"> </w:t>
            </w:r>
          </w:p>
          <w:p w14:paraId="153086A0" w14:textId="77777777" w:rsidR="00E55941" w:rsidRDefault="00E55941" w:rsidP="00E55941">
            <w:pPr>
              <w:spacing w:before="40" w:after="40"/>
              <w:rPr>
                <w:sz w:val="20"/>
                <w:szCs w:val="20"/>
              </w:rPr>
            </w:pPr>
          </w:p>
          <w:p w14:paraId="01A95ED4" w14:textId="77777777" w:rsidR="00E55941" w:rsidRPr="003E5FB6" w:rsidRDefault="00E55941" w:rsidP="00E55941">
            <w:pPr>
              <w:spacing w:before="40" w:after="40"/>
              <w:rPr>
                <w:sz w:val="20"/>
                <w:szCs w:val="20"/>
              </w:rPr>
            </w:pPr>
            <w:r w:rsidRPr="003E5FB6">
              <w:rPr>
                <w:sz w:val="20"/>
                <w:szCs w:val="20"/>
              </w:rPr>
              <w:t xml:space="preserve">10 </w:t>
            </w:r>
            <w:r>
              <w:rPr>
                <w:sz w:val="20"/>
                <w:szCs w:val="20"/>
              </w:rPr>
              <w:t xml:space="preserve">technical </w:t>
            </w:r>
            <w:r w:rsidRPr="003E5FB6">
              <w:rPr>
                <w:sz w:val="20"/>
                <w:szCs w:val="20"/>
              </w:rPr>
              <w:t xml:space="preserve">personnel from designated laboratories </w:t>
            </w:r>
            <w:r>
              <w:rPr>
                <w:sz w:val="20"/>
                <w:szCs w:val="20"/>
              </w:rPr>
              <w:t xml:space="preserve">and regulatory institutions </w:t>
            </w:r>
            <w:r w:rsidRPr="003E5FB6">
              <w:rPr>
                <w:sz w:val="20"/>
                <w:szCs w:val="20"/>
              </w:rPr>
              <w:t>trained</w:t>
            </w:r>
          </w:p>
        </w:tc>
        <w:tc>
          <w:tcPr>
            <w:tcW w:w="3600" w:type="dxa"/>
            <w:hideMark/>
          </w:tcPr>
          <w:p w14:paraId="59A78F0E" w14:textId="77777777" w:rsidR="00E55941" w:rsidRDefault="00E55941" w:rsidP="00E55941">
            <w:pPr>
              <w:spacing w:before="40" w:after="40"/>
              <w:rPr>
                <w:sz w:val="20"/>
                <w:szCs w:val="20"/>
              </w:rPr>
            </w:pPr>
            <w:r w:rsidRPr="003E5FB6">
              <w:rPr>
                <w:sz w:val="20"/>
                <w:szCs w:val="20"/>
              </w:rPr>
              <w:t>2 designated laboratories upgraded and operational</w:t>
            </w:r>
            <w:r w:rsidRPr="003E5FB6">
              <w:rPr>
                <w:sz w:val="20"/>
                <w:szCs w:val="20"/>
              </w:rPr>
              <w:br/>
            </w:r>
            <w:r w:rsidRPr="003E5FB6">
              <w:rPr>
                <w:sz w:val="20"/>
                <w:szCs w:val="20"/>
              </w:rPr>
              <w:br/>
              <w:t>Long term national budget commitments and/or business plans in place ensuring sustainable operation</w:t>
            </w:r>
            <w:r>
              <w:rPr>
                <w:sz w:val="20"/>
                <w:szCs w:val="20"/>
              </w:rPr>
              <w:t xml:space="preserve"> of upgraded laboratories</w:t>
            </w:r>
          </w:p>
          <w:p w14:paraId="0C27F417" w14:textId="77777777" w:rsidR="00E55941" w:rsidRDefault="00E55941" w:rsidP="00E55941">
            <w:pPr>
              <w:spacing w:before="40" w:after="40"/>
              <w:rPr>
                <w:sz w:val="20"/>
                <w:szCs w:val="20"/>
              </w:rPr>
            </w:pPr>
          </w:p>
          <w:p w14:paraId="73CBD9CA" w14:textId="77777777" w:rsidR="00E55941" w:rsidRPr="003E5FB6" w:rsidRDefault="00E55941" w:rsidP="00E55941">
            <w:pPr>
              <w:spacing w:before="40" w:after="40"/>
              <w:rPr>
                <w:sz w:val="20"/>
                <w:szCs w:val="20"/>
              </w:rPr>
            </w:pPr>
            <w:r w:rsidRPr="003E5FB6">
              <w:rPr>
                <w:sz w:val="20"/>
                <w:szCs w:val="20"/>
              </w:rPr>
              <w:t xml:space="preserve">15 </w:t>
            </w:r>
            <w:r>
              <w:rPr>
                <w:sz w:val="20"/>
                <w:szCs w:val="20"/>
              </w:rPr>
              <w:t xml:space="preserve">technical </w:t>
            </w:r>
            <w:r w:rsidRPr="003E5FB6">
              <w:rPr>
                <w:sz w:val="20"/>
                <w:szCs w:val="20"/>
              </w:rPr>
              <w:t xml:space="preserve">laboratory personnel from designated laboratories </w:t>
            </w:r>
            <w:r>
              <w:rPr>
                <w:sz w:val="20"/>
                <w:szCs w:val="20"/>
              </w:rPr>
              <w:t>and regulatory institutions</w:t>
            </w:r>
            <w:r w:rsidRPr="003E5FB6">
              <w:rPr>
                <w:sz w:val="20"/>
                <w:szCs w:val="20"/>
              </w:rPr>
              <w:t xml:space="preserve"> </w:t>
            </w:r>
            <w:r>
              <w:rPr>
                <w:sz w:val="20"/>
                <w:szCs w:val="20"/>
              </w:rPr>
              <w:t xml:space="preserve">completed </w:t>
            </w:r>
            <w:r w:rsidRPr="003E5FB6">
              <w:rPr>
                <w:sz w:val="20"/>
                <w:szCs w:val="20"/>
              </w:rPr>
              <w:t>train</w:t>
            </w:r>
            <w:r>
              <w:rPr>
                <w:sz w:val="20"/>
                <w:szCs w:val="20"/>
              </w:rPr>
              <w:t>ing program</w:t>
            </w:r>
            <w:r w:rsidRPr="003E5FB6">
              <w:rPr>
                <w:sz w:val="20"/>
                <w:szCs w:val="20"/>
              </w:rPr>
              <w:t xml:space="preserve"> </w:t>
            </w:r>
          </w:p>
        </w:tc>
      </w:tr>
      <w:tr w:rsidR="00E55941" w:rsidRPr="003E5FB6" w14:paraId="078271C7" w14:textId="77777777" w:rsidTr="00E55941">
        <w:trPr>
          <w:trHeight w:val="1142"/>
        </w:trPr>
        <w:tc>
          <w:tcPr>
            <w:tcW w:w="2070" w:type="dxa"/>
            <w:vMerge/>
            <w:hideMark/>
          </w:tcPr>
          <w:p w14:paraId="345960E6" w14:textId="77777777" w:rsidR="00E55941" w:rsidRPr="003E5FB6" w:rsidRDefault="00E55941" w:rsidP="00E55941">
            <w:pPr>
              <w:spacing w:before="40" w:after="40"/>
              <w:rPr>
                <w:sz w:val="20"/>
                <w:szCs w:val="20"/>
              </w:rPr>
            </w:pPr>
          </w:p>
        </w:tc>
        <w:tc>
          <w:tcPr>
            <w:tcW w:w="2880" w:type="dxa"/>
            <w:hideMark/>
          </w:tcPr>
          <w:p w14:paraId="63E72FE5" w14:textId="77777777" w:rsidR="00E55941" w:rsidRPr="003E5FB6" w:rsidRDefault="00E55941" w:rsidP="00E55941">
            <w:pPr>
              <w:spacing w:before="40" w:after="40"/>
              <w:rPr>
                <w:sz w:val="20"/>
                <w:szCs w:val="20"/>
              </w:rPr>
            </w:pPr>
            <w:r w:rsidRPr="003E5FB6">
              <w:rPr>
                <w:sz w:val="20"/>
                <w:szCs w:val="20"/>
              </w:rPr>
              <w:t xml:space="preserve">Number of designated national </w:t>
            </w:r>
            <w:proofErr w:type="gramStart"/>
            <w:r w:rsidRPr="003E5FB6">
              <w:rPr>
                <w:sz w:val="20"/>
                <w:szCs w:val="20"/>
              </w:rPr>
              <w:t xml:space="preserve">laboratories </w:t>
            </w:r>
            <w:r>
              <w:rPr>
                <w:sz w:val="20"/>
                <w:szCs w:val="20"/>
              </w:rPr>
              <w:t>initiated</w:t>
            </w:r>
            <w:proofErr w:type="gramEnd"/>
            <w:r w:rsidRPr="003E5FB6">
              <w:rPr>
                <w:sz w:val="20"/>
                <w:szCs w:val="20"/>
              </w:rPr>
              <w:t xml:space="preserve"> </w:t>
            </w:r>
            <w:r>
              <w:rPr>
                <w:sz w:val="20"/>
                <w:szCs w:val="20"/>
              </w:rPr>
              <w:t xml:space="preserve">introduction of </w:t>
            </w:r>
            <w:r w:rsidRPr="003E5FB6">
              <w:rPr>
                <w:sz w:val="20"/>
                <w:szCs w:val="20"/>
              </w:rPr>
              <w:t xml:space="preserve">international </w:t>
            </w:r>
            <w:r>
              <w:rPr>
                <w:sz w:val="20"/>
                <w:szCs w:val="20"/>
              </w:rPr>
              <w:t xml:space="preserve">certification </w:t>
            </w:r>
            <w:r w:rsidRPr="003E5FB6">
              <w:rPr>
                <w:sz w:val="20"/>
                <w:szCs w:val="20"/>
              </w:rPr>
              <w:t xml:space="preserve">methods and practices </w:t>
            </w:r>
          </w:p>
        </w:tc>
        <w:tc>
          <w:tcPr>
            <w:tcW w:w="3240" w:type="dxa"/>
            <w:hideMark/>
          </w:tcPr>
          <w:p w14:paraId="372543F3" w14:textId="77777777" w:rsidR="00E55941" w:rsidRPr="003E5FB6" w:rsidRDefault="00E55941" w:rsidP="00E55941">
            <w:pPr>
              <w:spacing w:before="40" w:after="40"/>
              <w:rPr>
                <w:sz w:val="20"/>
                <w:szCs w:val="20"/>
              </w:rPr>
            </w:pPr>
            <w:r w:rsidRPr="003E5FB6">
              <w:rPr>
                <w:sz w:val="20"/>
                <w:szCs w:val="20"/>
              </w:rPr>
              <w:t>Only one laboratory operating with partial internationally certified methods</w:t>
            </w:r>
          </w:p>
        </w:tc>
        <w:tc>
          <w:tcPr>
            <w:tcW w:w="3510" w:type="dxa"/>
            <w:hideMark/>
          </w:tcPr>
          <w:p w14:paraId="2BACA05D" w14:textId="77777777" w:rsidR="00E55941" w:rsidRPr="003E5FB6" w:rsidRDefault="00E55941" w:rsidP="00E55941">
            <w:pPr>
              <w:spacing w:before="40" w:after="40"/>
              <w:rPr>
                <w:sz w:val="20"/>
                <w:szCs w:val="20"/>
              </w:rPr>
            </w:pPr>
            <w:r>
              <w:rPr>
                <w:sz w:val="20"/>
                <w:szCs w:val="20"/>
              </w:rPr>
              <w:t>1</w:t>
            </w:r>
            <w:r w:rsidRPr="003E5FB6">
              <w:rPr>
                <w:sz w:val="20"/>
                <w:szCs w:val="20"/>
              </w:rPr>
              <w:t xml:space="preserve"> </w:t>
            </w:r>
            <w:r>
              <w:rPr>
                <w:sz w:val="20"/>
                <w:szCs w:val="20"/>
              </w:rPr>
              <w:t xml:space="preserve">designated </w:t>
            </w:r>
            <w:proofErr w:type="gramStart"/>
            <w:r>
              <w:rPr>
                <w:sz w:val="20"/>
                <w:szCs w:val="20"/>
              </w:rPr>
              <w:t>laboratory</w:t>
            </w:r>
            <w:r w:rsidRPr="003E5FB6">
              <w:rPr>
                <w:sz w:val="20"/>
                <w:szCs w:val="20"/>
              </w:rPr>
              <w:t xml:space="preserve"> initiated</w:t>
            </w:r>
            <w:proofErr w:type="gramEnd"/>
            <w:r w:rsidRPr="003E5FB6">
              <w:rPr>
                <w:sz w:val="20"/>
                <w:szCs w:val="20"/>
              </w:rPr>
              <w:t xml:space="preserve"> </w:t>
            </w:r>
            <w:r>
              <w:rPr>
                <w:sz w:val="20"/>
                <w:szCs w:val="20"/>
              </w:rPr>
              <w:t xml:space="preserve">introduction of </w:t>
            </w:r>
            <w:r w:rsidRPr="003E5FB6">
              <w:rPr>
                <w:sz w:val="20"/>
                <w:szCs w:val="20"/>
              </w:rPr>
              <w:t xml:space="preserve">international </w:t>
            </w:r>
            <w:r>
              <w:rPr>
                <w:sz w:val="20"/>
                <w:szCs w:val="20"/>
              </w:rPr>
              <w:t xml:space="preserve">certification </w:t>
            </w:r>
            <w:r w:rsidRPr="003E5FB6">
              <w:rPr>
                <w:sz w:val="20"/>
                <w:szCs w:val="20"/>
              </w:rPr>
              <w:t xml:space="preserve">methods and practices </w:t>
            </w:r>
            <w:r>
              <w:rPr>
                <w:sz w:val="20"/>
                <w:szCs w:val="20"/>
              </w:rPr>
              <w:t>for POPs analysis</w:t>
            </w:r>
          </w:p>
        </w:tc>
        <w:tc>
          <w:tcPr>
            <w:tcW w:w="3600" w:type="dxa"/>
            <w:hideMark/>
          </w:tcPr>
          <w:p w14:paraId="1890D685" w14:textId="77777777" w:rsidR="00E55941" w:rsidRPr="003E5FB6" w:rsidRDefault="00E55941" w:rsidP="00E55941">
            <w:pPr>
              <w:spacing w:before="40" w:after="40"/>
              <w:rPr>
                <w:sz w:val="20"/>
                <w:szCs w:val="20"/>
              </w:rPr>
            </w:pPr>
            <w:r>
              <w:rPr>
                <w:sz w:val="20"/>
                <w:szCs w:val="20"/>
              </w:rPr>
              <w:t>2</w:t>
            </w:r>
            <w:r w:rsidRPr="003E5FB6">
              <w:rPr>
                <w:sz w:val="20"/>
                <w:szCs w:val="20"/>
              </w:rPr>
              <w:t xml:space="preserve"> </w:t>
            </w:r>
            <w:r>
              <w:rPr>
                <w:sz w:val="20"/>
                <w:szCs w:val="20"/>
              </w:rPr>
              <w:t xml:space="preserve">designated </w:t>
            </w:r>
            <w:proofErr w:type="gramStart"/>
            <w:r>
              <w:rPr>
                <w:sz w:val="20"/>
                <w:szCs w:val="20"/>
              </w:rPr>
              <w:t>laboratories</w:t>
            </w:r>
            <w:r w:rsidRPr="003E5FB6">
              <w:rPr>
                <w:sz w:val="20"/>
                <w:szCs w:val="20"/>
              </w:rPr>
              <w:t xml:space="preserve"> initiated</w:t>
            </w:r>
            <w:proofErr w:type="gramEnd"/>
            <w:r w:rsidRPr="003E5FB6">
              <w:rPr>
                <w:sz w:val="20"/>
                <w:szCs w:val="20"/>
              </w:rPr>
              <w:t xml:space="preserve"> </w:t>
            </w:r>
            <w:r>
              <w:rPr>
                <w:sz w:val="20"/>
                <w:szCs w:val="20"/>
              </w:rPr>
              <w:t xml:space="preserve">introduction of </w:t>
            </w:r>
            <w:r w:rsidRPr="003E5FB6">
              <w:rPr>
                <w:sz w:val="20"/>
                <w:szCs w:val="20"/>
              </w:rPr>
              <w:t xml:space="preserve">international </w:t>
            </w:r>
            <w:r>
              <w:rPr>
                <w:sz w:val="20"/>
                <w:szCs w:val="20"/>
              </w:rPr>
              <w:t xml:space="preserve">certification </w:t>
            </w:r>
            <w:r w:rsidRPr="003E5FB6">
              <w:rPr>
                <w:sz w:val="20"/>
                <w:szCs w:val="20"/>
              </w:rPr>
              <w:t xml:space="preserve">methods and practices </w:t>
            </w:r>
            <w:r>
              <w:rPr>
                <w:sz w:val="20"/>
                <w:szCs w:val="20"/>
              </w:rPr>
              <w:t>for POPs analysis</w:t>
            </w:r>
          </w:p>
        </w:tc>
      </w:tr>
      <w:tr w:rsidR="00E55941" w:rsidRPr="003E5FB6" w14:paraId="4D62E805" w14:textId="77777777" w:rsidTr="00E55941">
        <w:trPr>
          <w:trHeight w:val="450"/>
        </w:trPr>
        <w:tc>
          <w:tcPr>
            <w:tcW w:w="15300" w:type="dxa"/>
            <w:gridSpan w:val="5"/>
            <w:shd w:val="clear" w:color="auto" w:fill="D9E2F3" w:themeFill="accent1" w:themeFillTint="33"/>
            <w:hideMark/>
          </w:tcPr>
          <w:p w14:paraId="3253A162" w14:textId="77777777" w:rsidR="00E55941" w:rsidRPr="003E5FB6" w:rsidRDefault="00E55941" w:rsidP="00E55941">
            <w:pPr>
              <w:spacing w:before="40" w:after="40"/>
              <w:rPr>
                <w:b/>
                <w:bCs/>
                <w:sz w:val="20"/>
                <w:szCs w:val="20"/>
              </w:rPr>
            </w:pPr>
            <w:r w:rsidRPr="003E5FB6">
              <w:rPr>
                <w:b/>
                <w:bCs/>
                <w:sz w:val="20"/>
                <w:szCs w:val="20"/>
              </w:rPr>
              <w:t>Activity 4. Monitoring, learning, adaptive feedback, outreach, and evaluation</w:t>
            </w:r>
          </w:p>
        </w:tc>
      </w:tr>
      <w:tr w:rsidR="00E55941" w:rsidRPr="003E5FB6" w14:paraId="6186BA92" w14:textId="77777777" w:rsidTr="00E55941">
        <w:trPr>
          <w:trHeight w:val="1565"/>
        </w:trPr>
        <w:tc>
          <w:tcPr>
            <w:tcW w:w="2070" w:type="dxa"/>
            <w:hideMark/>
          </w:tcPr>
          <w:p w14:paraId="666BE33A" w14:textId="77777777" w:rsidR="00E55941" w:rsidRPr="003E5FB6" w:rsidRDefault="00E55941" w:rsidP="00E55941">
            <w:pPr>
              <w:spacing w:before="40" w:after="40"/>
              <w:rPr>
                <w:sz w:val="20"/>
                <w:szCs w:val="20"/>
              </w:rPr>
            </w:pPr>
            <w:r w:rsidRPr="003E5FB6">
              <w:rPr>
                <w:b/>
                <w:bCs/>
                <w:sz w:val="20"/>
                <w:szCs w:val="20"/>
              </w:rPr>
              <w:t>Outcome 4:</w:t>
            </w:r>
            <w:r w:rsidRPr="003E5FB6">
              <w:rPr>
                <w:sz w:val="20"/>
                <w:szCs w:val="20"/>
              </w:rPr>
              <w:br/>
              <w:t>Monitoring, learning, adaptive feedback, outreach, and evaluation</w:t>
            </w:r>
          </w:p>
        </w:tc>
        <w:tc>
          <w:tcPr>
            <w:tcW w:w="2880" w:type="dxa"/>
            <w:hideMark/>
          </w:tcPr>
          <w:p w14:paraId="53F918FD" w14:textId="77777777" w:rsidR="00E55941" w:rsidRPr="003E5FB6" w:rsidRDefault="00E55941" w:rsidP="00E55941">
            <w:pPr>
              <w:spacing w:before="40" w:after="40"/>
              <w:rPr>
                <w:sz w:val="20"/>
                <w:szCs w:val="20"/>
              </w:rPr>
            </w:pPr>
            <w:r w:rsidRPr="003E5FB6">
              <w:rPr>
                <w:sz w:val="20"/>
                <w:szCs w:val="20"/>
              </w:rPr>
              <w:t>M&amp;E and adaptive management applied to project in response to needs, mid-term evaluation findings with lessons learned extracted</w:t>
            </w:r>
          </w:p>
        </w:tc>
        <w:tc>
          <w:tcPr>
            <w:tcW w:w="3240" w:type="dxa"/>
            <w:hideMark/>
          </w:tcPr>
          <w:p w14:paraId="1640717D" w14:textId="77777777" w:rsidR="00E55941" w:rsidRPr="003E5FB6" w:rsidRDefault="00E55941" w:rsidP="00E55941">
            <w:pPr>
              <w:spacing w:before="40" w:after="40"/>
              <w:rPr>
                <w:sz w:val="20"/>
                <w:szCs w:val="20"/>
              </w:rPr>
            </w:pPr>
            <w:r w:rsidRPr="003E5FB6">
              <w:rPr>
                <w:sz w:val="20"/>
                <w:szCs w:val="20"/>
              </w:rPr>
              <w:t>No Monitoring and Evaluation system</w:t>
            </w:r>
            <w:r w:rsidRPr="003E5FB6">
              <w:rPr>
                <w:sz w:val="20"/>
                <w:szCs w:val="20"/>
              </w:rPr>
              <w:br/>
            </w:r>
            <w:r w:rsidRPr="003E5FB6">
              <w:rPr>
                <w:sz w:val="20"/>
                <w:szCs w:val="20"/>
              </w:rPr>
              <w:br/>
              <w:t>No evaluation of project output and outcomes</w:t>
            </w:r>
          </w:p>
        </w:tc>
        <w:tc>
          <w:tcPr>
            <w:tcW w:w="3510" w:type="dxa"/>
            <w:hideMark/>
          </w:tcPr>
          <w:p w14:paraId="414E7824" w14:textId="77777777" w:rsidR="00E55941" w:rsidRPr="003E5FB6" w:rsidRDefault="00E55941" w:rsidP="00E55941">
            <w:pPr>
              <w:spacing w:before="40" w:after="40"/>
              <w:rPr>
                <w:sz w:val="20"/>
                <w:szCs w:val="20"/>
              </w:rPr>
            </w:pPr>
            <w:r w:rsidRPr="003E5FB6">
              <w:rPr>
                <w:sz w:val="20"/>
                <w:szCs w:val="20"/>
              </w:rPr>
              <w:t>Monitoring and Evaluation system developed</w:t>
            </w:r>
            <w:r w:rsidRPr="003E5FB6">
              <w:rPr>
                <w:sz w:val="20"/>
                <w:szCs w:val="20"/>
              </w:rPr>
              <w:br/>
            </w:r>
            <w:r w:rsidRPr="003E5FB6">
              <w:rPr>
                <w:sz w:val="20"/>
                <w:szCs w:val="20"/>
              </w:rPr>
              <w:br/>
              <w:t>Mid-term evaluation of project output and outcomes conducted with lessons learn</w:t>
            </w:r>
            <w:r>
              <w:rPr>
                <w:sz w:val="20"/>
                <w:szCs w:val="20"/>
              </w:rPr>
              <w:t>ed</w:t>
            </w:r>
            <w:r w:rsidRPr="003E5FB6">
              <w:rPr>
                <w:sz w:val="20"/>
                <w:szCs w:val="20"/>
              </w:rPr>
              <w:t xml:space="preserve"> </w:t>
            </w:r>
          </w:p>
        </w:tc>
        <w:tc>
          <w:tcPr>
            <w:tcW w:w="3600" w:type="dxa"/>
            <w:hideMark/>
          </w:tcPr>
          <w:p w14:paraId="7A63CB9A" w14:textId="77777777" w:rsidR="00E55941" w:rsidRPr="003E5FB6" w:rsidRDefault="00E55941" w:rsidP="00E55941">
            <w:pPr>
              <w:spacing w:before="40" w:after="40"/>
              <w:rPr>
                <w:sz w:val="20"/>
                <w:szCs w:val="20"/>
              </w:rPr>
            </w:pPr>
            <w:r w:rsidRPr="003E5FB6">
              <w:rPr>
                <w:sz w:val="20"/>
                <w:szCs w:val="20"/>
              </w:rPr>
              <w:t xml:space="preserve">Final evaluation report </w:t>
            </w:r>
            <w:r>
              <w:rPr>
                <w:sz w:val="20"/>
                <w:szCs w:val="20"/>
              </w:rPr>
              <w:t>developed</w:t>
            </w:r>
            <w:r w:rsidRPr="003E5FB6">
              <w:rPr>
                <w:sz w:val="20"/>
                <w:szCs w:val="20"/>
              </w:rPr>
              <w:t xml:space="preserve"> in the end of </w:t>
            </w:r>
            <w:r>
              <w:rPr>
                <w:sz w:val="20"/>
                <w:szCs w:val="20"/>
              </w:rPr>
              <w:t xml:space="preserve">the </w:t>
            </w:r>
            <w:r w:rsidRPr="003E5FB6">
              <w:rPr>
                <w:sz w:val="20"/>
                <w:szCs w:val="20"/>
              </w:rPr>
              <w:t>project</w:t>
            </w:r>
          </w:p>
        </w:tc>
      </w:tr>
    </w:tbl>
    <w:p w14:paraId="08B054F9" w14:textId="77777777" w:rsidR="00E55941" w:rsidRDefault="00E55941" w:rsidP="00E55941"/>
    <w:p w14:paraId="70510F66" w14:textId="70C8A2EE" w:rsidR="00E55941" w:rsidRDefault="00E55941" w:rsidP="00BD1612">
      <w:pPr>
        <w:rPr>
          <w:rFonts w:ascii="Myriad Pro" w:hAnsi="Myriad Pro"/>
          <w:i/>
          <w:iCs/>
          <w:sz w:val="21"/>
          <w:szCs w:val="21"/>
        </w:rPr>
        <w:sectPr w:rsidR="00E55941" w:rsidSect="00E55941">
          <w:pgSz w:w="15840" w:h="12240" w:orient="landscape"/>
          <w:pgMar w:top="990" w:right="994" w:bottom="1152" w:left="1152" w:header="720" w:footer="0" w:gutter="0"/>
          <w:cols w:space="720"/>
          <w:docGrid w:linePitch="360"/>
        </w:sectPr>
      </w:pPr>
    </w:p>
    <w:p w14:paraId="3286CCDC" w14:textId="6DFEB0E2" w:rsidR="00BD1612" w:rsidRDefault="00BD1612" w:rsidP="00FF139C">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B: Project Information Package to be reviewed by TE </w:t>
      </w:r>
      <w:r w:rsidR="00C73519">
        <w:rPr>
          <w:rFonts w:ascii="Myriad Pro" w:hAnsi="Myriad Pro"/>
          <w:b/>
          <w:bCs/>
          <w:sz w:val="26"/>
          <w:szCs w:val="26"/>
        </w:rPr>
        <w:t>Evaluator</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DA451A" w14:paraId="2AB2AB01" w14:textId="77777777" w:rsidTr="00E23875">
        <w:trPr>
          <w:trHeight w:val="423"/>
          <w:jc w:val="center"/>
        </w:trPr>
        <w:tc>
          <w:tcPr>
            <w:tcW w:w="630" w:type="dxa"/>
            <w:shd w:val="clear" w:color="auto" w:fill="000000" w:themeFill="text1"/>
            <w:vAlign w:val="center"/>
          </w:tcPr>
          <w:p w14:paraId="7D39ABD7" w14:textId="77777777" w:rsidR="00E23875" w:rsidRPr="00D741DB" w:rsidRDefault="00E23875" w:rsidP="002B2199">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288252E4" w14:textId="77777777" w:rsidR="00E23875" w:rsidRPr="00A96906" w:rsidRDefault="00E23875" w:rsidP="002B2199">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E23875" w:rsidRPr="00DA451A"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E23875" w:rsidRPr="00DA451A"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E23875" w:rsidRPr="00DA451A"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E23875" w:rsidRPr="00DA451A"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E23875" w:rsidRPr="00DA451A"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E23875" w:rsidRPr="00DA451A"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E23875" w:rsidRPr="00DA451A"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E23875" w:rsidRPr="00DA451A"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E23875" w:rsidRPr="00DA451A"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 xml:space="preserve">Progress reports (quarterly, </w:t>
            </w:r>
            <w:proofErr w:type="gramStart"/>
            <w:r w:rsidRPr="00E23875">
              <w:rPr>
                <w:rFonts w:ascii="Myriad Pro" w:hAnsi="Myriad Pro"/>
                <w:color w:val="000000" w:themeColor="text1"/>
                <w:sz w:val="21"/>
                <w:szCs w:val="21"/>
              </w:rPr>
              <w:t>semi-annual</w:t>
            </w:r>
            <w:proofErr w:type="gramEnd"/>
            <w:r w:rsidRPr="00E23875">
              <w:rPr>
                <w:rFonts w:ascii="Myriad Pro" w:hAnsi="Myriad Pro"/>
                <w:color w:val="000000" w:themeColor="text1"/>
                <w:sz w:val="21"/>
                <w:szCs w:val="21"/>
              </w:rPr>
              <w:t xml:space="preserve"> or annual, with associated workplans and financial reports)</w:t>
            </w:r>
          </w:p>
        </w:tc>
      </w:tr>
      <w:tr w:rsidR="00E23875" w:rsidRPr="00DA451A"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E23875" w:rsidRPr="00DA451A"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E23875" w:rsidRPr="00DA451A"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 xml:space="preserve">GEF Tracking Tools (from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w:t>
            </w:r>
          </w:p>
        </w:tc>
      </w:tr>
      <w:tr w:rsidR="00E23875" w:rsidRPr="00DA451A" w14:paraId="2537E1C1" w14:textId="77777777" w:rsidTr="006F6046">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BFBFBF" w:themeFill="background1" w:themeFillShade="BF"/>
          </w:tcPr>
          <w:p w14:paraId="33C66CA0"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BFBFBF" w:themeFill="background1" w:themeFillShade="BF"/>
          </w:tcPr>
          <w:p w14:paraId="5E420147"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 xml:space="preserve">GEF/LDCF/SCCF Core Indicators (from PIF,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 for GEF-6 and GEF-7 projects only</w:t>
            </w:r>
          </w:p>
        </w:tc>
      </w:tr>
      <w:tr w:rsidR="00E23875" w:rsidRPr="00DA451A"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E23875" w:rsidRPr="00DA451A"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DA451A"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E23875" w:rsidRPr="00DA451A"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E23875" w:rsidRPr="00DA451A"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E23875" w:rsidRPr="00DA451A"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E23875" w:rsidRPr="00DA451A"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DA451A"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0423D1" w:rsidRDefault="00E23875" w:rsidP="002B2199">
            <w:pPr>
              <w:pStyle w:val="ListParagraph"/>
              <w:ind w:left="0"/>
              <w:jc w:val="center"/>
              <w:rPr>
                <w:rFonts w:ascii="Myriad Pro" w:hAnsi="Myriad Pro"/>
                <w:color w:val="000000" w:themeColor="text1"/>
              </w:rPr>
            </w:pPr>
            <w:r w:rsidRPr="000423D1">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0423D1" w:rsidRDefault="00E23875" w:rsidP="002B2199">
            <w:pPr>
              <w:rPr>
                <w:rFonts w:ascii="Myriad Pro" w:hAnsi="Myriad Pro"/>
                <w:color w:val="000000" w:themeColor="text1"/>
                <w:sz w:val="21"/>
                <w:szCs w:val="21"/>
              </w:rPr>
            </w:pPr>
            <w:r w:rsidRPr="000423D1">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E23875" w:rsidRPr="00DA451A"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E23875" w:rsidRPr="00DA451A"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 xml:space="preserve">Data on relevant project website activity – e.g. number of unique visitors per month, number of page views, etc. over relevant </w:t>
            </w:r>
            <w:proofErr w:type="gramStart"/>
            <w:r w:rsidRPr="00E23875">
              <w:rPr>
                <w:rFonts w:ascii="Myriad Pro" w:hAnsi="Myriad Pro"/>
                <w:color w:val="000000" w:themeColor="text1"/>
                <w:sz w:val="21"/>
                <w:szCs w:val="21"/>
              </w:rPr>
              <w:t>time period</w:t>
            </w:r>
            <w:proofErr w:type="gramEnd"/>
            <w:r w:rsidRPr="00E23875">
              <w:rPr>
                <w:rFonts w:ascii="Myriad Pro" w:hAnsi="Myriad Pro"/>
                <w:color w:val="000000" w:themeColor="text1"/>
                <w:sz w:val="21"/>
                <w:szCs w:val="21"/>
              </w:rPr>
              <w:t>, if available</w:t>
            </w:r>
          </w:p>
        </w:tc>
      </w:tr>
      <w:tr w:rsidR="00E23875" w:rsidRPr="00DA451A"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E23875" w:rsidRPr="00DA451A"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E23875" w:rsidRPr="00DA451A"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E23875" w:rsidRPr="00DA451A"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E23875" w:rsidRDefault="00E23875" w:rsidP="002B2199">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E23875" w:rsidRDefault="00E23875" w:rsidP="002B2199">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E23875" w:rsidRPr="00DA451A"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E23875" w:rsidRDefault="00E23875" w:rsidP="002B2199">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E23875" w:rsidRDefault="00E23875" w:rsidP="002B2199">
            <w:pPr>
              <w:rPr>
                <w:rFonts w:ascii="Myriad Pro" w:hAnsi="Myriad Pro"/>
                <w:i/>
                <w:iCs/>
                <w:color w:val="000000" w:themeColor="text1"/>
                <w:sz w:val="21"/>
                <w:szCs w:val="21"/>
              </w:rPr>
            </w:pPr>
            <w:r w:rsidRPr="00E23875">
              <w:rPr>
                <w:rFonts w:ascii="Myriad Pro" w:hAnsi="Myriad Pro"/>
                <w:i/>
                <w:iCs/>
                <w:color w:val="000000" w:themeColor="text1"/>
                <w:sz w:val="21"/>
                <w:szCs w:val="21"/>
              </w:rPr>
              <w:t>Add</w:t>
            </w:r>
            <w:r w:rsidR="002D07E5">
              <w:rPr>
                <w:rFonts w:ascii="Myriad Pro" w:hAnsi="Myriad Pro"/>
                <w:i/>
                <w:iCs/>
                <w:color w:val="000000" w:themeColor="text1"/>
                <w:sz w:val="21"/>
                <w:szCs w:val="21"/>
              </w:rPr>
              <w:t>itional</w:t>
            </w:r>
            <w:r w:rsidRPr="00E23875">
              <w:rPr>
                <w:rFonts w:ascii="Myriad Pro" w:hAnsi="Myriad Pro"/>
                <w:i/>
                <w:iCs/>
                <w:color w:val="000000" w:themeColor="text1"/>
                <w:sz w:val="21"/>
                <w:szCs w:val="21"/>
              </w:rPr>
              <w:t xml:space="preserve"> documents, as required</w:t>
            </w:r>
          </w:p>
        </w:tc>
      </w:tr>
    </w:tbl>
    <w:p w14:paraId="1328F88B" w14:textId="31B7C906" w:rsidR="00FF139C" w:rsidRDefault="00FF139C" w:rsidP="00FF139C">
      <w:pPr>
        <w:rPr>
          <w:rFonts w:ascii="Myriad Pro" w:hAnsi="Myriad Pro"/>
          <w:color w:val="000000"/>
          <w:sz w:val="21"/>
          <w:szCs w:val="21"/>
        </w:rPr>
      </w:pPr>
    </w:p>
    <w:p w14:paraId="72A7AA91" w14:textId="25477024" w:rsidR="00623367" w:rsidRDefault="00623367" w:rsidP="00FF139C">
      <w:pPr>
        <w:rPr>
          <w:rFonts w:ascii="Myriad Pro" w:hAnsi="Myriad Pro"/>
          <w:color w:val="000000"/>
          <w:sz w:val="21"/>
          <w:szCs w:val="21"/>
        </w:rPr>
      </w:pPr>
    </w:p>
    <w:p w14:paraId="40A5EB79" w14:textId="77777777" w:rsidR="00623367" w:rsidRPr="00FF139C" w:rsidRDefault="00623367" w:rsidP="00FF139C">
      <w:pPr>
        <w:rPr>
          <w:rFonts w:ascii="Myriad Pro" w:hAnsi="Myriad Pro"/>
          <w:color w:val="000000"/>
          <w:sz w:val="21"/>
          <w:szCs w:val="21"/>
        </w:rPr>
      </w:pPr>
    </w:p>
    <w:p w14:paraId="786DCFB6" w14:textId="6AC62C8C" w:rsidR="00BD1612"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C: Content of the TE report</w:t>
      </w:r>
    </w:p>
    <w:p w14:paraId="5A5AA21B" w14:textId="77777777" w:rsidR="00C670AD" w:rsidRPr="00C670AD" w:rsidRDefault="00C670AD" w:rsidP="008B7B77">
      <w:pPr>
        <w:pStyle w:val="ListParagraph"/>
        <w:numPr>
          <w:ilvl w:val="0"/>
          <w:numId w:val="16"/>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6209D5E6" w14:textId="2A0D5549"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Ti</w:t>
      </w:r>
      <w:r w:rsidR="0066249F">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14:paraId="2E5FCE91"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2C846DBD"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6F72B610"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1EBF6BD1"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3097E8E6"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33CA256B" w14:textId="1BDA44A4" w:rsidR="004506F9" w:rsidRPr="004506F9"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03288B0" w14:textId="6CAAB1B2" w:rsidR="004506F9" w:rsidRDefault="004506F9" w:rsidP="008B7B77">
      <w:pPr>
        <w:pStyle w:val="ListParagraph"/>
        <w:numPr>
          <w:ilvl w:val="0"/>
          <w:numId w:val="16"/>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6510BE2F" w14:textId="1F8804F2" w:rsidR="00C670AD" w:rsidRPr="00C670AD" w:rsidRDefault="00C670AD" w:rsidP="008B7B77">
      <w:pPr>
        <w:pStyle w:val="ListParagraph"/>
        <w:numPr>
          <w:ilvl w:val="0"/>
          <w:numId w:val="16"/>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5F4DB1ED" w14:textId="168A2ACE" w:rsidR="00C670AD" w:rsidRPr="00581105" w:rsidRDefault="00C670AD" w:rsidP="008B7B77">
      <w:pPr>
        <w:pStyle w:val="ListParagraph"/>
        <w:numPr>
          <w:ilvl w:val="0"/>
          <w:numId w:val="16"/>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42AFBABF" w14:textId="77777777" w:rsidR="00C670AD" w:rsidRPr="00C670AD" w:rsidRDefault="00C670AD" w:rsidP="008B7B77">
      <w:pPr>
        <w:pStyle w:val="ListParagraph"/>
        <w:numPr>
          <w:ilvl w:val="0"/>
          <w:numId w:val="15"/>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6A9C0F92" w14:textId="5297BF72"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000E3A3F"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3CDD2D12" w14:textId="4D98EE76"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Evaluation Rating</w:t>
      </w:r>
      <w:r w:rsidR="00581105">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0C16EF80"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66EEA816"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6CB342BC" w14:textId="77777777" w:rsidR="00C670AD" w:rsidRPr="00C670AD" w:rsidRDefault="00C670AD" w:rsidP="008B7B77">
      <w:pPr>
        <w:pStyle w:val="ListParagraph"/>
        <w:numPr>
          <w:ilvl w:val="0"/>
          <w:numId w:val="15"/>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341411F8"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10231B0"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Scope</w:t>
      </w:r>
    </w:p>
    <w:p w14:paraId="4C38D134"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3ABE8E6F"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3B6B15C3"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Ethics</w:t>
      </w:r>
    </w:p>
    <w:p w14:paraId="162EA0BA"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15D8AC9B"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34627027" w14:textId="77777777" w:rsidR="00C670AD" w:rsidRPr="00C670AD" w:rsidRDefault="00C670AD" w:rsidP="008B7B77">
      <w:pPr>
        <w:pStyle w:val="ListParagraph"/>
        <w:numPr>
          <w:ilvl w:val="0"/>
          <w:numId w:val="15"/>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3F756AB3"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168B2966"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73BFF5C2" w14:textId="6F9C85AC"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sidR="004D7A01">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14:paraId="1BB9B723" w14:textId="1643747D" w:rsidR="00C670AD" w:rsidRPr="00AF478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3EB37A01"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065C4C5D"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1DEA30A7"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3C59383B" w14:textId="77777777" w:rsidR="00C670AD" w:rsidRPr="00C670AD" w:rsidRDefault="00C670AD" w:rsidP="008B7B77">
      <w:pPr>
        <w:pStyle w:val="ListParagraph"/>
        <w:numPr>
          <w:ilvl w:val="0"/>
          <w:numId w:val="15"/>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45CF06CD" w14:textId="77777777" w:rsidR="00C670AD" w:rsidRPr="00C670AD" w:rsidRDefault="00C670AD" w:rsidP="00C670AD">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2"/>
      </w:r>
      <w:r w:rsidRPr="00C670AD">
        <w:rPr>
          <w:rFonts w:ascii="Myriad Pro" w:hAnsi="Myriad Pro"/>
          <w:color w:val="000000" w:themeColor="text1"/>
          <w:sz w:val="21"/>
          <w:szCs w:val="21"/>
        </w:rPr>
        <w:t>)</w:t>
      </w:r>
    </w:p>
    <w:p w14:paraId="3244B85F" w14:textId="77777777" w:rsidR="00C670AD" w:rsidRPr="00C670AD" w:rsidRDefault="00C670AD" w:rsidP="00C670AD">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1161DC72" w14:textId="77777777" w:rsidR="00C670AD" w:rsidRPr="00C670AD" w:rsidRDefault="00C670AD" w:rsidP="008B7B77">
      <w:pPr>
        <w:pStyle w:val="ListParagraph"/>
        <w:numPr>
          <w:ilvl w:val="0"/>
          <w:numId w:val="12"/>
        </w:numPr>
        <w:tabs>
          <w:tab w:val="left" w:pos="1620"/>
        </w:tabs>
        <w:spacing w:after="0" w:line="240" w:lineRule="auto"/>
        <w:ind w:left="108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7252C346" w14:textId="77777777" w:rsidR="00C670AD" w:rsidRPr="00C670AD" w:rsidRDefault="00C670AD" w:rsidP="008B7B77">
      <w:pPr>
        <w:pStyle w:val="ListParagraph"/>
        <w:numPr>
          <w:ilvl w:val="0"/>
          <w:numId w:val="12"/>
        </w:numPr>
        <w:tabs>
          <w:tab w:val="left" w:pos="1620"/>
        </w:tabs>
        <w:spacing w:after="0" w:line="240" w:lineRule="auto"/>
        <w:ind w:left="108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6C1A47AB"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lastRenderedPageBreak/>
        <w:t>Lessons from other relevant projects (e.g. same focal area) incorporated into project design</w:t>
      </w:r>
    </w:p>
    <w:p w14:paraId="473C530C" w14:textId="77777777" w:rsidR="00C670AD" w:rsidRPr="00C670AD"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1377CEDB" w14:textId="1F6ABBBD" w:rsidR="00C670AD" w:rsidRPr="00F15F6E" w:rsidRDefault="00C670AD" w:rsidP="008B7B77">
      <w:pPr>
        <w:pStyle w:val="ListParagraph"/>
        <w:numPr>
          <w:ilvl w:val="0"/>
          <w:numId w:val="12"/>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764750AF" w14:textId="77777777" w:rsidR="00C670AD" w:rsidRPr="00C670AD" w:rsidRDefault="00C670AD" w:rsidP="008B7B77">
      <w:pPr>
        <w:pStyle w:val="ListParagraph"/>
        <w:numPr>
          <w:ilvl w:val="1"/>
          <w:numId w:val="14"/>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28EF2FD1"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7B0A25E3"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4F5C61D0"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26213537"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630351D9" w14:textId="154AE4F0" w:rsid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sidR="00CF3BFD">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sidR="00CF3BFD">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sidR="00CF3BFD">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753D864E" w14:textId="59D36732" w:rsidR="000D5CC7" w:rsidRPr="00C670AD" w:rsidRDefault="000D5CC7" w:rsidP="00C670AD">
      <w:pPr>
        <w:pStyle w:val="ListParagraph"/>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w:t>
      </w:r>
      <w:r w:rsidR="003169B7">
        <w:rPr>
          <w:rFonts w:ascii="Myriad Pro" w:hAnsi="Myriad Pro"/>
          <w:color w:val="000000" w:themeColor="text1"/>
          <w:sz w:val="21"/>
          <w:szCs w:val="21"/>
        </w:rPr>
        <w:t>, including</w:t>
      </w:r>
      <w:r w:rsidR="00095009">
        <w:rPr>
          <w:rFonts w:ascii="Myriad Pro" w:hAnsi="Myriad Pro"/>
          <w:color w:val="000000" w:themeColor="text1"/>
          <w:sz w:val="21"/>
          <w:szCs w:val="21"/>
        </w:rPr>
        <w:t xml:space="preserve"> Social and Environmental Standards (Safeguards)</w:t>
      </w:r>
    </w:p>
    <w:p w14:paraId="1167EDFE" w14:textId="0D2A850A" w:rsidR="00C670AD" w:rsidRPr="00C670AD" w:rsidRDefault="00C670AD" w:rsidP="008B7B77">
      <w:pPr>
        <w:pStyle w:val="ListParagraph"/>
        <w:numPr>
          <w:ilvl w:val="1"/>
          <w:numId w:val="14"/>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r w:rsidR="00095009">
        <w:rPr>
          <w:rFonts w:ascii="Myriad Pro" w:hAnsi="Myriad Pro"/>
          <w:color w:val="000000" w:themeColor="text1"/>
          <w:sz w:val="21"/>
          <w:szCs w:val="21"/>
        </w:rPr>
        <w:t xml:space="preserve"> and Impacts</w:t>
      </w:r>
    </w:p>
    <w:p w14:paraId="5B21DBEC"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3CFEE4D8"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199E12D4"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6045191E" w14:textId="1B25F16A" w:rsid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19AB2D1A" w14:textId="5725BEBB" w:rsidR="00D652A7" w:rsidRDefault="00D652A7"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5E12F73B" w14:textId="71654E2A" w:rsidR="00474474" w:rsidRPr="00474474" w:rsidRDefault="00474474" w:rsidP="00474474">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55E18663"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47ED72C9" w14:textId="10434634"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r w:rsidR="004B14C0">
        <w:rPr>
          <w:rFonts w:ascii="Myriad Pro" w:hAnsi="Myriad Pro"/>
          <w:color w:val="000000" w:themeColor="text1"/>
          <w:sz w:val="21"/>
          <w:szCs w:val="21"/>
        </w:rPr>
        <w:t xml:space="preserve"> equality and women’s empowerment</w:t>
      </w:r>
    </w:p>
    <w:p w14:paraId="2D2A1B01" w14:textId="7050929C" w:rsidR="00C670AD" w:rsidRPr="00ED4E25" w:rsidRDefault="00C670AD" w:rsidP="00ED4E25">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14:paraId="0A8A3512" w14:textId="5950FD90"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00C670AD" w:rsidRPr="00C670AD">
        <w:rPr>
          <w:rFonts w:ascii="Myriad Pro" w:hAnsi="Myriad Pro"/>
          <w:color w:val="000000" w:themeColor="text1"/>
          <w:sz w:val="21"/>
          <w:szCs w:val="21"/>
        </w:rPr>
        <w:t>Additionality</w:t>
      </w:r>
    </w:p>
    <w:p w14:paraId="7322AC68" w14:textId="4322BC98"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Catalytic</w:t>
      </w:r>
      <w:r w:rsidR="007B6F9C">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14:paraId="143D0CD1" w14:textId="0088AD43"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00C670AD" w:rsidRPr="00C670AD">
        <w:rPr>
          <w:rFonts w:ascii="Myriad Pro" w:hAnsi="Myriad Pro"/>
          <w:color w:val="000000" w:themeColor="text1"/>
          <w:sz w:val="21"/>
          <w:szCs w:val="21"/>
        </w:rPr>
        <w:t>Impact</w:t>
      </w:r>
    </w:p>
    <w:p w14:paraId="05216B4C" w14:textId="77777777" w:rsidR="00C670AD" w:rsidRPr="00C670AD" w:rsidRDefault="00C670AD" w:rsidP="008B7B77">
      <w:pPr>
        <w:pStyle w:val="ListParagraph"/>
        <w:numPr>
          <w:ilvl w:val="0"/>
          <w:numId w:val="15"/>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6E1DED04" w14:textId="77777777" w:rsidR="00C670AD" w:rsidRPr="00C670AD" w:rsidRDefault="00C670AD" w:rsidP="008B7B77">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0D1AAB51" w14:textId="77777777" w:rsidR="00C670AD" w:rsidRPr="00C670AD" w:rsidRDefault="00C670AD" w:rsidP="008B7B77">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532AF573" w14:textId="77777777" w:rsidR="00C670AD" w:rsidRPr="00C670AD" w:rsidRDefault="00C670AD" w:rsidP="008B7B77">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3217315E" w14:textId="77777777" w:rsidR="00C670AD" w:rsidRPr="00C670AD" w:rsidRDefault="00C670AD" w:rsidP="008B7B77">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3ECDAEE7" w14:textId="77777777" w:rsidR="00C670AD" w:rsidRPr="00C670AD" w:rsidRDefault="00C670AD" w:rsidP="008B7B77">
      <w:pPr>
        <w:pStyle w:val="ListParagraph"/>
        <w:numPr>
          <w:ilvl w:val="0"/>
          <w:numId w:val="15"/>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73BB9FE4"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7FF1F512" w14:textId="1C814F68"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sidR="002C193C">
        <w:rPr>
          <w:rFonts w:ascii="Myriad Pro" w:hAnsi="Myriad Pro"/>
          <w:color w:val="000000" w:themeColor="text1"/>
          <w:sz w:val="21"/>
          <w:szCs w:val="21"/>
        </w:rPr>
        <w:t>, including summary of field visits</w:t>
      </w:r>
    </w:p>
    <w:p w14:paraId="0053AE80"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CC3DE95" w14:textId="66D2A7E4" w:rsidR="00C670AD" w:rsidRPr="002C193C"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513EB865"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6E34D25B"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7B76DAD3" w14:textId="40204BEC"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sidR="00B05A9C">
        <w:rPr>
          <w:rFonts w:ascii="Myriad Pro" w:hAnsi="Myriad Pro"/>
          <w:color w:val="000000" w:themeColor="text1"/>
          <w:sz w:val="21"/>
          <w:szCs w:val="21"/>
        </w:rPr>
        <w:t xml:space="preserve"> (if not include in body of report)</w:t>
      </w:r>
    </w:p>
    <w:p w14:paraId="19B5D4E7"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6FB56C52"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1E096DCB"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6AC5BCB7"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3EE5AC9F" w14:textId="77777777" w:rsidR="00C670AD" w:rsidRPr="00C670AD"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lastRenderedPageBreak/>
        <w:t>Annexed in a separate file</w:t>
      </w:r>
      <w:r w:rsidRPr="00C670AD">
        <w:rPr>
          <w:rFonts w:ascii="Myriad Pro" w:hAnsi="Myriad Pro"/>
          <w:color w:val="000000" w:themeColor="text1"/>
          <w:sz w:val="21"/>
          <w:szCs w:val="21"/>
        </w:rPr>
        <w:t>: TE Audit Trail</w:t>
      </w:r>
    </w:p>
    <w:p w14:paraId="6198EAC9" w14:textId="4DDC015B" w:rsidR="00FF139C" w:rsidRDefault="00C670AD" w:rsidP="008B7B77">
      <w:pPr>
        <w:pStyle w:val="ListParagraph"/>
        <w:numPr>
          <w:ilvl w:val="0"/>
          <w:numId w:val="13"/>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03DE53E7" w14:textId="45F36C3E" w:rsidR="00BD1612"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D</w:t>
      </w:r>
      <w:r w:rsidRPr="00FF139C">
        <w:rPr>
          <w:rFonts w:ascii="Myriad Pro" w:hAnsi="Myriad Pro"/>
          <w:b/>
          <w:bCs/>
          <w:sz w:val="26"/>
          <w:szCs w:val="26"/>
        </w:rPr>
        <w:t>: Evaluation Criteria Matrix template</w:t>
      </w:r>
    </w:p>
    <w:p w14:paraId="7BCF688C" w14:textId="77777777" w:rsidR="00815906" w:rsidRPr="00815906" w:rsidRDefault="00815906" w:rsidP="00815906">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F0043D" w:rsidRDefault="003C3C73" w:rsidP="002B219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F0043D" w:rsidRDefault="003C3C73" w:rsidP="002B219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F0043D" w:rsidRDefault="003C3C73" w:rsidP="002B219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F0043D" w:rsidRDefault="003C3C73" w:rsidP="002B219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3C73"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6C62C129" w:rsidR="003C3C73" w:rsidRPr="00F0043D" w:rsidRDefault="003C3C73" w:rsidP="002B2199">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w:t>
            </w:r>
            <w:r w:rsidR="008A3D1B">
              <w:rPr>
                <w:rFonts w:ascii="Myriad Pro" w:hAnsi="Myriad Pro"/>
                <w:color w:val="000000" w:themeColor="text1"/>
                <w:sz w:val="21"/>
                <w:szCs w:val="21"/>
              </w:rPr>
              <w:t>t</w:t>
            </w:r>
            <w:r w:rsidRPr="003C3C73">
              <w:rPr>
                <w:rFonts w:ascii="Myriad Pro" w:hAnsi="Myriad Pro"/>
                <w:color w:val="000000" w:themeColor="text1"/>
                <w:sz w:val="21"/>
                <w:szCs w:val="21"/>
              </w:rPr>
              <w:t xml:space="preserve"> the local, </w:t>
            </w:r>
            <w:proofErr w:type="gramStart"/>
            <w:r w:rsidRPr="003C3C73">
              <w:rPr>
                <w:rFonts w:ascii="Myriad Pro" w:hAnsi="Myriad Pro"/>
                <w:color w:val="000000" w:themeColor="text1"/>
                <w:sz w:val="21"/>
                <w:szCs w:val="21"/>
              </w:rPr>
              <w:t>regional</w:t>
            </w:r>
            <w:proofErr w:type="gramEnd"/>
            <w:r w:rsidRPr="003C3C73">
              <w:rPr>
                <w:rFonts w:ascii="Myriad Pro" w:hAnsi="Myriad Pro"/>
                <w:color w:val="000000" w:themeColor="text1"/>
                <w:sz w:val="21"/>
                <w:szCs w:val="21"/>
              </w:rPr>
              <w:t xml:space="preserve"> and national level?</w:t>
            </w:r>
          </w:p>
        </w:tc>
      </w:tr>
      <w:tr w:rsidR="003C3C73"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F0043D" w:rsidRDefault="003C3C73" w:rsidP="002B219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F0043D" w:rsidRDefault="003C3C73" w:rsidP="002B219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F0043D" w:rsidRDefault="003C3C73" w:rsidP="002B219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F0043D" w:rsidRDefault="003C3C73" w:rsidP="002B219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3C3C73"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F0043D" w:rsidRDefault="003C3C73" w:rsidP="002B2199">
            <w:pPr>
              <w:rPr>
                <w:rFonts w:ascii="Myriad Pro" w:hAnsi="Myriad Pro"/>
                <w:color w:val="000000"/>
                <w:sz w:val="21"/>
                <w:szCs w:val="21"/>
              </w:rPr>
            </w:pPr>
          </w:p>
        </w:tc>
        <w:tc>
          <w:tcPr>
            <w:tcW w:w="3063" w:type="dxa"/>
            <w:tcBorders>
              <w:top w:val="single" w:sz="4" w:space="0" w:color="1F3864" w:themeColor="accent1" w:themeShade="80"/>
            </w:tcBorders>
          </w:tcPr>
          <w:p w14:paraId="46349806" w14:textId="77777777" w:rsidR="003C3C73" w:rsidRPr="00F0043D" w:rsidRDefault="003C3C73" w:rsidP="002B2199">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F0043D" w:rsidRDefault="003C3C73" w:rsidP="002B2199">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F0043D" w:rsidRDefault="003C3C73" w:rsidP="002B2199">
            <w:pPr>
              <w:rPr>
                <w:rFonts w:ascii="Myriad Pro" w:hAnsi="Myriad Pro"/>
                <w:color w:val="000000"/>
                <w:sz w:val="21"/>
                <w:szCs w:val="21"/>
              </w:rPr>
            </w:pPr>
          </w:p>
        </w:tc>
      </w:tr>
      <w:tr w:rsidR="003C3C73"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F0043D" w:rsidRDefault="003C3C73" w:rsidP="002B2199">
            <w:pPr>
              <w:rPr>
                <w:rFonts w:ascii="Myriad Pro" w:hAnsi="Myriad Pro"/>
                <w:color w:val="000000"/>
                <w:sz w:val="21"/>
                <w:szCs w:val="21"/>
              </w:rPr>
            </w:pPr>
          </w:p>
        </w:tc>
        <w:tc>
          <w:tcPr>
            <w:tcW w:w="3063" w:type="dxa"/>
            <w:tcBorders>
              <w:top w:val="single" w:sz="4" w:space="0" w:color="1F3864" w:themeColor="accent1" w:themeShade="80"/>
            </w:tcBorders>
          </w:tcPr>
          <w:p w14:paraId="5425E1F9" w14:textId="77777777" w:rsidR="003C3C73" w:rsidRPr="00F0043D" w:rsidRDefault="003C3C73" w:rsidP="002B2199">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F0043D" w:rsidRDefault="003C3C73" w:rsidP="002B2199">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F0043D" w:rsidRDefault="003C3C73" w:rsidP="002B2199">
            <w:pPr>
              <w:rPr>
                <w:rFonts w:ascii="Myriad Pro" w:hAnsi="Myriad Pro"/>
                <w:color w:val="000000"/>
                <w:sz w:val="21"/>
                <w:szCs w:val="21"/>
              </w:rPr>
            </w:pPr>
          </w:p>
        </w:tc>
      </w:tr>
      <w:tr w:rsidR="003C3C73"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3C3C73" w:rsidRDefault="003C3C73" w:rsidP="002B2199">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C3C73"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6CE690FE"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64555C5A"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3C3C73" w:rsidRDefault="003C3C73" w:rsidP="002B2199">
            <w:pPr>
              <w:rPr>
                <w:rFonts w:ascii="Myriad Pro" w:hAnsi="Myriad Pro"/>
                <w:color w:val="000000" w:themeColor="text1"/>
                <w:sz w:val="21"/>
                <w:szCs w:val="21"/>
              </w:rPr>
            </w:pPr>
          </w:p>
        </w:tc>
      </w:tr>
      <w:tr w:rsidR="003C3C73"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338AE301"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72337E18"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3C3C73" w:rsidRDefault="003C3C73" w:rsidP="002B2199">
            <w:pPr>
              <w:rPr>
                <w:rFonts w:ascii="Myriad Pro" w:hAnsi="Myriad Pro"/>
                <w:color w:val="000000" w:themeColor="text1"/>
                <w:sz w:val="21"/>
                <w:szCs w:val="21"/>
              </w:rPr>
            </w:pPr>
          </w:p>
        </w:tc>
      </w:tr>
      <w:tr w:rsidR="003C3C73"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3C3C73" w:rsidRDefault="003C3C73" w:rsidP="002B2199">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3C73"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4A6EA945"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1260AB6A"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3C3C73" w:rsidRDefault="003C3C73" w:rsidP="002B2199">
            <w:pPr>
              <w:rPr>
                <w:rFonts w:ascii="Myriad Pro" w:hAnsi="Myriad Pro"/>
                <w:color w:val="000000" w:themeColor="text1"/>
                <w:sz w:val="21"/>
                <w:szCs w:val="21"/>
              </w:rPr>
            </w:pPr>
          </w:p>
        </w:tc>
      </w:tr>
      <w:tr w:rsidR="003C3C73"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5CD07C01"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45321EEF"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3C3C73" w:rsidRDefault="003C3C73" w:rsidP="002B2199">
            <w:pPr>
              <w:rPr>
                <w:rFonts w:ascii="Myriad Pro" w:hAnsi="Myriad Pro"/>
                <w:color w:val="000000" w:themeColor="text1"/>
                <w:sz w:val="21"/>
                <w:szCs w:val="21"/>
              </w:rPr>
            </w:pPr>
          </w:p>
        </w:tc>
      </w:tr>
      <w:tr w:rsidR="003C3C73"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3C3C73" w:rsidRDefault="003C3C73" w:rsidP="002B2199">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6D74FF2E"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3C6E8511"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3C3C73" w:rsidRDefault="003C3C73" w:rsidP="002B2199">
            <w:pPr>
              <w:rPr>
                <w:rFonts w:ascii="Myriad Pro" w:hAnsi="Myriad Pro"/>
                <w:color w:val="000000" w:themeColor="text1"/>
                <w:sz w:val="21"/>
                <w:szCs w:val="21"/>
              </w:rPr>
            </w:pPr>
          </w:p>
        </w:tc>
      </w:tr>
      <w:tr w:rsidR="003C3C73"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58ECC2FE"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0E016970"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3C3C73" w:rsidRDefault="003C3C73" w:rsidP="002B2199">
            <w:pPr>
              <w:rPr>
                <w:rFonts w:ascii="Myriad Pro" w:hAnsi="Myriad Pro"/>
                <w:color w:val="000000" w:themeColor="text1"/>
                <w:sz w:val="21"/>
                <w:szCs w:val="21"/>
              </w:rPr>
            </w:pPr>
          </w:p>
        </w:tc>
      </w:tr>
      <w:tr w:rsidR="003C3C73"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3C3C73" w:rsidRDefault="003C3C73" w:rsidP="002B2199">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6D2569C8"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4F58201B"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3C3C73" w:rsidRDefault="003C3C73" w:rsidP="002B2199">
            <w:pPr>
              <w:rPr>
                <w:rFonts w:ascii="Myriad Pro" w:hAnsi="Myriad Pro"/>
                <w:color w:val="000000" w:themeColor="text1"/>
                <w:sz w:val="21"/>
                <w:szCs w:val="21"/>
              </w:rPr>
            </w:pPr>
          </w:p>
        </w:tc>
      </w:tr>
      <w:tr w:rsidR="003C3C73"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3C3C73" w:rsidRDefault="003C3C73" w:rsidP="002B2199">
            <w:pPr>
              <w:rPr>
                <w:rFonts w:ascii="Myriad Pro" w:hAnsi="Myriad Pro"/>
                <w:color w:val="000000" w:themeColor="text1"/>
                <w:sz w:val="21"/>
                <w:szCs w:val="21"/>
              </w:rPr>
            </w:pPr>
          </w:p>
        </w:tc>
        <w:tc>
          <w:tcPr>
            <w:tcW w:w="3063" w:type="dxa"/>
            <w:tcBorders>
              <w:top w:val="single" w:sz="4" w:space="0" w:color="1F3864" w:themeColor="accent1" w:themeShade="80"/>
            </w:tcBorders>
          </w:tcPr>
          <w:p w14:paraId="6EEDD795" w14:textId="77777777" w:rsidR="003C3C73" w:rsidRPr="003C3C73" w:rsidRDefault="003C3C73" w:rsidP="002B2199">
            <w:pPr>
              <w:rPr>
                <w:rFonts w:ascii="Myriad Pro" w:hAnsi="Myriad Pro"/>
                <w:color w:val="000000" w:themeColor="text1"/>
                <w:sz w:val="21"/>
                <w:szCs w:val="21"/>
              </w:rPr>
            </w:pPr>
          </w:p>
        </w:tc>
        <w:tc>
          <w:tcPr>
            <w:tcW w:w="2610" w:type="dxa"/>
            <w:tcBorders>
              <w:top w:val="single" w:sz="4" w:space="0" w:color="1F3864" w:themeColor="accent1" w:themeShade="80"/>
            </w:tcBorders>
          </w:tcPr>
          <w:p w14:paraId="3574509D" w14:textId="77777777" w:rsidR="003C3C73" w:rsidRPr="003C3C73" w:rsidRDefault="003C3C73" w:rsidP="002B219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3C3C73" w:rsidRDefault="003C3C73" w:rsidP="002B2199">
            <w:pPr>
              <w:rPr>
                <w:rFonts w:ascii="Myriad Pro" w:hAnsi="Myriad Pro"/>
                <w:color w:val="000000" w:themeColor="text1"/>
                <w:sz w:val="21"/>
                <w:szCs w:val="21"/>
              </w:rPr>
            </w:pPr>
          </w:p>
        </w:tc>
      </w:tr>
      <w:tr w:rsidR="003C3C73"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3C3C73" w:rsidRDefault="003C3C73" w:rsidP="002B2199">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F0043D" w:rsidRDefault="003C3C73" w:rsidP="002B2199">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F0043D" w:rsidRDefault="003C3C73" w:rsidP="002B2199">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F0043D" w:rsidRDefault="003C3C73" w:rsidP="002B2199">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F0043D" w:rsidRDefault="003C3C73" w:rsidP="002B2199">
            <w:pPr>
              <w:rPr>
                <w:rFonts w:ascii="Myriad Pro" w:hAnsi="Myriad Pro"/>
                <w:color w:val="000000"/>
                <w:sz w:val="21"/>
                <w:szCs w:val="21"/>
              </w:rPr>
            </w:pPr>
          </w:p>
        </w:tc>
      </w:tr>
      <w:tr w:rsidR="003C3C73"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F0043D" w:rsidRDefault="003C3C73" w:rsidP="002B2199">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40E3C978" w14:textId="77777777" w:rsidR="00FF139C" w:rsidRPr="00FF139C" w:rsidRDefault="00FF139C" w:rsidP="00FF139C">
      <w:pPr>
        <w:rPr>
          <w:rFonts w:ascii="Myriad Pro" w:hAnsi="Myriad Pro"/>
          <w:b/>
          <w:bCs/>
          <w:sz w:val="26"/>
          <w:szCs w:val="26"/>
        </w:rPr>
      </w:pPr>
    </w:p>
    <w:p w14:paraId="62FF0F57" w14:textId="7151445B" w:rsidR="00965DF2" w:rsidRDefault="00965DF2" w:rsidP="00FF139C">
      <w:pPr>
        <w:rPr>
          <w:rFonts w:ascii="Myriad Pro" w:hAnsi="Myriad Pro"/>
          <w:b/>
          <w:bCs/>
          <w:sz w:val="26"/>
          <w:szCs w:val="26"/>
        </w:rPr>
      </w:pPr>
    </w:p>
    <w:p w14:paraId="55B84940" w14:textId="19DEEF33" w:rsidR="00F82604" w:rsidRDefault="00F82604" w:rsidP="00FF139C">
      <w:pPr>
        <w:rPr>
          <w:rFonts w:ascii="Myriad Pro" w:hAnsi="Myriad Pro"/>
          <w:b/>
          <w:bCs/>
          <w:sz w:val="26"/>
          <w:szCs w:val="26"/>
        </w:rPr>
      </w:pPr>
    </w:p>
    <w:p w14:paraId="6FF9A7ED" w14:textId="77777777" w:rsidR="00066FCF" w:rsidRDefault="00066FCF" w:rsidP="00FF139C">
      <w:pPr>
        <w:rPr>
          <w:rFonts w:ascii="Myriad Pro" w:hAnsi="Myriad Pro"/>
          <w:b/>
          <w:bCs/>
          <w:sz w:val="26"/>
          <w:szCs w:val="26"/>
        </w:rPr>
        <w:sectPr w:rsidR="00066FCF" w:rsidSect="00F82604">
          <w:pgSz w:w="12240" w:h="15840"/>
          <w:pgMar w:top="994" w:right="1152" w:bottom="1152" w:left="1440" w:header="720" w:footer="270" w:gutter="0"/>
          <w:cols w:space="720"/>
          <w:docGrid w:linePitch="360"/>
        </w:sectPr>
      </w:pPr>
    </w:p>
    <w:p w14:paraId="034576F9" w14:textId="21FA1D4D" w:rsidR="00BD1612" w:rsidRPr="00FF139C" w:rsidRDefault="00BD1612" w:rsidP="00FF139C">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sidR="007A3FAF">
        <w:rPr>
          <w:rFonts w:ascii="Myriad Pro" w:hAnsi="Myriad Pro"/>
          <w:b/>
          <w:bCs/>
          <w:sz w:val="26"/>
          <w:szCs w:val="26"/>
        </w:rPr>
        <w:t>E</w:t>
      </w:r>
      <w:r w:rsidRPr="00FF139C">
        <w:rPr>
          <w:rFonts w:ascii="Myriad Pro" w:hAnsi="Myriad Pro"/>
          <w:b/>
          <w:bCs/>
          <w:sz w:val="26"/>
          <w:szCs w:val="26"/>
        </w:rPr>
        <w:t>: UNEG Code of Conduct for Evaluators</w:t>
      </w:r>
    </w:p>
    <w:p w14:paraId="7A0533FF" w14:textId="77777777" w:rsidR="00965DF2" w:rsidRPr="00AA6A2E" w:rsidRDefault="00965DF2" w:rsidP="00965DF2">
      <w:pPr>
        <w:jc w:val="both"/>
        <w:rPr>
          <w:b/>
        </w:rPr>
      </w:pPr>
      <w:bookmarkStart w:id="6" w:name="_Toc44378103"/>
      <w:r w:rsidRPr="00AA6A2E">
        <w:rPr>
          <w:b/>
          <w:noProof/>
          <w:color w:val="808080" w:themeColor="background1" w:themeShade="80"/>
        </w:rPr>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7625E7" w:rsidRPr="00B36208" w:rsidRDefault="007625E7"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7625E7" w:rsidRPr="00B36208" w:rsidRDefault="007625E7" w:rsidP="00965DF2">
                            <w:pPr>
                              <w:autoSpaceDE w:val="0"/>
                              <w:autoSpaceDN w:val="0"/>
                              <w:adjustRightInd w:val="0"/>
                              <w:spacing w:after="0" w:line="240" w:lineRule="auto"/>
                              <w:rPr>
                                <w:rFonts w:ascii="Myriad Pro" w:hAnsi="Myriad Pro"/>
                                <w:color w:val="000000"/>
                                <w:sz w:val="16"/>
                                <w:szCs w:val="16"/>
                              </w:rPr>
                            </w:pPr>
                          </w:p>
                          <w:p w14:paraId="3132DE95"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7625E7" w:rsidRPr="00DD0D1D"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7625E7" w:rsidRPr="00DD0D1D" w:rsidRDefault="007625E7" w:rsidP="008B7B77">
                            <w:pPr>
                              <w:pStyle w:val="ListParagraph"/>
                              <w:numPr>
                                <w:ilvl w:val="0"/>
                                <w:numId w:val="18"/>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7625E7" w:rsidRPr="00DD0D1D" w:rsidRDefault="007625E7" w:rsidP="008B7B77">
                            <w:pPr>
                              <w:pStyle w:val="ListParagraph"/>
                              <w:numPr>
                                <w:ilvl w:val="0"/>
                                <w:numId w:val="18"/>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7625E7" w:rsidRPr="00DD0D1D" w:rsidRDefault="007625E7" w:rsidP="008B7B77">
                            <w:pPr>
                              <w:pStyle w:val="ListParagraph"/>
                              <w:numPr>
                                <w:ilvl w:val="0"/>
                                <w:numId w:val="18"/>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7625E7" w:rsidRPr="00B36208" w:rsidRDefault="007625E7"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7625E7" w:rsidRPr="00B36208" w:rsidRDefault="007625E7" w:rsidP="00965DF2">
                            <w:pPr>
                              <w:spacing w:after="0" w:line="240" w:lineRule="auto"/>
                              <w:rPr>
                                <w:rFonts w:ascii="Myriad Pro" w:hAnsi="Myriad Pro"/>
                                <w:color w:val="000000"/>
                                <w:sz w:val="16"/>
                                <w:szCs w:val="16"/>
                              </w:rPr>
                            </w:pPr>
                          </w:p>
                          <w:p w14:paraId="4E7428CA"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7625E7" w:rsidRPr="00B36208" w:rsidRDefault="007625E7" w:rsidP="00965DF2">
                            <w:pPr>
                              <w:spacing w:after="0" w:line="240" w:lineRule="auto"/>
                              <w:rPr>
                                <w:rFonts w:ascii="Myriad Pro" w:hAnsi="Myriad Pro"/>
                                <w:color w:val="000000"/>
                                <w:sz w:val="16"/>
                                <w:szCs w:val="16"/>
                              </w:rPr>
                            </w:pPr>
                          </w:p>
                          <w:p w14:paraId="16764074"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7625E7" w:rsidRPr="00B36208" w:rsidRDefault="007625E7" w:rsidP="00965DF2">
                            <w:pPr>
                              <w:spacing w:after="0" w:line="240" w:lineRule="auto"/>
                              <w:rPr>
                                <w:rFonts w:ascii="Myriad Pro" w:hAnsi="Myriad Pro"/>
                                <w:color w:val="000000"/>
                                <w:sz w:val="16"/>
                                <w:szCs w:val="16"/>
                              </w:rPr>
                            </w:pPr>
                          </w:p>
                          <w:p w14:paraId="200B54C0"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7625E7" w:rsidRPr="00B36208" w:rsidRDefault="007625E7" w:rsidP="00965DF2">
                            <w:pPr>
                              <w:spacing w:after="0" w:line="240" w:lineRule="auto"/>
                              <w:rPr>
                                <w:rFonts w:ascii="Myriad Pro" w:hAnsi="Myriad Pro"/>
                                <w:color w:val="000000"/>
                                <w:sz w:val="16"/>
                                <w:szCs w:val="16"/>
                              </w:rPr>
                            </w:pPr>
                          </w:p>
                          <w:p w14:paraId="53084B9D"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7625E7" w:rsidRPr="00B36208" w:rsidRDefault="007625E7" w:rsidP="00965DF2">
                            <w:pPr>
                              <w:spacing w:after="0" w:line="240" w:lineRule="auto"/>
                              <w:rPr>
                                <w:rFonts w:ascii="Myriad Pro" w:hAnsi="Myriad Pro"/>
                                <w:color w:val="000000"/>
                                <w:sz w:val="16"/>
                                <w:szCs w:val="16"/>
                              </w:rPr>
                            </w:pPr>
                          </w:p>
                          <w:p w14:paraId="22DAADCF"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7625E7" w:rsidRPr="00B36208" w:rsidRDefault="007625E7" w:rsidP="00965DF2">
                            <w:pPr>
                              <w:spacing w:after="0" w:line="240" w:lineRule="auto"/>
                              <w:rPr>
                                <w:rFonts w:ascii="Myriad Pro" w:hAnsi="Myriad Pro"/>
                                <w:color w:val="000000"/>
                                <w:sz w:val="16"/>
                                <w:szCs w:val="16"/>
                              </w:rPr>
                            </w:pPr>
                          </w:p>
                          <w:p w14:paraId="5C419D32"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7625E7" w:rsidRPr="00B36208" w:rsidRDefault="007625E7"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7625E7" w:rsidRPr="00B36208" w:rsidRDefault="007625E7" w:rsidP="00965DF2">
                      <w:pPr>
                        <w:autoSpaceDE w:val="0"/>
                        <w:autoSpaceDN w:val="0"/>
                        <w:adjustRightInd w:val="0"/>
                        <w:spacing w:after="0" w:line="240" w:lineRule="auto"/>
                        <w:rPr>
                          <w:rFonts w:ascii="Myriad Pro" w:hAnsi="Myriad Pro"/>
                          <w:color w:val="000000"/>
                          <w:sz w:val="16"/>
                          <w:szCs w:val="16"/>
                        </w:rPr>
                      </w:pPr>
                    </w:p>
                    <w:p w14:paraId="3132DE95"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7625E7" w:rsidRPr="00B36208"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7625E7" w:rsidRPr="00DD0D1D" w:rsidRDefault="007625E7" w:rsidP="008B7B77">
                      <w:pPr>
                        <w:pStyle w:val="ListParagraph"/>
                        <w:numPr>
                          <w:ilvl w:val="0"/>
                          <w:numId w:val="1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7625E7" w:rsidRPr="00DD0D1D" w:rsidRDefault="007625E7" w:rsidP="008B7B77">
                      <w:pPr>
                        <w:pStyle w:val="ListParagraph"/>
                        <w:numPr>
                          <w:ilvl w:val="0"/>
                          <w:numId w:val="18"/>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7625E7" w:rsidRPr="00DD0D1D" w:rsidRDefault="007625E7" w:rsidP="008B7B77">
                      <w:pPr>
                        <w:pStyle w:val="ListParagraph"/>
                        <w:numPr>
                          <w:ilvl w:val="0"/>
                          <w:numId w:val="18"/>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7625E7" w:rsidRPr="00DD0D1D" w:rsidRDefault="007625E7" w:rsidP="008B7B77">
                      <w:pPr>
                        <w:pStyle w:val="ListParagraph"/>
                        <w:numPr>
                          <w:ilvl w:val="0"/>
                          <w:numId w:val="18"/>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7625E7" w:rsidRPr="00B36208" w:rsidRDefault="007625E7"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7625E7" w:rsidRPr="00B36208" w:rsidRDefault="007625E7" w:rsidP="00965DF2">
                      <w:pPr>
                        <w:spacing w:after="0" w:line="240" w:lineRule="auto"/>
                        <w:rPr>
                          <w:rFonts w:ascii="Myriad Pro" w:hAnsi="Myriad Pro"/>
                          <w:color w:val="000000"/>
                          <w:sz w:val="16"/>
                          <w:szCs w:val="16"/>
                        </w:rPr>
                      </w:pPr>
                    </w:p>
                    <w:p w14:paraId="4E7428CA"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7625E7" w:rsidRPr="00B36208" w:rsidRDefault="007625E7" w:rsidP="00965DF2">
                      <w:pPr>
                        <w:spacing w:after="0" w:line="240" w:lineRule="auto"/>
                        <w:rPr>
                          <w:rFonts w:ascii="Myriad Pro" w:hAnsi="Myriad Pro"/>
                          <w:color w:val="000000"/>
                          <w:sz w:val="16"/>
                          <w:szCs w:val="16"/>
                        </w:rPr>
                      </w:pPr>
                    </w:p>
                    <w:p w14:paraId="16764074"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7625E7" w:rsidRPr="00B36208" w:rsidRDefault="007625E7" w:rsidP="00965DF2">
                      <w:pPr>
                        <w:spacing w:after="0" w:line="240" w:lineRule="auto"/>
                        <w:rPr>
                          <w:rFonts w:ascii="Myriad Pro" w:hAnsi="Myriad Pro"/>
                          <w:color w:val="000000"/>
                          <w:sz w:val="16"/>
                          <w:szCs w:val="16"/>
                        </w:rPr>
                      </w:pPr>
                    </w:p>
                    <w:p w14:paraId="200B54C0"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7625E7" w:rsidRPr="00B36208" w:rsidRDefault="007625E7" w:rsidP="00965DF2">
                      <w:pPr>
                        <w:spacing w:after="0" w:line="240" w:lineRule="auto"/>
                        <w:rPr>
                          <w:rFonts w:ascii="Myriad Pro" w:hAnsi="Myriad Pro"/>
                          <w:color w:val="000000"/>
                          <w:sz w:val="16"/>
                          <w:szCs w:val="16"/>
                        </w:rPr>
                      </w:pPr>
                    </w:p>
                    <w:p w14:paraId="53084B9D"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7625E7" w:rsidRPr="00B36208" w:rsidRDefault="007625E7" w:rsidP="00965DF2">
                      <w:pPr>
                        <w:spacing w:after="0" w:line="240" w:lineRule="auto"/>
                        <w:rPr>
                          <w:rFonts w:ascii="Myriad Pro" w:hAnsi="Myriad Pro"/>
                          <w:color w:val="000000"/>
                          <w:sz w:val="16"/>
                          <w:szCs w:val="16"/>
                        </w:rPr>
                      </w:pPr>
                    </w:p>
                    <w:p w14:paraId="22DAADCF"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7625E7" w:rsidRPr="00B36208" w:rsidRDefault="007625E7" w:rsidP="00965DF2">
                      <w:pPr>
                        <w:spacing w:after="0" w:line="240" w:lineRule="auto"/>
                        <w:rPr>
                          <w:rFonts w:ascii="Myriad Pro" w:hAnsi="Myriad Pro"/>
                          <w:color w:val="000000"/>
                          <w:sz w:val="16"/>
                          <w:szCs w:val="16"/>
                        </w:rPr>
                      </w:pPr>
                    </w:p>
                    <w:p w14:paraId="5C419D32" w14:textId="77777777" w:rsidR="007625E7" w:rsidRPr="00B36208" w:rsidRDefault="007625E7"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AA6A2E">
        <w:t>goals</w:t>
      </w:r>
      <w:proofErr w:type="gramEnd"/>
      <w:r w:rsidRPr="00AA6A2E">
        <w:t xml:space="preserve"> and targets: utility, credibility, impartiality, ethics, transparency, human rights and gender equality, national evaluation capacities, and professionalism).</w:t>
      </w:r>
      <w:bookmarkEnd w:id="6"/>
      <w:r w:rsidRPr="00AA6A2E">
        <w:rPr>
          <w:b/>
        </w:rPr>
        <w:br w:type="page"/>
      </w:r>
    </w:p>
    <w:p w14:paraId="1AF1EED3" w14:textId="16BBFE92" w:rsidR="00BD1612" w:rsidRPr="00FF139C" w:rsidRDefault="00BD1612" w:rsidP="00FF139C">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sidR="007A3FAF">
        <w:rPr>
          <w:rFonts w:ascii="Myriad Pro" w:hAnsi="Myriad Pro"/>
          <w:b/>
          <w:bCs/>
          <w:sz w:val="26"/>
          <w:szCs w:val="26"/>
        </w:rPr>
        <w:t>F</w:t>
      </w:r>
      <w:r w:rsidRPr="00FF139C">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809"/>
        <w:gridCol w:w="4752"/>
      </w:tblGrid>
      <w:tr w:rsidR="00D3718B" w:rsidRPr="00D6638C"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3200D5" w:rsidRDefault="00D3718B" w:rsidP="002B2199">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3200D5" w:rsidRDefault="00D3718B" w:rsidP="002B2199">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454F91D8" w14:textId="77777777" w:rsidR="00D3718B" w:rsidRPr="003200D5" w:rsidRDefault="00D3718B" w:rsidP="002B2199">
            <w:pPr>
              <w:spacing w:after="0" w:line="240" w:lineRule="auto"/>
              <w:rPr>
                <w:rFonts w:ascii="Myriad Pro" w:hAnsi="Myriad Pro"/>
                <w:color w:val="FFFFFF" w:themeColor="background1"/>
                <w:sz w:val="21"/>
                <w:szCs w:val="21"/>
              </w:rPr>
            </w:pPr>
          </w:p>
        </w:tc>
      </w:tr>
      <w:tr w:rsidR="00D3718B" w:rsidRPr="00D6638C"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13BD1BC0"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58DE62D3"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66821CD4"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2898EB9A"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0D932CB8"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6227440B" w14:textId="77777777" w:rsidR="00D3718B" w:rsidRPr="00D3718B" w:rsidRDefault="00D3718B" w:rsidP="002B219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176A327D" w14:textId="77777777" w:rsidR="00D3718B" w:rsidRPr="00D3718B" w:rsidRDefault="00D3718B" w:rsidP="002B2199">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D3718B" w:rsidRDefault="00D3718B" w:rsidP="002B2199">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3A32CBDE" w14:textId="77777777" w:rsidR="00D3718B" w:rsidRPr="00D3718B" w:rsidRDefault="00D3718B" w:rsidP="002B219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49C3CB21" w14:textId="77777777" w:rsidR="00D3718B" w:rsidRPr="00D3718B" w:rsidRDefault="00D3718B" w:rsidP="002B219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775495C4" w14:textId="77777777" w:rsidR="00D3718B" w:rsidRPr="00D3718B" w:rsidRDefault="00D3718B" w:rsidP="002B219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030265CF" w14:textId="77777777" w:rsidR="00D3718B" w:rsidRPr="00D3718B" w:rsidRDefault="00D3718B" w:rsidP="002B219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0E08755E" w14:textId="77777777" w:rsidR="00D3718B" w:rsidRPr="00D3718B" w:rsidRDefault="00D3718B" w:rsidP="002B2199">
            <w:pPr>
              <w:spacing w:after="0" w:line="240" w:lineRule="auto"/>
              <w:rPr>
                <w:rFonts w:ascii="Myriad Pro" w:hAnsi="Myriad Pro"/>
                <w:color w:val="000000" w:themeColor="text1"/>
                <w:sz w:val="21"/>
                <w:szCs w:val="21"/>
              </w:rPr>
            </w:pPr>
          </w:p>
        </w:tc>
      </w:tr>
    </w:tbl>
    <w:p w14:paraId="6E5E8E72" w14:textId="79CC8658" w:rsidR="00FF139C" w:rsidRDefault="00FF139C" w:rsidP="00FF139C">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5F2719" w14:paraId="324526AA" w14:textId="77777777" w:rsidTr="005F2719">
        <w:trPr>
          <w:trHeight w:val="350"/>
          <w:jc w:val="center"/>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7416178" w14:textId="77777777" w:rsidR="005F2719" w:rsidRDefault="005F2719">
            <w:pPr>
              <w:jc w:val="center"/>
              <w:rPr>
                <w:rFonts w:ascii="Myriad Pro" w:hAnsi="Myriad Pro"/>
                <w:b/>
                <w:bCs/>
                <w:sz w:val="21"/>
                <w:szCs w:val="21"/>
              </w:rPr>
            </w:pPr>
            <w:r>
              <w:rPr>
                <w:rFonts w:ascii="Myriad Pro" w:hAnsi="Myriad Pro"/>
                <w:b/>
                <w:bCs/>
                <w:sz w:val="21"/>
                <w:szCs w:val="21"/>
              </w:rPr>
              <w:t>Evaluation Ratings Table</w:t>
            </w:r>
          </w:p>
        </w:tc>
      </w:tr>
      <w:tr w:rsidR="005F2719" w14:paraId="27E6E684"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1E91B15" w14:textId="77777777" w:rsidR="005F2719" w:rsidRDefault="005F2719" w:rsidP="008B7B77">
            <w:pPr>
              <w:pStyle w:val="ListParagraph"/>
              <w:numPr>
                <w:ilvl w:val="0"/>
                <w:numId w:val="25"/>
              </w:numPr>
              <w:ind w:left="337" w:hanging="337"/>
              <w:jc w:val="both"/>
              <w:rPr>
                <w:rFonts w:ascii="Myriad Pro" w:hAnsi="Myriad Pro"/>
                <w:color w:val="FFFFFF" w:themeColor="background1"/>
                <w:sz w:val="21"/>
                <w:szCs w:val="21"/>
              </w:rPr>
            </w:pPr>
            <w:r>
              <w:rPr>
                <w:rFonts w:ascii="Myriad Pro" w:hAnsi="Myriad Pro"/>
                <w:color w:val="FFFFFF" w:themeColor="background1"/>
                <w:sz w:val="21"/>
                <w:szCs w:val="21"/>
              </w:rPr>
              <w:t>Monitoring &amp; Evaluation (M&amp;E)</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6C0A782" w14:textId="77777777" w:rsidR="005F2719" w:rsidRDefault="005F2719">
            <w:pPr>
              <w:jc w:val="both"/>
              <w:rPr>
                <w:rFonts w:ascii="Myriad Pro" w:hAnsi="Myriad Pro"/>
                <w:color w:val="FFFFFF" w:themeColor="background1"/>
                <w:sz w:val="21"/>
                <w:szCs w:val="21"/>
              </w:rPr>
            </w:pPr>
            <w:r>
              <w:rPr>
                <w:rFonts w:ascii="Myriad Pro" w:hAnsi="Myriad Pro"/>
                <w:color w:val="FFFFFF" w:themeColor="background1"/>
                <w:sz w:val="21"/>
                <w:szCs w:val="21"/>
              </w:rPr>
              <w:t>Rating</w:t>
            </w:r>
            <w:r>
              <w:rPr>
                <w:rFonts w:ascii="Myriad Pro" w:hAnsi="Myriad Pro"/>
                <w:color w:val="FFFFFF" w:themeColor="background1"/>
                <w:sz w:val="23"/>
                <w:vertAlign w:val="superscript"/>
              </w:rPr>
              <w:footnoteReference w:id="3"/>
            </w:r>
          </w:p>
        </w:tc>
      </w:tr>
      <w:tr w:rsidR="005F2719" w14:paraId="0B19AECB"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602629F2"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M&amp;E design at entry</w:t>
            </w:r>
          </w:p>
        </w:tc>
        <w:tc>
          <w:tcPr>
            <w:tcW w:w="1795" w:type="dxa"/>
            <w:tcBorders>
              <w:top w:val="single" w:sz="4" w:space="0" w:color="auto"/>
              <w:left w:val="single" w:sz="4" w:space="0" w:color="auto"/>
              <w:bottom w:val="single" w:sz="4" w:space="0" w:color="auto"/>
              <w:right w:val="single" w:sz="4" w:space="0" w:color="auto"/>
            </w:tcBorders>
          </w:tcPr>
          <w:p w14:paraId="33241A82" w14:textId="77777777" w:rsidR="005F2719" w:rsidRDefault="005F2719">
            <w:pPr>
              <w:jc w:val="both"/>
              <w:rPr>
                <w:rFonts w:ascii="Myriad Pro" w:hAnsi="Myriad Pro"/>
                <w:color w:val="000000"/>
                <w:sz w:val="21"/>
                <w:szCs w:val="21"/>
              </w:rPr>
            </w:pPr>
          </w:p>
        </w:tc>
      </w:tr>
      <w:tr w:rsidR="005F2719" w14:paraId="63A0E54F"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735352BF"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M&amp;E Plan Implementation</w:t>
            </w:r>
          </w:p>
        </w:tc>
        <w:tc>
          <w:tcPr>
            <w:tcW w:w="1795" w:type="dxa"/>
            <w:tcBorders>
              <w:top w:val="single" w:sz="4" w:space="0" w:color="auto"/>
              <w:left w:val="single" w:sz="4" w:space="0" w:color="auto"/>
              <w:bottom w:val="single" w:sz="4" w:space="0" w:color="auto"/>
              <w:right w:val="single" w:sz="4" w:space="0" w:color="auto"/>
            </w:tcBorders>
          </w:tcPr>
          <w:p w14:paraId="5E9A61A5" w14:textId="77777777" w:rsidR="005F2719" w:rsidRDefault="005F2719">
            <w:pPr>
              <w:jc w:val="both"/>
              <w:rPr>
                <w:rFonts w:ascii="Myriad Pro" w:hAnsi="Myriad Pro"/>
                <w:color w:val="000000"/>
                <w:sz w:val="21"/>
                <w:szCs w:val="21"/>
              </w:rPr>
            </w:pPr>
          </w:p>
        </w:tc>
      </w:tr>
      <w:tr w:rsidR="005F2719" w14:paraId="67F36710"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89F6E5"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Overall Quality of M&amp;E</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D177F1" w14:textId="77777777" w:rsidR="005F2719" w:rsidRDefault="005F2719">
            <w:pPr>
              <w:jc w:val="both"/>
              <w:rPr>
                <w:rFonts w:ascii="Myriad Pro" w:hAnsi="Myriad Pro"/>
                <w:color w:val="000000"/>
                <w:sz w:val="21"/>
                <w:szCs w:val="21"/>
              </w:rPr>
            </w:pPr>
          </w:p>
        </w:tc>
      </w:tr>
      <w:tr w:rsidR="005F2719" w14:paraId="00D46A09"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FC5BD3B" w14:textId="77777777" w:rsidR="005F2719" w:rsidRDefault="005F2719" w:rsidP="008B7B77">
            <w:pPr>
              <w:pStyle w:val="ListParagraph"/>
              <w:numPr>
                <w:ilvl w:val="0"/>
                <w:numId w:val="25"/>
              </w:numPr>
              <w:ind w:left="337" w:hanging="337"/>
              <w:jc w:val="both"/>
              <w:rPr>
                <w:rFonts w:ascii="Myriad Pro" w:hAnsi="Myriad Pro"/>
                <w:color w:val="FFFFFF" w:themeColor="background1"/>
                <w:sz w:val="21"/>
                <w:szCs w:val="21"/>
              </w:rPr>
            </w:pPr>
            <w:r>
              <w:rPr>
                <w:rFonts w:ascii="Myriad Pro" w:hAnsi="Myriad Pro"/>
                <w:color w:val="FFFFFF" w:themeColor="background1"/>
                <w:sz w:val="21"/>
                <w:szCs w:val="21"/>
              </w:rPr>
              <w:t>Implementation &amp; Execution</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FF97A44" w14:textId="77777777" w:rsidR="005F2719" w:rsidRDefault="005F2719">
            <w:pPr>
              <w:jc w:val="both"/>
              <w:rPr>
                <w:rFonts w:ascii="Myriad Pro" w:hAnsi="Myriad Pro"/>
                <w:color w:val="FFFFFF" w:themeColor="background1"/>
                <w:sz w:val="21"/>
                <w:szCs w:val="21"/>
              </w:rPr>
            </w:pPr>
            <w:r>
              <w:rPr>
                <w:rFonts w:ascii="Myriad Pro" w:hAnsi="Myriad Pro"/>
                <w:color w:val="FFFFFF" w:themeColor="background1"/>
                <w:sz w:val="21"/>
                <w:szCs w:val="21"/>
              </w:rPr>
              <w:t>Rating</w:t>
            </w:r>
          </w:p>
        </w:tc>
      </w:tr>
      <w:tr w:rsidR="005F2719" w14:paraId="5ED9126D"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6FF47AE3" w14:textId="77777777" w:rsidR="005F2719" w:rsidRDefault="005F2719">
            <w:pPr>
              <w:ind w:left="970" w:hanging="610"/>
              <w:jc w:val="both"/>
              <w:rPr>
                <w:rFonts w:ascii="Myriad Pro" w:hAnsi="Myriad Pro"/>
                <w:color w:val="000000"/>
                <w:sz w:val="21"/>
                <w:szCs w:val="21"/>
              </w:rPr>
            </w:pPr>
            <w:r>
              <w:rPr>
                <w:rFonts w:ascii="Myriad Pro" w:hAnsi="Myriad Pro"/>
                <w:color w:val="000000"/>
                <w:sz w:val="21"/>
                <w:szCs w:val="21"/>
              </w:rPr>
              <w:t xml:space="preserve">Quality of UNDP Implementation/Oversight </w:t>
            </w:r>
          </w:p>
        </w:tc>
        <w:tc>
          <w:tcPr>
            <w:tcW w:w="1795" w:type="dxa"/>
            <w:tcBorders>
              <w:top w:val="single" w:sz="4" w:space="0" w:color="auto"/>
              <w:left w:val="single" w:sz="4" w:space="0" w:color="auto"/>
              <w:bottom w:val="single" w:sz="4" w:space="0" w:color="auto"/>
              <w:right w:val="single" w:sz="4" w:space="0" w:color="auto"/>
            </w:tcBorders>
          </w:tcPr>
          <w:p w14:paraId="111B4956" w14:textId="77777777" w:rsidR="005F2719" w:rsidRDefault="005F2719">
            <w:pPr>
              <w:jc w:val="both"/>
              <w:rPr>
                <w:rFonts w:ascii="Myriad Pro" w:hAnsi="Myriad Pro"/>
                <w:color w:val="000000"/>
                <w:sz w:val="21"/>
                <w:szCs w:val="21"/>
              </w:rPr>
            </w:pPr>
          </w:p>
        </w:tc>
      </w:tr>
      <w:tr w:rsidR="005F2719" w14:paraId="2DC3AD0D"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48A4C38D" w14:textId="77777777" w:rsidR="005F2719" w:rsidRDefault="005F2719">
            <w:pPr>
              <w:ind w:left="970" w:hanging="610"/>
              <w:jc w:val="both"/>
              <w:rPr>
                <w:rFonts w:ascii="Myriad Pro" w:hAnsi="Myriad Pro"/>
                <w:color w:val="000000"/>
                <w:sz w:val="21"/>
                <w:szCs w:val="21"/>
              </w:rPr>
            </w:pPr>
            <w:r>
              <w:rPr>
                <w:rFonts w:ascii="Myriad Pro" w:hAnsi="Myriad Pro"/>
                <w:color w:val="000000"/>
                <w:sz w:val="21"/>
                <w:szCs w:val="21"/>
              </w:rPr>
              <w:t>Quality of Implementing Partner Execution</w:t>
            </w:r>
          </w:p>
        </w:tc>
        <w:tc>
          <w:tcPr>
            <w:tcW w:w="1795" w:type="dxa"/>
            <w:tcBorders>
              <w:top w:val="single" w:sz="4" w:space="0" w:color="auto"/>
              <w:left w:val="single" w:sz="4" w:space="0" w:color="auto"/>
              <w:bottom w:val="single" w:sz="4" w:space="0" w:color="auto"/>
              <w:right w:val="single" w:sz="4" w:space="0" w:color="auto"/>
            </w:tcBorders>
          </w:tcPr>
          <w:p w14:paraId="73EEDDE6" w14:textId="77777777" w:rsidR="005F2719" w:rsidRDefault="005F2719">
            <w:pPr>
              <w:jc w:val="both"/>
              <w:rPr>
                <w:rFonts w:ascii="Myriad Pro" w:hAnsi="Myriad Pro"/>
                <w:color w:val="000000"/>
                <w:sz w:val="21"/>
                <w:szCs w:val="21"/>
              </w:rPr>
            </w:pPr>
          </w:p>
        </w:tc>
      </w:tr>
      <w:tr w:rsidR="005F2719" w14:paraId="3E172A10"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D2A629" w14:textId="77777777" w:rsidR="005F2719" w:rsidRDefault="005F2719">
            <w:pPr>
              <w:ind w:left="970" w:hanging="610"/>
              <w:jc w:val="both"/>
              <w:rPr>
                <w:rFonts w:ascii="Myriad Pro" w:hAnsi="Myriad Pro"/>
                <w:color w:val="000000"/>
                <w:sz w:val="21"/>
                <w:szCs w:val="21"/>
              </w:rPr>
            </w:pPr>
            <w:r>
              <w:rPr>
                <w:rFonts w:ascii="Myriad Pro" w:hAnsi="Myriad Pro"/>
                <w:color w:val="000000"/>
                <w:sz w:val="21"/>
                <w:szCs w:val="21"/>
              </w:rPr>
              <w:t>Overall quality of Implementation/Execution</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3D55F4" w14:textId="77777777" w:rsidR="005F2719" w:rsidRDefault="005F2719">
            <w:pPr>
              <w:jc w:val="both"/>
              <w:rPr>
                <w:rFonts w:ascii="Myriad Pro" w:hAnsi="Myriad Pro"/>
                <w:color w:val="000000"/>
                <w:sz w:val="21"/>
                <w:szCs w:val="21"/>
              </w:rPr>
            </w:pPr>
          </w:p>
        </w:tc>
      </w:tr>
      <w:tr w:rsidR="005F2719" w14:paraId="7B071291"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9B5790A" w14:textId="77777777" w:rsidR="005F2719" w:rsidRDefault="005F2719" w:rsidP="008B7B77">
            <w:pPr>
              <w:pStyle w:val="ListParagraph"/>
              <w:numPr>
                <w:ilvl w:val="0"/>
                <w:numId w:val="25"/>
              </w:numPr>
              <w:ind w:left="337" w:hanging="337"/>
              <w:jc w:val="both"/>
              <w:rPr>
                <w:rFonts w:ascii="Myriad Pro" w:hAnsi="Myriad Pro"/>
                <w:color w:val="FFFFFF" w:themeColor="background1"/>
                <w:sz w:val="21"/>
                <w:szCs w:val="21"/>
              </w:rPr>
            </w:pPr>
            <w:r>
              <w:rPr>
                <w:rFonts w:ascii="Myriad Pro" w:hAnsi="Myriad Pro"/>
                <w:color w:val="FFFFFF" w:themeColor="background1"/>
                <w:sz w:val="21"/>
                <w:szCs w:val="21"/>
              </w:rPr>
              <w:t>Assessment of Outcomes</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1F12436" w14:textId="77777777" w:rsidR="005F2719" w:rsidRDefault="005F2719">
            <w:pPr>
              <w:jc w:val="both"/>
              <w:rPr>
                <w:rFonts w:ascii="Myriad Pro" w:hAnsi="Myriad Pro"/>
                <w:color w:val="FFFFFF" w:themeColor="background1"/>
                <w:sz w:val="21"/>
                <w:szCs w:val="21"/>
              </w:rPr>
            </w:pPr>
            <w:r>
              <w:rPr>
                <w:rFonts w:ascii="Myriad Pro" w:hAnsi="Myriad Pro"/>
                <w:color w:val="FFFFFF" w:themeColor="background1"/>
                <w:sz w:val="21"/>
                <w:szCs w:val="21"/>
              </w:rPr>
              <w:t>Rating</w:t>
            </w:r>
          </w:p>
        </w:tc>
      </w:tr>
      <w:tr w:rsidR="005F2719" w14:paraId="7630723D"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5960348B"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Relevance</w:t>
            </w:r>
          </w:p>
        </w:tc>
        <w:tc>
          <w:tcPr>
            <w:tcW w:w="1795" w:type="dxa"/>
            <w:tcBorders>
              <w:top w:val="single" w:sz="4" w:space="0" w:color="auto"/>
              <w:left w:val="single" w:sz="4" w:space="0" w:color="auto"/>
              <w:bottom w:val="single" w:sz="4" w:space="0" w:color="auto"/>
              <w:right w:val="single" w:sz="4" w:space="0" w:color="auto"/>
            </w:tcBorders>
          </w:tcPr>
          <w:p w14:paraId="5ACC99AD" w14:textId="77777777" w:rsidR="005F2719" w:rsidRDefault="005F2719">
            <w:pPr>
              <w:jc w:val="both"/>
              <w:rPr>
                <w:rFonts w:ascii="Myriad Pro" w:hAnsi="Myriad Pro"/>
                <w:color w:val="000000"/>
                <w:sz w:val="21"/>
                <w:szCs w:val="21"/>
              </w:rPr>
            </w:pPr>
          </w:p>
        </w:tc>
      </w:tr>
      <w:tr w:rsidR="005F2719" w14:paraId="1F8DB2F1"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3B9B79AF"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Effectiveness</w:t>
            </w:r>
          </w:p>
        </w:tc>
        <w:tc>
          <w:tcPr>
            <w:tcW w:w="1795" w:type="dxa"/>
            <w:tcBorders>
              <w:top w:val="single" w:sz="4" w:space="0" w:color="auto"/>
              <w:left w:val="single" w:sz="4" w:space="0" w:color="auto"/>
              <w:bottom w:val="single" w:sz="4" w:space="0" w:color="auto"/>
              <w:right w:val="single" w:sz="4" w:space="0" w:color="auto"/>
            </w:tcBorders>
          </w:tcPr>
          <w:p w14:paraId="5697FB3A" w14:textId="77777777" w:rsidR="005F2719" w:rsidRDefault="005F2719">
            <w:pPr>
              <w:jc w:val="both"/>
              <w:rPr>
                <w:rFonts w:ascii="Myriad Pro" w:hAnsi="Myriad Pro"/>
                <w:color w:val="000000"/>
                <w:sz w:val="21"/>
                <w:szCs w:val="21"/>
              </w:rPr>
            </w:pPr>
          </w:p>
        </w:tc>
      </w:tr>
      <w:tr w:rsidR="005F2719" w14:paraId="2181C24C"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1A169D59"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Efficiency</w:t>
            </w:r>
          </w:p>
        </w:tc>
        <w:tc>
          <w:tcPr>
            <w:tcW w:w="1795" w:type="dxa"/>
            <w:tcBorders>
              <w:top w:val="single" w:sz="4" w:space="0" w:color="auto"/>
              <w:left w:val="single" w:sz="4" w:space="0" w:color="auto"/>
              <w:bottom w:val="single" w:sz="4" w:space="0" w:color="auto"/>
              <w:right w:val="single" w:sz="4" w:space="0" w:color="auto"/>
            </w:tcBorders>
          </w:tcPr>
          <w:p w14:paraId="709F11FB" w14:textId="77777777" w:rsidR="005F2719" w:rsidRDefault="005F2719">
            <w:pPr>
              <w:jc w:val="both"/>
              <w:rPr>
                <w:rFonts w:ascii="Myriad Pro" w:hAnsi="Myriad Pro"/>
                <w:color w:val="000000"/>
                <w:sz w:val="21"/>
                <w:szCs w:val="21"/>
              </w:rPr>
            </w:pPr>
          </w:p>
        </w:tc>
      </w:tr>
      <w:tr w:rsidR="005F2719" w14:paraId="61811B86"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0797AF"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Overall Project Outcome Rating</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52BF48" w14:textId="77777777" w:rsidR="005F2719" w:rsidRDefault="005F2719">
            <w:pPr>
              <w:jc w:val="both"/>
              <w:rPr>
                <w:rFonts w:ascii="Myriad Pro" w:hAnsi="Myriad Pro"/>
                <w:color w:val="000000"/>
                <w:sz w:val="21"/>
                <w:szCs w:val="21"/>
              </w:rPr>
            </w:pPr>
          </w:p>
        </w:tc>
      </w:tr>
      <w:tr w:rsidR="005F2719" w14:paraId="4B046E23"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109D2E0" w14:textId="77777777" w:rsidR="005F2719" w:rsidRDefault="005F2719" w:rsidP="008B7B77">
            <w:pPr>
              <w:pStyle w:val="ListParagraph"/>
              <w:numPr>
                <w:ilvl w:val="0"/>
                <w:numId w:val="25"/>
              </w:numPr>
              <w:ind w:left="337" w:hanging="337"/>
              <w:jc w:val="both"/>
              <w:rPr>
                <w:rFonts w:ascii="Myriad Pro" w:hAnsi="Myriad Pro"/>
                <w:color w:val="FFFFFF" w:themeColor="background1"/>
                <w:sz w:val="21"/>
                <w:szCs w:val="21"/>
              </w:rPr>
            </w:pPr>
            <w:r>
              <w:rPr>
                <w:rFonts w:ascii="Myriad Pro" w:hAnsi="Myriad Pro"/>
                <w:color w:val="FFFFFF" w:themeColor="background1"/>
                <w:sz w:val="21"/>
                <w:szCs w:val="21"/>
              </w:rPr>
              <w:t>Sustainability</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EBA421" w14:textId="77777777" w:rsidR="005F2719" w:rsidRDefault="005F2719">
            <w:pPr>
              <w:jc w:val="both"/>
              <w:rPr>
                <w:rFonts w:ascii="Myriad Pro" w:hAnsi="Myriad Pro"/>
                <w:color w:val="FFFFFF" w:themeColor="background1"/>
                <w:sz w:val="21"/>
                <w:szCs w:val="21"/>
              </w:rPr>
            </w:pPr>
            <w:r>
              <w:rPr>
                <w:rFonts w:ascii="Myriad Pro" w:hAnsi="Myriad Pro"/>
                <w:color w:val="FFFFFF" w:themeColor="background1"/>
                <w:sz w:val="21"/>
                <w:szCs w:val="21"/>
              </w:rPr>
              <w:t>Rating</w:t>
            </w:r>
          </w:p>
        </w:tc>
      </w:tr>
      <w:tr w:rsidR="005F2719" w14:paraId="19CC9179"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040220FD"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Financial resources</w:t>
            </w:r>
          </w:p>
        </w:tc>
        <w:tc>
          <w:tcPr>
            <w:tcW w:w="1795" w:type="dxa"/>
            <w:tcBorders>
              <w:top w:val="single" w:sz="4" w:space="0" w:color="auto"/>
              <w:left w:val="single" w:sz="4" w:space="0" w:color="auto"/>
              <w:bottom w:val="single" w:sz="4" w:space="0" w:color="auto"/>
              <w:right w:val="single" w:sz="4" w:space="0" w:color="auto"/>
            </w:tcBorders>
          </w:tcPr>
          <w:p w14:paraId="60B84F71" w14:textId="77777777" w:rsidR="005F2719" w:rsidRDefault="005F2719">
            <w:pPr>
              <w:jc w:val="both"/>
              <w:rPr>
                <w:rFonts w:ascii="Myriad Pro" w:hAnsi="Myriad Pro"/>
                <w:color w:val="000000"/>
                <w:sz w:val="21"/>
                <w:szCs w:val="21"/>
              </w:rPr>
            </w:pPr>
          </w:p>
        </w:tc>
      </w:tr>
      <w:tr w:rsidR="005F2719" w14:paraId="1ABC0174"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57F58641"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Socio-political/economic</w:t>
            </w:r>
          </w:p>
        </w:tc>
        <w:tc>
          <w:tcPr>
            <w:tcW w:w="1795" w:type="dxa"/>
            <w:tcBorders>
              <w:top w:val="single" w:sz="4" w:space="0" w:color="auto"/>
              <w:left w:val="single" w:sz="4" w:space="0" w:color="auto"/>
              <w:bottom w:val="single" w:sz="4" w:space="0" w:color="auto"/>
              <w:right w:val="single" w:sz="4" w:space="0" w:color="auto"/>
            </w:tcBorders>
          </w:tcPr>
          <w:p w14:paraId="012C4768" w14:textId="77777777" w:rsidR="005F2719" w:rsidRDefault="005F2719">
            <w:pPr>
              <w:jc w:val="both"/>
              <w:rPr>
                <w:rFonts w:ascii="Myriad Pro" w:hAnsi="Myriad Pro"/>
                <w:color w:val="000000"/>
                <w:sz w:val="21"/>
                <w:szCs w:val="21"/>
              </w:rPr>
            </w:pPr>
          </w:p>
        </w:tc>
      </w:tr>
      <w:tr w:rsidR="005F2719" w14:paraId="5BF9CA1B"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39907A1C"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Institutional framework and governance</w:t>
            </w:r>
          </w:p>
        </w:tc>
        <w:tc>
          <w:tcPr>
            <w:tcW w:w="1795" w:type="dxa"/>
            <w:tcBorders>
              <w:top w:val="single" w:sz="4" w:space="0" w:color="auto"/>
              <w:left w:val="single" w:sz="4" w:space="0" w:color="auto"/>
              <w:bottom w:val="single" w:sz="4" w:space="0" w:color="auto"/>
              <w:right w:val="single" w:sz="4" w:space="0" w:color="auto"/>
            </w:tcBorders>
          </w:tcPr>
          <w:p w14:paraId="76A967A3" w14:textId="77777777" w:rsidR="005F2719" w:rsidRDefault="005F2719">
            <w:pPr>
              <w:jc w:val="both"/>
              <w:rPr>
                <w:rFonts w:ascii="Myriad Pro" w:hAnsi="Myriad Pro"/>
                <w:color w:val="000000"/>
                <w:sz w:val="21"/>
                <w:szCs w:val="21"/>
              </w:rPr>
            </w:pPr>
          </w:p>
        </w:tc>
      </w:tr>
      <w:tr w:rsidR="005F2719" w14:paraId="416336F6"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hideMark/>
          </w:tcPr>
          <w:p w14:paraId="18CB4B3F"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lastRenderedPageBreak/>
              <w:t>Environmental</w:t>
            </w:r>
          </w:p>
        </w:tc>
        <w:tc>
          <w:tcPr>
            <w:tcW w:w="1795" w:type="dxa"/>
            <w:tcBorders>
              <w:top w:val="single" w:sz="4" w:space="0" w:color="auto"/>
              <w:left w:val="single" w:sz="4" w:space="0" w:color="auto"/>
              <w:bottom w:val="single" w:sz="4" w:space="0" w:color="auto"/>
              <w:right w:val="single" w:sz="4" w:space="0" w:color="auto"/>
            </w:tcBorders>
          </w:tcPr>
          <w:p w14:paraId="4A1276C5" w14:textId="77777777" w:rsidR="005F2719" w:rsidRDefault="005F2719">
            <w:pPr>
              <w:jc w:val="both"/>
              <w:rPr>
                <w:rFonts w:ascii="Myriad Pro" w:hAnsi="Myriad Pro"/>
                <w:color w:val="000000"/>
                <w:sz w:val="21"/>
                <w:szCs w:val="21"/>
              </w:rPr>
            </w:pPr>
          </w:p>
        </w:tc>
      </w:tr>
      <w:tr w:rsidR="005F2719" w14:paraId="062BBD33" w14:textId="77777777" w:rsidTr="005F271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405B94" w14:textId="77777777" w:rsidR="005F2719" w:rsidRDefault="005F2719">
            <w:pPr>
              <w:ind w:left="340"/>
              <w:jc w:val="both"/>
              <w:rPr>
                <w:rFonts w:ascii="Myriad Pro" w:hAnsi="Myriad Pro"/>
                <w:color w:val="000000"/>
                <w:sz w:val="21"/>
                <w:szCs w:val="21"/>
              </w:rPr>
            </w:pPr>
            <w:r>
              <w:rPr>
                <w:rFonts w:ascii="Myriad Pro" w:hAnsi="Myriad Pro"/>
                <w:color w:val="000000"/>
                <w:sz w:val="21"/>
                <w:szCs w:val="21"/>
              </w:rPr>
              <w:t>Overall Likelihood of Sustainability</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05F8EF" w14:textId="77777777" w:rsidR="005F2719" w:rsidRDefault="005F2719">
            <w:pPr>
              <w:jc w:val="both"/>
              <w:rPr>
                <w:rFonts w:ascii="Myriad Pro" w:hAnsi="Myriad Pro"/>
                <w:color w:val="000000"/>
                <w:sz w:val="21"/>
                <w:szCs w:val="21"/>
              </w:rPr>
            </w:pPr>
          </w:p>
        </w:tc>
      </w:tr>
    </w:tbl>
    <w:p w14:paraId="364ADE2C" w14:textId="77777777" w:rsidR="000F0E56" w:rsidRPr="00FF139C" w:rsidRDefault="000F0E56" w:rsidP="00FF139C">
      <w:pPr>
        <w:rPr>
          <w:rFonts w:ascii="Myriad Pro" w:hAnsi="Myriad Pro"/>
          <w:b/>
          <w:bCs/>
          <w:sz w:val="26"/>
          <w:szCs w:val="26"/>
        </w:rPr>
      </w:pPr>
    </w:p>
    <w:p w14:paraId="4E63C941" w14:textId="3E0B1429" w:rsidR="00BD1612" w:rsidRPr="00FF139C"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CD7B61"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CD7B61" w:rsidRDefault="00CD7B61" w:rsidP="002B2199">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02799456" w14:textId="77777777" w:rsidR="00CD7B61" w:rsidRPr="00CD7B61" w:rsidRDefault="00CD7B61" w:rsidP="002B2199">
            <w:pPr>
              <w:ind w:left="162"/>
              <w:rPr>
                <w:rFonts w:ascii="Myriad Pro" w:hAnsi="Myriad Pro"/>
                <w:color w:val="000000" w:themeColor="text1"/>
                <w:sz w:val="21"/>
                <w:szCs w:val="21"/>
              </w:rPr>
            </w:pPr>
          </w:p>
          <w:p w14:paraId="0D3C5B19" w14:textId="77777777" w:rsidR="00CD7B61" w:rsidRPr="00CD7B61" w:rsidRDefault="00CD7B61" w:rsidP="002B2199">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5F7F75DF" w14:textId="77777777" w:rsidR="00CD7B61" w:rsidRPr="00CD7B61" w:rsidRDefault="00CD7B61" w:rsidP="002B2199">
            <w:pPr>
              <w:ind w:left="162"/>
              <w:rPr>
                <w:rFonts w:ascii="Myriad Pro" w:hAnsi="Myriad Pro"/>
                <w:color w:val="000000" w:themeColor="text1"/>
                <w:sz w:val="21"/>
                <w:szCs w:val="21"/>
              </w:rPr>
            </w:pPr>
          </w:p>
          <w:p w14:paraId="37D9C7CA" w14:textId="77777777" w:rsidR="00CD7B61" w:rsidRPr="00CD7B61" w:rsidRDefault="00CD7B61" w:rsidP="002B2199">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8D26E7E" w14:textId="77777777" w:rsidR="00CD7B61" w:rsidRPr="00CD7B61" w:rsidRDefault="00CD7B61" w:rsidP="002B2199">
            <w:pPr>
              <w:ind w:left="162"/>
              <w:rPr>
                <w:rFonts w:ascii="Myriad Pro" w:hAnsi="Myriad Pro"/>
                <w:color w:val="000000" w:themeColor="text1"/>
                <w:sz w:val="21"/>
                <w:szCs w:val="21"/>
              </w:rPr>
            </w:pPr>
          </w:p>
          <w:p w14:paraId="7BE5B701" w14:textId="77777777" w:rsidR="00CD7B61" w:rsidRPr="00CD7B61" w:rsidRDefault="00CD7B61" w:rsidP="002B2199">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36AA9C65" w14:textId="77777777" w:rsidR="00CD7B61" w:rsidRPr="00CD7B61" w:rsidRDefault="00CD7B61" w:rsidP="002B2199">
            <w:pPr>
              <w:ind w:left="162"/>
              <w:rPr>
                <w:rFonts w:ascii="Myriad Pro" w:hAnsi="Myriad Pro"/>
                <w:color w:val="000000" w:themeColor="text1"/>
                <w:sz w:val="21"/>
                <w:szCs w:val="21"/>
              </w:rPr>
            </w:pPr>
          </w:p>
          <w:p w14:paraId="4A3EB26C" w14:textId="77777777" w:rsidR="00CD7B61" w:rsidRPr="00CD7B61" w:rsidRDefault="00CD7B61" w:rsidP="002B2199">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624FAA01" w14:textId="77777777" w:rsidR="00CD7B61" w:rsidRPr="00CD7B61" w:rsidRDefault="00CD7B61" w:rsidP="002B2199">
            <w:pPr>
              <w:ind w:left="162"/>
              <w:rPr>
                <w:rFonts w:ascii="Myriad Pro" w:hAnsi="Myriad Pro"/>
                <w:color w:val="000000" w:themeColor="text1"/>
                <w:sz w:val="21"/>
                <w:szCs w:val="21"/>
              </w:rPr>
            </w:pPr>
          </w:p>
          <w:p w14:paraId="2539E139" w14:textId="77777777" w:rsidR="00CD7B61" w:rsidRPr="00CD7B61" w:rsidRDefault="00CD7B61" w:rsidP="002B2199">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8822106" w14:textId="77777777" w:rsidR="00CD7B61" w:rsidRPr="00CD7B61" w:rsidRDefault="00CD7B61" w:rsidP="002B2199">
            <w:pPr>
              <w:ind w:left="162"/>
              <w:rPr>
                <w:rFonts w:ascii="Myriad Pro" w:hAnsi="Myriad Pro"/>
                <w:color w:val="000000" w:themeColor="text1"/>
                <w:sz w:val="21"/>
                <w:szCs w:val="21"/>
              </w:rPr>
            </w:pPr>
          </w:p>
          <w:p w14:paraId="7339AA6F" w14:textId="77777777" w:rsidR="00CD7B61" w:rsidRPr="00CD7B61" w:rsidRDefault="00CD7B61" w:rsidP="002B2199">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064C5A91" w14:textId="77777777" w:rsidR="00CD7B61" w:rsidRPr="00CD7B61" w:rsidRDefault="00CD7B61" w:rsidP="002B2199">
            <w:pPr>
              <w:jc w:val="both"/>
              <w:rPr>
                <w:rFonts w:ascii="Myriad Pro" w:hAnsi="Myriad Pro"/>
                <w:color w:val="000000" w:themeColor="text1"/>
              </w:rPr>
            </w:pPr>
          </w:p>
        </w:tc>
      </w:tr>
    </w:tbl>
    <w:p w14:paraId="1568CC14" w14:textId="7069C659" w:rsidR="00BB0F51" w:rsidRDefault="00BB0F51" w:rsidP="00FF139C">
      <w:pPr>
        <w:rPr>
          <w:rFonts w:ascii="Myriad Pro" w:hAnsi="Myriad Pro"/>
          <w:b/>
          <w:bCs/>
          <w:sz w:val="26"/>
          <w:szCs w:val="26"/>
        </w:rPr>
      </w:pPr>
    </w:p>
    <w:p w14:paraId="24EB2F2F" w14:textId="77777777" w:rsidR="00BB0F51" w:rsidRPr="00FF139C" w:rsidRDefault="00BB0F51" w:rsidP="00FF139C">
      <w:pPr>
        <w:rPr>
          <w:rFonts w:ascii="Myriad Pro" w:hAnsi="Myriad Pro"/>
          <w:b/>
          <w:bCs/>
          <w:sz w:val="26"/>
          <w:szCs w:val="26"/>
        </w:rPr>
      </w:pPr>
    </w:p>
    <w:p w14:paraId="652CA0B9" w14:textId="0D58CF17" w:rsidR="00BD1612"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BF7F26">
        <w:rPr>
          <w:rFonts w:ascii="Myriad Pro" w:hAnsi="Myriad Pro"/>
          <w:b/>
          <w:bCs/>
          <w:sz w:val="26"/>
          <w:szCs w:val="26"/>
        </w:rPr>
        <w:t>H</w:t>
      </w:r>
      <w:r w:rsidRPr="00FF139C">
        <w:rPr>
          <w:rFonts w:ascii="Myriad Pro" w:hAnsi="Myriad Pro"/>
          <w:b/>
          <w:bCs/>
          <w:sz w:val="26"/>
          <w:szCs w:val="26"/>
        </w:rPr>
        <w:t>: TE Audit Trail</w:t>
      </w:r>
    </w:p>
    <w:p w14:paraId="7337542F" w14:textId="77777777" w:rsidR="007A69E2" w:rsidRDefault="007A69E2" w:rsidP="007A69E2">
      <w:pPr>
        <w:jc w:val="both"/>
        <w:rPr>
          <w:rFonts w:ascii="Myriad Pro" w:hAnsi="Myriad Pro"/>
          <w:i/>
          <w:color w:val="000000"/>
          <w:sz w:val="21"/>
          <w:szCs w:val="21"/>
          <w:highlight w:val="lightGray"/>
        </w:rPr>
      </w:pPr>
      <w:r>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633AC5A5" w14:textId="4829CC43" w:rsidR="00F050BF" w:rsidRPr="0021289C" w:rsidRDefault="00F050BF" w:rsidP="0021289C">
      <w:pPr>
        <w:spacing w:after="120"/>
        <w:rPr>
          <w:b/>
          <w:bCs/>
          <w:lang w:val="en-GB" w:eastAsia="es-ES"/>
        </w:rPr>
      </w:pPr>
      <w:r>
        <w:rPr>
          <w:rFonts w:ascii="Myriad Pro" w:hAnsi="Myriad Pro"/>
          <w:b/>
          <w:color w:val="000000"/>
          <w:sz w:val="21"/>
          <w:szCs w:val="21"/>
        </w:rPr>
        <w:t>To the comments received on</w:t>
      </w:r>
      <w:r>
        <w:rPr>
          <w:rFonts w:ascii="Myriad Pro" w:hAnsi="Myriad Pro"/>
          <w:i/>
          <w:color w:val="000000"/>
          <w:sz w:val="21"/>
          <w:szCs w:val="21"/>
        </w:rPr>
        <w:t xml:space="preserve"> </w:t>
      </w:r>
      <w:r>
        <w:rPr>
          <w:rFonts w:ascii="Myriad Pro" w:hAnsi="Myriad Pro"/>
          <w:i/>
          <w:color w:val="000000"/>
          <w:sz w:val="21"/>
          <w:szCs w:val="21"/>
          <w:highlight w:val="lightGray"/>
        </w:rPr>
        <w:t>(date)</w:t>
      </w:r>
      <w:r>
        <w:rPr>
          <w:rFonts w:ascii="Myriad Pro" w:hAnsi="Myriad Pro"/>
          <w:i/>
          <w:color w:val="000000"/>
          <w:sz w:val="21"/>
          <w:szCs w:val="21"/>
        </w:rPr>
        <w:t xml:space="preserve"> </w:t>
      </w:r>
      <w:r>
        <w:rPr>
          <w:rFonts w:ascii="Myriad Pro" w:hAnsi="Myriad Pro"/>
          <w:b/>
          <w:color w:val="000000"/>
          <w:sz w:val="21"/>
          <w:szCs w:val="21"/>
        </w:rPr>
        <w:t xml:space="preserve">from the Terminal Evaluation of </w:t>
      </w:r>
      <w:r w:rsidR="0021289C">
        <w:rPr>
          <w:rFonts w:ascii="Myriad Pro" w:hAnsi="Myriad Pro"/>
          <w:b/>
          <w:color w:val="000000"/>
          <w:sz w:val="21"/>
          <w:szCs w:val="21"/>
        </w:rPr>
        <w:t>“</w:t>
      </w:r>
      <w:r w:rsidR="0021289C" w:rsidRPr="003A67E5">
        <w:rPr>
          <w:b/>
          <w:bCs/>
          <w:lang w:val="en-GB" w:eastAsia="es-ES"/>
        </w:rPr>
        <w:t>Elimination of obsolete pesticide</w:t>
      </w:r>
      <w:r w:rsidR="0021289C">
        <w:rPr>
          <w:b/>
          <w:bCs/>
          <w:lang w:val="en-GB" w:eastAsia="es-ES"/>
        </w:rPr>
        <w:t xml:space="preserve"> </w:t>
      </w:r>
      <w:r w:rsidR="0021289C" w:rsidRPr="003A67E5">
        <w:rPr>
          <w:b/>
          <w:bCs/>
          <w:lang w:val="en-GB" w:eastAsia="es-ES"/>
        </w:rPr>
        <w:t>stockpiles and addressing POPs contaminated sites within a sound chemicals management framework</w:t>
      </w:r>
      <w:r w:rsidR="0021289C">
        <w:rPr>
          <w:b/>
          <w:bCs/>
          <w:lang w:val="en-GB" w:eastAsia="es-ES"/>
        </w:rPr>
        <w:t xml:space="preserve">” </w:t>
      </w:r>
      <w:r w:rsidRPr="0021289C">
        <w:rPr>
          <w:b/>
          <w:bCs/>
          <w:lang w:val="en-GB" w:eastAsia="es-ES"/>
        </w:rPr>
        <w:t>UNDP Project PIMS</w:t>
      </w:r>
      <w:r w:rsidR="0021289C">
        <w:rPr>
          <w:b/>
          <w:bCs/>
          <w:lang w:val="en-GB" w:eastAsia="es-ES"/>
        </w:rPr>
        <w:t xml:space="preserve"> </w:t>
      </w:r>
      <w:r w:rsidRPr="0021289C">
        <w:rPr>
          <w:b/>
          <w:bCs/>
          <w:lang w:val="en-GB" w:eastAsia="es-ES"/>
        </w:rPr>
        <w:t>#</w:t>
      </w:r>
      <w:r w:rsidR="0021289C" w:rsidRPr="0021289C">
        <w:rPr>
          <w:b/>
          <w:bCs/>
          <w:lang w:val="en-GB" w:eastAsia="es-ES"/>
        </w:rPr>
        <w:t>4905</w:t>
      </w:r>
    </w:p>
    <w:p w14:paraId="4D9DFDC1" w14:textId="77777777" w:rsidR="000E72D7" w:rsidRPr="00932297" w:rsidRDefault="000E72D7" w:rsidP="0021289C">
      <w:pPr>
        <w:autoSpaceDE w:val="0"/>
        <w:autoSpaceDN w:val="0"/>
        <w:adjustRightInd w:val="0"/>
        <w:spacing w:after="0" w:line="240" w:lineRule="auto"/>
        <w:jc w:val="both"/>
        <w:rPr>
          <w:rFonts w:ascii="Garamond" w:hAnsi="Garamond"/>
          <w:sz w:val="21"/>
          <w:szCs w:val="21"/>
        </w:rPr>
      </w:pPr>
    </w:p>
    <w:p w14:paraId="05568DF8" w14:textId="77777777" w:rsidR="000E72D7" w:rsidRPr="00932297" w:rsidRDefault="000E72D7" w:rsidP="000E72D7">
      <w:pPr>
        <w:spacing w:after="0" w:line="240" w:lineRule="auto"/>
        <w:jc w:val="both"/>
        <w:rPr>
          <w:rFonts w:ascii="Myriad Pro" w:hAnsi="Myriad Pro"/>
          <w:color w:val="000000"/>
          <w:sz w:val="21"/>
          <w:szCs w:val="21"/>
        </w:rPr>
      </w:pPr>
    </w:p>
    <w:p w14:paraId="649125B4" w14:textId="77777777" w:rsidR="000E72D7" w:rsidRPr="00932297" w:rsidRDefault="000E72D7" w:rsidP="000E72D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2F605697" w14:textId="77777777" w:rsidR="000E72D7" w:rsidRPr="00932297" w:rsidRDefault="000E72D7" w:rsidP="000E72D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932297" w14:paraId="21926200" w14:textId="77777777" w:rsidTr="002B2199">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33320569" w14:textId="77777777"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0EABA53B"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TE </w:t>
            </w:r>
            <w:r w:rsidR="00C73519">
              <w:rPr>
                <w:rFonts w:ascii="Myriad Pro" w:hAnsi="Myriad Pro"/>
                <w:b/>
                <w:color w:val="FFFFFF" w:themeColor="background1"/>
                <w:sz w:val="21"/>
                <w:szCs w:val="21"/>
              </w:rPr>
              <w:t>Evaluator’s</w:t>
            </w:r>
          </w:p>
          <w:p w14:paraId="58647968" w14:textId="77777777" w:rsidR="000E72D7" w:rsidRPr="00932297" w:rsidRDefault="000E72D7" w:rsidP="002B219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0E72D7" w:rsidRPr="00932297" w14:paraId="0BA4C65F" w14:textId="77777777" w:rsidTr="002B2199">
        <w:trPr>
          <w:trHeight w:val="261"/>
        </w:trPr>
        <w:tc>
          <w:tcPr>
            <w:tcW w:w="1561" w:type="dxa"/>
            <w:tcBorders>
              <w:top w:val="single" w:sz="4" w:space="0" w:color="FFFFFF" w:themeColor="background1"/>
            </w:tcBorders>
          </w:tcPr>
          <w:p w14:paraId="07C65DF7" w14:textId="77777777" w:rsidR="000E72D7" w:rsidRPr="00932297" w:rsidRDefault="000E72D7" w:rsidP="002B2199">
            <w:pPr>
              <w:jc w:val="center"/>
              <w:rPr>
                <w:rFonts w:cstheme="minorHAnsi"/>
                <w:sz w:val="21"/>
                <w:szCs w:val="21"/>
              </w:rPr>
            </w:pPr>
          </w:p>
        </w:tc>
        <w:tc>
          <w:tcPr>
            <w:tcW w:w="595" w:type="dxa"/>
            <w:tcBorders>
              <w:top w:val="single" w:sz="4" w:space="0" w:color="FFFFFF" w:themeColor="background1"/>
            </w:tcBorders>
          </w:tcPr>
          <w:p w14:paraId="600F768A" w14:textId="77777777" w:rsidR="000E72D7" w:rsidRPr="00932297" w:rsidRDefault="000E72D7" w:rsidP="002B2199">
            <w:pPr>
              <w:jc w:val="center"/>
              <w:rPr>
                <w:rFonts w:cstheme="minorHAnsi"/>
                <w:sz w:val="21"/>
                <w:szCs w:val="21"/>
              </w:rPr>
            </w:pPr>
          </w:p>
        </w:tc>
        <w:tc>
          <w:tcPr>
            <w:tcW w:w="1530" w:type="dxa"/>
            <w:tcBorders>
              <w:top w:val="single" w:sz="4" w:space="0" w:color="FFFFFF" w:themeColor="background1"/>
            </w:tcBorders>
          </w:tcPr>
          <w:p w14:paraId="4C43739C" w14:textId="77777777" w:rsidR="000E72D7" w:rsidRPr="00932297" w:rsidRDefault="000E72D7" w:rsidP="002B2199">
            <w:pPr>
              <w:jc w:val="center"/>
              <w:rPr>
                <w:rFonts w:cstheme="minorHAnsi"/>
                <w:sz w:val="21"/>
                <w:szCs w:val="21"/>
              </w:rPr>
            </w:pPr>
          </w:p>
        </w:tc>
        <w:tc>
          <w:tcPr>
            <w:tcW w:w="2794" w:type="dxa"/>
            <w:tcBorders>
              <w:top w:val="single" w:sz="4" w:space="0" w:color="FFFFFF" w:themeColor="background1"/>
            </w:tcBorders>
          </w:tcPr>
          <w:p w14:paraId="52B6FB97" w14:textId="77777777" w:rsidR="000E72D7" w:rsidRPr="00932297" w:rsidRDefault="000E72D7" w:rsidP="002B2199">
            <w:pPr>
              <w:pStyle w:val="CommentText"/>
              <w:rPr>
                <w:rFonts w:cstheme="minorHAnsi"/>
                <w:sz w:val="21"/>
                <w:szCs w:val="21"/>
              </w:rPr>
            </w:pPr>
          </w:p>
        </w:tc>
        <w:tc>
          <w:tcPr>
            <w:tcW w:w="2970" w:type="dxa"/>
            <w:tcBorders>
              <w:top w:val="single" w:sz="4" w:space="0" w:color="FFFFFF" w:themeColor="background1"/>
            </w:tcBorders>
          </w:tcPr>
          <w:p w14:paraId="50DEBA7A" w14:textId="77777777" w:rsidR="000E72D7" w:rsidRPr="00932297" w:rsidRDefault="000E72D7" w:rsidP="002B2199">
            <w:pPr>
              <w:rPr>
                <w:rFonts w:cstheme="minorHAnsi"/>
                <w:sz w:val="21"/>
                <w:szCs w:val="21"/>
              </w:rPr>
            </w:pPr>
          </w:p>
        </w:tc>
      </w:tr>
      <w:tr w:rsidR="000E72D7" w:rsidRPr="00932297" w14:paraId="298FBFAD" w14:textId="77777777" w:rsidTr="002B2199">
        <w:trPr>
          <w:trHeight w:val="261"/>
        </w:trPr>
        <w:tc>
          <w:tcPr>
            <w:tcW w:w="1561" w:type="dxa"/>
          </w:tcPr>
          <w:p w14:paraId="4B5ADB24" w14:textId="77777777" w:rsidR="000E72D7" w:rsidRPr="00932297" w:rsidRDefault="000E72D7" w:rsidP="002B2199">
            <w:pPr>
              <w:jc w:val="center"/>
              <w:rPr>
                <w:rFonts w:cstheme="minorHAnsi"/>
                <w:sz w:val="21"/>
                <w:szCs w:val="21"/>
              </w:rPr>
            </w:pPr>
          </w:p>
        </w:tc>
        <w:tc>
          <w:tcPr>
            <w:tcW w:w="595" w:type="dxa"/>
          </w:tcPr>
          <w:p w14:paraId="7795C97E" w14:textId="77777777" w:rsidR="000E72D7" w:rsidRPr="00932297" w:rsidRDefault="000E72D7" w:rsidP="002B2199">
            <w:pPr>
              <w:jc w:val="center"/>
              <w:rPr>
                <w:rFonts w:cstheme="minorHAnsi"/>
                <w:sz w:val="21"/>
                <w:szCs w:val="21"/>
              </w:rPr>
            </w:pPr>
          </w:p>
        </w:tc>
        <w:tc>
          <w:tcPr>
            <w:tcW w:w="1530" w:type="dxa"/>
          </w:tcPr>
          <w:p w14:paraId="485FE9AC" w14:textId="77777777" w:rsidR="000E72D7" w:rsidRPr="00932297" w:rsidRDefault="000E72D7" w:rsidP="002B2199">
            <w:pPr>
              <w:jc w:val="center"/>
              <w:rPr>
                <w:rFonts w:cstheme="minorHAnsi"/>
                <w:sz w:val="21"/>
                <w:szCs w:val="21"/>
              </w:rPr>
            </w:pPr>
          </w:p>
        </w:tc>
        <w:tc>
          <w:tcPr>
            <w:tcW w:w="2794" w:type="dxa"/>
          </w:tcPr>
          <w:p w14:paraId="229451EA" w14:textId="77777777" w:rsidR="000E72D7" w:rsidRPr="00932297" w:rsidRDefault="000E72D7" w:rsidP="002B2199">
            <w:pPr>
              <w:pStyle w:val="CommentText"/>
              <w:rPr>
                <w:rFonts w:cstheme="minorHAnsi"/>
                <w:sz w:val="21"/>
                <w:szCs w:val="21"/>
              </w:rPr>
            </w:pPr>
          </w:p>
        </w:tc>
        <w:tc>
          <w:tcPr>
            <w:tcW w:w="2970" w:type="dxa"/>
          </w:tcPr>
          <w:p w14:paraId="2F173D19" w14:textId="77777777" w:rsidR="000E72D7" w:rsidRPr="00932297" w:rsidRDefault="000E72D7" w:rsidP="002B2199">
            <w:pPr>
              <w:rPr>
                <w:rFonts w:cstheme="minorHAnsi"/>
                <w:sz w:val="21"/>
                <w:szCs w:val="21"/>
              </w:rPr>
            </w:pPr>
          </w:p>
        </w:tc>
      </w:tr>
      <w:tr w:rsidR="000E72D7" w:rsidRPr="00932297" w14:paraId="4829E763" w14:textId="77777777" w:rsidTr="002B2199">
        <w:trPr>
          <w:trHeight w:val="248"/>
        </w:trPr>
        <w:tc>
          <w:tcPr>
            <w:tcW w:w="1561" w:type="dxa"/>
          </w:tcPr>
          <w:p w14:paraId="0AB9104A" w14:textId="77777777" w:rsidR="000E72D7" w:rsidRPr="00932297" w:rsidRDefault="000E72D7" w:rsidP="002B2199">
            <w:pPr>
              <w:jc w:val="center"/>
              <w:rPr>
                <w:rFonts w:cstheme="minorHAnsi"/>
                <w:sz w:val="21"/>
                <w:szCs w:val="21"/>
              </w:rPr>
            </w:pPr>
          </w:p>
        </w:tc>
        <w:tc>
          <w:tcPr>
            <w:tcW w:w="595" w:type="dxa"/>
          </w:tcPr>
          <w:p w14:paraId="78B2A273" w14:textId="77777777" w:rsidR="000E72D7" w:rsidRPr="00932297" w:rsidRDefault="000E72D7" w:rsidP="002B2199">
            <w:pPr>
              <w:jc w:val="center"/>
              <w:rPr>
                <w:rFonts w:cstheme="minorHAnsi"/>
                <w:sz w:val="21"/>
                <w:szCs w:val="21"/>
              </w:rPr>
            </w:pPr>
          </w:p>
        </w:tc>
        <w:tc>
          <w:tcPr>
            <w:tcW w:w="1530" w:type="dxa"/>
          </w:tcPr>
          <w:p w14:paraId="780EFF20" w14:textId="77777777" w:rsidR="000E72D7" w:rsidRPr="00932297" w:rsidRDefault="000E72D7" w:rsidP="002B2199">
            <w:pPr>
              <w:jc w:val="center"/>
              <w:rPr>
                <w:rFonts w:cstheme="minorHAnsi"/>
                <w:sz w:val="21"/>
                <w:szCs w:val="21"/>
              </w:rPr>
            </w:pPr>
          </w:p>
        </w:tc>
        <w:tc>
          <w:tcPr>
            <w:tcW w:w="2794" w:type="dxa"/>
          </w:tcPr>
          <w:p w14:paraId="725E5772" w14:textId="77777777" w:rsidR="000E72D7" w:rsidRPr="00932297" w:rsidRDefault="000E72D7" w:rsidP="002B2199">
            <w:pPr>
              <w:rPr>
                <w:rFonts w:cstheme="minorHAnsi"/>
                <w:sz w:val="21"/>
                <w:szCs w:val="21"/>
              </w:rPr>
            </w:pPr>
          </w:p>
        </w:tc>
        <w:tc>
          <w:tcPr>
            <w:tcW w:w="2970" w:type="dxa"/>
          </w:tcPr>
          <w:p w14:paraId="284DB51D" w14:textId="77777777" w:rsidR="000E72D7" w:rsidRPr="00932297" w:rsidRDefault="000E72D7" w:rsidP="002B2199">
            <w:pPr>
              <w:rPr>
                <w:rFonts w:cstheme="minorHAnsi"/>
                <w:sz w:val="21"/>
                <w:szCs w:val="21"/>
              </w:rPr>
            </w:pPr>
          </w:p>
        </w:tc>
      </w:tr>
      <w:tr w:rsidR="000E72D7" w:rsidRPr="00932297" w14:paraId="539D9451" w14:textId="77777777" w:rsidTr="002B2199">
        <w:trPr>
          <w:trHeight w:val="248"/>
        </w:trPr>
        <w:tc>
          <w:tcPr>
            <w:tcW w:w="1561" w:type="dxa"/>
          </w:tcPr>
          <w:p w14:paraId="0A9E903E" w14:textId="77777777" w:rsidR="000E72D7" w:rsidRPr="00932297" w:rsidRDefault="000E72D7" w:rsidP="002B2199">
            <w:pPr>
              <w:jc w:val="center"/>
              <w:rPr>
                <w:rFonts w:ascii="Garamond" w:hAnsi="Garamond"/>
                <w:sz w:val="21"/>
                <w:szCs w:val="21"/>
              </w:rPr>
            </w:pPr>
          </w:p>
        </w:tc>
        <w:tc>
          <w:tcPr>
            <w:tcW w:w="595" w:type="dxa"/>
          </w:tcPr>
          <w:p w14:paraId="001054BF" w14:textId="77777777" w:rsidR="000E72D7" w:rsidRPr="00932297" w:rsidRDefault="000E72D7" w:rsidP="002B2199">
            <w:pPr>
              <w:jc w:val="center"/>
              <w:rPr>
                <w:rFonts w:ascii="Garamond" w:hAnsi="Garamond"/>
                <w:sz w:val="21"/>
                <w:szCs w:val="21"/>
              </w:rPr>
            </w:pPr>
          </w:p>
        </w:tc>
        <w:tc>
          <w:tcPr>
            <w:tcW w:w="1530" w:type="dxa"/>
          </w:tcPr>
          <w:p w14:paraId="0D8FDC09" w14:textId="77777777" w:rsidR="000E72D7" w:rsidRPr="00932297" w:rsidRDefault="000E72D7" w:rsidP="002B2199">
            <w:pPr>
              <w:jc w:val="center"/>
              <w:rPr>
                <w:rFonts w:ascii="Garamond" w:hAnsi="Garamond"/>
                <w:sz w:val="21"/>
                <w:szCs w:val="21"/>
              </w:rPr>
            </w:pPr>
          </w:p>
        </w:tc>
        <w:tc>
          <w:tcPr>
            <w:tcW w:w="2794" w:type="dxa"/>
          </w:tcPr>
          <w:p w14:paraId="62F90508" w14:textId="77777777" w:rsidR="000E72D7" w:rsidRPr="00932297" w:rsidRDefault="000E72D7" w:rsidP="002B2199">
            <w:pPr>
              <w:rPr>
                <w:rFonts w:ascii="Garamond" w:hAnsi="Garamond"/>
                <w:sz w:val="21"/>
                <w:szCs w:val="21"/>
              </w:rPr>
            </w:pPr>
          </w:p>
        </w:tc>
        <w:tc>
          <w:tcPr>
            <w:tcW w:w="2970" w:type="dxa"/>
          </w:tcPr>
          <w:p w14:paraId="06430182" w14:textId="77777777" w:rsidR="000E72D7" w:rsidRPr="00932297" w:rsidRDefault="000E72D7" w:rsidP="002B2199">
            <w:pPr>
              <w:rPr>
                <w:rFonts w:ascii="Garamond" w:hAnsi="Garamond"/>
                <w:sz w:val="21"/>
                <w:szCs w:val="21"/>
              </w:rPr>
            </w:pPr>
          </w:p>
        </w:tc>
      </w:tr>
      <w:tr w:rsidR="000E72D7" w:rsidRPr="00932297" w14:paraId="268E3EAA" w14:textId="77777777" w:rsidTr="002B2199">
        <w:trPr>
          <w:trHeight w:val="261"/>
        </w:trPr>
        <w:tc>
          <w:tcPr>
            <w:tcW w:w="1561" w:type="dxa"/>
          </w:tcPr>
          <w:p w14:paraId="5F4FDB30" w14:textId="77777777" w:rsidR="000E72D7" w:rsidRPr="00932297" w:rsidRDefault="000E72D7" w:rsidP="002B2199">
            <w:pPr>
              <w:jc w:val="center"/>
              <w:rPr>
                <w:rFonts w:ascii="Garamond" w:hAnsi="Garamond"/>
                <w:sz w:val="21"/>
                <w:szCs w:val="21"/>
              </w:rPr>
            </w:pPr>
          </w:p>
        </w:tc>
        <w:tc>
          <w:tcPr>
            <w:tcW w:w="595" w:type="dxa"/>
          </w:tcPr>
          <w:p w14:paraId="1598B2A2" w14:textId="77777777" w:rsidR="000E72D7" w:rsidRPr="00932297" w:rsidRDefault="000E72D7" w:rsidP="002B2199">
            <w:pPr>
              <w:jc w:val="center"/>
              <w:rPr>
                <w:rFonts w:ascii="Garamond" w:hAnsi="Garamond"/>
                <w:sz w:val="21"/>
                <w:szCs w:val="21"/>
              </w:rPr>
            </w:pPr>
          </w:p>
        </w:tc>
        <w:tc>
          <w:tcPr>
            <w:tcW w:w="1530" w:type="dxa"/>
          </w:tcPr>
          <w:p w14:paraId="1E099D70" w14:textId="77777777" w:rsidR="000E72D7" w:rsidRPr="00932297" w:rsidRDefault="000E72D7" w:rsidP="002B2199">
            <w:pPr>
              <w:jc w:val="center"/>
              <w:rPr>
                <w:rFonts w:ascii="Garamond" w:hAnsi="Garamond"/>
                <w:sz w:val="21"/>
                <w:szCs w:val="21"/>
              </w:rPr>
            </w:pPr>
          </w:p>
        </w:tc>
        <w:tc>
          <w:tcPr>
            <w:tcW w:w="2794" w:type="dxa"/>
          </w:tcPr>
          <w:p w14:paraId="71E98815" w14:textId="77777777" w:rsidR="000E72D7" w:rsidRPr="00932297" w:rsidRDefault="000E72D7" w:rsidP="002B2199">
            <w:pPr>
              <w:rPr>
                <w:rFonts w:ascii="Garamond" w:hAnsi="Garamond"/>
                <w:sz w:val="21"/>
                <w:szCs w:val="21"/>
              </w:rPr>
            </w:pPr>
          </w:p>
        </w:tc>
        <w:tc>
          <w:tcPr>
            <w:tcW w:w="2970" w:type="dxa"/>
          </w:tcPr>
          <w:p w14:paraId="271688E3" w14:textId="77777777" w:rsidR="000E72D7" w:rsidRPr="00932297" w:rsidRDefault="000E72D7" w:rsidP="002B2199">
            <w:pPr>
              <w:rPr>
                <w:rFonts w:ascii="Garamond" w:hAnsi="Garamond"/>
                <w:sz w:val="21"/>
                <w:szCs w:val="21"/>
              </w:rPr>
            </w:pPr>
          </w:p>
        </w:tc>
      </w:tr>
      <w:tr w:rsidR="000E72D7" w:rsidRPr="003B280A" w14:paraId="2D18B61C" w14:textId="77777777" w:rsidTr="002B2199">
        <w:trPr>
          <w:trHeight w:val="261"/>
        </w:trPr>
        <w:tc>
          <w:tcPr>
            <w:tcW w:w="1561" w:type="dxa"/>
          </w:tcPr>
          <w:p w14:paraId="3A06BD33" w14:textId="77777777" w:rsidR="000E72D7" w:rsidRPr="003B280A" w:rsidRDefault="000E72D7" w:rsidP="002B2199">
            <w:pPr>
              <w:jc w:val="center"/>
              <w:rPr>
                <w:rFonts w:ascii="Garamond" w:hAnsi="Garamond"/>
              </w:rPr>
            </w:pPr>
          </w:p>
        </w:tc>
        <w:tc>
          <w:tcPr>
            <w:tcW w:w="595" w:type="dxa"/>
          </w:tcPr>
          <w:p w14:paraId="2F952545" w14:textId="77777777" w:rsidR="000E72D7" w:rsidRPr="003B280A" w:rsidRDefault="000E72D7" w:rsidP="002B2199">
            <w:pPr>
              <w:jc w:val="center"/>
              <w:rPr>
                <w:rFonts w:ascii="Garamond" w:hAnsi="Garamond"/>
              </w:rPr>
            </w:pPr>
          </w:p>
        </w:tc>
        <w:tc>
          <w:tcPr>
            <w:tcW w:w="1530" w:type="dxa"/>
          </w:tcPr>
          <w:p w14:paraId="07C39672" w14:textId="77777777" w:rsidR="000E72D7" w:rsidRPr="003B280A" w:rsidRDefault="000E72D7" w:rsidP="002B2199">
            <w:pPr>
              <w:jc w:val="center"/>
              <w:rPr>
                <w:rFonts w:ascii="Garamond" w:hAnsi="Garamond"/>
              </w:rPr>
            </w:pPr>
          </w:p>
        </w:tc>
        <w:tc>
          <w:tcPr>
            <w:tcW w:w="2794" w:type="dxa"/>
          </w:tcPr>
          <w:p w14:paraId="756F46BD" w14:textId="77777777" w:rsidR="000E72D7" w:rsidRPr="003B280A" w:rsidRDefault="000E72D7" w:rsidP="002B2199">
            <w:pPr>
              <w:pStyle w:val="CommentText"/>
              <w:rPr>
                <w:rFonts w:ascii="Garamond" w:hAnsi="Garamond"/>
                <w:sz w:val="22"/>
                <w:szCs w:val="22"/>
              </w:rPr>
            </w:pPr>
          </w:p>
        </w:tc>
        <w:tc>
          <w:tcPr>
            <w:tcW w:w="2970" w:type="dxa"/>
          </w:tcPr>
          <w:p w14:paraId="48F9AAC2" w14:textId="77777777" w:rsidR="000E72D7" w:rsidRPr="003B280A" w:rsidRDefault="000E72D7" w:rsidP="002B2199">
            <w:pPr>
              <w:rPr>
                <w:rFonts w:ascii="Garamond" w:hAnsi="Garamond"/>
              </w:rPr>
            </w:pPr>
          </w:p>
        </w:tc>
      </w:tr>
      <w:tr w:rsidR="000E72D7" w:rsidRPr="003B280A" w14:paraId="3D60EE38" w14:textId="77777777" w:rsidTr="002B2199">
        <w:trPr>
          <w:trHeight w:val="261"/>
        </w:trPr>
        <w:tc>
          <w:tcPr>
            <w:tcW w:w="1561" w:type="dxa"/>
          </w:tcPr>
          <w:p w14:paraId="280F1DA6" w14:textId="77777777" w:rsidR="000E72D7" w:rsidRPr="003B280A" w:rsidRDefault="000E72D7" w:rsidP="002B2199">
            <w:pPr>
              <w:jc w:val="center"/>
              <w:rPr>
                <w:rFonts w:ascii="Garamond" w:hAnsi="Garamond"/>
              </w:rPr>
            </w:pPr>
          </w:p>
        </w:tc>
        <w:tc>
          <w:tcPr>
            <w:tcW w:w="595" w:type="dxa"/>
          </w:tcPr>
          <w:p w14:paraId="66F13C19" w14:textId="77777777" w:rsidR="000E72D7" w:rsidRPr="003B280A" w:rsidRDefault="000E72D7" w:rsidP="002B2199">
            <w:pPr>
              <w:jc w:val="center"/>
              <w:rPr>
                <w:rFonts w:ascii="Garamond" w:hAnsi="Garamond"/>
              </w:rPr>
            </w:pPr>
          </w:p>
        </w:tc>
        <w:tc>
          <w:tcPr>
            <w:tcW w:w="1530" w:type="dxa"/>
          </w:tcPr>
          <w:p w14:paraId="4F9B8045" w14:textId="77777777" w:rsidR="000E72D7" w:rsidRPr="003B280A" w:rsidRDefault="000E72D7" w:rsidP="002B2199">
            <w:pPr>
              <w:jc w:val="center"/>
              <w:rPr>
                <w:rFonts w:ascii="Garamond" w:hAnsi="Garamond"/>
              </w:rPr>
            </w:pPr>
          </w:p>
        </w:tc>
        <w:tc>
          <w:tcPr>
            <w:tcW w:w="2794" w:type="dxa"/>
          </w:tcPr>
          <w:p w14:paraId="1B94B434" w14:textId="77777777" w:rsidR="000E72D7" w:rsidRPr="003B280A" w:rsidRDefault="000E72D7" w:rsidP="002B2199">
            <w:pPr>
              <w:pStyle w:val="CommentText"/>
              <w:rPr>
                <w:rFonts w:ascii="Garamond" w:hAnsi="Garamond"/>
                <w:sz w:val="22"/>
                <w:szCs w:val="22"/>
              </w:rPr>
            </w:pPr>
          </w:p>
        </w:tc>
        <w:tc>
          <w:tcPr>
            <w:tcW w:w="2970" w:type="dxa"/>
          </w:tcPr>
          <w:p w14:paraId="32D20044" w14:textId="77777777" w:rsidR="000E72D7" w:rsidRPr="003B280A" w:rsidRDefault="000E72D7" w:rsidP="002B2199">
            <w:pPr>
              <w:rPr>
                <w:rFonts w:ascii="Garamond" w:hAnsi="Garamond"/>
              </w:rPr>
            </w:pPr>
          </w:p>
        </w:tc>
      </w:tr>
      <w:tr w:rsidR="000E72D7" w:rsidRPr="003B280A" w14:paraId="60FE1937" w14:textId="77777777" w:rsidTr="002B2199">
        <w:trPr>
          <w:trHeight w:val="248"/>
        </w:trPr>
        <w:tc>
          <w:tcPr>
            <w:tcW w:w="1561" w:type="dxa"/>
          </w:tcPr>
          <w:p w14:paraId="4A9FB90E" w14:textId="77777777" w:rsidR="000E72D7" w:rsidRPr="003B280A" w:rsidRDefault="000E72D7" w:rsidP="002B2199">
            <w:pPr>
              <w:jc w:val="center"/>
              <w:rPr>
                <w:rFonts w:ascii="Garamond" w:hAnsi="Garamond"/>
              </w:rPr>
            </w:pPr>
          </w:p>
        </w:tc>
        <w:tc>
          <w:tcPr>
            <w:tcW w:w="595" w:type="dxa"/>
          </w:tcPr>
          <w:p w14:paraId="6C8B1856" w14:textId="77777777" w:rsidR="000E72D7" w:rsidRPr="003B280A" w:rsidRDefault="000E72D7" w:rsidP="002B2199">
            <w:pPr>
              <w:jc w:val="center"/>
              <w:rPr>
                <w:rFonts w:ascii="Garamond" w:hAnsi="Garamond"/>
              </w:rPr>
            </w:pPr>
          </w:p>
        </w:tc>
        <w:tc>
          <w:tcPr>
            <w:tcW w:w="1530" w:type="dxa"/>
          </w:tcPr>
          <w:p w14:paraId="2F319BAC" w14:textId="77777777" w:rsidR="000E72D7" w:rsidRPr="003B280A" w:rsidRDefault="000E72D7" w:rsidP="002B2199">
            <w:pPr>
              <w:jc w:val="center"/>
              <w:rPr>
                <w:rFonts w:ascii="Garamond" w:hAnsi="Garamond"/>
              </w:rPr>
            </w:pPr>
          </w:p>
        </w:tc>
        <w:tc>
          <w:tcPr>
            <w:tcW w:w="2794" w:type="dxa"/>
          </w:tcPr>
          <w:p w14:paraId="1D2DD5DA" w14:textId="77777777" w:rsidR="000E72D7" w:rsidRPr="003B280A" w:rsidRDefault="000E72D7" w:rsidP="002B2199">
            <w:pPr>
              <w:rPr>
                <w:rFonts w:ascii="Garamond" w:hAnsi="Garamond"/>
              </w:rPr>
            </w:pPr>
          </w:p>
        </w:tc>
        <w:tc>
          <w:tcPr>
            <w:tcW w:w="2970" w:type="dxa"/>
          </w:tcPr>
          <w:p w14:paraId="0271C0CD" w14:textId="77777777" w:rsidR="000E72D7" w:rsidRPr="003B280A" w:rsidRDefault="000E72D7" w:rsidP="002B2199">
            <w:pPr>
              <w:rPr>
                <w:rFonts w:ascii="Garamond" w:hAnsi="Garamond"/>
              </w:rPr>
            </w:pPr>
          </w:p>
        </w:tc>
      </w:tr>
      <w:tr w:rsidR="000E72D7" w:rsidRPr="003B280A" w14:paraId="507ECC89" w14:textId="77777777" w:rsidTr="002B2199">
        <w:trPr>
          <w:trHeight w:val="248"/>
        </w:trPr>
        <w:tc>
          <w:tcPr>
            <w:tcW w:w="1561" w:type="dxa"/>
          </w:tcPr>
          <w:p w14:paraId="0F1A3B49" w14:textId="77777777" w:rsidR="000E72D7" w:rsidRPr="003B280A" w:rsidRDefault="000E72D7" w:rsidP="002B2199">
            <w:pPr>
              <w:jc w:val="center"/>
              <w:rPr>
                <w:rFonts w:ascii="Garamond" w:hAnsi="Garamond"/>
              </w:rPr>
            </w:pPr>
          </w:p>
        </w:tc>
        <w:tc>
          <w:tcPr>
            <w:tcW w:w="595" w:type="dxa"/>
          </w:tcPr>
          <w:p w14:paraId="7C612400" w14:textId="77777777" w:rsidR="000E72D7" w:rsidRPr="003B280A" w:rsidRDefault="000E72D7" w:rsidP="002B2199">
            <w:pPr>
              <w:jc w:val="center"/>
              <w:rPr>
                <w:rFonts w:ascii="Garamond" w:hAnsi="Garamond"/>
              </w:rPr>
            </w:pPr>
          </w:p>
        </w:tc>
        <w:tc>
          <w:tcPr>
            <w:tcW w:w="1530" w:type="dxa"/>
          </w:tcPr>
          <w:p w14:paraId="35AF14F4" w14:textId="77777777" w:rsidR="000E72D7" w:rsidRPr="003B280A" w:rsidRDefault="000E72D7" w:rsidP="002B2199">
            <w:pPr>
              <w:jc w:val="center"/>
              <w:rPr>
                <w:rFonts w:ascii="Garamond" w:hAnsi="Garamond"/>
              </w:rPr>
            </w:pPr>
          </w:p>
        </w:tc>
        <w:tc>
          <w:tcPr>
            <w:tcW w:w="2794" w:type="dxa"/>
          </w:tcPr>
          <w:p w14:paraId="18C39F59" w14:textId="77777777" w:rsidR="000E72D7" w:rsidRPr="003B280A" w:rsidRDefault="000E72D7" w:rsidP="002B2199">
            <w:pPr>
              <w:rPr>
                <w:rFonts w:ascii="Garamond" w:hAnsi="Garamond"/>
              </w:rPr>
            </w:pPr>
          </w:p>
        </w:tc>
        <w:tc>
          <w:tcPr>
            <w:tcW w:w="2970" w:type="dxa"/>
          </w:tcPr>
          <w:p w14:paraId="23C4D07B" w14:textId="77777777" w:rsidR="000E72D7" w:rsidRPr="003B280A" w:rsidRDefault="000E72D7" w:rsidP="002B2199">
            <w:pPr>
              <w:rPr>
                <w:rFonts w:ascii="Garamond" w:hAnsi="Garamond"/>
              </w:rPr>
            </w:pPr>
          </w:p>
        </w:tc>
      </w:tr>
    </w:tbl>
    <w:p w14:paraId="2B79730C" w14:textId="77777777" w:rsidR="000E72D7" w:rsidRDefault="000E72D7" w:rsidP="000E72D7"/>
    <w:p w14:paraId="6D3F4D94" w14:textId="7CB94350" w:rsidR="008F1ACE" w:rsidRDefault="008F1ACE"/>
    <w:sectPr w:rsidR="008F1ACE" w:rsidSect="00F82604">
      <w:pgSz w:w="12240" w:h="15840"/>
      <w:pgMar w:top="994" w:right="1152" w:bottom="1152"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0C51" w14:textId="77777777" w:rsidR="00204D4D" w:rsidRDefault="00204D4D" w:rsidP="00BE2D7D">
      <w:pPr>
        <w:spacing w:after="0" w:line="240" w:lineRule="auto"/>
      </w:pPr>
      <w:r>
        <w:separator/>
      </w:r>
    </w:p>
  </w:endnote>
  <w:endnote w:type="continuationSeparator" w:id="0">
    <w:p w14:paraId="62B95971" w14:textId="77777777" w:rsidR="00204D4D" w:rsidRDefault="00204D4D"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13F108F2" w:rsidR="007625E7" w:rsidRDefault="007625E7"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7625E7" w:rsidRDefault="0076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E18A" w14:textId="77777777" w:rsidR="00204D4D" w:rsidRDefault="00204D4D" w:rsidP="00BE2D7D">
      <w:pPr>
        <w:spacing w:after="0" w:line="240" w:lineRule="auto"/>
      </w:pPr>
      <w:r>
        <w:separator/>
      </w:r>
    </w:p>
  </w:footnote>
  <w:footnote w:type="continuationSeparator" w:id="0">
    <w:p w14:paraId="628C379B" w14:textId="77777777" w:rsidR="00204D4D" w:rsidRDefault="00204D4D" w:rsidP="00BE2D7D">
      <w:pPr>
        <w:spacing w:after="0" w:line="240" w:lineRule="auto"/>
      </w:pPr>
      <w:r>
        <w:continuationSeparator/>
      </w:r>
    </w:p>
  </w:footnote>
  <w:footnote w:id="1">
    <w:p w14:paraId="41EF71CC" w14:textId="151B1310" w:rsidR="007625E7" w:rsidRPr="00A777EB" w:rsidRDefault="007625E7" w:rsidP="008D35EC">
      <w:pPr>
        <w:pStyle w:val="FootnoteText"/>
        <w:jc w:val="both"/>
        <w:rPr>
          <w:rFonts w:ascii="Myriad Pro" w:eastAsiaTheme="minorHAnsi" w:hAnsi="Myriad Pro"/>
          <w:color w:val="000000"/>
          <w:sz w:val="14"/>
          <w:szCs w:val="14"/>
          <w:lang w:bidi="ar-SA"/>
        </w:rPr>
      </w:pPr>
      <w:r>
        <w:rPr>
          <w:rStyle w:val="FootnoteReference"/>
        </w:rPr>
        <w:footnoteRef/>
      </w:r>
      <w:r>
        <w:t xml:space="preserve"> </w:t>
      </w:r>
      <w:r w:rsidRPr="00D91946">
        <w:rPr>
          <w:rFonts w:ascii="Myriad Pro" w:eastAsiaTheme="minorHAnsi" w:hAnsi="Myriad Pro"/>
          <w:color w:val="000000"/>
          <w:sz w:val="14"/>
          <w:szCs w:val="14"/>
          <w:lang w:bidi="ar-SA"/>
        </w:rPr>
        <w:t xml:space="preserve">The Commissioning Unit is obligated to issue payments to the TE </w:t>
      </w:r>
      <w:r>
        <w:rPr>
          <w:rFonts w:ascii="Myriad Pro" w:eastAsiaTheme="minorHAnsi" w:hAnsi="Myriad Pro"/>
          <w:color w:val="000000"/>
          <w:sz w:val="14"/>
          <w:szCs w:val="14"/>
          <w:lang w:bidi="ar-SA"/>
        </w:rPr>
        <w:t>Evaluator</w:t>
      </w:r>
      <w:r w:rsidRPr="00D91946">
        <w:rPr>
          <w:rFonts w:ascii="Myriad Pro" w:eastAsiaTheme="minorHAnsi" w:hAnsi="Myriad Pro"/>
          <w:color w:val="000000"/>
          <w:sz w:val="14"/>
          <w:szCs w:val="14"/>
          <w:lang w:bidi="ar-SA"/>
        </w:rPr>
        <w:t xml:space="preserve"> as soon as the terms under the ToR are fulfilled. </w:t>
      </w:r>
      <w:r w:rsidRPr="00A777EB">
        <w:rPr>
          <w:rFonts w:ascii="Myriad Pro" w:eastAsiaTheme="minorHAnsi" w:hAnsi="Myriad Pro"/>
          <w:color w:val="000000"/>
          <w:sz w:val="14"/>
          <w:szCs w:val="14"/>
          <w:lang w:bidi="ar-SA"/>
        </w:rPr>
        <w:t xml:space="preserve">If there is an ongoing discussion regarding the quality and completeness of the final deliverables that cannot be resolved between the Commissioning Unit and the TE </w:t>
      </w:r>
      <w:r>
        <w:rPr>
          <w:rFonts w:ascii="Myriad Pro" w:eastAsiaTheme="minorHAnsi" w:hAnsi="Myriad Pro"/>
          <w:color w:val="000000"/>
          <w:sz w:val="14"/>
          <w:szCs w:val="14"/>
          <w:lang w:bidi="ar-SA"/>
        </w:rPr>
        <w:t>Evaluator</w:t>
      </w:r>
      <w:r w:rsidRPr="00A777EB">
        <w:rPr>
          <w:rFonts w:ascii="Myriad Pro" w:eastAsiaTheme="minorHAnsi" w:hAnsi="Myriad Pro"/>
          <w:color w:val="000000"/>
          <w:sz w:val="14"/>
          <w:szCs w:val="14"/>
          <w:lang w:bidi="ar-SA"/>
        </w:rPr>
        <w:t>,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5CA2CCE8" w14:textId="19ED8829" w:rsidR="007625E7" w:rsidRDefault="00412BC5" w:rsidP="008D35EC">
      <w:pPr>
        <w:pStyle w:val="FootnoteText"/>
      </w:pPr>
      <w:hyperlink r:id="rId1" w:history="1">
        <w:r w:rsidR="007625E7" w:rsidRPr="00A777EB">
          <w:rPr>
            <w:rStyle w:val="Hyperlink"/>
            <w:rFonts w:ascii="Myriad Pro" w:eastAsiaTheme="minorHAnsi" w:hAnsi="Myriad Pro"/>
            <w:sz w:val="14"/>
            <w:szCs w:val="14"/>
            <w:lang w:bidi="ar-SA"/>
          </w:rPr>
          <w:t>https://popp.undp.org/_layouts/15/WopiFrame.aspx?sourcedoc=/UNDP_POPP_DOCUMENT_LIBRARY/Public/PSU_Individual%20Contract_Individual%20Contract%20Policy.docx&amp;action=default</w:t>
        </w:r>
      </w:hyperlink>
    </w:p>
  </w:footnote>
  <w:footnote w:id="2">
    <w:p w14:paraId="17FFAC92" w14:textId="77777777" w:rsidR="007625E7" w:rsidRDefault="007625E7" w:rsidP="00C670AD">
      <w:pPr>
        <w:pStyle w:val="FootnoteText"/>
      </w:pPr>
      <w:r>
        <w:rPr>
          <w:rStyle w:val="FootnoteReference"/>
        </w:rPr>
        <w:footnoteRef/>
      </w:r>
      <w:r>
        <w:t xml:space="preserve"> See ToR Annex F for rating scales.</w:t>
      </w:r>
    </w:p>
  </w:footnote>
  <w:footnote w:id="3">
    <w:p w14:paraId="5705EEDF" w14:textId="77777777" w:rsidR="007625E7" w:rsidRDefault="007625E7" w:rsidP="005F2719">
      <w:pPr>
        <w:pStyle w:val="FootnoteText"/>
        <w:jc w:val="both"/>
        <w:rPr>
          <w:szCs w:val="18"/>
        </w:rPr>
      </w:pPr>
      <w:r>
        <w:rPr>
          <w:rStyle w:val="FootnoteReference"/>
          <w:szCs w:val="18"/>
        </w:rPr>
        <w:footnoteRef/>
      </w:r>
      <w:r>
        <w:rPr>
          <w:szCs w:val="18"/>
        </w:rPr>
        <w:t xml:space="preserve"> </w:t>
      </w:r>
      <w:r>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5651"/>
    <w:multiLevelType w:val="hybridMultilevel"/>
    <w:tmpl w:val="5E52D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046F5B"/>
    <w:multiLevelType w:val="hybridMultilevel"/>
    <w:tmpl w:val="9B74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DC42EE"/>
    <w:multiLevelType w:val="hybridMultilevel"/>
    <w:tmpl w:val="DEB67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42B83"/>
    <w:multiLevelType w:val="hybridMultilevel"/>
    <w:tmpl w:val="20CEEFE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E23172"/>
    <w:multiLevelType w:val="hybridMultilevel"/>
    <w:tmpl w:val="D2C2D5BE"/>
    <w:lvl w:ilvl="0" w:tplc="04090015">
      <w:start w:val="1"/>
      <w:numFmt w:val="upperLetter"/>
      <w:lvlText w:val="%1."/>
      <w:lvlJc w:val="left"/>
      <w:pPr>
        <w:ind w:left="720" w:hanging="360"/>
      </w:pPr>
    </w:lvl>
    <w:lvl w:ilvl="1" w:tplc="78CCC9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47CFB"/>
    <w:multiLevelType w:val="hybridMultilevel"/>
    <w:tmpl w:val="188E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F6E8E"/>
    <w:multiLevelType w:val="hybridMultilevel"/>
    <w:tmpl w:val="1220A580"/>
    <w:lvl w:ilvl="0" w:tplc="CF2C5A6A">
      <w:start w:val="2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F3A93"/>
    <w:multiLevelType w:val="hybridMultilevel"/>
    <w:tmpl w:val="3C64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96D0E"/>
    <w:multiLevelType w:val="hybridMultilevel"/>
    <w:tmpl w:val="FBF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068C7"/>
    <w:multiLevelType w:val="hybridMultilevel"/>
    <w:tmpl w:val="CC76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12172"/>
    <w:multiLevelType w:val="hybridMultilevel"/>
    <w:tmpl w:val="E486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45CBA"/>
    <w:multiLevelType w:val="hybridMultilevel"/>
    <w:tmpl w:val="179AB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E00EF0"/>
    <w:multiLevelType w:val="hybridMultilevel"/>
    <w:tmpl w:val="7F648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3"/>
  </w:num>
  <w:num w:numId="2">
    <w:abstractNumId w:val="5"/>
  </w:num>
  <w:num w:numId="3">
    <w:abstractNumId w:val="16"/>
  </w:num>
  <w:num w:numId="4">
    <w:abstractNumId w:val="29"/>
  </w:num>
  <w:num w:numId="5">
    <w:abstractNumId w:val="3"/>
  </w:num>
  <w:num w:numId="6">
    <w:abstractNumId w:val="9"/>
  </w:num>
  <w:num w:numId="7">
    <w:abstractNumId w:val="15"/>
  </w:num>
  <w:num w:numId="8">
    <w:abstractNumId w:val="25"/>
  </w:num>
  <w:num w:numId="9">
    <w:abstractNumId w:val="22"/>
  </w:num>
  <w:num w:numId="10">
    <w:abstractNumId w:val="18"/>
  </w:num>
  <w:num w:numId="11">
    <w:abstractNumId w:val="7"/>
  </w:num>
  <w:num w:numId="12">
    <w:abstractNumId w:val="8"/>
  </w:num>
  <w:num w:numId="13">
    <w:abstractNumId w:val="23"/>
  </w:num>
  <w:num w:numId="14">
    <w:abstractNumId w:val="27"/>
  </w:num>
  <w:num w:numId="15">
    <w:abstractNumId w:val="17"/>
  </w:num>
  <w:num w:numId="16">
    <w:abstractNumId w:val="6"/>
  </w:num>
  <w:num w:numId="17">
    <w:abstractNumId w:val="14"/>
  </w:num>
  <w:num w:numId="18">
    <w:abstractNumId w:val="21"/>
  </w:num>
  <w:num w:numId="19">
    <w:abstractNumId w:val="11"/>
  </w:num>
  <w:num w:numId="20">
    <w:abstractNumId w:val="28"/>
  </w:num>
  <w:num w:numId="21">
    <w:abstractNumId w:val="19"/>
  </w:num>
  <w:num w:numId="22">
    <w:abstractNumId w:val="24"/>
  </w:num>
  <w:num w:numId="23">
    <w:abstractNumId w:val="12"/>
  </w:num>
  <w:num w:numId="24">
    <w:abstractNumId w:val="10"/>
  </w:num>
  <w:num w:numId="25">
    <w:abstractNumId w:val="4"/>
  </w:num>
  <w:num w:numId="26">
    <w:abstractNumId w:val="2"/>
  </w:num>
  <w:num w:numId="27">
    <w:abstractNumId w:val="26"/>
  </w:num>
  <w:num w:numId="28">
    <w:abstractNumId w:val="20"/>
  </w:num>
  <w:num w:numId="29">
    <w:abstractNumId w:val="1"/>
  </w:num>
  <w:num w:numId="30">
    <w:abstractNumId w:val="5"/>
  </w:num>
  <w:num w:numId="3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2FFB"/>
    <w:rsid w:val="00005B8F"/>
    <w:rsid w:val="00016D6B"/>
    <w:rsid w:val="00016FAB"/>
    <w:rsid w:val="00036D46"/>
    <w:rsid w:val="00036D52"/>
    <w:rsid w:val="00037AE6"/>
    <w:rsid w:val="00040E02"/>
    <w:rsid w:val="00041E88"/>
    <w:rsid w:val="000423D1"/>
    <w:rsid w:val="000505D6"/>
    <w:rsid w:val="00051D6A"/>
    <w:rsid w:val="00066FCF"/>
    <w:rsid w:val="000771B1"/>
    <w:rsid w:val="00082C83"/>
    <w:rsid w:val="00084BC4"/>
    <w:rsid w:val="00086D7D"/>
    <w:rsid w:val="00087AA3"/>
    <w:rsid w:val="00090809"/>
    <w:rsid w:val="00095009"/>
    <w:rsid w:val="00095CF5"/>
    <w:rsid w:val="000969D7"/>
    <w:rsid w:val="000A0A88"/>
    <w:rsid w:val="000A29DD"/>
    <w:rsid w:val="000A7AC0"/>
    <w:rsid w:val="000B604D"/>
    <w:rsid w:val="000B6205"/>
    <w:rsid w:val="000C0EC9"/>
    <w:rsid w:val="000C4514"/>
    <w:rsid w:val="000C4C75"/>
    <w:rsid w:val="000C54D3"/>
    <w:rsid w:val="000D3FC9"/>
    <w:rsid w:val="000D4D3D"/>
    <w:rsid w:val="000D5CC7"/>
    <w:rsid w:val="000D63E1"/>
    <w:rsid w:val="000D7232"/>
    <w:rsid w:val="000E03DA"/>
    <w:rsid w:val="000E405A"/>
    <w:rsid w:val="000E72D7"/>
    <w:rsid w:val="000F0E56"/>
    <w:rsid w:val="000F2C65"/>
    <w:rsid w:val="000F3C40"/>
    <w:rsid w:val="00117E60"/>
    <w:rsid w:val="00120A3A"/>
    <w:rsid w:val="00121C0C"/>
    <w:rsid w:val="00131718"/>
    <w:rsid w:val="00131ADB"/>
    <w:rsid w:val="00133E08"/>
    <w:rsid w:val="0013491F"/>
    <w:rsid w:val="00141F6E"/>
    <w:rsid w:val="00146D05"/>
    <w:rsid w:val="001612B9"/>
    <w:rsid w:val="001617F8"/>
    <w:rsid w:val="00161A42"/>
    <w:rsid w:val="00164E4C"/>
    <w:rsid w:val="00166D43"/>
    <w:rsid w:val="00177F0F"/>
    <w:rsid w:val="00180F0C"/>
    <w:rsid w:val="00181E92"/>
    <w:rsid w:val="001957FA"/>
    <w:rsid w:val="001967A5"/>
    <w:rsid w:val="001A1B6F"/>
    <w:rsid w:val="001A579B"/>
    <w:rsid w:val="001A5FDA"/>
    <w:rsid w:val="001A6051"/>
    <w:rsid w:val="001B3DA3"/>
    <w:rsid w:val="001B5566"/>
    <w:rsid w:val="001B7CA0"/>
    <w:rsid w:val="001C308C"/>
    <w:rsid w:val="001C3CBA"/>
    <w:rsid w:val="001C667E"/>
    <w:rsid w:val="001D322C"/>
    <w:rsid w:val="001D75DC"/>
    <w:rsid w:val="001E2DD0"/>
    <w:rsid w:val="001F1CB2"/>
    <w:rsid w:val="001F28D7"/>
    <w:rsid w:val="001F4EBF"/>
    <w:rsid w:val="002035B9"/>
    <w:rsid w:val="00203CE8"/>
    <w:rsid w:val="00204D4D"/>
    <w:rsid w:val="002056AF"/>
    <w:rsid w:val="0021289C"/>
    <w:rsid w:val="002134E3"/>
    <w:rsid w:val="002240FE"/>
    <w:rsid w:val="00232501"/>
    <w:rsid w:val="00232D81"/>
    <w:rsid w:val="00233A56"/>
    <w:rsid w:val="00240D59"/>
    <w:rsid w:val="00252B85"/>
    <w:rsid w:val="00253509"/>
    <w:rsid w:val="00254838"/>
    <w:rsid w:val="00261C72"/>
    <w:rsid w:val="002703B4"/>
    <w:rsid w:val="00275ABE"/>
    <w:rsid w:val="002806E5"/>
    <w:rsid w:val="0029260C"/>
    <w:rsid w:val="00297C71"/>
    <w:rsid w:val="002A10E6"/>
    <w:rsid w:val="002A1E66"/>
    <w:rsid w:val="002A61E6"/>
    <w:rsid w:val="002B2199"/>
    <w:rsid w:val="002C193C"/>
    <w:rsid w:val="002C301B"/>
    <w:rsid w:val="002C3999"/>
    <w:rsid w:val="002C65B3"/>
    <w:rsid w:val="002C6E70"/>
    <w:rsid w:val="002D07E5"/>
    <w:rsid w:val="002D72D5"/>
    <w:rsid w:val="002E2748"/>
    <w:rsid w:val="002E2D0F"/>
    <w:rsid w:val="002E3707"/>
    <w:rsid w:val="002F24CA"/>
    <w:rsid w:val="002F29E1"/>
    <w:rsid w:val="002F5B20"/>
    <w:rsid w:val="00303BBF"/>
    <w:rsid w:val="00305069"/>
    <w:rsid w:val="003147D8"/>
    <w:rsid w:val="003169B7"/>
    <w:rsid w:val="00320E6A"/>
    <w:rsid w:val="00341F3F"/>
    <w:rsid w:val="0034375F"/>
    <w:rsid w:val="003513D3"/>
    <w:rsid w:val="00354A19"/>
    <w:rsid w:val="00354E1B"/>
    <w:rsid w:val="00355D7D"/>
    <w:rsid w:val="0037061C"/>
    <w:rsid w:val="00372C2D"/>
    <w:rsid w:val="00374124"/>
    <w:rsid w:val="003769B9"/>
    <w:rsid w:val="00381F0A"/>
    <w:rsid w:val="0038239A"/>
    <w:rsid w:val="00384039"/>
    <w:rsid w:val="00392E61"/>
    <w:rsid w:val="00395892"/>
    <w:rsid w:val="003A67E5"/>
    <w:rsid w:val="003A7F9F"/>
    <w:rsid w:val="003B0AFF"/>
    <w:rsid w:val="003B13C2"/>
    <w:rsid w:val="003C1856"/>
    <w:rsid w:val="003C3C73"/>
    <w:rsid w:val="003D1FBB"/>
    <w:rsid w:val="003E0881"/>
    <w:rsid w:val="003E4B86"/>
    <w:rsid w:val="003F3EDB"/>
    <w:rsid w:val="00401A30"/>
    <w:rsid w:val="004034F4"/>
    <w:rsid w:val="00404C45"/>
    <w:rsid w:val="00412BC5"/>
    <w:rsid w:val="00420F20"/>
    <w:rsid w:val="00420F5C"/>
    <w:rsid w:val="004244E9"/>
    <w:rsid w:val="00427038"/>
    <w:rsid w:val="00430451"/>
    <w:rsid w:val="004306C1"/>
    <w:rsid w:val="004355E2"/>
    <w:rsid w:val="00435984"/>
    <w:rsid w:val="00442020"/>
    <w:rsid w:val="004467E2"/>
    <w:rsid w:val="00447A18"/>
    <w:rsid w:val="004506F9"/>
    <w:rsid w:val="0045185A"/>
    <w:rsid w:val="00453562"/>
    <w:rsid w:val="00454C7F"/>
    <w:rsid w:val="004569C0"/>
    <w:rsid w:val="00461FBC"/>
    <w:rsid w:val="00465A95"/>
    <w:rsid w:val="00465B9B"/>
    <w:rsid w:val="00466198"/>
    <w:rsid w:val="0046666A"/>
    <w:rsid w:val="00470BC9"/>
    <w:rsid w:val="00474474"/>
    <w:rsid w:val="00483AC8"/>
    <w:rsid w:val="004902B3"/>
    <w:rsid w:val="004915A2"/>
    <w:rsid w:val="00493D42"/>
    <w:rsid w:val="0049623A"/>
    <w:rsid w:val="004B14C0"/>
    <w:rsid w:val="004B50EF"/>
    <w:rsid w:val="004B71E7"/>
    <w:rsid w:val="004C13A4"/>
    <w:rsid w:val="004D7A01"/>
    <w:rsid w:val="004D7FED"/>
    <w:rsid w:val="004F1AE5"/>
    <w:rsid w:val="004F6D62"/>
    <w:rsid w:val="0051345D"/>
    <w:rsid w:val="00514C00"/>
    <w:rsid w:val="00525ED0"/>
    <w:rsid w:val="00532413"/>
    <w:rsid w:val="00540E39"/>
    <w:rsid w:val="0054378E"/>
    <w:rsid w:val="00546903"/>
    <w:rsid w:val="00550D8B"/>
    <w:rsid w:val="00551A6C"/>
    <w:rsid w:val="0055644E"/>
    <w:rsid w:val="0056131C"/>
    <w:rsid w:val="005731B9"/>
    <w:rsid w:val="005753D5"/>
    <w:rsid w:val="00575893"/>
    <w:rsid w:val="0057654F"/>
    <w:rsid w:val="00577A87"/>
    <w:rsid w:val="00580C31"/>
    <w:rsid w:val="00581105"/>
    <w:rsid w:val="005958AE"/>
    <w:rsid w:val="005A1CAB"/>
    <w:rsid w:val="005A3B84"/>
    <w:rsid w:val="005A57B7"/>
    <w:rsid w:val="005B0526"/>
    <w:rsid w:val="005B2A56"/>
    <w:rsid w:val="005C369E"/>
    <w:rsid w:val="005C4282"/>
    <w:rsid w:val="005C4D72"/>
    <w:rsid w:val="005E1000"/>
    <w:rsid w:val="005E46D3"/>
    <w:rsid w:val="005E6938"/>
    <w:rsid w:val="005F16A1"/>
    <w:rsid w:val="005F2719"/>
    <w:rsid w:val="00601D47"/>
    <w:rsid w:val="00603FE6"/>
    <w:rsid w:val="006078B0"/>
    <w:rsid w:val="006125CA"/>
    <w:rsid w:val="00613B1E"/>
    <w:rsid w:val="006147F3"/>
    <w:rsid w:val="00615D49"/>
    <w:rsid w:val="0061678D"/>
    <w:rsid w:val="00617862"/>
    <w:rsid w:val="0061791F"/>
    <w:rsid w:val="00620193"/>
    <w:rsid w:val="00621025"/>
    <w:rsid w:val="00621654"/>
    <w:rsid w:val="00623367"/>
    <w:rsid w:val="00632A60"/>
    <w:rsid w:val="00641155"/>
    <w:rsid w:val="006416F2"/>
    <w:rsid w:val="00642B06"/>
    <w:rsid w:val="00643BC8"/>
    <w:rsid w:val="00644A5E"/>
    <w:rsid w:val="00645CF9"/>
    <w:rsid w:val="006474DA"/>
    <w:rsid w:val="006540C6"/>
    <w:rsid w:val="006559BD"/>
    <w:rsid w:val="00661E2F"/>
    <w:rsid w:val="0066249F"/>
    <w:rsid w:val="006712FB"/>
    <w:rsid w:val="00673D17"/>
    <w:rsid w:val="0068402B"/>
    <w:rsid w:val="00685322"/>
    <w:rsid w:val="00690096"/>
    <w:rsid w:val="0069029D"/>
    <w:rsid w:val="00694BE4"/>
    <w:rsid w:val="00697168"/>
    <w:rsid w:val="006B5A23"/>
    <w:rsid w:val="006B7C88"/>
    <w:rsid w:val="006C07B9"/>
    <w:rsid w:val="006C0C3F"/>
    <w:rsid w:val="006C701F"/>
    <w:rsid w:val="006E124C"/>
    <w:rsid w:val="006E3DDC"/>
    <w:rsid w:val="006E43F1"/>
    <w:rsid w:val="006F6046"/>
    <w:rsid w:val="006F7335"/>
    <w:rsid w:val="00710631"/>
    <w:rsid w:val="00714225"/>
    <w:rsid w:val="0071773E"/>
    <w:rsid w:val="00722969"/>
    <w:rsid w:val="0072340D"/>
    <w:rsid w:val="00725230"/>
    <w:rsid w:val="00726D49"/>
    <w:rsid w:val="00726FCE"/>
    <w:rsid w:val="00731154"/>
    <w:rsid w:val="0074255E"/>
    <w:rsid w:val="00742CC8"/>
    <w:rsid w:val="0074663A"/>
    <w:rsid w:val="00760469"/>
    <w:rsid w:val="0076065B"/>
    <w:rsid w:val="007625E7"/>
    <w:rsid w:val="00777C7F"/>
    <w:rsid w:val="007840B9"/>
    <w:rsid w:val="00786B96"/>
    <w:rsid w:val="00787802"/>
    <w:rsid w:val="00791A48"/>
    <w:rsid w:val="00796C6D"/>
    <w:rsid w:val="007A29F1"/>
    <w:rsid w:val="007A3FAF"/>
    <w:rsid w:val="007A66FB"/>
    <w:rsid w:val="007A69E2"/>
    <w:rsid w:val="007B58D0"/>
    <w:rsid w:val="007B6F9C"/>
    <w:rsid w:val="007C1D30"/>
    <w:rsid w:val="007D13E4"/>
    <w:rsid w:val="007E7356"/>
    <w:rsid w:val="007F09C7"/>
    <w:rsid w:val="007F2A0A"/>
    <w:rsid w:val="00812197"/>
    <w:rsid w:val="00815906"/>
    <w:rsid w:val="00815A8D"/>
    <w:rsid w:val="00816FEE"/>
    <w:rsid w:val="00824769"/>
    <w:rsid w:val="008361D0"/>
    <w:rsid w:val="00836DBD"/>
    <w:rsid w:val="008450B0"/>
    <w:rsid w:val="00853C4E"/>
    <w:rsid w:val="008567F4"/>
    <w:rsid w:val="00860815"/>
    <w:rsid w:val="00860A7A"/>
    <w:rsid w:val="00862107"/>
    <w:rsid w:val="0086252B"/>
    <w:rsid w:val="00875AEE"/>
    <w:rsid w:val="008764D7"/>
    <w:rsid w:val="00876F7D"/>
    <w:rsid w:val="008801D1"/>
    <w:rsid w:val="00884344"/>
    <w:rsid w:val="00890374"/>
    <w:rsid w:val="00890821"/>
    <w:rsid w:val="00893525"/>
    <w:rsid w:val="00897E02"/>
    <w:rsid w:val="008A24E7"/>
    <w:rsid w:val="008A3D1B"/>
    <w:rsid w:val="008A6B88"/>
    <w:rsid w:val="008B0944"/>
    <w:rsid w:val="008B3F72"/>
    <w:rsid w:val="008B4F6D"/>
    <w:rsid w:val="008B6B82"/>
    <w:rsid w:val="008B7B77"/>
    <w:rsid w:val="008B7D9A"/>
    <w:rsid w:val="008C02E3"/>
    <w:rsid w:val="008C252B"/>
    <w:rsid w:val="008C6CB8"/>
    <w:rsid w:val="008D1418"/>
    <w:rsid w:val="008D1699"/>
    <w:rsid w:val="008D35EC"/>
    <w:rsid w:val="008E2EA8"/>
    <w:rsid w:val="008F1A7A"/>
    <w:rsid w:val="008F1ACE"/>
    <w:rsid w:val="00901D39"/>
    <w:rsid w:val="009036D0"/>
    <w:rsid w:val="00912E33"/>
    <w:rsid w:val="0091352A"/>
    <w:rsid w:val="00920262"/>
    <w:rsid w:val="009222D2"/>
    <w:rsid w:val="00925834"/>
    <w:rsid w:val="00930807"/>
    <w:rsid w:val="00932D9A"/>
    <w:rsid w:val="00933C59"/>
    <w:rsid w:val="009422DD"/>
    <w:rsid w:val="00942F8E"/>
    <w:rsid w:val="00947317"/>
    <w:rsid w:val="00951688"/>
    <w:rsid w:val="009534B4"/>
    <w:rsid w:val="009537E1"/>
    <w:rsid w:val="009548AD"/>
    <w:rsid w:val="00957B8A"/>
    <w:rsid w:val="00962EF6"/>
    <w:rsid w:val="009634EC"/>
    <w:rsid w:val="009654C4"/>
    <w:rsid w:val="00965DF2"/>
    <w:rsid w:val="00974433"/>
    <w:rsid w:val="009758B4"/>
    <w:rsid w:val="0098023E"/>
    <w:rsid w:val="009869DA"/>
    <w:rsid w:val="009912C2"/>
    <w:rsid w:val="00997498"/>
    <w:rsid w:val="009A3B21"/>
    <w:rsid w:val="009B4BA5"/>
    <w:rsid w:val="009B4C21"/>
    <w:rsid w:val="009C284A"/>
    <w:rsid w:val="009D483A"/>
    <w:rsid w:val="009E058D"/>
    <w:rsid w:val="009E23ED"/>
    <w:rsid w:val="009E2679"/>
    <w:rsid w:val="009F591C"/>
    <w:rsid w:val="00A16B91"/>
    <w:rsid w:val="00A23F18"/>
    <w:rsid w:val="00A24CA9"/>
    <w:rsid w:val="00A3134B"/>
    <w:rsid w:val="00A33C45"/>
    <w:rsid w:val="00A4340C"/>
    <w:rsid w:val="00A51039"/>
    <w:rsid w:val="00A52016"/>
    <w:rsid w:val="00A55C80"/>
    <w:rsid w:val="00A737B7"/>
    <w:rsid w:val="00A777EB"/>
    <w:rsid w:val="00A803F4"/>
    <w:rsid w:val="00A815E7"/>
    <w:rsid w:val="00A85281"/>
    <w:rsid w:val="00A86445"/>
    <w:rsid w:val="00A93B2F"/>
    <w:rsid w:val="00A97642"/>
    <w:rsid w:val="00AA164A"/>
    <w:rsid w:val="00AA5D07"/>
    <w:rsid w:val="00AA63F7"/>
    <w:rsid w:val="00AB0706"/>
    <w:rsid w:val="00AB2084"/>
    <w:rsid w:val="00AB4806"/>
    <w:rsid w:val="00AB5C96"/>
    <w:rsid w:val="00AB6FE1"/>
    <w:rsid w:val="00AB79B5"/>
    <w:rsid w:val="00AC1776"/>
    <w:rsid w:val="00AC4453"/>
    <w:rsid w:val="00AC77BD"/>
    <w:rsid w:val="00AC7A1A"/>
    <w:rsid w:val="00AD2BBD"/>
    <w:rsid w:val="00AD3B40"/>
    <w:rsid w:val="00AD61FA"/>
    <w:rsid w:val="00AD67C7"/>
    <w:rsid w:val="00AD6A03"/>
    <w:rsid w:val="00AD7908"/>
    <w:rsid w:val="00AD7E1F"/>
    <w:rsid w:val="00AE2AD0"/>
    <w:rsid w:val="00AF478D"/>
    <w:rsid w:val="00AF50A9"/>
    <w:rsid w:val="00AF7B4F"/>
    <w:rsid w:val="00B005F9"/>
    <w:rsid w:val="00B05A9C"/>
    <w:rsid w:val="00B06938"/>
    <w:rsid w:val="00B1565B"/>
    <w:rsid w:val="00B21564"/>
    <w:rsid w:val="00B2350D"/>
    <w:rsid w:val="00B333DF"/>
    <w:rsid w:val="00B40D5F"/>
    <w:rsid w:val="00B54F02"/>
    <w:rsid w:val="00B6098E"/>
    <w:rsid w:val="00B63E24"/>
    <w:rsid w:val="00B74566"/>
    <w:rsid w:val="00B74568"/>
    <w:rsid w:val="00B75A3D"/>
    <w:rsid w:val="00B76775"/>
    <w:rsid w:val="00B76921"/>
    <w:rsid w:val="00B77F36"/>
    <w:rsid w:val="00B802D1"/>
    <w:rsid w:val="00B81DB1"/>
    <w:rsid w:val="00B82F33"/>
    <w:rsid w:val="00B90CA6"/>
    <w:rsid w:val="00B9209C"/>
    <w:rsid w:val="00B92A1A"/>
    <w:rsid w:val="00BA0C4B"/>
    <w:rsid w:val="00BA354B"/>
    <w:rsid w:val="00BA6F7C"/>
    <w:rsid w:val="00BB0F51"/>
    <w:rsid w:val="00BB30BB"/>
    <w:rsid w:val="00BB58C4"/>
    <w:rsid w:val="00BC17E8"/>
    <w:rsid w:val="00BC45D5"/>
    <w:rsid w:val="00BC54AB"/>
    <w:rsid w:val="00BD1612"/>
    <w:rsid w:val="00BD47D0"/>
    <w:rsid w:val="00BD570E"/>
    <w:rsid w:val="00BE0A8D"/>
    <w:rsid w:val="00BE2D7D"/>
    <w:rsid w:val="00BF2914"/>
    <w:rsid w:val="00BF3689"/>
    <w:rsid w:val="00BF7F26"/>
    <w:rsid w:val="00C02C4E"/>
    <w:rsid w:val="00C12CAA"/>
    <w:rsid w:val="00C13276"/>
    <w:rsid w:val="00C16CFB"/>
    <w:rsid w:val="00C23D6A"/>
    <w:rsid w:val="00C24BF4"/>
    <w:rsid w:val="00C40EDD"/>
    <w:rsid w:val="00C4120B"/>
    <w:rsid w:val="00C417B4"/>
    <w:rsid w:val="00C4257F"/>
    <w:rsid w:val="00C4289A"/>
    <w:rsid w:val="00C44311"/>
    <w:rsid w:val="00C44634"/>
    <w:rsid w:val="00C4471A"/>
    <w:rsid w:val="00C5013B"/>
    <w:rsid w:val="00C607B5"/>
    <w:rsid w:val="00C60A68"/>
    <w:rsid w:val="00C63F38"/>
    <w:rsid w:val="00C669B4"/>
    <w:rsid w:val="00C670AD"/>
    <w:rsid w:val="00C67EB0"/>
    <w:rsid w:val="00C72750"/>
    <w:rsid w:val="00C73519"/>
    <w:rsid w:val="00C74223"/>
    <w:rsid w:val="00C7428D"/>
    <w:rsid w:val="00C7494F"/>
    <w:rsid w:val="00C76C41"/>
    <w:rsid w:val="00C771FE"/>
    <w:rsid w:val="00C81482"/>
    <w:rsid w:val="00C82088"/>
    <w:rsid w:val="00C924CF"/>
    <w:rsid w:val="00CA0754"/>
    <w:rsid w:val="00CB18FE"/>
    <w:rsid w:val="00CB3263"/>
    <w:rsid w:val="00CB4EFF"/>
    <w:rsid w:val="00CC0B46"/>
    <w:rsid w:val="00CC15EC"/>
    <w:rsid w:val="00CC1F95"/>
    <w:rsid w:val="00CD4ED3"/>
    <w:rsid w:val="00CD7B61"/>
    <w:rsid w:val="00CE1CFF"/>
    <w:rsid w:val="00CE5334"/>
    <w:rsid w:val="00CE7437"/>
    <w:rsid w:val="00CF3BFD"/>
    <w:rsid w:val="00D00662"/>
    <w:rsid w:val="00D06154"/>
    <w:rsid w:val="00D17547"/>
    <w:rsid w:val="00D17C1D"/>
    <w:rsid w:val="00D2592E"/>
    <w:rsid w:val="00D3718B"/>
    <w:rsid w:val="00D42DB7"/>
    <w:rsid w:val="00D45AD3"/>
    <w:rsid w:val="00D535B5"/>
    <w:rsid w:val="00D573C7"/>
    <w:rsid w:val="00D652A7"/>
    <w:rsid w:val="00D654A7"/>
    <w:rsid w:val="00D65A5D"/>
    <w:rsid w:val="00D6675A"/>
    <w:rsid w:val="00D73534"/>
    <w:rsid w:val="00D748C1"/>
    <w:rsid w:val="00D81987"/>
    <w:rsid w:val="00D86086"/>
    <w:rsid w:val="00D8680D"/>
    <w:rsid w:val="00D91946"/>
    <w:rsid w:val="00D93F59"/>
    <w:rsid w:val="00D96BBD"/>
    <w:rsid w:val="00D97BB2"/>
    <w:rsid w:val="00DB5A5C"/>
    <w:rsid w:val="00DB620F"/>
    <w:rsid w:val="00DB6CD5"/>
    <w:rsid w:val="00DC1357"/>
    <w:rsid w:val="00DC7CFE"/>
    <w:rsid w:val="00DD0A7D"/>
    <w:rsid w:val="00DD0EC5"/>
    <w:rsid w:val="00DD1129"/>
    <w:rsid w:val="00DE44E5"/>
    <w:rsid w:val="00DE60CC"/>
    <w:rsid w:val="00DF1312"/>
    <w:rsid w:val="00DF2229"/>
    <w:rsid w:val="00DF38A3"/>
    <w:rsid w:val="00DF6C0D"/>
    <w:rsid w:val="00E14759"/>
    <w:rsid w:val="00E23875"/>
    <w:rsid w:val="00E30885"/>
    <w:rsid w:val="00E40A8F"/>
    <w:rsid w:val="00E40E81"/>
    <w:rsid w:val="00E42182"/>
    <w:rsid w:val="00E55941"/>
    <w:rsid w:val="00E60F2B"/>
    <w:rsid w:val="00E72A94"/>
    <w:rsid w:val="00E8188C"/>
    <w:rsid w:val="00E81DE7"/>
    <w:rsid w:val="00E83F72"/>
    <w:rsid w:val="00E878DE"/>
    <w:rsid w:val="00EA0E56"/>
    <w:rsid w:val="00EA124F"/>
    <w:rsid w:val="00EA1AF3"/>
    <w:rsid w:val="00EB2CAB"/>
    <w:rsid w:val="00EB3103"/>
    <w:rsid w:val="00EB5415"/>
    <w:rsid w:val="00EC026C"/>
    <w:rsid w:val="00EC1BE6"/>
    <w:rsid w:val="00EC4D77"/>
    <w:rsid w:val="00ED4E25"/>
    <w:rsid w:val="00EE3481"/>
    <w:rsid w:val="00EE5168"/>
    <w:rsid w:val="00EF3647"/>
    <w:rsid w:val="00EF3878"/>
    <w:rsid w:val="00EF4833"/>
    <w:rsid w:val="00EF74F5"/>
    <w:rsid w:val="00F01294"/>
    <w:rsid w:val="00F01604"/>
    <w:rsid w:val="00F050BF"/>
    <w:rsid w:val="00F10099"/>
    <w:rsid w:val="00F10D79"/>
    <w:rsid w:val="00F140C4"/>
    <w:rsid w:val="00F15F6E"/>
    <w:rsid w:val="00F213A3"/>
    <w:rsid w:val="00F32E5B"/>
    <w:rsid w:val="00F46542"/>
    <w:rsid w:val="00F5074C"/>
    <w:rsid w:val="00F526C2"/>
    <w:rsid w:val="00F53694"/>
    <w:rsid w:val="00F55829"/>
    <w:rsid w:val="00F56437"/>
    <w:rsid w:val="00F61451"/>
    <w:rsid w:val="00F70FD0"/>
    <w:rsid w:val="00F72706"/>
    <w:rsid w:val="00F82604"/>
    <w:rsid w:val="00F845AC"/>
    <w:rsid w:val="00F9769A"/>
    <w:rsid w:val="00FA5860"/>
    <w:rsid w:val="00FB2A86"/>
    <w:rsid w:val="00FB51F5"/>
    <w:rsid w:val="00FB765D"/>
    <w:rsid w:val="00FC0901"/>
    <w:rsid w:val="00FC77AD"/>
    <w:rsid w:val="00FD7D3F"/>
    <w:rsid w:val="00FE1418"/>
    <w:rsid w:val="00FE1C1B"/>
    <w:rsid w:val="00FF139C"/>
    <w:rsid w:val="00FF61B5"/>
    <w:rsid w:val="00FF775A"/>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2">
    <w:name w:val="heading 2"/>
    <w:basedOn w:val="Normal"/>
    <w:next w:val="Normal"/>
    <w:link w:val="Heading2Char"/>
    <w:uiPriority w:val="9"/>
    <w:semiHidden/>
    <w:unhideWhenUsed/>
    <w:qFormat/>
    <w:rsid w:val="00C24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4B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C24B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4BF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24BF4"/>
    <w:rPr>
      <w:i/>
      <w:iCs/>
    </w:rPr>
  </w:style>
  <w:style w:type="character" w:customStyle="1" w:styleId="f">
    <w:name w:val="f"/>
    <w:basedOn w:val="DefaultParagraphFont"/>
    <w:rsid w:val="00C24BF4"/>
  </w:style>
  <w:style w:type="character" w:styleId="HTMLCite">
    <w:name w:val="HTML Cite"/>
    <w:basedOn w:val="DefaultParagraphFont"/>
    <w:uiPriority w:val="99"/>
    <w:semiHidden/>
    <w:unhideWhenUsed/>
    <w:rsid w:val="00C24BF4"/>
    <w:rPr>
      <w:i/>
      <w:iCs/>
    </w:rPr>
  </w:style>
  <w:style w:type="character" w:customStyle="1" w:styleId="hgkelc">
    <w:name w:val="hgkelc"/>
    <w:basedOn w:val="DefaultParagraphFont"/>
    <w:rsid w:val="00C24BF4"/>
  </w:style>
  <w:style w:type="character" w:customStyle="1" w:styleId="atendertext1">
    <w:name w:val="a_tender_text1"/>
    <w:rsid w:val="0068402B"/>
    <w:rPr>
      <w:rFonts w:ascii="Arial" w:hAnsi="Arial" w:cs="Arial" w:hint="default"/>
      <w:color w:val="000000"/>
      <w:sz w:val="20"/>
      <w:szCs w:val="20"/>
    </w:rPr>
  </w:style>
  <w:style w:type="character" w:styleId="FollowedHyperlink">
    <w:name w:val="FollowedHyperlink"/>
    <w:basedOn w:val="DefaultParagraphFont"/>
    <w:uiPriority w:val="99"/>
    <w:semiHidden/>
    <w:unhideWhenUsed/>
    <w:rsid w:val="00131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68538">
      <w:bodyDiv w:val="1"/>
      <w:marLeft w:val="0"/>
      <w:marRight w:val="0"/>
      <w:marTop w:val="0"/>
      <w:marBottom w:val="0"/>
      <w:divBdr>
        <w:top w:val="none" w:sz="0" w:space="0" w:color="auto"/>
        <w:left w:val="none" w:sz="0" w:space="0" w:color="auto"/>
        <w:bottom w:val="none" w:sz="0" w:space="0" w:color="auto"/>
        <w:right w:val="none" w:sz="0" w:space="0" w:color="auto"/>
      </w:divBdr>
      <w:divsChild>
        <w:div w:id="1334995469">
          <w:marLeft w:val="0"/>
          <w:marRight w:val="0"/>
          <w:marTop w:val="0"/>
          <w:marBottom w:val="600"/>
          <w:divBdr>
            <w:top w:val="none" w:sz="0" w:space="0" w:color="auto"/>
            <w:left w:val="none" w:sz="0" w:space="0" w:color="auto"/>
            <w:bottom w:val="none" w:sz="0" w:space="0" w:color="auto"/>
            <w:right w:val="none" w:sz="0" w:space="0" w:color="auto"/>
          </w:divBdr>
          <w:divsChild>
            <w:div w:id="1762071061">
              <w:marLeft w:val="0"/>
              <w:marRight w:val="0"/>
              <w:marTop w:val="0"/>
              <w:marBottom w:val="0"/>
              <w:divBdr>
                <w:top w:val="none" w:sz="0" w:space="0" w:color="auto"/>
                <w:left w:val="none" w:sz="0" w:space="0" w:color="auto"/>
                <w:bottom w:val="none" w:sz="0" w:space="0" w:color="auto"/>
                <w:right w:val="none" w:sz="0" w:space="0" w:color="auto"/>
              </w:divBdr>
              <w:divsChild>
                <w:div w:id="1013143888">
                  <w:marLeft w:val="0"/>
                  <w:marRight w:val="0"/>
                  <w:marTop w:val="30"/>
                  <w:marBottom w:val="180"/>
                  <w:divBdr>
                    <w:top w:val="none" w:sz="0" w:space="0" w:color="auto"/>
                    <w:left w:val="none" w:sz="0" w:space="0" w:color="auto"/>
                    <w:bottom w:val="none" w:sz="0" w:space="0" w:color="auto"/>
                    <w:right w:val="none" w:sz="0" w:space="0" w:color="auto"/>
                  </w:divBdr>
                  <w:divsChild>
                    <w:div w:id="1015963339">
                      <w:marLeft w:val="0"/>
                      <w:marRight w:val="0"/>
                      <w:marTop w:val="60"/>
                      <w:marBottom w:val="0"/>
                      <w:divBdr>
                        <w:top w:val="none" w:sz="0" w:space="0" w:color="auto"/>
                        <w:left w:val="none" w:sz="0" w:space="0" w:color="auto"/>
                        <w:bottom w:val="none" w:sz="0" w:space="0" w:color="auto"/>
                        <w:right w:val="none" w:sz="0" w:space="0" w:color="auto"/>
                      </w:divBdr>
                    </w:div>
                    <w:div w:id="774984507">
                      <w:marLeft w:val="0"/>
                      <w:marRight w:val="0"/>
                      <w:marTop w:val="60"/>
                      <w:marBottom w:val="0"/>
                      <w:divBdr>
                        <w:top w:val="none" w:sz="0" w:space="0" w:color="auto"/>
                        <w:left w:val="none" w:sz="0" w:space="0" w:color="auto"/>
                        <w:bottom w:val="none" w:sz="0" w:space="0" w:color="auto"/>
                        <w:right w:val="none" w:sz="0" w:space="0" w:color="auto"/>
                      </w:divBdr>
                    </w:div>
                    <w:div w:id="6050453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2799752">
          <w:marLeft w:val="0"/>
          <w:marRight w:val="0"/>
          <w:marTop w:val="0"/>
          <w:marBottom w:val="600"/>
          <w:divBdr>
            <w:top w:val="none" w:sz="0" w:space="0" w:color="auto"/>
            <w:left w:val="none" w:sz="0" w:space="0" w:color="auto"/>
            <w:bottom w:val="none" w:sz="0" w:space="0" w:color="auto"/>
            <w:right w:val="none" w:sz="0" w:space="0" w:color="auto"/>
          </w:divBdr>
          <w:divsChild>
            <w:div w:id="28995578">
              <w:marLeft w:val="0"/>
              <w:marRight w:val="0"/>
              <w:marTop w:val="0"/>
              <w:marBottom w:val="450"/>
              <w:divBdr>
                <w:top w:val="none" w:sz="0" w:space="0" w:color="auto"/>
                <w:left w:val="none" w:sz="0" w:space="0" w:color="auto"/>
                <w:bottom w:val="none" w:sz="0" w:space="0" w:color="auto"/>
                <w:right w:val="none" w:sz="0" w:space="0" w:color="auto"/>
              </w:divBdr>
              <w:divsChild>
                <w:div w:id="630523901">
                  <w:marLeft w:val="0"/>
                  <w:marRight w:val="0"/>
                  <w:marTop w:val="0"/>
                  <w:marBottom w:val="0"/>
                  <w:divBdr>
                    <w:top w:val="none" w:sz="0" w:space="0" w:color="auto"/>
                    <w:left w:val="none" w:sz="0" w:space="0" w:color="auto"/>
                    <w:bottom w:val="none" w:sz="0" w:space="0" w:color="auto"/>
                    <w:right w:val="none" w:sz="0" w:space="0" w:color="auto"/>
                  </w:divBdr>
                  <w:divsChild>
                    <w:div w:id="1131288725">
                      <w:marLeft w:val="0"/>
                      <w:marRight w:val="0"/>
                      <w:marTop w:val="0"/>
                      <w:marBottom w:val="0"/>
                      <w:divBdr>
                        <w:top w:val="none" w:sz="0" w:space="0" w:color="auto"/>
                        <w:left w:val="none" w:sz="0" w:space="0" w:color="auto"/>
                        <w:bottom w:val="none" w:sz="0" w:space="0" w:color="auto"/>
                        <w:right w:val="none" w:sz="0" w:space="0" w:color="auto"/>
                      </w:divBdr>
                      <w:divsChild>
                        <w:div w:id="66459721">
                          <w:marLeft w:val="0"/>
                          <w:marRight w:val="0"/>
                          <w:marTop w:val="0"/>
                          <w:marBottom w:val="0"/>
                          <w:divBdr>
                            <w:top w:val="none" w:sz="0" w:space="0" w:color="auto"/>
                            <w:left w:val="none" w:sz="0" w:space="0" w:color="auto"/>
                            <w:bottom w:val="none" w:sz="0" w:space="0" w:color="auto"/>
                            <w:right w:val="none" w:sz="0" w:space="0" w:color="auto"/>
                          </w:divBdr>
                          <w:divsChild>
                            <w:div w:id="1672639009">
                              <w:marLeft w:val="0"/>
                              <w:marRight w:val="0"/>
                              <w:marTop w:val="0"/>
                              <w:marBottom w:val="0"/>
                              <w:divBdr>
                                <w:top w:val="none" w:sz="0" w:space="0" w:color="auto"/>
                                <w:left w:val="none" w:sz="0" w:space="0" w:color="auto"/>
                                <w:bottom w:val="none" w:sz="0" w:space="0" w:color="auto"/>
                                <w:right w:val="none" w:sz="0" w:space="0" w:color="auto"/>
                              </w:divBdr>
                              <w:divsChild>
                                <w:div w:id="394427700">
                                  <w:marLeft w:val="0"/>
                                  <w:marRight w:val="0"/>
                                  <w:marTop w:val="0"/>
                                  <w:marBottom w:val="0"/>
                                  <w:divBdr>
                                    <w:top w:val="none" w:sz="0" w:space="0" w:color="auto"/>
                                    <w:left w:val="none" w:sz="0" w:space="0" w:color="auto"/>
                                    <w:bottom w:val="none" w:sz="0" w:space="0" w:color="auto"/>
                                    <w:right w:val="none" w:sz="0" w:space="0" w:color="auto"/>
                                  </w:divBdr>
                                  <w:divsChild>
                                    <w:div w:id="2736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00012">
      <w:bodyDiv w:val="1"/>
      <w:marLeft w:val="0"/>
      <w:marRight w:val="0"/>
      <w:marTop w:val="0"/>
      <w:marBottom w:val="0"/>
      <w:divBdr>
        <w:top w:val="none" w:sz="0" w:space="0" w:color="auto"/>
        <w:left w:val="none" w:sz="0" w:space="0" w:color="auto"/>
        <w:bottom w:val="none" w:sz="0" w:space="0" w:color="auto"/>
        <w:right w:val="none" w:sz="0" w:space="0" w:color="auto"/>
      </w:divBdr>
    </w:div>
    <w:div w:id="1118990102">
      <w:bodyDiv w:val="1"/>
      <w:marLeft w:val="0"/>
      <w:marRight w:val="0"/>
      <w:marTop w:val="0"/>
      <w:marBottom w:val="0"/>
      <w:divBdr>
        <w:top w:val="none" w:sz="0" w:space="0" w:color="auto"/>
        <w:left w:val="none" w:sz="0" w:space="0" w:color="auto"/>
        <w:bottom w:val="none" w:sz="0" w:space="0" w:color="auto"/>
        <w:right w:val="none" w:sz="0" w:space="0" w:color="auto"/>
      </w:divBdr>
    </w:div>
    <w:div w:id="1119227660">
      <w:bodyDiv w:val="1"/>
      <w:marLeft w:val="0"/>
      <w:marRight w:val="0"/>
      <w:marTop w:val="0"/>
      <w:marBottom w:val="0"/>
      <w:divBdr>
        <w:top w:val="none" w:sz="0" w:space="0" w:color="auto"/>
        <w:left w:val="none" w:sz="0" w:space="0" w:color="auto"/>
        <w:bottom w:val="none" w:sz="0" w:space="0" w:color="auto"/>
        <w:right w:val="none" w:sz="0" w:space="0" w:color="auto"/>
      </w:divBdr>
    </w:div>
    <w:div w:id="1472478672">
      <w:bodyDiv w:val="1"/>
      <w:marLeft w:val="0"/>
      <w:marRight w:val="0"/>
      <w:marTop w:val="0"/>
      <w:marBottom w:val="0"/>
      <w:divBdr>
        <w:top w:val="none" w:sz="0" w:space="0" w:color="auto"/>
        <w:left w:val="none" w:sz="0" w:space="0" w:color="auto"/>
        <w:bottom w:val="none" w:sz="0" w:space="0" w:color="auto"/>
        <w:right w:val="none" w:sz="0" w:space="0" w:color="auto"/>
      </w:divBdr>
    </w:div>
    <w:div w:id="1499687676">
      <w:bodyDiv w:val="1"/>
      <w:marLeft w:val="0"/>
      <w:marRight w:val="0"/>
      <w:marTop w:val="0"/>
      <w:marBottom w:val="0"/>
      <w:divBdr>
        <w:top w:val="none" w:sz="0" w:space="0" w:color="auto"/>
        <w:left w:val="none" w:sz="0" w:space="0" w:color="auto"/>
        <w:bottom w:val="none" w:sz="0" w:space="0" w:color="auto"/>
        <w:right w:val="none" w:sz="0" w:space="0" w:color="auto"/>
      </w:divBdr>
    </w:div>
    <w:div w:id="1942758784">
      <w:bodyDiv w:val="1"/>
      <w:marLeft w:val="0"/>
      <w:marRight w:val="0"/>
      <w:marTop w:val="0"/>
      <w:marBottom w:val="0"/>
      <w:divBdr>
        <w:top w:val="none" w:sz="0" w:space="0" w:color="auto"/>
        <w:left w:val="none" w:sz="0" w:space="0" w:color="auto"/>
        <w:bottom w:val="none" w:sz="0" w:space="0" w:color="auto"/>
        <w:right w:val="none" w:sz="0" w:space="0" w:color="auto"/>
      </w:divBdr>
    </w:div>
    <w:div w:id="1956667657">
      <w:bodyDiv w:val="1"/>
      <w:marLeft w:val="0"/>
      <w:marRight w:val="0"/>
      <w:marTop w:val="0"/>
      <w:marBottom w:val="0"/>
      <w:divBdr>
        <w:top w:val="none" w:sz="0" w:space="0" w:color="auto"/>
        <w:left w:val="none" w:sz="0" w:space="0" w:color="auto"/>
        <w:bottom w:val="none" w:sz="0" w:space="0" w:color="auto"/>
        <w:right w:val="none" w:sz="0" w:space="0" w:color="auto"/>
      </w:divBdr>
    </w:div>
    <w:div w:id="21207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velopment/desa/disabilities/envision2030-goal11.html"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org/development/desa/disabilities/envision2030-goal9.html" TargetMode="External"/><Relationship Id="rId17" Type="http://schemas.openxmlformats.org/officeDocument/2006/relationships/hyperlink" Target="http://www.unevaluation.org/ethicalguidelines" TargetMode="External"/><Relationship Id="rId2" Type="http://schemas.openxmlformats.org/officeDocument/2006/relationships/customXml" Target="../customXml/item2.xml"/><Relationship Id="rId16" Type="http://schemas.openxmlformats.org/officeDocument/2006/relationships/hyperlink" Target="http://web.undp.org/evaluation/guideline/section-6.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http://web.undp.org/evaluation/guideline/documents/GEF/TE_GuidanceforUNDP-supportedGEF-financedProjects.pdf" TargetMode="External"/><Relationship Id="rId10" Type="http://schemas.openxmlformats.org/officeDocument/2006/relationships/endnotes" Target="endnotes.xml"/><Relationship Id="rId19" Type="http://schemas.openxmlformats.org/officeDocument/2006/relationships/hyperlink" Target="mailto:silva.abelyan@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velopment/desa/disabilities/envision2030-goal12.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PSU_Individual%20Contract_Individual%20Contract%20Polic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7B879-3D87-46ED-854A-30595EBF03BF}">
  <ds:schemaRefs>
    <ds:schemaRef ds:uri="http://schemas.openxmlformats.org/officeDocument/2006/bibliography"/>
  </ds:schemaRefs>
</ds:datastoreItem>
</file>

<file path=customXml/itemProps2.xml><?xml version="1.0" encoding="utf-8"?>
<ds:datastoreItem xmlns:ds="http://schemas.openxmlformats.org/officeDocument/2006/customXml" ds:itemID="{1CD43A3F-A65E-4835-8ADA-3CC6ED16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02238-13B4-4871-82C7-C70BA58A0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9001</Words>
  <Characters>51307</Characters>
  <Application>Microsoft Office Word</Application>
  <DocSecurity>0</DocSecurity>
  <Lines>427</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Armine</cp:lastModifiedBy>
  <cp:revision>2</cp:revision>
  <dcterms:created xsi:type="dcterms:W3CDTF">2021-05-13T09:32:00Z</dcterms:created>
  <dcterms:modified xsi:type="dcterms:W3CDTF">2021-05-13T09:32:00Z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