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B898B" w14:textId="231D6A4C" w:rsidR="00104586" w:rsidRDefault="00104586" w:rsidP="00104586">
      <w:pPr>
        <w:autoSpaceDE w:val="0"/>
        <w:autoSpaceDN w:val="0"/>
        <w:adjustRightInd w:val="0"/>
        <w:spacing w:after="0" w:line="240" w:lineRule="auto"/>
        <w:rPr>
          <w:rFonts w:cs="CIDFont+F1"/>
          <w:sz w:val="56"/>
          <w:szCs w:val="56"/>
        </w:rPr>
      </w:pPr>
      <w:r>
        <w:rPr>
          <w:b/>
          <w:bCs/>
          <w:sz w:val="72"/>
          <w:szCs w:val="72"/>
        </w:rPr>
        <w:t xml:space="preserve">UNDP </w:t>
      </w:r>
      <w:r w:rsidRPr="00104586">
        <w:rPr>
          <w:b/>
          <w:bCs/>
          <w:sz w:val="72"/>
          <w:szCs w:val="72"/>
        </w:rPr>
        <w:t xml:space="preserve">Global Programme </w:t>
      </w:r>
      <w:r w:rsidRPr="00104586">
        <w:rPr>
          <w:sz w:val="56"/>
          <w:szCs w:val="56"/>
        </w:rPr>
        <w:t>on</w:t>
      </w:r>
      <w:r w:rsidRPr="00104586">
        <w:rPr>
          <w:b/>
          <w:bCs/>
          <w:sz w:val="56"/>
          <w:szCs w:val="56"/>
        </w:rPr>
        <w:t xml:space="preserve"> </w:t>
      </w:r>
      <w:r w:rsidRPr="00104586">
        <w:rPr>
          <w:rFonts w:cs="CIDFont+F1"/>
          <w:sz w:val="56"/>
          <w:szCs w:val="56"/>
        </w:rPr>
        <w:t>Strengthening the Rule of Law and Human Rights for Sustaining Peace and Fostering Development</w:t>
      </w:r>
    </w:p>
    <w:p w14:paraId="3A83A79F" w14:textId="0F94153D" w:rsidR="00573598" w:rsidRPr="00104586" w:rsidRDefault="00573598" w:rsidP="00104586">
      <w:pPr>
        <w:autoSpaceDE w:val="0"/>
        <w:autoSpaceDN w:val="0"/>
        <w:adjustRightInd w:val="0"/>
        <w:spacing w:after="0" w:line="240" w:lineRule="auto"/>
        <w:rPr>
          <w:rFonts w:cs="CIDFont+F1"/>
          <w:sz w:val="24"/>
          <w:szCs w:val="24"/>
        </w:rPr>
      </w:pPr>
      <w:r>
        <w:rPr>
          <w:rFonts w:cs="CIDFont+F1"/>
          <w:sz w:val="56"/>
          <w:szCs w:val="56"/>
        </w:rPr>
        <w:t>(Phase III)</w:t>
      </w:r>
    </w:p>
    <w:p w14:paraId="2C9341CF" w14:textId="77777777" w:rsidR="00104586" w:rsidRDefault="00104586" w:rsidP="00104586">
      <w:pPr>
        <w:autoSpaceDE w:val="0"/>
        <w:autoSpaceDN w:val="0"/>
        <w:adjustRightInd w:val="0"/>
        <w:spacing w:after="0" w:line="240" w:lineRule="auto"/>
        <w:rPr>
          <w:rFonts w:ascii="CIDFont+F1" w:hAnsi="CIDFont+F1" w:cs="CIDFont+F1"/>
          <w:sz w:val="24"/>
          <w:szCs w:val="24"/>
        </w:rPr>
      </w:pPr>
    </w:p>
    <w:p w14:paraId="2F9CE0DF" w14:textId="77777777" w:rsidR="00104586" w:rsidRDefault="00104586" w:rsidP="00104586">
      <w:pPr>
        <w:autoSpaceDE w:val="0"/>
        <w:autoSpaceDN w:val="0"/>
        <w:adjustRightInd w:val="0"/>
        <w:spacing w:after="0" w:line="240" w:lineRule="auto"/>
        <w:rPr>
          <w:rFonts w:ascii="CIDFont+F1" w:hAnsi="CIDFont+F1" w:cs="CIDFont+F1"/>
          <w:sz w:val="24"/>
          <w:szCs w:val="24"/>
        </w:rPr>
      </w:pPr>
    </w:p>
    <w:p w14:paraId="50F94744" w14:textId="77777777" w:rsidR="00104586" w:rsidRDefault="00104586" w:rsidP="00104586">
      <w:pPr>
        <w:autoSpaceDE w:val="0"/>
        <w:autoSpaceDN w:val="0"/>
        <w:adjustRightInd w:val="0"/>
        <w:spacing w:after="0" w:line="240" w:lineRule="auto"/>
        <w:rPr>
          <w:b/>
          <w:bCs/>
          <w:sz w:val="72"/>
          <w:szCs w:val="72"/>
        </w:rPr>
      </w:pPr>
    </w:p>
    <w:p w14:paraId="76DD679C" w14:textId="77777777" w:rsidR="00104586" w:rsidRDefault="00104586" w:rsidP="00104586">
      <w:pPr>
        <w:autoSpaceDE w:val="0"/>
        <w:autoSpaceDN w:val="0"/>
        <w:adjustRightInd w:val="0"/>
        <w:spacing w:after="0" w:line="240" w:lineRule="auto"/>
        <w:rPr>
          <w:b/>
          <w:bCs/>
          <w:sz w:val="72"/>
          <w:szCs w:val="72"/>
        </w:rPr>
      </w:pPr>
    </w:p>
    <w:p w14:paraId="7EE32B41" w14:textId="77777777" w:rsidR="00327F7B" w:rsidRDefault="00327F7B" w:rsidP="00104586">
      <w:pPr>
        <w:autoSpaceDE w:val="0"/>
        <w:autoSpaceDN w:val="0"/>
        <w:adjustRightInd w:val="0"/>
        <w:spacing w:after="0" w:line="240" w:lineRule="auto"/>
        <w:rPr>
          <w:b/>
          <w:bCs/>
          <w:sz w:val="72"/>
          <w:szCs w:val="72"/>
        </w:rPr>
      </w:pPr>
      <w:r>
        <w:rPr>
          <w:b/>
          <w:bCs/>
          <w:sz w:val="72"/>
          <w:szCs w:val="72"/>
        </w:rPr>
        <w:t xml:space="preserve">Report on </w:t>
      </w:r>
    </w:p>
    <w:p w14:paraId="2F213337" w14:textId="08AA0DE1" w:rsidR="002C38A7" w:rsidRPr="00104586" w:rsidRDefault="002C38A7" w:rsidP="00104586">
      <w:pPr>
        <w:autoSpaceDE w:val="0"/>
        <w:autoSpaceDN w:val="0"/>
        <w:adjustRightInd w:val="0"/>
        <w:spacing w:after="0" w:line="240" w:lineRule="auto"/>
        <w:rPr>
          <w:b/>
          <w:bCs/>
          <w:sz w:val="72"/>
          <w:szCs w:val="72"/>
        </w:rPr>
      </w:pPr>
      <w:r w:rsidRPr="00104586">
        <w:rPr>
          <w:b/>
          <w:bCs/>
          <w:sz w:val="72"/>
          <w:szCs w:val="72"/>
        </w:rPr>
        <w:t xml:space="preserve">Interim Evaluation </w:t>
      </w:r>
    </w:p>
    <w:p w14:paraId="27796192" w14:textId="25202F36" w:rsidR="002C38A7" w:rsidRDefault="002C38A7">
      <w:pPr>
        <w:rPr>
          <w:b/>
          <w:bCs/>
          <w:sz w:val="72"/>
          <w:szCs w:val="72"/>
        </w:rPr>
      </w:pPr>
      <w:r w:rsidRPr="00104586">
        <w:rPr>
          <w:b/>
          <w:bCs/>
          <w:sz w:val="72"/>
          <w:szCs w:val="72"/>
        </w:rPr>
        <w:t xml:space="preserve"> </w:t>
      </w:r>
    </w:p>
    <w:p w14:paraId="44475A79" w14:textId="0066A003" w:rsidR="00104586" w:rsidRDefault="00104586">
      <w:pPr>
        <w:rPr>
          <w:b/>
          <w:bCs/>
          <w:sz w:val="72"/>
          <w:szCs w:val="72"/>
        </w:rPr>
      </w:pPr>
    </w:p>
    <w:p w14:paraId="004069BE" w14:textId="77777777" w:rsidR="00104586" w:rsidRPr="00104586" w:rsidRDefault="00104586">
      <w:pPr>
        <w:rPr>
          <w:b/>
          <w:bCs/>
          <w:sz w:val="72"/>
          <w:szCs w:val="72"/>
        </w:rPr>
      </w:pPr>
    </w:p>
    <w:p w14:paraId="67017772" w14:textId="35268DDF" w:rsidR="00104586" w:rsidRDefault="00104586">
      <w:pPr>
        <w:rPr>
          <w:b/>
          <w:bCs/>
          <w:sz w:val="28"/>
          <w:szCs w:val="28"/>
        </w:rPr>
      </w:pPr>
      <w:r>
        <w:rPr>
          <w:b/>
          <w:bCs/>
          <w:sz w:val="28"/>
          <w:szCs w:val="28"/>
        </w:rPr>
        <w:t xml:space="preserve">Submitted by Melanie Reimer and </w:t>
      </w:r>
      <w:r w:rsidR="00573598">
        <w:rPr>
          <w:b/>
          <w:bCs/>
          <w:sz w:val="28"/>
          <w:szCs w:val="28"/>
        </w:rPr>
        <w:t xml:space="preserve">Dr. </w:t>
      </w:r>
      <w:r>
        <w:rPr>
          <w:b/>
          <w:bCs/>
          <w:sz w:val="28"/>
          <w:szCs w:val="28"/>
        </w:rPr>
        <w:t>Craig Naumann</w:t>
      </w:r>
    </w:p>
    <w:p w14:paraId="729ECB94" w14:textId="5EBFF612" w:rsidR="00C20986" w:rsidRDefault="00327F7B">
      <w:pPr>
        <w:rPr>
          <w:b/>
          <w:bCs/>
          <w:sz w:val="28"/>
          <w:szCs w:val="28"/>
        </w:rPr>
        <w:sectPr w:rsidR="00C20986">
          <w:headerReference w:type="default" r:id="rId8"/>
          <w:footerReference w:type="default" r:id="rId9"/>
          <w:pgSz w:w="12240" w:h="15840"/>
          <w:pgMar w:top="1440" w:right="1440" w:bottom="1440" w:left="1440" w:header="708" w:footer="708" w:gutter="0"/>
          <w:cols w:space="708"/>
          <w:docGrid w:linePitch="360"/>
        </w:sectPr>
      </w:pPr>
      <w:r>
        <w:rPr>
          <w:b/>
          <w:bCs/>
          <w:sz w:val="28"/>
          <w:szCs w:val="28"/>
        </w:rPr>
        <w:t xml:space="preserve">May </w:t>
      </w:r>
      <w:r w:rsidR="00104586">
        <w:rPr>
          <w:b/>
          <w:bCs/>
          <w:sz w:val="28"/>
          <w:szCs w:val="28"/>
        </w:rPr>
        <w:t>2021</w:t>
      </w:r>
    </w:p>
    <w:sdt>
      <w:sdtPr>
        <w:rPr>
          <w:rFonts w:asciiTheme="minorHAnsi" w:eastAsiaTheme="minorEastAsia" w:hAnsiTheme="minorHAnsi" w:cstheme="minorBidi"/>
          <w:color w:val="auto"/>
          <w:sz w:val="20"/>
          <w:szCs w:val="20"/>
          <w:shd w:val="clear" w:color="auto" w:fill="E6E6E6"/>
        </w:rPr>
        <w:id w:val="-189066959"/>
        <w:docPartObj>
          <w:docPartGallery w:val="Table of Contents"/>
          <w:docPartUnique/>
        </w:docPartObj>
      </w:sdtPr>
      <w:sdtEndPr>
        <w:rPr>
          <w:b/>
          <w:bCs/>
          <w:noProof/>
        </w:rPr>
      </w:sdtEndPr>
      <w:sdtContent>
        <w:p w14:paraId="06B36C67" w14:textId="60A022A6" w:rsidR="00FB27EA" w:rsidRDefault="00FB27EA">
          <w:pPr>
            <w:pStyle w:val="TOCHeading"/>
          </w:pPr>
          <w:r>
            <w:t>Contents</w:t>
          </w:r>
        </w:p>
        <w:p w14:paraId="1EACF0FA" w14:textId="74A1B11E" w:rsidR="00B77336" w:rsidRDefault="00FB27EA">
          <w:pPr>
            <w:pStyle w:val="TOC1"/>
            <w:tabs>
              <w:tab w:val="right" w:leader="dot" w:pos="9350"/>
            </w:tabs>
            <w:rPr>
              <w:noProof/>
              <w:sz w:val="22"/>
              <w:szCs w:val="22"/>
              <w:lang w:eastAsia="en-CA"/>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71701874" w:history="1">
            <w:r w:rsidR="00B77336" w:rsidRPr="007568B0">
              <w:rPr>
                <w:rStyle w:val="Hyperlink"/>
                <w:noProof/>
              </w:rPr>
              <w:t>Executive Summary</w:t>
            </w:r>
            <w:r w:rsidR="00B77336">
              <w:rPr>
                <w:noProof/>
                <w:webHidden/>
              </w:rPr>
              <w:tab/>
            </w:r>
            <w:r w:rsidR="00B77336">
              <w:rPr>
                <w:noProof/>
                <w:webHidden/>
              </w:rPr>
              <w:fldChar w:fldCharType="begin"/>
            </w:r>
            <w:r w:rsidR="00B77336">
              <w:rPr>
                <w:noProof/>
                <w:webHidden/>
              </w:rPr>
              <w:instrText xml:space="preserve"> PAGEREF _Toc71701874 \h </w:instrText>
            </w:r>
            <w:r w:rsidR="00B77336">
              <w:rPr>
                <w:noProof/>
                <w:webHidden/>
              </w:rPr>
            </w:r>
            <w:r w:rsidR="00B77336">
              <w:rPr>
                <w:noProof/>
                <w:webHidden/>
              </w:rPr>
              <w:fldChar w:fldCharType="separate"/>
            </w:r>
            <w:r w:rsidR="00036841">
              <w:rPr>
                <w:noProof/>
                <w:webHidden/>
              </w:rPr>
              <w:t>i</w:t>
            </w:r>
            <w:r w:rsidR="00B77336">
              <w:rPr>
                <w:noProof/>
                <w:webHidden/>
              </w:rPr>
              <w:fldChar w:fldCharType="end"/>
            </w:r>
          </w:hyperlink>
        </w:p>
        <w:p w14:paraId="6BA57BE6" w14:textId="08BEEC07" w:rsidR="00B77336" w:rsidRDefault="00CF0A53">
          <w:pPr>
            <w:pStyle w:val="TOC1"/>
            <w:tabs>
              <w:tab w:val="left" w:pos="400"/>
              <w:tab w:val="right" w:leader="dot" w:pos="9350"/>
            </w:tabs>
            <w:rPr>
              <w:noProof/>
              <w:sz w:val="22"/>
              <w:szCs w:val="22"/>
              <w:lang w:eastAsia="en-CA"/>
            </w:rPr>
          </w:pPr>
          <w:hyperlink w:anchor="_Toc71701875" w:history="1">
            <w:r w:rsidR="00B77336" w:rsidRPr="007568B0">
              <w:rPr>
                <w:rStyle w:val="Hyperlink"/>
                <w:noProof/>
              </w:rPr>
              <w:t>A.</w:t>
            </w:r>
            <w:r w:rsidR="00B77336">
              <w:rPr>
                <w:noProof/>
                <w:sz w:val="22"/>
                <w:szCs w:val="22"/>
                <w:lang w:eastAsia="en-CA"/>
              </w:rPr>
              <w:tab/>
            </w:r>
            <w:r w:rsidR="00B77336" w:rsidRPr="007568B0">
              <w:rPr>
                <w:rStyle w:val="Hyperlink"/>
                <w:noProof/>
              </w:rPr>
              <w:t>Programme Background</w:t>
            </w:r>
            <w:r w:rsidR="00B77336">
              <w:rPr>
                <w:noProof/>
                <w:webHidden/>
              </w:rPr>
              <w:tab/>
            </w:r>
            <w:r w:rsidR="00B77336">
              <w:rPr>
                <w:noProof/>
                <w:webHidden/>
              </w:rPr>
              <w:fldChar w:fldCharType="begin"/>
            </w:r>
            <w:r w:rsidR="00B77336">
              <w:rPr>
                <w:noProof/>
                <w:webHidden/>
              </w:rPr>
              <w:instrText xml:space="preserve"> PAGEREF _Toc71701875 \h </w:instrText>
            </w:r>
            <w:r w:rsidR="00B77336">
              <w:rPr>
                <w:noProof/>
                <w:webHidden/>
              </w:rPr>
            </w:r>
            <w:r w:rsidR="00B77336">
              <w:rPr>
                <w:noProof/>
                <w:webHidden/>
              </w:rPr>
              <w:fldChar w:fldCharType="separate"/>
            </w:r>
            <w:r w:rsidR="00036841">
              <w:rPr>
                <w:noProof/>
                <w:webHidden/>
              </w:rPr>
              <w:t>1</w:t>
            </w:r>
            <w:r w:rsidR="00B77336">
              <w:rPr>
                <w:noProof/>
                <w:webHidden/>
              </w:rPr>
              <w:fldChar w:fldCharType="end"/>
            </w:r>
          </w:hyperlink>
        </w:p>
        <w:p w14:paraId="468F1D47" w14:textId="5E84AAF0" w:rsidR="00B77336" w:rsidRDefault="00CF0A53">
          <w:pPr>
            <w:pStyle w:val="TOC1"/>
            <w:tabs>
              <w:tab w:val="left" w:pos="400"/>
              <w:tab w:val="right" w:leader="dot" w:pos="9350"/>
            </w:tabs>
            <w:rPr>
              <w:noProof/>
              <w:sz w:val="22"/>
              <w:szCs w:val="22"/>
              <w:lang w:eastAsia="en-CA"/>
            </w:rPr>
          </w:pPr>
          <w:hyperlink w:anchor="_Toc71701876" w:history="1">
            <w:r w:rsidR="00B77336" w:rsidRPr="007568B0">
              <w:rPr>
                <w:rStyle w:val="Hyperlink"/>
                <w:noProof/>
              </w:rPr>
              <w:t>B.</w:t>
            </w:r>
            <w:r w:rsidR="00B77336">
              <w:rPr>
                <w:noProof/>
                <w:sz w:val="22"/>
                <w:szCs w:val="22"/>
                <w:lang w:eastAsia="en-CA"/>
              </w:rPr>
              <w:tab/>
            </w:r>
            <w:r w:rsidR="00B77336" w:rsidRPr="007568B0">
              <w:rPr>
                <w:rStyle w:val="Hyperlink"/>
                <w:noProof/>
              </w:rPr>
              <w:t>Methodology</w:t>
            </w:r>
            <w:r w:rsidR="00B77336">
              <w:rPr>
                <w:noProof/>
                <w:webHidden/>
              </w:rPr>
              <w:tab/>
            </w:r>
            <w:r w:rsidR="00B77336">
              <w:rPr>
                <w:noProof/>
                <w:webHidden/>
              </w:rPr>
              <w:fldChar w:fldCharType="begin"/>
            </w:r>
            <w:r w:rsidR="00B77336">
              <w:rPr>
                <w:noProof/>
                <w:webHidden/>
              </w:rPr>
              <w:instrText xml:space="preserve"> PAGEREF _Toc71701876 \h </w:instrText>
            </w:r>
            <w:r w:rsidR="00B77336">
              <w:rPr>
                <w:noProof/>
                <w:webHidden/>
              </w:rPr>
            </w:r>
            <w:r w:rsidR="00B77336">
              <w:rPr>
                <w:noProof/>
                <w:webHidden/>
              </w:rPr>
              <w:fldChar w:fldCharType="separate"/>
            </w:r>
            <w:r w:rsidR="00036841">
              <w:rPr>
                <w:noProof/>
                <w:webHidden/>
              </w:rPr>
              <w:t>4</w:t>
            </w:r>
            <w:r w:rsidR="00B77336">
              <w:rPr>
                <w:noProof/>
                <w:webHidden/>
              </w:rPr>
              <w:fldChar w:fldCharType="end"/>
            </w:r>
          </w:hyperlink>
        </w:p>
        <w:p w14:paraId="7B63129E" w14:textId="3966FA9C" w:rsidR="00B77336" w:rsidRDefault="00CF0A53">
          <w:pPr>
            <w:pStyle w:val="TOC2"/>
            <w:tabs>
              <w:tab w:val="right" w:leader="dot" w:pos="9350"/>
            </w:tabs>
            <w:rPr>
              <w:noProof/>
              <w:sz w:val="22"/>
              <w:szCs w:val="22"/>
              <w:lang w:eastAsia="en-CA"/>
            </w:rPr>
          </w:pPr>
          <w:hyperlink w:anchor="_Toc71701877" w:history="1">
            <w:r w:rsidR="00B77336" w:rsidRPr="007568B0">
              <w:rPr>
                <w:rStyle w:val="Hyperlink"/>
                <w:noProof/>
              </w:rPr>
              <w:t>Evaluation Purpose and Audience</w:t>
            </w:r>
            <w:r w:rsidR="00B77336">
              <w:rPr>
                <w:noProof/>
                <w:webHidden/>
              </w:rPr>
              <w:tab/>
            </w:r>
            <w:r w:rsidR="00B77336">
              <w:rPr>
                <w:noProof/>
                <w:webHidden/>
              </w:rPr>
              <w:fldChar w:fldCharType="begin"/>
            </w:r>
            <w:r w:rsidR="00B77336">
              <w:rPr>
                <w:noProof/>
                <w:webHidden/>
              </w:rPr>
              <w:instrText xml:space="preserve"> PAGEREF _Toc71701877 \h </w:instrText>
            </w:r>
            <w:r w:rsidR="00B77336">
              <w:rPr>
                <w:noProof/>
                <w:webHidden/>
              </w:rPr>
            </w:r>
            <w:r w:rsidR="00B77336">
              <w:rPr>
                <w:noProof/>
                <w:webHidden/>
              </w:rPr>
              <w:fldChar w:fldCharType="separate"/>
            </w:r>
            <w:r w:rsidR="00036841">
              <w:rPr>
                <w:noProof/>
                <w:webHidden/>
              </w:rPr>
              <w:t>4</w:t>
            </w:r>
            <w:r w:rsidR="00B77336">
              <w:rPr>
                <w:noProof/>
                <w:webHidden/>
              </w:rPr>
              <w:fldChar w:fldCharType="end"/>
            </w:r>
          </w:hyperlink>
        </w:p>
        <w:p w14:paraId="22CE31D5" w14:textId="775A435C" w:rsidR="00B77336" w:rsidRDefault="00CF0A53">
          <w:pPr>
            <w:pStyle w:val="TOC2"/>
            <w:tabs>
              <w:tab w:val="right" w:leader="dot" w:pos="9350"/>
            </w:tabs>
            <w:rPr>
              <w:noProof/>
              <w:sz w:val="22"/>
              <w:szCs w:val="22"/>
              <w:lang w:eastAsia="en-CA"/>
            </w:rPr>
          </w:pPr>
          <w:hyperlink w:anchor="_Toc71701878" w:history="1">
            <w:r w:rsidR="00B77336" w:rsidRPr="007568B0">
              <w:rPr>
                <w:rStyle w:val="Hyperlink"/>
                <w:noProof/>
              </w:rPr>
              <w:t>Evaluation Objectives</w:t>
            </w:r>
            <w:r w:rsidR="00B77336">
              <w:rPr>
                <w:noProof/>
                <w:webHidden/>
              </w:rPr>
              <w:tab/>
            </w:r>
            <w:r w:rsidR="00B77336">
              <w:rPr>
                <w:noProof/>
                <w:webHidden/>
              </w:rPr>
              <w:fldChar w:fldCharType="begin"/>
            </w:r>
            <w:r w:rsidR="00B77336">
              <w:rPr>
                <w:noProof/>
                <w:webHidden/>
              </w:rPr>
              <w:instrText xml:space="preserve"> PAGEREF _Toc71701878 \h </w:instrText>
            </w:r>
            <w:r w:rsidR="00B77336">
              <w:rPr>
                <w:noProof/>
                <w:webHidden/>
              </w:rPr>
            </w:r>
            <w:r w:rsidR="00B77336">
              <w:rPr>
                <w:noProof/>
                <w:webHidden/>
              </w:rPr>
              <w:fldChar w:fldCharType="separate"/>
            </w:r>
            <w:r w:rsidR="00036841">
              <w:rPr>
                <w:noProof/>
                <w:webHidden/>
              </w:rPr>
              <w:t>4</w:t>
            </w:r>
            <w:r w:rsidR="00B77336">
              <w:rPr>
                <w:noProof/>
                <w:webHidden/>
              </w:rPr>
              <w:fldChar w:fldCharType="end"/>
            </w:r>
          </w:hyperlink>
        </w:p>
        <w:p w14:paraId="5B5A8AB9" w14:textId="44A6A4E3" w:rsidR="00B77336" w:rsidRDefault="00CF0A53">
          <w:pPr>
            <w:pStyle w:val="TOC2"/>
            <w:tabs>
              <w:tab w:val="right" w:leader="dot" w:pos="9350"/>
            </w:tabs>
            <w:rPr>
              <w:noProof/>
              <w:sz w:val="22"/>
              <w:szCs w:val="22"/>
              <w:lang w:eastAsia="en-CA"/>
            </w:rPr>
          </w:pPr>
          <w:hyperlink w:anchor="_Toc71701879" w:history="1">
            <w:r w:rsidR="00B77336" w:rsidRPr="007568B0">
              <w:rPr>
                <w:rStyle w:val="Hyperlink"/>
                <w:noProof/>
                <w:lang w:val="en-US"/>
              </w:rPr>
              <w:t>Evaluation Criteria and Standards</w:t>
            </w:r>
            <w:r w:rsidR="00B77336">
              <w:rPr>
                <w:noProof/>
                <w:webHidden/>
              </w:rPr>
              <w:tab/>
            </w:r>
            <w:r w:rsidR="00B77336">
              <w:rPr>
                <w:noProof/>
                <w:webHidden/>
              </w:rPr>
              <w:fldChar w:fldCharType="begin"/>
            </w:r>
            <w:r w:rsidR="00B77336">
              <w:rPr>
                <w:noProof/>
                <w:webHidden/>
              </w:rPr>
              <w:instrText xml:space="preserve"> PAGEREF _Toc71701879 \h </w:instrText>
            </w:r>
            <w:r w:rsidR="00B77336">
              <w:rPr>
                <w:noProof/>
                <w:webHidden/>
              </w:rPr>
            </w:r>
            <w:r w:rsidR="00B77336">
              <w:rPr>
                <w:noProof/>
                <w:webHidden/>
              </w:rPr>
              <w:fldChar w:fldCharType="separate"/>
            </w:r>
            <w:r w:rsidR="00036841">
              <w:rPr>
                <w:noProof/>
                <w:webHidden/>
              </w:rPr>
              <w:t>4</w:t>
            </w:r>
            <w:r w:rsidR="00B77336">
              <w:rPr>
                <w:noProof/>
                <w:webHidden/>
              </w:rPr>
              <w:fldChar w:fldCharType="end"/>
            </w:r>
          </w:hyperlink>
        </w:p>
        <w:p w14:paraId="3B88CCF3" w14:textId="3C1D3391" w:rsidR="00B77336" w:rsidRDefault="00CF0A53">
          <w:pPr>
            <w:pStyle w:val="TOC2"/>
            <w:tabs>
              <w:tab w:val="right" w:leader="dot" w:pos="9350"/>
            </w:tabs>
            <w:rPr>
              <w:noProof/>
              <w:sz w:val="22"/>
              <w:szCs w:val="22"/>
              <w:lang w:eastAsia="en-CA"/>
            </w:rPr>
          </w:pPr>
          <w:hyperlink w:anchor="_Toc71701880" w:history="1">
            <w:r w:rsidR="00B77336" w:rsidRPr="007568B0">
              <w:rPr>
                <w:rStyle w:val="Hyperlink"/>
                <w:noProof/>
                <w:lang w:val="en-US"/>
              </w:rPr>
              <w:t>Data Collection Methods and Sources</w:t>
            </w:r>
            <w:r w:rsidR="00B77336">
              <w:rPr>
                <w:noProof/>
                <w:webHidden/>
              </w:rPr>
              <w:tab/>
            </w:r>
            <w:r w:rsidR="00B77336">
              <w:rPr>
                <w:noProof/>
                <w:webHidden/>
              </w:rPr>
              <w:fldChar w:fldCharType="begin"/>
            </w:r>
            <w:r w:rsidR="00B77336">
              <w:rPr>
                <w:noProof/>
                <w:webHidden/>
              </w:rPr>
              <w:instrText xml:space="preserve"> PAGEREF _Toc71701880 \h </w:instrText>
            </w:r>
            <w:r w:rsidR="00B77336">
              <w:rPr>
                <w:noProof/>
                <w:webHidden/>
              </w:rPr>
            </w:r>
            <w:r w:rsidR="00B77336">
              <w:rPr>
                <w:noProof/>
                <w:webHidden/>
              </w:rPr>
              <w:fldChar w:fldCharType="separate"/>
            </w:r>
            <w:r w:rsidR="00036841">
              <w:rPr>
                <w:noProof/>
                <w:webHidden/>
              </w:rPr>
              <w:t>5</w:t>
            </w:r>
            <w:r w:rsidR="00B77336">
              <w:rPr>
                <w:noProof/>
                <w:webHidden/>
              </w:rPr>
              <w:fldChar w:fldCharType="end"/>
            </w:r>
          </w:hyperlink>
        </w:p>
        <w:p w14:paraId="0A2B55C8" w14:textId="656D9D72" w:rsidR="00B77336" w:rsidRDefault="00CF0A53">
          <w:pPr>
            <w:pStyle w:val="TOC2"/>
            <w:tabs>
              <w:tab w:val="right" w:leader="dot" w:pos="9350"/>
            </w:tabs>
            <w:rPr>
              <w:noProof/>
              <w:sz w:val="22"/>
              <w:szCs w:val="22"/>
              <w:lang w:eastAsia="en-CA"/>
            </w:rPr>
          </w:pPr>
          <w:hyperlink w:anchor="_Toc71701881" w:history="1">
            <w:r w:rsidR="00B77336" w:rsidRPr="007568B0">
              <w:rPr>
                <w:rStyle w:val="Hyperlink"/>
                <w:noProof/>
                <w:lang w:val="en-US"/>
              </w:rPr>
              <w:t>Data Analysis Methods</w:t>
            </w:r>
            <w:r w:rsidR="00B77336">
              <w:rPr>
                <w:noProof/>
                <w:webHidden/>
              </w:rPr>
              <w:tab/>
            </w:r>
            <w:r w:rsidR="00B77336">
              <w:rPr>
                <w:noProof/>
                <w:webHidden/>
              </w:rPr>
              <w:fldChar w:fldCharType="begin"/>
            </w:r>
            <w:r w:rsidR="00B77336">
              <w:rPr>
                <w:noProof/>
                <w:webHidden/>
              </w:rPr>
              <w:instrText xml:space="preserve"> PAGEREF _Toc71701881 \h </w:instrText>
            </w:r>
            <w:r w:rsidR="00B77336">
              <w:rPr>
                <w:noProof/>
                <w:webHidden/>
              </w:rPr>
            </w:r>
            <w:r w:rsidR="00B77336">
              <w:rPr>
                <w:noProof/>
                <w:webHidden/>
              </w:rPr>
              <w:fldChar w:fldCharType="separate"/>
            </w:r>
            <w:r w:rsidR="00036841">
              <w:rPr>
                <w:noProof/>
                <w:webHidden/>
              </w:rPr>
              <w:t>7</w:t>
            </w:r>
            <w:r w:rsidR="00B77336">
              <w:rPr>
                <w:noProof/>
                <w:webHidden/>
              </w:rPr>
              <w:fldChar w:fldCharType="end"/>
            </w:r>
          </w:hyperlink>
        </w:p>
        <w:p w14:paraId="3B86826B" w14:textId="1B0A7489" w:rsidR="00B77336" w:rsidRDefault="00CF0A53">
          <w:pPr>
            <w:pStyle w:val="TOC2"/>
            <w:tabs>
              <w:tab w:val="right" w:leader="dot" w:pos="9350"/>
            </w:tabs>
            <w:rPr>
              <w:noProof/>
              <w:sz w:val="22"/>
              <w:szCs w:val="22"/>
              <w:lang w:eastAsia="en-CA"/>
            </w:rPr>
          </w:pPr>
          <w:hyperlink w:anchor="_Toc71701882" w:history="1">
            <w:r w:rsidR="00B77336" w:rsidRPr="007568B0">
              <w:rPr>
                <w:rStyle w:val="Hyperlink"/>
                <w:noProof/>
              </w:rPr>
              <w:t>Limitations</w:t>
            </w:r>
            <w:r w:rsidR="00B77336" w:rsidRPr="007568B0">
              <w:rPr>
                <w:rStyle w:val="Hyperlink"/>
                <w:noProof/>
                <w:lang w:val="en-US"/>
              </w:rPr>
              <w:t xml:space="preserve"> and Mitigation</w:t>
            </w:r>
            <w:r w:rsidR="00B77336">
              <w:rPr>
                <w:noProof/>
                <w:webHidden/>
              </w:rPr>
              <w:tab/>
            </w:r>
            <w:r w:rsidR="00B77336">
              <w:rPr>
                <w:noProof/>
                <w:webHidden/>
              </w:rPr>
              <w:fldChar w:fldCharType="begin"/>
            </w:r>
            <w:r w:rsidR="00B77336">
              <w:rPr>
                <w:noProof/>
                <w:webHidden/>
              </w:rPr>
              <w:instrText xml:space="preserve"> PAGEREF _Toc71701882 \h </w:instrText>
            </w:r>
            <w:r w:rsidR="00B77336">
              <w:rPr>
                <w:noProof/>
                <w:webHidden/>
              </w:rPr>
            </w:r>
            <w:r w:rsidR="00B77336">
              <w:rPr>
                <w:noProof/>
                <w:webHidden/>
              </w:rPr>
              <w:fldChar w:fldCharType="separate"/>
            </w:r>
            <w:r w:rsidR="00036841">
              <w:rPr>
                <w:noProof/>
                <w:webHidden/>
              </w:rPr>
              <w:t>7</w:t>
            </w:r>
            <w:r w:rsidR="00B77336">
              <w:rPr>
                <w:noProof/>
                <w:webHidden/>
              </w:rPr>
              <w:fldChar w:fldCharType="end"/>
            </w:r>
          </w:hyperlink>
        </w:p>
        <w:p w14:paraId="32461585" w14:textId="66224A45" w:rsidR="00B77336" w:rsidRDefault="00CF0A53">
          <w:pPr>
            <w:pStyle w:val="TOC1"/>
            <w:tabs>
              <w:tab w:val="left" w:pos="400"/>
              <w:tab w:val="right" w:leader="dot" w:pos="9350"/>
            </w:tabs>
            <w:rPr>
              <w:noProof/>
              <w:sz w:val="22"/>
              <w:szCs w:val="22"/>
              <w:lang w:eastAsia="en-CA"/>
            </w:rPr>
          </w:pPr>
          <w:hyperlink w:anchor="_Toc71701883" w:history="1">
            <w:r w:rsidR="00B77336" w:rsidRPr="007568B0">
              <w:rPr>
                <w:rStyle w:val="Hyperlink"/>
                <w:noProof/>
              </w:rPr>
              <w:t>C.</w:t>
            </w:r>
            <w:r w:rsidR="00B77336">
              <w:rPr>
                <w:noProof/>
                <w:sz w:val="22"/>
                <w:szCs w:val="22"/>
                <w:lang w:eastAsia="en-CA"/>
              </w:rPr>
              <w:tab/>
            </w:r>
            <w:r w:rsidR="00B77336" w:rsidRPr="007568B0">
              <w:rPr>
                <w:rStyle w:val="Hyperlink"/>
                <w:noProof/>
              </w:rPr>
              <w:t>Findings and Conclusions</w:t>
            </w:r>
            <w:r w:rsidR="00B77336">
              <w:rPr>
                <w:noProof/>
                <w:webHidden/>
              </w:rPr>
              <w:tab/>
            </w:r>
            <w:r w:rsidR="00B77336">
              <w:rPr>
                <w:noProof/>
                <w:webHidden/>
              </w:rPr>
              <w:fldChar w:fldCharType="begin"/>
            </w:r>
            <w:r w:rsidR="00B77336">
              <w:rPr>
                <w:noProof/>
                <w:webHidden/>
              </w:rPr>
              <w:instrText xml:space="preserve"> PAGEREF _Toc71701883 \h </w:instrText>
            </w:r>
            <w:r w:rsidR="00B77336">
              <w:rPr>
                <w:noProof/>
                <w:webHidden/>
              </w:rPr>
            </w:r>
            <w:r w:rsidR="00B77336">
              <w:rPr>
                <w:noProof/>
                <w:webHidden/>
              </w:rPr>
              <w:fldChar w:fldCharType="separate"/>
            </w:r>
            <w:r w:rsidR="00036841">
              <w:rPr>
                <w:noProof/>
                <w:webHidden/>
              </w:rPr>
              <w:t>10</w:t>
            </w:r>
            <w:r w:rsidR="00B77336">
              <w:rPr>
                <w:noProof/>
                <w:webHidden/>
              </w:rPr>
              <w:fldChar w:fldCharType="end"/>
            </w:r>
          </w:hyperlink>
        </w:p>
        <w:p w14:paraId="45B45034" w14:textId="1D274A7D" w:rsidR="00B77336" w:rsidRDefault="00CF0A53">
          <w:pPr>
            <w:pStyle w:val="TOC2"/>
            <w:tabs>
              <w:tab w:val="right" w:leader="dot" w:pos="9350"/>
            </w:tabs>
            <w:rPr>
              <w:noProof/>
              <w:sz w:val="22"/>
              <w:szCs w:val="22"/>
              <w:lang w:eastAsia="en-CA"/>
            </w:rPr>
          </w:pPr>
          <w:hyperlink w:anchor="_Toc71701884" w:history="1">
            <w:r w:rsidR="00B77336" w:rsidRPr="007568B0">
              <w:rPr>
                <w:rStyle w:val="Hyperlink"/>
                <w:rFonts w:ascii="Arial" w:hAnsi="Arial" w:cs="Arial"/>
                <w:noProof/>
              </w:rPr>
              <w:t>Relevance</w:t>
            </w:r>
            <w:r w:rsidR="00B77336" w:rsidRPr="007568B0">
              <w:rPr>
                <w:rStyle w:val="Hyperlink"/>
                <w:rFonts w:ascii="Arial" w:hAnsi="Arial" w:cs="Arial"/>
                <w:bCs/>
                <w:noProof/>
              </w:rPr>
              <w:t xml:space="preserve">: </w:t>
            </w:r>
            <w:r w:rsidR="00B77336" w:rsidRPr="007568B0">
              <w:rPr>
                <w:rStyle w:val="Hyperlink"/>
                <w:rFonts w:ascii="Arial" w:hAnsi="Arial" w:cs="Arial"/>
                <w:bCs/>
                <w:i/>
                <w:iCs/>
                <w:noProof/>
              </w:rPr>
              <w:t>Is the Global Programme doing “the right things”?</w:t>
            </w:r>
            <w:r w:rsidR="00B77336">
              <w:rPr>
                <w:noProof/>
                <w:webHidden/>
              </w:rPr>
              <w:tab/>
            </w:r>
            <w:r w:rsidR="00B77336">
              <w:rPr>
                <w:noProof/>
                <w:webHidden/>
              </w:rPr>
              <w:fldChar w:fldCharType="begin"/>
            </w:r>
            <w:r w:rsidR="00B77336">
              <w:rPr>
                <w:noProof/>
                <w:webHidden/>
              </w:rPr>
              <w:instrText xml:space="preserve"> PAGEREF _Toc71701884 \h </w:instrText>
            </w:r>
            <w:r w:rsidR="00B77336">
              <w:rPr>
                <w:noProof/>
                <w:webHidden/>
              </w:rPr>
            </w:r>
            <w:r w:rsidR="00B77336">
              <w:rPr>
                <w:noProof/>
                <w:webHidden/>
              </w:rPr>
              <w:fldChar w:fldCharType="separate"/>
            </w:r>
            <w:r w:rsidR="00036841">
              <w:rPr>
                <w:noProof/>
                <w:webHidden/>
              </w:rPr>
              <w:t>10</w:t>
            </w:r>
            <w:r w:rsidR="00B77336">
              <w:rPr>
                <w:noProof/>
                <w:webHidden/>
              </w:rPr>
              <w:fldChar w:fldCharType="end"/>
            </w:r>
          </w:hyperlink>
        </w:p>
        <w:p w14:paraId="3175C045" w14:textId="3C4EDBCB" w:rsidR="00B77336" w:rsidRDefault="00CF0A53" w:rsidP="00B77336">
          <w:pPr>
            <w:pStyle w:val="TOC2"/>
            <w:tabs>
              <w:tab w:val="right" w:leader="dot" w:pos="9350"/>
            </w:tabs>
            <w:ind w:left="426"/>
            <w:rPr>
              <w:noProof/>
              <w:sz w:val="22"/>
              <w:szCs w:val="22"/>
              <w:lang w:eastAsia="en-CA"/>
            </w:rPr>
          </w:pPr>
          <w:hyperlink w:anchor="_Toc71701885" w:history="1">
            <w:r w:rsidR="00B77336" w:rsidRPr="007568B0">
              <w:rPr>
                <w:rStyle w:val="Hyperlink"/>
                <w:noProof/>
              </w:rPr>
              <w:t>Programme/Global Level Findings on Relevance</w:t>
            </w:r>
            <w:r w:rsidR="00B77336">
              <w:rPr>
                <w:noProof/>
                <w:webHidden/>
              </w:rPr>
              <w:tab/>
            </w:r>
            <w:r w:rsidR="00B77336">
              <w:rPr>
                <w:noProof/>
                <w:webHidden/>
              </w:rPr>
              <w:fldChar w:fldCharType="begin"/>
            </w:r>
            <w:r w:rsidR="00B77336">
              <w:rPr>
                <w:noProof/>
                <w:webHidden/>
              </w:rPr>
              <w:instrText xml:space="preserve"> PAGEREF _Toc71701885 \h </w:instrText>
            </w:r>
            <w:r w:rsidR="00B77336">
              <w:rPr>
                <w:noProof/>
                <w:webHidden/>
              </w:rPr>
            </w:r>
            <w:r w:rsidR="00B77336">
              <w:rPr>
                <w:noProof/>
                <w:webHidden/>
              </w:rPr>
              <w:fldChar w:fldCharType="separate"/>
            </w:r>
            <w:r w:rsidR="00036841">
              <w:rPr>
                <w:noProof/>
                <w:webHidden/>
              </w:rPr>
              <w:t>10</w:t>
            </w:r>
            <w:r w:rsidR="00B77336">
              <w:rPr>
                <w:noProof/>
                <w:webHidden/>
              </w:rPr>
              <w:fldChar w:fldCharType="end"/>
            </w:r>
          </w:hyperlink>
        </w:p>
        <w:p w14:paraId="0D5DE7B1" w14:textId="59373841" w:rsidR="00B77336" w:rsidRDefault="00CF0A53" w:rsidP="00B77336">
          <w:pPr>
            <w:pStyle w:val="TOC2"/>
            <w:tabs>
              <w:tab w:val="right" w:leader="dot" w:pos="9350"/>
            </w:tabs>
            <w:ind w:left="426"/>
            <w:rPr>
              <w:noProof/>
              <w:sz w:val="22"/>
              <w:szCs w:val="22"/>
              <w:lang w:eastAsia="en-CA"/>
            </w:rPr>
          </w:pPr>
          <w:hyperlink w:anchor="_Toc71701886" w:history="1">
            <w:r w:rsidR="00B77336" w:rsidRPr="007568B0">
              <w:rPr>
                <w:rStyle w:val="Hyperlink"/>
                <w:noProof/>
              </w:rPr>
              <w:t>Country Level Findings on Relevance</w:t>
            </w:r>
            <w:r w:rsidR="00B77336">
              <w:rPr>
                <w:noProof/>
                <w:webHidden/>
              </w:rPr>
              <w:tab/>
            </w:r>
            <w:r w:rsidR="00B77336">
              <w:rPr>
                <w:noProof/>
                <w:webHidden/>
              </w:rPr>
              <w:fldChar w:fldCharType="begin"/>
            </w:r>
            <w:r w:rsidR="00B77336">
              <w:rPr>
                <w:noProof/>
                <w:webHidden/>
              </w:rPr>
              <w:instrText xml:space="preserve"> PAGEREF _Toc71701886 \h </w:instrText>
            </w:r>
            <w:r w:rsidR="00B77336">
              <w:rPr>
                <w:noProof/>
                <w:webHidden/>
              </w:rPr>
            </w:r>
            <w:r w:rsidR="00B77336">
              <w:rPr>
                <w:noProof/>
                <w:webHidden/>
              </w:rPr>
              <w:fldChar w:fldCharType="separate"/>
            </w:r>
            <w:r w:rsidR="00036841">
              <w:rPr>
                <w:noProof/>
                <w:webHidden/>
              </w:rPr>
              <w:t>14</w:t>
            </w:r>
            <w:r w:rsidR="00B77336">
              <w:rPr>
                <w:noProof/>
                <w:webHidden/>
              </w:rPr>
              <w:fldChar w:fldCharType="end"/>
            </w:r>
          </w:hyperlink>
        </w:p>
        <w:p w14:paraId="668E35DC" w14:textId="671973AC" w:rsidR="00B77336" w:rsidRDefault="00CF0A53">
          <w:pPr>
            <w:pStyle w:val="TOC2"/>
            <w:tabs>
              <w:tab w:val="right" w:leader="dot" w:pos="9350"/>
            </w:tabs>
            <w:rPr>
              <w:noProof/>
              <w:sz w:val="22"/>
              <w:szCs w:val="22"/>
              <w:lang w:eastAsia="en-CA"/>
            </w:rPr>
          </w:pPr>
          <w:hyperlink w:anchor="_Toc71701887" w:history="1">
            <w:r w:rsidR="00B77336" w:rsidRPr="007568B0">
              <w:rPr>
                <w:rStyle w:val="Hyperlink"/>
                <w:rFonts w:ascii="Arial" w:hAnsi="Arial" w:cs="Arial"/>
                <w:noProof/>
              </w:rPr>
              <w:t>Coherence</w:t>
            </w:r>
            <w:r w:rsidR="00B77336" w:rsidRPr="007568B0">
              <w:rPr>
                <w:rStyle w:val="Hyperlink"/>
                <w:rFonts w:ascii="Arial" w:hAnsi="Arial" w:cs="Arial"/>
                <w:bCs/>
                <w:noProof/>
              </w:rPr>
              <w:t xml:space="preserve">: </w:t>
            </w:r>
            <w:r w:rsidR="00B77336" w:rsidRPr="007568B0">
              <w:rPr>
                <w:rStyle w:val="Hyperlink"/>
                <w:rFonts w:ascii="Arial" w:hAnsi="Arial" w:cs="Arial"/>
                <w:bCs/>
                <w:i/>
                <w:iCs/>
                <w:noProof/>
              </w:rPr>
              <w:t>How well does the Programme fit (and coordinate) with other actors and interventions?</w:t>
            </w:r>
            <w:r w:rsidR="00B77336">
              <w:rPr>
                <w:noProof/>
                <w:webHidden/>
              </w:rPr>
              <w:tab/>
            </w:r>
            <w:r w:rsidR="00B77336">
              <w:rPr>
                <w:noProof/>
                <w:webHidden/>
              </w:rPr>
              <w:fldChar w:fldCharType="begin"/>
            </w:r>
            <w:r w:rsidR="00B77336">
              <w:rPr>
                <w:noProof/>
                <w:webHidden/>
              </w:rPr>
              <w:instrText xml:space="preserve"> PAGEREF _Toc71701887 \h </w:instrText>
            </w:r>
            <w:r w:rsidR="00B77336">
              <w:rPr>
                <w:noProof/>
                <w:webHidden/>
              </w:rPr>
            </w:r>
            <w:r w:rsidR="00B77336">
              <w:rPr>
                <w:noProof/>
                <w:webHidden/>
              </w:rPr>
              <w:fldChar w:fldCharType="separate"/>
            </w:r>
            <w:r w:rsidR="00036841">
              <w:rPr>
                <w:noProof/>
                <w:webHidden/>
              </w:rPr>
              <w:t>16</w:t>
            </w:r>
            <w:r w:rsidR="00B77336">
              <w:rPr>
                <w:noProof/>
                <w:webHidden/>
              </w:rPr>
              <w:fldChar w:fldCharType="end"/>
            </w:r>
          </w:hyperlink>
        </w:p>
        <w:p w14:paraId="78B51A7A" w14:textId="3E47E6E0" w:rsidR="00B77336" w:rsidRDefault="00CF0A53" w:rsidP="00B77336">
          <w:pPr>
            <w:pStyle w:val="TOC2"/>
            <w:tabs>
              <w:tab w:val="right" w:leader="dot" w:pos="9350"/>
            </w:tabs>
            <w:ind w:left="426"/>
            <w:rPr>
              <w:noProof/>
              <w:sz w:val="22"/>
              <w:szCs w:val="22"/>
              <w:lang w:eastAsia="en-CA"/>
            </w:rPr>
          </w:pPr>
          <w:hyperlink w:anchor="_Toc71701888" w:history="1">
            <w:r w:rsidR="00B77336" w:rsidRPr="007568B0">
              <w:rPr>
                <w:rStyle w:val="Hyperlink"/>
                <w:noProof/>
              </w:rPr>
              <w:t>Programme/Global Level Findings on Coherence</w:t>
            </w:r>
            <w:r w:rsidR="00B77336">
              <w:rPr>
                <w:noProof/>
                <w:webHidden/>
              </w:rPr>
              <w:tab/>
            </w:r>
            <w:r w:rsidR="00B77336">
              <w:rPr>
                <w:noProof/>
                <w:webHidden/>
              </w:rPr>
              <w:fldChar w:fldCharType="begin"/>
            </w:r>
            <w:r w:rsidR="00B77336">
              <w:rPr>
                <w:noProof/>
                <w:webHidden/>
              </w:rPr>
              <w:instrText xml:space="preserve"> PAGEREF _Toc71701888 \h </w:instrText>
            </w:r>
            <w:r w:rsidR="00B77336">
              <w:rPr>
                <w:noProof/>
                <w:webHidden/>
              </w:rPr>
            </w:r>
            <w:r w:rsidR="00B77336">
              <w:rPr>
                <w:noProof/>
                <w:webHidden/>
              </w:rPr>
              <w:fldChar w:fldCharType="separate"/>
            </w:r>
            <w:r w:rsidR="00036841">
              <w:rPr>
                <w:noProof/>
                <w:webHidden/>
              </w:rPr>
              <w:t>17</w:t>
            </w:r>
            <w:r w:rsidR="00B77336">
              <w:rPr>
                <w:noProof/>
                <w:webHidden/>
              </w:rPr>
              <w:fldChar w:fldCharType="end"/>
            </w:r>
          </w:hyperlink>
        </w:p>
        <w:p w14:paraId="56C5A731" w14:textId="745A818C" w:rsidR="00B77336" w:rsidRDefault="00CF0A53" w:rsidP="00B77336">
          <w:pPr>
            <w:pStyle w:val="TOC2"/>
            <w:tabs>
              <w:tab w:val="right" w:leader="dot" w:pos="9350"/>
            </w:tabs>
            <w:ind w:left="426"/>
            <w:rPr>
              <w:noProof/>
              <w:sz w:val="22"/>
              <w:szCs w:val="22"/>
              <w:lang w:eastAsia="en-CA"/>
            </w:rPr>
          </w:pPr>
          <w:hyperlink w:anchor="_Toc71701889" w:history="1">
            <w:r w:rsidR="00B77336" w:rsidRPr="007568B0">
              <w:rPr>
                <w:rStyle w:val="Hyperlink"/>
                <w:noProof/>
              </w:rPr>
              <w:t>Country Level Findings on Coherence</w:t>
            </w:r>
            <w:r w:rsidR="00B77336">
              <w:rPr>
                <w:noProof/>
                <w:webHidden/>
              </w:rPr>
              <w:tab/>
            </w:r>
            <w:r w:rsidR="00B77336">
              <w:rPr>
                <w:noProof/>
                <w:webHidden/>
              </w:rPr>
              <w:fldChar w:fldCharType="begin"/>
            </w:r>
            <w:r w:rsidR="00B77336">
              <w:rPr>
                <w:noProof/>
                <w:webHidden/>
              </w:rPr>
              <w:instrText xml:space="preserve"> PAGEREF _Toc71701889 \h </w:instrText>
            </w:r>
            <w:r w:rsidR="00B77336">
              <w:rPr>
                <w:noProof/>
                <w:webHidden/>
              </w:rPr>
            </w:r>
            <w:r w:rsidR="00B77336">
              <w:rPr>
                <w:noProof/>
                <w:webHidden/>
              </w:rPr>
              <w:fldChar w:fldCharType="separate"/>
            </w:r>
            <w:r w:rsidR="00036841">
              <w:rPr>
                <w:noProof/>
                <w:webHidden/>
              </w:rPr>
              <w:t>18</w:t>
            </w:r>
            <w:r w:rsidR="00B77336">
              <w:rPr>
                <w:noProof/>
                <w:webHidden/>
              </w:rPr>
              <w:fldChar w:fldCharType="end"/>
            </w:r>
          </w:hyperlink>
        </w:p>
        <w:p w14:paraId="77ABD9CA" w14:textId="6991969D" w:rsidR="00B77336" w:rsidRDefault="00CF0A53">
          <w:pPr>
            <w:pStyle w:val="TOC2"/>
            <w:tabs>
              <w:tab w:val="right" w:leader="dot" w:pos="9350"/>
            </w:tabs>
            <w:rPr>
              <w:noProof/>
              <w:sz w:val="22"/>
              <w:szCs w:val="22"/>
              <w:lang w:eastAsia="en-CA"/>
            </w:rPr>
          </w:pPr>
          <w:hyperlink w:anchor="_Toc71701890" w:history="1">
            <w:r w:rsidR="00B77336" w:rsidRPr="007568B0">
              <w:rPr>
                <w:rStyle w:val="Hyperlink"/>
                <w:rFonts w:ascii="Arial" w:hAnsi="Arial" w:cs="Arial"/>
                <w:noProof/>
              </w:rPr>
              <w:t>Efficiency</w:t>
            </w:r>
            <w:r w:rsidR="00B77336" w:rsidRPr="007568B0">
              <w:rPr>
                <w:rStyle w:val="Hyperlink"/>
                <w:rFonts w:ascii="Arial" w:hAnsi="Arial" w:cs="Arial"/>
                <w:bCs/>
                <w:noProof/>
              </w:rPr>
              <w:t xml:space="preserve"> – </w:t>
            </w:r>
            <w:r w:rsidR="00B77336" w:rsidRPr="007568B0">
              <w:rPr>
                <w:rStyle w:val="Hyperlink"/>
                <w:rFonts w:ascii="Arial" w:hAnsi="Arial" w:cs="Arial"/>
                <w:bCs/>
                <w:i/>
                <w:iCs/>
                <w:noProof/>
              </w:rPr>
              <w:t>How well are resources used and operations managed?</w:t>
            </w:r>
            <w:r w:rsidR="00B77336">
              <w:rPr>
                <w:noProof/>
                <w:webHidden/>
              </w:rPr>
              <w:tab/>
            </w:r>
            <w:r w:rsidR="00B77336">
              <w:rPr>
                <w:noProof/>
                <w:webHidden/>
              </w:rPr>
              <w:fldChar w:fldCharType="begin"/>
            </w:r>
            <w:r w:rsidR="00B77336">
              <w:rPr>
                <w:noProof/>
                <w:webHidden/>
              </w:rPr>
              <w:instrText xml:space="preserve"> PAGEREF _Toc71701890 \h </w:instrText>
            </w:r>
            <w:r w:rsidR="00B77336">
              <w:rPr>
                <w:noProof/>
                <w:webHidden/>
              </w:rPr>
            </w:r>
            <w:r w:rsidR="00B77336">
              <w:rPr>
                <w:noProof/>
                <w:webHidden/>
              </w:rPr>
              <w:fldChar w:fldCharType="separate"/>
            </w:r>
            <w:r w:rsidR="00036841">
              <w:rPr>
                <w:noProof/>
                <w:webHidden/>
              </w:rPr>
              <w:t>22</w:t>
            </w:r>
            <w:r w:rsidR="00B77336">
              <w:rPr>
                <w:noProof/>
                <w:webHidden/>
              </w:rPr>
              <w:fldChar w:fldCharType="end"/>
            </w:r>
          </w:hyperlink>
        </w:p>
        <w:p w14:paraId="16CF162B" w14:textId="2A35C092" w:rsidR="00B77336" w:rsidRDefault="00CF0A53" w:rsidP="00B77336">
          <w:pPr>
            <w:pStyle w:val="TOC2"/>
            <w:tabs>
              <w:tab w:val="right" w:leader="dot" w:pos="9350"/>
            </w:tabs>
            <w:ind w:left="426"/>
            <w:rPr>
              <w:noProof/>
              <w:sz w:val="22"/>
              <w:szCs w:val="22"/>
              <w:lang w:eastAsia="en-CA"/>
            </w:rPr>
          </w:pPr>
          <w:hyperlink w:anchor="_Toc71701891" w:history="1">
            <w:r w:rsidR="00B77336" w:rsidRPr="007568B0">
              <w:rPr>
                <w:rStyle w:val="Hyperlink"/>
                <w:noProof/>
              </w:rPr>
              <w:t>Programme/Global Level Findings on Efficiency</w:t>
            </w:r>
            <w:r w:rsidR="00B77336">
              <w:rPr>
                <w:noProof/>
                <w:webHidden/>
              </w:rPr>
              <w:tab/>
            </w:r>
            <w:r w:rsidR="00B77336">
              <w:rPr>
                <w:noProof/>
                <w:webHidden/>
              </w:rPr>
              <w:fldChar w:fldCharType="begin"/>
            </w:r>
            <w:r w:rsidR="00B77336">
              <w:rPr>
                <w:noProof/>
                <w:webHidden/>
              </w:rPr>
              <w:instrText xml:space="preserve"> PAGEREF _Toc71701891 \h </w:instrText>
            </w:r>
            <w:r w:rsidR="00B77336">
              <w:rPr>
                <w:noProof/>
                <w:webHidden/>
              </w:rPr>
            </w:r>
            <w:r w:rsidR="00B77336">
              <w:rPr>
                <w:noProof/>
                <w:webHidden/>
              </w:rPr>
              <w:fldChar w:fldCharType="separate"/>
            </w:r>
            <w:r w:rsidR="00036841">
              <w:rPr>
                <w:noProof/>
                <w:webHidden/>
              </w:rPr>
              <w:t>23</w:t>
            </w:r>
            <w:r w:rsidR="00B77336">
              <w:rPr>
                <w:noProof/>
                <w:webHidden/>
              </w:rPr>
              <w:fldChar w:fldCharType="end"/>
            </w:r>
          </w:hyperlink>
        </w:p>
        <w:p w14:paraId="219225CC" w14:textId="2DB5A571" w:rsidR="00B77336" w:rsidRDefault="00CF0A53" w:rsidP="00B77336">
          <w:pPr>
            <w:pStyle w:val="TOC2"/>
            <w:tabs>
              <w:tab w:val="right" w:leader="dot" w:pos="9350"/>
            </w:tabs>
            <w:ind w:left="426"/>
            <w:rPr>
              <w:noProof/>
              <w:sz w:val="22"/>
              <w:szCs w:val="22"/>
              <w:lang w:eastAsia="en-CA"/>
            </w:rPr>
          </w:pPr>
          <w:hyperlink w:anchor="_Toc71701892" w:history="1">
            <w:r w:rsidR="00B77336" w:rsidRPr="007568B0">
              <w:rPr>
                <w:rStyle w:val="Hyperlink"/>
                <w:noProof/>
              </w:rPr>
              <w:t>Country Level Findings on Efficiency</w:t>
            </w:r>
            <w:r w:rsidR="00B77336">
              <w:rPr>
                <w:noProof/>
                <w:webHidden/>
              </w:rPr>
              <w:tab/>
            </w:r>
            <w:r w:rsidR="00B77336">
              <w:rPr>
                <w:noProof/>
                <w:webHidden/>
              </w:rPr>
              <w:fldChar w:fldCharType="begin"/>
            </w:r>
            <w:r w:rsidR="00B77336">
              <w:rPr>
                <w:noProof/>
                <w:webHidden/>
              </w:rPr>
              <w:instrText xml:space="preserve"> PAGEREF _Toc71701892 \h </w:instrText>
            </w:r>
            <w:r w:rsidR="00B77336">
              <w:rPr>
                <w:noProof/>
                <w:webHidden/>
              </w:rPr>
            </w:r>
            <w:r w:rsidR="00B77336">
              <w:rPr>
                <w:noProof/>
                <w:webHidden/>
              </w:rPr>
              <w:fldChar w:fldCharType="separate"/>
            </w:r>
            <w:r w:rsidR="00036841">
              <w:rPr>
                <w:noProof/>
                <w:webHidden/>
              </w:rPr>
              <w:t>29</w:t>
            </w:r>
            <w:r w:rsidR="00B77336">
              <w:rPr>
                <w:noProof/>
                <w:webHidden/>
              </w:rPr>
              <w:fldChar w:fldCharType="end"/>
            </w:r>
          </w:hyperlink>
        </w:p>
        <w:p w14:paraId="7EC0C318" w14:textId="799077F7" w:rsidR="00B77336" w:rsidRDefault="00CF0A53">
          <w:pPr>
            <w:pStyle w:val="TOC2"/>
            <w:tabs>
              <w:tab w:val="right" w:leader="dot" w:pos="9350"/>
            </w:tabs>
            <w:rPr>
              <w:noProof/>
              <w:sz w:val="22"/>
              <w:szCs w:val="22"/>
              <w:lang w:eastAsia="en-CA"/>
            </w:rPr>
          </w:pPr>
          <w:hyperlink w:anchor="_Toc71701893" w:history="1">
            <w:r w:rsidR="00B77336" w:rsidRPr="007568B0">
              <w:rPr>
                <w:rStyle w:val="Hyperlink"/>
                <w:rFonts w:ascii="Arial" w:hAnsi="Arial" w:cs="Arial"/>
                <w:noProof/>
              </w:rPr>
              <w:t>Effectiveness/Impact</w:t>
            </w:r>
            <w:r w:rsidR="00B77336" w:rsidRPr="007568B0">
              <w:rPr>
                <w:rStyle w:val="Hyperlink"/>
                <w:rFonts w:ascii="Arial" w:hAnsi="Arial" w:cs="Arial"/>
                <w:bCs/>
                <w:noProof/>
              </w:rPr>
              <w:t xml:space="preserve"> – A</w:t>
            </w:r>
            <w:r w:rsidR="00B77336" w:rsidRPr="007568B0">
              <w:rPr>
                <w:rStyle w:val="Hyperlink"/>
                <w:rFonts w:ascii="Arial" w:hAnsi="Arial" w:cs="Arial"/>
                <w:bCs/>
                <w:i/>
                <w:iCs/>
                <w:noProof/>
              </w:rPr>
              <w:t>re objectives being achieved or is progress being made? What has changed due to this Programme?</w:t>
            </w:r>
            <w:r w:rsidR="00B77336">
              <w:rPr>
                <w:noProof/>
                <w:webHidden/>
              </w:rPr>
              <w:tab/>
            </w:r>
            <w:r w:rsidR="00B77336">
              <w:rPr>
                <w:noProof/>
                <w:webHidden/>
              </w:rPr>
              <w:fldChar w:fldCharType="begin"/>
            </w:r>
            <w:r w:rsidR="00B77336">
              <w:rPr>
                <w:noProof/>
                <w:webHidden/>
              </w:rPr>
              <w:instrText xml:space="preserve"> PAGEREF _Toc71701893 \h </w:instrText>
            </w:r>
            <w:r w:rsidR="00B77336">
              <w:rPr>
                <w:noProof/>
                <w:webHidden/>
              </w:rPr>
            </w:r>
            <w:r w:rsidR="00B77336">
              <w:rPr>
                <w:noProof/>
                <w:webHidden/>
              </w:rPr>
              <w:fldChar w:fldCharType="separate"/>
            </w:r>
            <w:r w:rsidR="00036841">
              <w:rPr>
                <w:noProof/>
                <w:webHidden/>
              </w:rPr>
              <w:t>31</w:t>
            </w:r>
            <w:r w:rsidR="00B77336">
              <w:rPr>
                <w:noProof/>
                <w:webHidden/>
              </w:rPr>
              <w:fldChar w:fldCharType="end"/>
            </w:r>
          </w:hyperlink>
        </w:p>
        <w:p w14:paraId="44097491" w14:textId="486752FD" w:rsidR="00B77336" w:rsidRDefault="00CF0A53" w:rsidP="00B77336">
          <w:pPr>
            <w:pStyle w:val="TOC2"/>
            <w:tabs>
              <w:tab w:val="right" w:leader="dot" w:pos="9350"/>
            </w:tabs>
            <w:ind w:left="426"/>
            <w:rPr>
              <w:noProof/>
              <w:sz w:val="22"/>
              <w:szCs w:val="22"/>
              <w:lang w:eastAsia="en-CA"/>
            </w:rPr>
          </w:pPr>
          <w:hyperlink w:anchor="_Toc71701894" w:history="1">
            <w:r w:rsidR="00B77336" w:rsidRPr="007568B0">
              <w:rPr>
                <w:rStyle w:val="Hyperlink"/>
                <w:noProof/>
              </w:rPr>
              <w:t>Programme/Global Level Findings on Effectiveness and Impact</w:t>
            </w:r>
            <w:r w:rsidR="00B77336">
              <w:rPr>
                <w:noProof/>
                <w:webHidden/>
              </w:rPr>
              <w:tab/>
            </w:r>
            <w:r w:rsidR="00B77336">
              <w:rPr>
                <w:noProof/>
                <w:webHidden/>
              </w:rPr>
              <w:fldChar w:fldCharType="begin"/>
            </w:r>
            <w:r w:rsidR="00B77336">
              <w:rPr>
                <w:noProof/>
                <w:webHidden/>
              </w:rPr>
              <w:instrText xml:space="preserve"> PAGEREF _Toc71701894 \h </w:instrText>
            </w:r>
            <w:r w:rsidR="00B77336">
              <w:rPr>
                <w:noProof/>
                <w:webHidden/>
              </w:rPr>
            </w:r>
            <w:r w:rsidR="00B77336">
              <w:rPr>
                <w:noProof/>
                <w:webHidden/>
              </w:rPr>
              <w:fldChar w:fldCharType="separate"/>
            </w:r>
            <w:r w:rsidR="00036841">
              <w:rPr>
                <w:noProof/>
                <w:webHidden/>
              </w:rPr>
              <w:t>32</w:t>
            </w:r>
            <w:r w:rsidR="00B77336">
              <w:rPr>
                <w:noProof/>
                <w:webHidden/>
              </w:rPr>
              <w:fldChar w:fldCharType="end"/>
            </w:r>
          </w:hyperlink>
        </w:p>
        <w:p w14:paraId="39C9BA77" w14:textId="5688D5A6" w:rsidR="00B77336" w:rsidRDefault="00CF0A53" w:rsidP="00B77336">
          <w:pPr>
            <w:pStyle w:val="TOC2"/>
            <w:tabs>
              <w:tab w:val="right" w:leader="dot" w:pos="9350"/>
            </w:tabs>
            <w:ind w:left="426"/>
            <w:rPr>
              <w:noProof/>
              <w:sz w:val="22"/>
              <w:szCs w:val="22"/>
              <w:lang w:eastAsia="en-CA"/>
            </w:rPr>
          </w:pPr>
          <w:hyperlink w:anchor="_Toc71701895" w:history="1">
            <w:r w:rsidR="00B77336" w:rsidRPr="007568B0">
              <w:rPr>
                <w:rStyle w:val="Hyperlink"/>
                <w:noProof/>
              </w:rPr>
              <w:t>Country Level Findings on Effectiveness and Impact</w:t>
            </w:r>
            <w:r w:rsidR="00B77336">
              <w:rPr>
                <w:noProof/>
                <w:webHidden/>
              </w:rPr>
              <w:tab/>
            </w:r>
            <w:r w:rsidR="00B77336">
              <w:rPr>
                <w:noProof/>
                <w:webHidden/>
              </w:rPr>
              <w:fldChar w:fldCharType="begin"/>
            </w:r>
            <w:r w:rsidR="00B77336">
              <w:rPr>
                <w:noProof/>
                <w:webHidden/>
              </w:rPr>
              <w:instrText xml:space="preserve"> PAGEREF _Toc71701895 \h </w:instrText>
            </w:r>
            <w:r w:rsidR="00B77336">
              <w:rPr>
                <w:noProof/>
                <w:webHidden/>
              </w:rPr>
            </w:r>
            <w:r w:rsidR="00B77336">
              <w:rPr>
                <w:noProof/>
                <w:webHidden/>
              </w:rPr>
              <w:fldChar w:fldCharType="separate"/>
            </w:r>
            <w:r w:rsidR="00036841">
              <w:rPr>
                <w:noProof/>
                <w:webHidden/>
              </w:rPr>
              <w:t>34</w:t>
            </w:r>
            <w:r w:rsidR="00B77336">
              <w:rPr>
                <w:noProof/>
                <w:webHidden/>
              </w:rPr>
              <w:fldChar w:fldCharType="end"/>
            </w:r>
          </w:hyperlink>
        </w:p>
        <w:p w14:paraId="0B032E44" w14:textId="7765DA52" w:rsidR="00B77336" w:rsidRDefault="00CF0A53">
          <w:pPr>
            <w:pStyle w:val="TOC2"/>
            <w:tabs>
              <w:tab w:val="right" w:leader="dot" w:pos="9350"/>
            </w:tabs>
            <w:rPr>
              <w:noProof/>
              <w:sz w:val="22"/>
              <w:szCs w:val="22"/>
              <w:lang w:eastAsia="en-CA"/>
            </w:rPr>
          </w:pPr>
          <w:hyperlink w:anchor="_Toc71701896" w:history="1">
            <w:r w:rsidR="00B77336" w:rsidRPr="007568B0">
              <w:rPr>
                <w:rStyle w:val="Hyperlink"/>
                <w:rFonts w:ascii="Arial" w:hAnsi="Arial" w:cs="Arial"/>
                <w:noProof/>
              </w:rPr>
              <w:t>Sustainability</w:t>
            </w:r>
            <w:r w:rsidR="00B77336" w:rsidRPr="007568B0">
              <w:rPr>
                <w:rStyle w:val="Hyperlink"/>
                <w:bCs/>
                <w:noProof/>
              </w:rPr>
              <w:t xml:space="preserve"> – </w:t>
            </w:r>
            <w:r w:rsidR="00B77336" w:rsidRPr="007568B0">
              <w:rPr>
                <w:rStyle w:val="Hyperlink"/>
                <w:rFonts w:ascii="Arial" w:hAnsi="Arial" w:cs="Arial"/>
                <w:bCs/>
                <w:i/>
                <w:iCs/>
                <w:noProof/>
              </w:rPr>
              <w:t>Will the benefits last? Will the GP platform itself endure?</w:t>
            </w:r>
            <w:r w:rsidR="00B77336">
              <w:rPr>
                <w:noProof/>
                <w:webHidden/>
              </w:rPr>
              <w:tab/>
            </w:r>
            <w:r w:rsidR="00B77336">
              <w:rPr>
                <w:noProof/>
                <w:webHidden/>
              </w:rPr>
              <w:fldChar w:fldCharType="begin"/>
            </w:r>
            <w:r w:rsidR="00B77336">
              <w:rPr>
                <w:noProof/>
                <w:webHidden/>
              </w:rPr>
              <w:instrText xml:space="preserve"> PAGEREF _Toc71701896 \h </w:instrText>
            </w:r>
            <w:r w:rsidR="00B77336">
              <w:rPr>
                <w:noProof/>
                <w:webHidden/>
              </w:rPr>
            </w:r>
            <w:r w:rsidR="00B77336">
              <w:rPr>
                <w:noProof/>
                <w:webHidden/>
              </w:rPr>
              <w:fldChar w:fldCharType="separate"/>
            </w:r>
            <w:r w:rsidR="00036841">
              <w:rPr>
                <w:noProof/>
                <w:webHidden/>
              </w:rPr>
              <w:t>38</w:t>
            </w:r>
            <w:r w:rsidR="00B77336">
              <w:rPr>
                <w:noProof/>
                <w:webHidden/>
              </w:rPr>
              <w:fldChar w:fldCharType="end"/>
            </w:r>
          </w:hyperlink>
        </w:p>
        <w:p w14:paraId="1412A1AD" w14:textId="4903498A" w:rsidR="00B77336" w:rsidRDefault="00CF0A53" w:rsidP="00B77336">
          <w:pPr>
            <w:pStyle w:val="TOC2"/>
            <w:tabs>
              <w:tab w:val="right" w:leader="dot" w:pos="9350"/>
            </w:tabs>
            <w:ind w:left="426"/>
            <w:rPr>
              <w:noProof/>
              <w:sz w:val="22"/>
              <w:szCs w:val="22"/>
              <w:lang w:eastAsia="en-CA"/>
            </w:rPr>
          </w:pPr>
          <w:hyperlink w:anchor="_Toc71701897" w:history="1">
            <w:r w:rsidR="00B77336" w:rsidRPr="007568B0">
              <w:rPr>
                <w:rStyle w:val="Hyperlink"/>
                <w:noProof/>
              </w:rPr>
              <w:t>Programme/Global Level Findings on Sustainability</w:t>
            </w:r>
            <w:r w:rsidR="00B77336">
              <w:rPr>
                <w:noProof/>
                <w:webHidden/>
              </w:rPr>
              <w:tab/>
            </w:r>
            <w:r w:rsidR="00B77336">
              <w:rPr>
                <w:noProof/>
                <w:webHidden/>
              </w:rPr>
              <w:fldChar w:fldCharType="begin"/>
            </w:r>
            <w:r w:rsidR="00B77336">
              <w:rPr>
                <w:noProof/>
                <w:webHidden/>
              </w:rPr>
              <w:instrText xml:space="preserve"> PAGEREF _Toc71701897 \h </w:instrText>
            </w:r>
            <w:r w:rsidR="00B77336">
              <w:rPr>
                <w:noProof/>
                <w:webHidden/>
              </w:rPr>
            </w:r>
            <w:r w:rsidR="00B77336">
              <w:rPr>
                <w:noProof/>
                <w:webHidden/>
              </w:rPr>
              <w:fldChar w:fldCharType="separate"/>
            </w:r>
            <w:r w:rsidR="00036841">
              <w:rPr>
                <w:noProof/>
                <w:webHidden/>
              </w:rPr>
              <w:t>39</w:t>
            </w:r>
            <w:r w:rsidR="00B77336">
              <w:rPr>
                <w:noProof/>
                <w:webHidden/>
              </w:rPr>
              <w:fldChar w:fldCharType="end"/>
            </w:r>
          </w:hyperlink>
        </w:p>
        <w:p w14:paraId="29D11B74" w14:textId="25E6B505" w:rsidR="00B77336" w:rsidRDefault="00CF0A53" w:rsidP="00B77336">
          <w:pPr>
            <w:pStyle w:val="TOC2"/>
            <w:tabs>
              <w:tab w:val="right" w:leader="dot" w:pos="9350"/>
            </w:tabs>
            <w:ind w:left="426"/>
            <w:rPr>
              <w:noProof/>
              <w:sz w:val="22"/>
              <w:szCs w:val="22"/>
              <w:lang w:eastAsia="en-CA"/>
            </w:rPr>
          </w:pPr>
          <w:hyperlink w:anchor="_Toc71701898" w:history="1">
            <w:r w:rsidR="00B77336" w:rsidRPr="007568B0">
              <w:rPr>
                <w:rStyle w:val="Hyperlink"/>
                <w:noProof/>
              </w:rPr>
              <w:t>Country Level Findings on Sustainability</w:t>
            </w:r>
            <w:r w:rsidR="00B77336">
              <w:rPr>
                <w:noProof/>
                <w:webHidden/>
              </w:rPr>
              <w:tab/>
            </w:r>
            <w:r w:rsidR="00B77336">
              <w:rPr>
                <w:noProof/>
                <w:webHidden/>
              </w:rPr>
              <w:fldChar w:fldCharType="begin"/>
            </w:r>
            <w:r w:rsidR="00B77336">
              <w:rPr>
                <w:noProof/>
                <w:webHidden/>
              </w:rPr>
              <w:instrText xml:space="preserve"> PAGEREF _Toc71701898 \h </w:instrText>
            </w:r>
            <w:r w:rsidR="00B77336">
              <w:rPr>
                <w:noProof/>
                <w:webHidden/>
              </w:rPr>
            </w:r>
            <w:r w:rsidR="00B77336">
              <w:rPr>
                <w:noProof/>
                <w:webHidden/>
              </w:rPr>
              <w:fldChar w:fldCharType="separate"/>
            </w:r>
            <w:r w:rsidR="00036841">
              <w:rPr>
                <w:noProof/>
                <w:webHidden/>
              </w:rPr>
              <w:t>42</w:t>
            </w:r>
            <w:r w:rsidR="00B77336">
              <w:rPr>
                <w:noProof/>
                <w:webHidden/>
              </w:rPr>
              <w:fldChar w:fldCharType="end"/>
            </w:r>
          </w:hyperlink>
        </w:p>
        <w:p w14:paraId="5616EE0E" w14:textId="14949094" w:rsidR="00B77336" w:rsidRDefault="00CF0A53">
          <w:pPr>
            <w:pStyle w:val="TOC1"/>
            <w:tabs>
              <w:tab w:val="left" w:pos="400"/>
              <w:tab w:val="right" w:leader="dot" w:pos="9350"/>
            </w:tabs>
            <w:rPr>
              <w:noProof/>
              <w:sz w:val="22"/>
              <w:szCs w:val="22"/>
              <w:lang w:eastAsia="en-CA"/>
            </w:rPr>
          </w:pPr>
          <w:hyperlink w:anchor="_Toc71701899" w:history="1">
            <w:r w:rsidR="00B77336" w:rsidRPr="007568B0">
              <w:rPr>
                <w:rStyle w:val="Hyperlink"/>
                <w:rFonts w:eastAsia="Times New Roman"/>
                <w:noProof/>
                <w:lang w:val="en-US" w:eastAsia="de-DE"/>
              </w:rPr>
              <w:t>D.</w:t>
            </w:r>
            <w:r w:rsidR="00B77336">
              <w:rPr>
                <w:noProof/>
                <w:sz w:val="22"/>
                <w:szCs w:val="22"/>
                <w:lang w:eastAsia="en-CA"/>
              </w:rPr>
              <w:tab/>
            </w:r>
            <w:r w:rsidR="00B77336" w:rsidRPr="007568B0">
              <w:rPr>
                <w:rStyle w:val="Hyperlink"/>
                <w:rFonts w:eastAsia="Times New Roman"/>
                <w:noProof/>
                <w:lang w:val="en-US" w:eastAsia="de-DE"/>
              </w:rPr>
              <w:t>Recommendations</w:t>
            </w:r>
            <w:r w:rsidR="00B77336">
              <w:rPr>
                <w:noProof/>
                <w:webHidden/>
              </w:rPr>
              <w:tab/>
            </w:r>
            <w:r w:rsidR="00B77336">
              <w:rPr>
                <w:noProof/>
                <w:webHidden/>
              </w:rPr>
              <w:fldChar w:fldCharType="begin"/>
            </w:r>
            <w:r w:rsidR="00B77336">
              <w:rPr>
                <w:noProof/>
                <w:webHidden/>
              </w:rPr>
              <w:instrText xml:space="preserve"> PAGEREF _Toc71701899 \h </w:instrText>
            </w:r>
            <w:r w:rsidR="00B77336">
              <w:rPr>
                <w:noProof/>
                <w:webHidden/>
              </w:rPr>
            </w:r>
            <w:r w:rsidR="00B77336">
              <w:rPr>
                <w:noProof/>
                <w:webHidden/>
              </w:rPr>
              <w:fldChar w:fldCharType="separate"/>
            </w:r>
            <w:r w:rsidR="00036841">
              <w:rPr>
                <w:noProof/>
                <w:webHidden/>
              </w:rPr>
              <w:t>46</w:t>
            </w:r>
            <w:r w:rsidR="00B77336">
              <w:rPr>
                <w:noProof/>
                <w:webHidden/>
              </w:rPr>
              <w:fldChar w:fldCharType="end"/>
            </w:r>
          </w:hyperlink>
        </w:p>
        <w:p w14:paraId="48B782C6" w14:textId="6A6D9115" w:rsidR="00B77336" w:rsidRDefault="00CF0A53">
          <w:pPr>
            <w:pStyle w:val="TOC1"/>
            <w:tabs>
              <w:tab w:val="left" w:pos="400"/>
              <w:tab w:val="right" w:leader="dot" w:pos="9350"/>
            </w:tabs>
            <w:rPr>
              <w:noProof/>
              <w:sz w:val="22"/>
              <w:szCs w:val="22"/>
              <w:lang w:eastAsia="en-CA"/>
            </w:rPr>
          </w:pPr>
          <w:hyperlink w:anchor="_Toc71701900" w:history="1">
            <w:r w:rsidR="00B77336" w:rsidRPr="007568B0">
              <w:rPr>
                <w:rStyle w:val="Hyperlink"/>
                <w:noProof/>
                <w:lang w:val="en-US" w:eastAsia="de-DE"/>
              </w:rPr>
              <w:t>E.</w:t>
            </w:r>
            <w:r w:rsidR="00B77336">
              <w:rPr>
                <w:noProof/>
                <w:sz w:val="22"/>
                <w:szCs w:val="22"/>
                <w:lang w:eastAsia="en-CA"/>
              </w:rPr>
              <w:tab/>
            </w:r>
            <w:r w:rsidR="00B77336" w:rsidRPr="007568B0">
              <w:rPr>
                <w:rStyle w:val="Hyperlink"/>
                <w:noProof/>
                <w:lang w:val="en-US" w:eastAsia="de-DE"/>
              </w:rPr>
              <w:t>Annexes</w:t>
            </w:r>
            <w:r w:rsidR="00B77336">
              <w:rPr>
                <w:noProof/>
                <w:webHidden/>
              </w:rPr>
              <w:tab/>
            </w:r>
            <w:r w:rsidR="00B77336">
              <w:rPr>
                <w:noProof/>
                <w:webHidden/>
              </w:rPr>
              <w:fldChar w:fldCharType="begin"/>
            </w:r>
            <w:r w:rsidR="00B77336">
              <w:rPr>
                <w:noProof/>
                <w:webHidden/>
              </w:rPr>
              <w:instrText xml:space="preserve"> PAGEREF _Toc71701900 \h </w:instrText>
            </w:r>
            <w:r w:rsidR="00B77336">
              <w:rPr>
                <w:noProof/>
                <w:webHidden/>
              </w:rPr>
            </w:r>
            <w:r w:rsidR="00B77336">
              <w:rPr>
                <w:noProof/>
                <w:webHidden/>
              </w:rPr>
              <w:fldChar w:fldCharType="separate"/>
            </w:r>
            <w:r w:rsidR="00036841">
              <w:rPr>
                <w:noProof/>
                <w:webHidden/>
              </w:rPr>
              <w:t>51</w:t>
            </w:r>
            <w:r w:rsidR="00B77336">
              <w:rPr>
                <w:noProof/>
                <w:webHidden/>
              </w:rPr>
              <w:fldChar w:fldCharType="end"/>
            </w:r>
          </w:hyperlink>
        </w:p>
        <w:p w14:paraId="4320D127" w14:textId="75F88570" w:rsidR="00B77336" w:rsidRDefault="00CF0A53">
          <w:pPr>
            <w:pStyle w:val="TOC2"/>
            <w:tabs>
              <w:tab w:val="right" w:leader="dot" w:pos="9350"/>
            </w:tabs>
            <w:rPr>
              <w:noProof/>
              <w:sz w:val="22"/>
              <w:szCs w:val="22"/>
              <w:lang w:eastAsia="en-CA"/>
            </w:rPr>
          </w:pPr>
          <w:hyperlink w:anchor="_Toc71701901" w:history="1">
            <w:r w:rsidR="00B77336" w:rsidRPr="007568B0">
              <w:rPr>
                <w:rStyle w:val="Hyperlink"/>
                <w:noProof/>
                <w:lang w:val="en-US" w:eastAsia="de-DE"/>
              </w:rPr>
              <w:t>Annex 1: Evaluation Matrix</w:t>
            </w:r>
            <w:r w:rsidR="00B77336">
              <w:rPr>
                <w:noProof/>
                <w:webHidden/>
              </w:rPr>
              <w:tab/>
            </w:r>
            <w:r w:rsidR="00B77336">
              <w:rPr>
                <w:noProof/>
                <w:webHidden/>
              </w:rPr>
              <w:fldChar w:fldCharType="begin"/>
            </w:r>
            <w:r w:rsidR="00B77336">
              <w:rPr>
                <w:noProof/>
                <w:webHidden/>
              </w:rPr>
              <w:instrText xml:space="preserve"> PAGEREF _Toc71701901 \h </w:instrText>
            </w:r>
            <w:r w:rsidR="00B77336">
              <w:rPr>
                <w:noProof/>
                <w:webHidden/>
              </w:rPr>
            </w:r>
            <w:r w:rsidR="00B77336">
              <w:rPr>
                <w:noProof/>
                <w:webHidden/>
              </w:rPr>
              <w:fldChar w:fldCharType="separate"/>
            </w:r>
            <w:r w:rsidR="00036841">
              <w:rPr>
                <w:noProof/>
                <w:webHidden/>
              </w:rPr>
              <w:t>52</w:t>
            </w:r>
            <w:r w:rsidR="00B77336">
              <w:rPr>
                <w:noProof/>
                <w:webHidden/>
              </w:rPr>
              <w:fldChar w:fldCharType="end"/>
            </w:r>
          </w:hyperlink>
        </w:p>
        <w:p w14:paraId="5D049C3C" w14:textId="37582243" w:rsidR="00B77336" w:rsidRDefault="00CF0A53">
          <w:pPr>
            <w:pStyle w:val="TOC2"/>
            <w:tabs>
              <w:tab w:val="right" w:leader="dot" w:pos="9350"/>
            </w:tabs>
            <w:rPr>
              <w:noProof/>
              <w:sz w:val="22"/>
              <w:szCs w:val="22"/>
              <w:lang w:eastAsia="en-CA"/>
            </w:rPr>
          </w:pPr>
          <w:hyperlink w:anchor="_Toc71701902" w:history="1">
            <w:r w:rsidR="00B77336" w:rsidRPr="007568B0">
              <w:rPr>
                <w:rStyle w:val="Hyperlink"/>
                <w:noProof/>
                <w:lang w:val="en-US" w:eastAsia="de-DE"/>
              </w:rPr>
              <w:t xml:space="preserve">Annex 2: </w:t>
            </w:r>
            <w:r w:rsidR="00B77336" w:rsidRPr="007568B0">
              <w:rPr>
                <w:rStyle w:val="Hyperlink"/>
                <w:noProof/>
              </w:rPr>
              <w:t>Global Programme Phase III Theory of Change</w:t>
            </w:r>
            <w:r w:rsidR="00B77336">
              <w:rPr>
                <w:noProof/>
                <w:webHidden/>
              </w:rPr>
              <w:tab/>
            </w:r>
            <w:r w:rsidR="00B77336">
              <w:rPr>
                <w:noProof/>
                <w:webHidden/>
              </w:rPr>
              <w:fldChar w:fldCharType="begin"/>
            </w:r>
            <w:r w:rsidR="00B77336">
              <w:rPr>
                <w:noProof/>
                <w:webHidden/>
              </w:rPr>
              <w:instrText xml:space="preserve"> PAGEREF _Toc71701902 \h </w:instrText>
            </w:r>
            <w:r w:rsidR="00B77336">
              <w:rPr>
                <w:noProof/>
                <w:webHidden/>
              </w:rPr>
            </w:r>
            <w:r w:rsidR="00B77336">
              <w:rPr>
                <w:noProof/>
                <w:webHidden/>
              </w:rPr>
              <w:fldChar w:fldCharType="separate"/>
            </w:r>
            <w:r w:rsidR="00036841">
              <w:rPr>
                <w:noProof/>
                <w:webHidden/>
              </w:rPr>
              <w:t>57</w:t>
            </w:r>
            <w:r w:rsidR="00B77336">
              <w:rPr>
                <w:noProof/>
                <w:webHidden/>
              </w:rPr>
              <w:fldChar w:fldCharType="end"/>
            </w:r>
          </w:hyperlink>
        </w:p>
        <w:p w14:paraId="14EA8630" w14:textId="390DF8F7" w:rsidR="00B77336" w:rsidRDefault="00CF0A53">
          <w:pPr>
            <w:pStyle w:val="TOC2"/>
            <w:tabs>
              <w:tab w:val="right" w:leader="dot" w:pos="9350"/>
            </w:tabs>
            <w:rPr>
              <w:noProof/>
              <w:sz w:val="22"/>
              <w:szCs w:val="22"/>
              <w:lang w:eastAsia="en-CA"/>
            </w:rPr>
          </w:pPr>
          <w:hyperlink w:anchor="_Toc71701903" w:history="1">
            <w:r w:rsidR="00B77336" w:rsidRPr="007568B0">
              <w:rPr>
                <w:rStyle w:val="Hyperlink"/>
                <w:noProof/>
                <w:lang w:val="en-US" w:eastAsia="de-DE"/>
              </w:rPr>
              <w:t>Annex 3: Analysis of Results-Based Management</w:t>
            </w:r>
            <w:r w:rsidR="00B77336">
              <w:rPr>
                <w:noProof/>
                <w:webHidden/>
              </w:rPr>
              <w:tab/>
            </w:r>
            <w:r w:rsidR="00B77336">
              <w:rPr>
                <w:noProof/>
                <w:webHidden/>
              </w:rPr>
              <w:fldChar w:fldCharType="begin"/>
            </w:r>
            <w:r w:rsidR="00B77336">
              <w:rPr>
                <w:noProof/>
                <w:webHidden/>
              </w:rPr>
              <w:instrText xml:space="preserve"> PAGEREF _Toc71701903 \h </w:instrText>
            </w:r>
            <w:r w:rsidR="00B77336">
              <w:rPr>
                <w:noProof/>
                <w:webHidden/>
              </w:rPr>
            </w:r>
            <w:r w:rsidR="00B77336">
              <w:rPr>
                <w:noProof/>
                <w:webHidden/>
              </w:rPr>
              <w:fldChar w:fldCharType="separate"/>
            </w:r>
            <w:r w:rsidR="00036841">
              <w:rPr>
                <w:noProof/>
                <w:webHidden/>
              </w:rPr>
              <w:t>58</w:t>
            </w:r>
            <w:r w:rsidR="00B77336">
              <w:rPr>
                <w:noProof/>
                <w:webHidden/>
              </w:rPr>
              <w:fldChar w:fldCharType="end"/>
            </w:r>
          </w:hyperlink>
        </w:p>
        <w:p w14:paraId="042A917E" w14:textId="058E25B1" w:rsidR="00B77336" w:rsidRDefault="00CF0A53">
          <w:pPr>
            <w:pStyle w:val="TOC2"/>
            <w:tabs>
              <w:tab w:val="right" w:leader="dot" w:pos="9350"/>
            </w:tabs>
            <w:rPr>
              <w:noProof/>
              <w:sz w:val="22"/>
              <w:szCs w:val="22"/>
              <w:lang w:eastAsia="en-CA"/>
            </w:rPr>
          </w:pPr>
          <w:hyperlink w:anchor="_Toc71701904" w:history="1">
            <w:r w:rsidR="00B77336" w:rsidRPr="007568B0">
              <w:rPr>
                <w:rStyle w:val="Hyperlink"/>
                <w:noProof/>
                <w:lang w:eastAsia="de-DE"/>
              </w:rPr>
              <w:t>Annex 4: Analysis of GP Output Indicator Data 2016-19</w:t>
            </w:r>
            <w:r w:rsidR="00B77336">
              <w:rPr>
                <w:noProof/>
                <w:webHidden/>
              </w:rPr>
              <w:tab/>
            </w:r>
            <w:r w:rsidR="00B77336">
              <w:rPr>
                <w:noProof/>
                <w:webHidden/>
              </w:rPr>
              <w:fldChar w:fldCharType="begin"/>
            </w:r>
            <w:r w:rsidR="00B77336">
              <w:rPr>
                <w:noProof/>
                <w:webHidden/>
              </w:rPr>
              <w:instrText xml:space="preserve"> PAGEREF _Toc71701904 \h </w:instrText>
            </w:r>
            <w:r w:rsidR="00B77336">
              <w:rPr>
                <w:noProof/>
                <w:webHidden/>
              </w:rPr>
            </w:r>
            <w:r w:rsidR="00B77336">
              <w:rPr>
                <w:noProof/>
                <w:webHidden/>
              </w:rPr>
              <w:fldChar w:fldCharType="separate"/>
            </w:r>
            <w:r w:rsidR="00036841">
              <w:rPr>
                <w:noProof/>
                <w:webHidden/>
              </w:rPr>
              <w:t>65</w:t>
            </w:r>
            <w:r w:rsidR="00B77336">
              <w:rPr>
                <w:noProof/>
                <w:webHidden/>
              </w:rPr>
              <w:fldChar w:fldCharType="end"/>
            </w:r>
          </w:hyperlink>
        </w:p>
        <w:p w14:paraId="701C4F22" w14:textId="33568B45" w:rsidR="00B77336" w:rsidRDefault="00CF0A53">
          <w:pPr>
            <w:pStyle w:val="TOC2"/>
            <w:tabs>
              <w:tab w:val="right" w:leader="dot" w:pos="9350"/>
            </w:tabs>
            <w:rPr>
              <w:noProof/>
              <w:sz w:val="22"/>
              <w:szCs w:val="22"/>
              <w:lang w:eastAsia="en-CA"/>
            </w:rPr>
          </w:pPr>
          <w:hyperlink w:anchor="_Toc71701905" w:history="1">
            <w:r w:rsidR="00B77336" w:rsidRPr="007568B0">
              <w:rPr>
                <w:rStyle w:val="Hyperlink"/>
                <w:noProof/>
                <w:lang w:eastAsia="de-DE"/>
              </w:rPr>
              <w:t>Annex 5: Summary of ISSAT Evaluations</w:t>
            </w:r>
            <w:r w:rsidR="00B77336">
              <w:rPr>
                <w:noProof/>
                <w:webHidden/>
              </w:rPr>
              <w:tab/>
            </w:r>
            <w:r w:rsidR="00B77336">
              <w:rPr>
                <w:noProof/>
                <w:webHidden/>
              </w:rPr>
              <w:fldChar w:fldCharType="begin"/>
            </w:r>
            <w:r w:rsidR="00B77336">
              <w:rPr>
                <w:noProof/>
                <w:webHidden/>
              </w:rPr>
              <w:instrText xml:space="preserve"> PAGEREF _Toc71701905 \h </w:instrText>
            </w:r>
            <w:r w:rsidR="00B77336">
              <w:rPr>
                <w:noProof/>
                <w:webHidden/>
              </w:rPr>
            </w:r>
            <w:r w:rsidR="00B77336">
              <w:rPr>
                <w:noProof/>
                <w:webHidden/>
              </w:rPr>
              <w:fldChar w:fldCharType="separate"/>
            </w:r>
            <w:r w:rsidR="00036841">
              <w:rPr>
                <w:noProof/>
                <w:webHidden/>
              </w:rPr>
              <w:t>67</w:t>
            </w:r>
            <w:r w:rsidR="00B77336">
              <w:rPr>
                <w:noProof/>
                <w:webHidden/>
              </w:rPr>
              <w:fldChar w:fldCharType="end"/>
            </w:r>
          </w:hyperlink>
        </w:p>
        <w:p w14:paraId="0914CCAE" w14:textId="48D0312C" w:rsidR="00B77336" w:rsidRDefault="00CF0A53">
          <w:pPr>
            <w:pStyle w:val="TOC2"/>
            <w:tabs>
              <w:tab w:val="right" w:leader="dot" w:pos="9350"/>
            </w:tabs>
            <w:rPr>
              <w:noProof/>
              <w:sz w:val="22"/>
              <w:szCs w:val="22"/>
              <w:lang w:eastAsia="en-CA"/>
            </w:rPr>
          </w:pPr>
          <w:hyperlink w:anchor="_Toc71701906" w:history="1">
            <w:r w:rsidR="00B77336" w:rsidRPr="007568B0">
              <w:rPr>
                <w:rStyle w:val="Hyperlink"/>
                <w:noProof/>
                <w:lang w:eastAsia="de-DE"/>
              </w:rPr>
              <w:t xml:space="preserve">Annex 6: List of GP Pipeline Funding Allocations </w:t>
            </w:r>
            <w:r w:rsidR="00B77336">
              <w:rPr>
                <w:noProof/>
                <w:webHidden/>
              </w:rPr>
              <w:tab/>
            </w:r>
            <w:r w:rsidR="00B77336">
              <w:rPr>
                <w:noProof/>
                <w:webHidden/>
              </w:rPr>
              <w:fldChar w:fldCharType="begin"/>
            </w:r>
            <w:r w:rsidR="00B77336">
              <w:rPr>
                <w:noProof/>
                <w:webHidden/>
              </w:rPr>
              <w:instrText xml:space="preserve"> PAGEREF _Toc71701906 \h </w:instrText>
            </w:r>
            <w:r w:rsidR="00B77336">
              <w:rPr>
                <w:noProof/>
                <w:webHidden/>
              </w:rPr>
            </w:r>
            <w:r w:rsidR="00B77336">
              <w:rPr>
                <w:noProof/>
                <w:webHidden/>
              </w:rPr>
              <w:fldChar w:fldCharType="separate"/>
            </w:r>
            <w:r w:rsidR="00036841">
              <w:rPr>
                <w:noProof/>
                <w:webHidden/>
              </w:rPr>
              <w:t>73</w:t>
            </w:r>
            <w:r w:rsidR="00B77336">
              <w:rPr>
                <w:noProof/>
                <w:webHidden/>
              </w:rPr>
              <w:fldChar w:fldCharType="end"/>
            </w:r>
          </w:hyperlink>
        </w:p>
        <w:p w14:paraId="7DFCF677" w14:textId="44ED7C12" w:rsidR="00B77336" w:rsidRDefault="00CF0A53">
          <w:pPr>
            <w:pStyle w:val="TOC2"/>
            <w:tabs>
              <w:tab w:val="right" w:leader="dot" w:pos="9350"/>
            </w:tabs>
            <w:rPr>
              <w:noProof/>
              <w:sz w:val="22"/>
              <w:szCs w:val="22"/>
              <w:lang w:eastAsia="en-CA"/>
            </w:rPr>
          </w:pPr>
          <w:hyperlink w:anchor="_Toc71701907" w:history="1">
            <w:r w:rsidR="00B77336" w:rsidRPr="007568B0">
              <w:rPr>
                <w:rStyle w:val="Hyperlink"/>
                <w:noProof/>
                <w:lang w:eastAsia="de-DE"/>
              </w:rPr>
              <w:t xml:space="preserve">Annex 7: </w:t>
            </w:r>
            <w:r w:rsidR="00B77336" w:rsidRPr="007568B0">
              <w:rPr>
                <w:rStyle w:val="Hyperlink"/>
                <w:noProof/>
                <w:lang w:val="en-US"/>
              </w:rPr>
              <w:t>Challenges related to GFP in Somalia (2013-14)</w:t>
            </w:r>
            <w:r w:rsidR="00B77336">
              <w:rPr>
                <w:noProof/>
                <w:webHidden/>
              </w:rPr>
              <w:tab/>
            </w:r>
            <w:r w:rsidR="00B77336">
              <w:rPr>
                <w:noProof/>
                <w:webHidden/>
              </w:rPr>
              <w:fldChar w:fldCharType="begin"/>
            </w:r>
            <w:r w:rsidR="00B77336">
              <w:rPr>
                <w:noProof/>
                <w:webHidden/>
              </w:rPr>
              <w:instrText xml:space="preserve"> PAGEREF _Toc71701907 \h </w:instrText>
            </w:r>
            <w:r w:rsidR="00B77336">
              <w:rPr>
                <w:noProof/>
                <w:webHidden/>
              </w:rPr>
            </w:r>
            <w:r w:rsidR="00B77336">
              <w:rPr>
                <w:noProof/>
                <w:webHidden/>
              </w:rPr>
              <w:fldChar w:fldCharType="separate"/>
            </w:r>
            <w:r w:rsidR="00036841">
              <w:rPr>
                <w:noProof/>
                <w:webHidden/>
              </w:rPr>
              <w:t>76</w:t>
            </w:r>
            <w:r w:rsidR="00B77336">
              <w:rPr>
                <w:noProof/>
                <w:webHidden/>
              </w:rPr>
              <w:fldChar w:fldCharType="end"/>
            </w:r>
          </w:hyperlink>
        </w:p>
        <w:p w14:paraId="6C882977" w14:textId="3699C6C1" w:rsidR="00B77336" w:rsidRDefault="00CF0A53">
          <w:pPr>
            <w:pStyle w:val="TOC2"/>
            <w:tabs>
              <w:tab w:val="right" w:leader="dot" w:pos="9350"/>
            </w:tabs>
            <w:rPr>
              <w:noProof/>
              <w:sz w:val="22"/>
              <w:szCs w:val="22"/>
              <w:lang w:eastAsia="en-CA"/>
            </w:rPr>
          </w:pPr>
          <w:hyperlink w:anchor="_Toc71701908" w:history="1">
            <w:r w:rsidR="00B77336" w:rsidRPr="007568B0">
              <w:rPr>
                <w:rStyle w:val="Hyperlink"/>
                <w:noProof/>
              </w:rPr>
              <w:t>Annex 8: Report on Interviews for Evaluation</w:t>
            </w:r>
            <w:r w:rsidR="00B77336">
              <w:rPr>
                <w:noProof/>
                <w:webHidden/>
              </w:rPr>
              <w:tab/>
            </w:r>
            <w:r w:rsidR="00B77336">
              <w:rPr>
                <w:noProof/>
                <w:webHidden/>
              </w:rPr>
              <w:fldChar w:fldCharType="begin"/>
            </w:r>
            <w:r w:rsidR="00B77336">
              <w:rPr>
                <w:noProof/>
                <w:webHidden/>
              </w:rPr>
              <w:instrText xml:space="preserve"> PAGEREF _Toc71701908 \h </w:instrText>
            </w:r>
            <w:r w:rsidR="00B77336">
              <w:rPr>
                <w:noProof/>
                <w:webHidden/>
              </w:rPr>
            </w:r>
            <w:r w:rsidR="00B77336">
              <w:rPr>
                <w:noProof/>
                <w:webHidden/>
              </w:rPr>
              <w:fldChar w:fldCharType="separate"/>
            </w:r>
            <w:r w:rsidR="00036841">
              <w:rPr>
                <w:noProof/>
                <w:webHidden/>
              </w:rPr>
              <w:t>79</w:t>
            </w:r>
            <w:r w:rsidR="00B77336">
              <w:rPr>
                <w:noProof/>
                <w:webHidden/>
              </w:rPr>
              <w:fldChar w:fldCharType="end"/>
            </w:r>
          </w:hyperlink>
        </w:p>
        <w:p w14:paraId="3EABAC59" w14:textId="4BE5708E" w:rsidR="00B77336" w:rsidRDefault="00CF0A53">
          <w:pPr>
            <w:pStyle w:val="TOC2"/>
            <w:tabs>
              <w:tab w:val="right" w:leader="dot" w:pos="9350"/>
            </w:tabs>
            <w:rPr>
              <w:noProof/>
              <w:sz w:val="22"/>
              <w:szCs w:val="22"/>
              <w:lang w:eastAsia="en-CA"/>
            </w:rPr>
          </w:pPr>
          <w:hyperlink w:anchor="_Toc71701909" w:history="1">
            <w:r w:rsidR="00B77336" w:rsidRPr="007568B0">
              <w:rPr>
                <w:rStyle w:val="Hyperlink"/>
                <w:noProof/>
              </w:rPr>
              <w:t>Annex 9: Sample of Interview Guides</w:t>
            </w:r>
            <w:r w:rsidR="00B77336">
              <w:rPr>
                <w:noProof/>
                <w:webHidden/>
              </w:rPr>
              <w:tab/>
            </w:r>
            <w:r w:rsidR="00B77336">
              <w:rPr>
                <w:noProof/>
                <w:webHidden/>
              </w:rPr>
              <w:fldChar w:fldCharType="begin"/>
            </w:r>
            <w:r w:rsidR="00B77336">
              <w:rPr>
                <w:noProof/>
                <w:webHidden/>
              </w:rPr>
              <w:instrText xml:space="preserve"> PAGEREF _Toc71701909 \h </w:instrText>
            </w:r>
            <w:r w:rsidR="00B77336">
              <w:rPr>
                <w:noProof/>
                <w:webHidden/>
              </w:rPr>
            </w:r>
            <w:r w:rsidR="00B77336">
              <w:rPr>
                <w:noProof/>
                <w:webHidden/>
              </w:rPr>
              <w:fldChar w:fldCharType="separate"/>
            </w:r>
            <w:r w:rsidR="00036841">
              <w:rPr>
                <w:noProof/>
                <w:webHidden/>
              </w:rPr>
              <w:t>88</w:t>
            </w:r>
            <w:r w:rsidR="00B77336">
              <w:rPr>
                <w:noProof/>
                <w:webHidden/>
              </w:rPr>
              <w:fldChar w:fldCharType="end"/>
            </w:r>
          </w:hyperlink>
        </w:p>
        <w:p w14:paraId="5AFF9E62" w14:textId="1243D404" w:rsidR="00B77336" w:rsidRDefault="00CF0A53">
          <w:pPr>
            <w:pStyle w:val="TOC2"/>
            <w:tabs>
              <w:tab w:val="right" w:leader="dot" w:pos="9350"/>
            </w:tabs>
            <w:rPr>
              <w:noProof/>
              <w:sz w:val="22"/>
              <w:szCs w:val="22"/>
              <w:lang w:eastAsia="en-CA"/>
            </w:rPr>
          </w:pPr>
          <w:hyperlink w:anchor="_Toc71701910" w:history="1">
            <w:r w:rsidR="00B77336" w:rsidRPr="007568B0">
              <w:rPr>
                <w:rStyle w:val="Hyperlink"/>
                <w:noProof/>
              </w:rPr>
              <w:t>Annex 10: Documents Reviewed for Evaluation</w:t>
            </w:r>
            <w:r w:rsidR="00B77336">
              <w:rPr>
                <w:noProof/>
                <w:webHidden/>
              </w:rPr>
              <w:tab/>
            </w:r>
            <w:r w:rsidR="00B77336">
              <w:rPr>
                <w:noProof/>
                <w:webHidden/>
              </w:rPr>
              <w:fldChar w:fldCharType="begin"/>
            </w:r>
            <w:r w:rsidR="00B77336">
              <w:rPr>
                <w:noProof/>
                <w:webHidden/>
              </w:rPr>
              <w:instrText xml:space="preserve"> PAGEREF _Toc71701910 \h </w:instrText>
            </w:r>
            <w:r w:rsidR="00B77336">
              <w:rPr>
                <w:noProof/>
                <w:webHidden/>
              </w:rPr>
            </w:r>
            <w:r w:rsidR="00B77336">
              <w:rPr>
                <w:noProof/>
                <w:webHidden/>
              </w:rPr>
              <w:fldChar w:fldCharType="separate"/>
            </w:r>
            <w:r w:rsidR="00036841">
              <w:rPr>
                <w:noProof/>
                <w:webHidden/>
              </w:rPr>
              <w:t>91</w:t>
            </w:r>
            <w:r w:rsidR="00B77336">
              <w:rPr>
                <w:noProof/>
                <w:webHidden/>
              </w:rPr>
              <w:fldChar w:fldCharType="end"/>
            </w:r>
          </w:hyperlink>
        </w:p>
        <w:p w14:paraId="1B6BFD74" w14:textId="7DC51B22" w:rsidR="00B77336" w:rsidRDefault="00CF0A53">
          <w:pPr>
            <w:pStyle w:val="TOC2"/>
            <w:tabs>
              <w:tab w:val="right" w:leader="dot" w:pos="9350"/>
            </w:tabs>
            <w:rPr>
              <w:noProof/>
              <w:sz w:val="22"/>
              <w:szCs w:val="22"/>
              <w:lang w:eastAsia="en-CA"/>
            </w:rPr>
          </w:pPr>
          <w:hyperlink w:anchor="_Toc71701911" w:history="1">
            <w:r w:rsidR="00B77336" w:rsidRPr="007568B0">
              <w:rPr>
                <w:rStyle w:val="Hyperlink"/>
                <w:noProof/>
                <w:lang w:val="en-US"/>
              </w:rPr>
              <w:t>Annex 11: Terms of Reference for Evaluation</w:t>
            </w:r>
            <w:r w:rsidR="00B77336">
              <w:rPr>
                <w:noProof/>
                <w:webHidden/>
              </w:rPr>
              <w:tab/>
            </w:r>
            <w:r w:rsidR="00B77336">
              <w:rPr>
                <w:noProof/>
                <w:webHidden/>
              </w:rPr>
              <w:fldChar w:fldCharType="begin"/>
            </w:r>
            <w:r w:rsidR="00B77336">
              <w:rPr>
                <w:noProof/>
                <w:webHidden/>
              </w:rPr>
              <w:instrText xml:space="preserve"> PAGEREF _Toc71701911 \h </w:instrText>
            </w:r>
            <w:r w:rsidR="00B77336">
              <w:rPr>
                <w:noProof/>
                <w:webHidden/>
              </w:rPr>
            </w:r>
            <w:r w:rsidR="00B77336">
              <w:rPr>
                <w:noProof/>
                <w:webHidden/>
              </w:rPr>
              <w:fldChar w:fldCharType="separate"/>
            </w:r>
            <w:r w:rsidR="00036841">
              <w:rPr>
                <w:noProof/>
                <w:webHidden/>
              </w:rPr>
              <w:t>93</w:t>
            </w:r>
            <w:r w:rsidR="00B77336">
              <w:rPr>
                <w:noProof/>
                <w:webHidden/>
              </w:rPr>
              <w:fldChar w:fldCharType="end"/>
            </w:r>
          </w:hyperlink>
        </w:p>
        <w:p w14:paraId="2C527274" w14:textId="18E71B8B" w:rsidR="00FB27EA" w:rsidRDefault="00FB27EA">
          <w:r>
            <w:rPr>
              <w:b/>
              <w:bCs/>
              <w:noProof/>
              <w:color w:val="2B579A"/>
              <w:shd w:val="clear" w:color="auto" w:fill="E6E6E6"/>
            </w:rPr>
            <w:fldChar w:fldCharType="end"/>
          </w:r>
        </w:p>
      </w:sdtContent>
    </w:sdt>
    <w:p w14:paraId="012F0874" w14:textId="0C266202" w:rsidR="00E02264" w:rsidRDefault="00E02264">
      <w:pPr>
        <w:rPr>
          <w:b/>
          <w:bCs/>
          <w:sz w:val="28"/>
          <w:szCs w:val="28"/>
        </w:rPr>
      </w:pPr>
      <w:r>
        <w:rPr>
          <w:b/>
          <w:bCs/>
          <w:sz w:val="28"/>
          <w:szCs w:val="28"/>
        </w:rPr>
        <w:br w:type="page"/>
      </w:r>
    </w:p>
    <w:p w14:paraId="276DD37F" w14:textId="163E6A22" w:rsidR="002C38A7" w:rsidRDefault="002C38A7">
      <w:pPr>
        <w:rPr>
          <w:b/>
          <w:bCs/>
          <w:sz w:val="28"/>
          <w:szCs w:val="28"/>
        </w:rPr>
      </w:pPr>
      <w:r>
        <w:rPr>
          <w:b/>
          <w:bCs/>
          <w:sz w:val="28"/>
          <w:szCs w:val="28"/>
        </w:rPr>
        <w:t>Acronyms and Abbreviations</w:t>
      </w:r>
    </w:p>
    <w:p w14:paraId="18DAC1C5" w14:textId="1FD178E4" w:rsidR="00A01D7F" w:rsidRPr="00571173" w:rsidRDefault="00A01D7F" w:rsidP="000572F5">
      <w:pPr>
        <w:tabs>
          <w:tab w:val="left" w:pos="1134"/>
        </w:tabs>
        <w:spacing w:after="60" w:line="240" w:lineRule="auto"/>
        <w:ind w:hanging="2"/>
        <w:rPr>
          <w:rFonts w:ascii="Arial" w:hAnsi="Arial" w:cs="Arial"/>
          <w:color w:val="000000"/>
          <w:sz w:val="22"/>
          <w:szCs w:val="22"/>
        </w:rPr>
      </w:pPr>
      <w:r w:rsidRPr="00571173">
        <w:rPr>
          <w:rFonts w:ascii="Arial" w:hAnsi="Arial" w:cs="Arial"/>
          <w:color w:val="000000"/>
          <w:sz w:val="22"/>
          <w:szCs w:val="22"/>
        </w:rPr>
        <w:t>A2J</w:t>
      </w:r>
      <w:r w:rsidRPr="00571173">
        <w:rPr>
          <w:rFonts w:ascii="Arial" w:hAnsi="Arial" w:cs="Arial"/>
          <w:color w:val="000000"/>
          <w:sz w:val="22"/>
          <w:szCs w:val="22"/>
        </w:rPr>
        <w:tab/>
      </w:r>
      <w:r w:rsidR="00333000" w:rsidRPr="00571173">
        <w:rPr>
          <w:rFonts w:ascii="Arial" w:hAnsi="Arial" w:cs="Arial"/>
          <w:color w:val="000000"/>
          <w:sz w:val="22"/>
          <w:szCs w:val="22"/>
        </w:rPr>
        <w:t>Access to justice</w:t>
      </w:r>
    </w:p>
    <w:p w14:paraId="7551BA42" w14:textId="1B1C4940" w:rsidR="00333000" w:rsidRPr="00571173" w:rsidRDefault="00333000" w:rsidP="000572F5">
      <w:pPr>
        <w:tabs>
          <w:tab w:val="left" w:pos="1134"/>
        </w:tabs>
        <w:spacing w:after="60" w:line="240" w:lineRule="auto"/>
        <w:ind w:hanging="2"/>
        <w:rPr>
          <w:rFonts w:ascii="Arial" w:hAnsi="Arial" w:cs="Arial"/>
          <w:color w:val="000000"/>
          <w:sz w:val="22"/>
          <w:szCs w:val="22"/>
        </w:rPr>
      </w:pPr>
      <w:r w:rsidRPr="00571173">
        <w:rPr>
          <w:rFonts w:ascii="Arial" w:hAnsi="Arial" w:cs="Arial"/>
          <w:color w:val="000000"/>
          <w:sz w:val="22"/>
          <w:szCs w:val="22"/>
        </w:rPr>
        <w:t>ADR</w:t>
      </w:r>
      <w:r w:rsidRPr="00571173">
        <w:rPr>
          <w:rFonts w:ascii="Arial" w:hAnsi="Arial" w:cs="Arial"/>
          <w:color w:val="000000"/>
          <w:sz w:val="22"/>
          <w:szCs w:val="22"/>
        </w:rPr>
        <w:tab/>
      </w:r>
      <w:r w:rsidRPr="00571173">
        <w:rPr>
          <w:rFonts w:ascii="Arial" w:eastAsia="Arial" w:hAnsi="Arial" w:cs="Arial"/>
          <w:color w:val="000000"/>
          <w:sz w:val="22"/>
          <w:szCs w:val="22"/>
          <w:lang w:val="en-US"/>
        </w:rPr>
        <w:t>Alternative dispute resolution</w:t>
      </w:r>
    </w:p>
    <w:p w14:paraId="4421C492" w14:textId="2B6BC116" w:rsidR="00573598" w:rsidRPr="00571173" w:rsidRDefault="00573598" w:rsidP="000572F5">
      <w:pPr>
        <w:tabs>
          <w:tab w:val="left" w:pos="1134"/>
        </w:tabs>
        <w:spacing w:after="60" w:line="240" w:lineRule="auto"/>
        <w:ind w:hanging="2"/>
        <w:rPr>
          <w:rFonts w:ascii="Arial" w:hAnsi="Arial" w:cs="Arial"/>
          <w:color w:val="000000"/>
          <w:sz w:val="22"/>
          <w:szCs w:val="22"/>
        </w:rPr>
      </w:pPr>
      <w:r w:rsidRPr="00571173">
        <w:rPr>
          <w:rFonts w:ascii="Arial" w:hAnsi="Arial" w:cs="Arial"/>
          <w:color w:val="000000"/>
          <w:sz w:val="22"/>
          <w:szCs w:val="22"/>
        </w:rPr>
        <w:t xml:space="preserve">CAR </w:t>
      </w:r>
      <w:r w:rsidR="007A5748" w:rsidRPr="00571173">
        <w:rPr>
          <w:rFonts w:ascii="Arial" w:hAnsi="Arial" w:cs="Arial"/>
          <w:color w:val="000000"/>
          <w:sz w:val="22"/>
          <w:szCs w:val="22"/>
        </w:rPr>
        <w:tab/>
      </w:r>
      <w:r w:rsidRPr="00571173">
        <w:rPr>
          <w:rFonts w:ascii="Arial" w:hAnsi="Arial" w:cs="Arial"/>
          <w:color w:val="000000"/>
          <w:sz w:val="22"/>
          <w:szCs w:val="22"/>
        </w:rPr>
        <w:t>Central African Republic</w:t>
      </w:r>
    </w:p>
    <w:p w14:paraId="56258455" w14:textId="2F34E3E8" w:rsidR="007471E1" w:rsidRPr="00571173" w:rsidRDefault="007471E1" w:rsidP="000572F5">
      <w:pPr>
        <w:tabs>
          <w:tab w:val="left" w:pos="1134"/>
        </w:tabs>
        <w:spacing w:after="60" w:line="240" w:lineRule="auto"/>
        <w:ind w:hanging="2"/>
        <w:rPr>
          <w:rFonts w:ascii="Arial" w:hAnsi="Arial" w:cs="Arial"/>
          <w:color w:val="000000"/>
          <w:sz w:val="22"/>
          <w:szCs w:val="22"/>
        </w:rPr>
      </w:pPr>
      <w:r w:rsidRPr="00571173">
        <w:rPr>
          <w:rFonts w:ascii="Arial" w:hAnsi="Arial" w:cs="Arial"/>
          <w:color w:val="000000"/>
          <w:sz w:val="22"/>
          <w:szCs w:val="22"/>
        </w:rPr>
        <w:t xml:space="preserve">CO </w:t>
      </w:r>
      <w:r w:rsidR="007A5748" w:rsidRPr="00571173">
        <w:rPr>
          <w:rFonts w:ascii="Arial" w:hAnsi="Arial" w:cs="Arial"/>
          <w:color w:val="000000"/>
          <w:sz w:val="22"/>
          <w:szCs w:val="22"/>
        </w:rPr>
        <w:tab/>
      </w:r>
      <w:r w:rsidRPr="00571173">
        <w:rPr>
          <w:rFonts w:ascii="Arial" w:hAnsi="Arial" w:cs="Arial"/>
          <w:color w:val="000000"/>
          <w:sz w:val="22"/>
          <w:szCs w:val="22"/>
        </w:rPr>
        <w:t>Country Office</w:t>
      </w:r>
      <w:r w:rsidR="000572F5" w:rsidRPr="000572F5">
        <w:rPr>
          <w:rFonts w:ascii="Arial" w:hAnsi="Arial" w:cs="Arial"/>
          <w:color w:val="000000"/>
          <w:sz w:val="22"/>
          <w:szCs w:val="22"/>
        </w:rPr>
        <w:t xml:space="preserve"> </w:t>
      </w:r>
      <w:r w:rsidR="000572F5">
        <w:rPr>
          <w:rFonts w:ascii="Arial" w:hAnsi="Arial" w:cs="Arial"/>
          <w:color w:val="000000"/>
          <w:sz w:val="22"/>
          <w:szCs w:val="22"/>
        </w:rPr>
        <w:t>(</w:t>
      </w:r>
      <w:r w:rsidR="000572F5" w:rsidRPr="00571173">
        <w:rPr>
          <w:rFonts w:ascii="Arial" w:hAnsi="Arial" w:cs="Arial"/>
          <w:color w:val="000000"/>
          <w:sz w:val="22"/>
          <w:szCs w:val="22"/>
        </w:rPr>
        <w:t>UNDP</w:t>
      </w:r>
      <w:r w:rsidR="000572F5">
        <w:rPr>
          <w:rFonts w:ascii="Arial" w:hAnsi="Arial" w:cs="Arial"/>
          <w:color w:val="000000"/>
          <w:sz w:val="22"/>
          <w:szCs w:val="22"/>
        </w:rPr>
        <w:t>)</w:t>
      </w:r>
    </w:p>
    <w:p w14:paraId="0CEDF891" w14:textId="6B1D9162" w:rsidR="00A01D7F" w:rsidRPr="00571173" w:rsidRDefault="00A01D7F" w:rsidP="000572F5">
      <w:pPr>
        <w:tabs>
          <w:tab w:val="left" w:pos="1134"/>
        </w:tabs>
        <w:spacing w:after="60" w:line="240" w:lineRule="auto"/>
        <w:ind w:hanging="2"/>
        <w:rPr>
          <w:rFonts w:ascii="Arial" w:hAnsi="Arial" w:cs="Arial"/>
          <w:color w:val="000000"/>
          <w:sz w:val="22"/>
          <w:szCs w:val="22"/>
        </w:rPr>
      </w:pPr>
      <w:r w:rsidRPr="00571173">
        <w:rPr>
          <w:rFonts w:ascii="Arial" w:hAnsi="Arial" w:cs="Arial"/>
          <w:color w:val="000000"/>
          <w:sz w:val="22"/>
          <w:szCs w:val="22"/>
        </w:rPr>
        <w:t>CTA</w:t>
      </w:r>
      <w:r w:rsidRPr="00571173">
        <w:rPr>
          <w:rFonts w:ascii="Arial" w:hAnsi="Arial" w:cs="Arial"/>
          <w:color w:val="000000"/>
          <w:sz w:val="22"/>
          <w:szCs w:val="22"/>
        </w:rPr>
        <w:tab/>
      </w:r>
      <w:r w:rsidRPr="00571173">
        <w:rPr>
          <w:rFonts w:ascii="Arial" w:hAnsi="Arial" w:cs="Arial"/>
          <w:color w:val="000000"/>
          <w:sz w:val="22"/>
          <w:szCs w:val="22"/>
          <w:lang w:val="en-US"/>
        </w:rPr>
        <w:t>Chief Technical Advisor</w:t>
      </w:r>
    </w:p>
    <w:p w14:paraId="4671017B" w14:textId="0005211C" w:rsidR="00573598" w:rsidRPr="00571173" w:rsidRDefault="00573598" w:rsidP="000572F5">
      <w:pPr>
        <w:tabs>
          <w:tab w:val="left" w:pos="1134"/>
        </w:tabs>
        <w:spacing w:after="60" w:line="240" w:lineRule="auto"/>
        <w:ind w:hanging="2"/>
        <w:rPr>
          <w:rFonts w:ascii="Arial" w:eastAsia="Times New Roman" w:hAnsi="Arial" w:cs="Arial"/>
          <w:sz w:val="22"/>
          <w:szCs w:val="22"/>
        </w:rPr>
      </w:pPr>
      <w:r w:rsidRPr="00571173">
        <w:rPr>
          <w:rFonts w:ascii="Arial" w:hAnsi="Arial" w:cs="Arial"/>
          <w:color w:val="000000"/>
          <w:sz w:val="22"/>
          <w:szCs w:val="22"/>
        </w:rPr>
        <w:t xml:space="preserve">DPO </w:t>
      </w:r>
      <w:r w:rsidR="007A5748" w:rsidRPr="00571173">
        <w:rPr>
          <w:rFonts w:ascii="Arial" w:hAnsi="Arial" w:cs="Arial"/>
          <w:color w:val="000000"/>
          <w:sz w:val="22"/>
          <w:szCs w:val="22"/>
        </w:rPr>
        <w:tab/>
      </w:r>
      <w:r w:rsidRPr="00571173">
        <w:rPr>
          <w:rFonts w:ascii="Arial" w:hAnsi="Arial" w:cs="Arial"/>
          <w:color w:val="000000"/>
          <w:sz w:val="22"/>
          <w:szCs w:val="22"/>
        </w:rPr>
        <w:t>Department for Peace Operations</w:t>
      </w:r>
    </w:p>
    <w:p w14:paraId="182AB277" w14:textId="77777777" w:rsidR="00A01D7F" w:rsidRPr="00571173" w:rsidRDefault="00A01D7F" w:rsidP="000572F5">
      <w:pPr>
        <w:tabs>
          <w:tab w:val="left" w:pos="1134"/>
        </w:tabs>
        <w:spacing w:after="60" w:line="240" w:lineRule="auto"/>
        <w:ind w:hanging="2"/>
        <w:rPr>
          <w:rFonts w:ascii="Arial" w:hAnsi="Arial" w:cs="Arial"/>
          <w:color w:val="000000"/>
          <w:sz w:val="22"/>
          <w:szCs w:val="22"/>
        </w:rPr>
      </w:pPr>
      <w:r w:rsidRPr="00571173">
        <w:rPr>
          <w:rFonts w:ascii="Arial" w:hAnsi="Arial" w:cs="Arial"/>
          <w:color w:val="000000"/>
          <w:sz w:val="22"/>
          <w:szCs w:val="22"/>
        </w:rPr>
        <w:t xml:space="preserve">DRC </w:t>
      </w:r>
      <w:r w:rsidRPr="00571173">
        <w:rPr>
          <w:rFonts w:ascii="Arial" w:hAnsi="Arial" w:cs="Arial"/>
          <w:color w:val="000000"/>
          <w:sz w:val="22"/>
          <w:szCs w:val="22"/>
        </w:rPr>
        <w:tab/>
        <w:t>Democratic Republic of the Congo</w:t>
      </w:r>
    </w:p>
    <w:p w14:paraId="78529A48" w14:textId="650B6590"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DSRSG </w:t>
      </w:r>
      <w:r w:rsidR="007A5748" w:rsidRPr="00571173">
        <w:rPr>
          <w:rFonts w:ascii="Arial" w:hAnsi="Arial" w:cs="Arial"/>
          <w:sz w:val="22"/>
          <w:szCs w:val="22"/>
        </w:rPr>
        <w:tab/>
      </w:r>
      <w:r w:rsidRPr="00571173">
        <w:rPr>
          <w:rFonts w:ascii="Arial" w:hAnsi="Arial" w:cs="Arial"/>
          <w:sz w:val="22"/>
          <w:szCs w:val="22"/>
        </w:rPr>
        <w:t xml:space="preserve">Deputy Special Representative of the Secretary General </w:t>
      </w:r>
    </w:p>
    <w:p w14:paraId="01442753" w14:textId="060F5DE9" w:rsidR="00470E82" w:rsidRPr="00571173" w:rsidRDefault="00470E82"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EU</w:t>
      </w:r>
      <w:r w:rsidRPr="00571173">
        <w:rPr>
          <w:rFonts w:ascii="Arial" w:hAnsi="Arial" w:cs="Arial"/>
          <w:sz w:val="22"/>
          <w:szCs w:val="22"/>
        </w:rPr>
        <w:tab/>
      </w:r>
      <w:r w:rsidRPr="00571173">
        <w:rPr>
          <w:rFonts w:ascii="Arial" w:hAnsi="Arial" w:cs="Arial"/>
          <w:color w:val="000000"/>
          <w:sz w:val="22"/>
          <w:szCs w:val="22"/>
          <w:lang w:val="en-US"/>
        </w:rPr>
        <w:t>European Union</w:t>
      </w:r>
    </w:p>
    <w:p w14:paraId="13F5AAC1" w14:textId="4B1B49EC"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GFP </w:t>
      </w:r>
      <w:r w:rsidR="007A5748" w:rsidRPr="00571173">
        <w:rPr>
          <w:rFonts w:ascii="Arial" w:hAnsi="Arial" w:cs="Arial"/>
          <w:sz w:val="22"/>
          <w:szCs w:val="22"/>
        </w:rPr>
        <w:tab/>
      </w:r>
      <w:r w:rsidRPr="00571173">
        <w:rPr>
          <w:rFonts w:ascii="Arial" w:hAnsi="Arial" w:cs="Arial"/>
          <w:sz w:val="22"/>
          <w:szCs w:val="22"/>
        </w:rPr>
        <w:t>Global Focal Point for Police, Justice and Corrections</w:t>
      </w:r>
    </w:p>
    <w:p w14:paraId="52A4657C" w14:textId="017FC892"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GANHRI </w:t>
      </w:r>
      <w:r w:rsidR="007A5748" w:rsidRPr="00571173">
        <w:rPr>
          <w:rFonts w:ascii="Arial" w:hAnsi="Arial" w:cs="Arial"/>
          <w:sz w:val="22"/>
          <w:szCs w:val="22"/>
        </w:rPr>
        <w:tab/>
      </w:r>
      <w:r w:rsidRPr="00571173">
        <w:rPr>
          <w:rFonts w:ascii="Arial" w:hAnsi="Arial" w:cs="Arial"/>
          <w:sz w:val="22"/>
          <w:szCs w:val="22"/>
        </w:rPr>
        <w:t xml:space="preserve">Global Alliance for National Human Rights Institutions </w:t>
      </w:r>
    </w:p>
    <w:p w14:paraId="07D628CE" w14:textId="49963D61"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GPN </w:t>
      </w:r>
      <w:r w:rsidR="007A5748" w:rsidRPr="00571173">
        <w:rPr>
          <w:rFonts w:ascii="Arial" w:hAnsi="Arial" w:cs="Arial"/>
          <w:sz w:val="22"/>
          <w:szCs w:val="22"/>
        </w:rPr>
        <w:tab/>
      </w:r>
      <w:r w:rsidRPr="00571173">
        <w:rPr>
          <w:rFonts w:ascii="Arial" w:hAnsi="Arial" w:cs="Arial"/>
          <w:sz w:val="22"/>
          <w:szCs w:val="22"/>
        </w:rPr>
        <w:t>Global Policy Network of UNDP</w:t>
      </w:r>
    </w:p>
    <w:p w14:paraId="3DE829BF" w14:textId="0DB8AEA3"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GP</w:t>
      </w:r>
      <w:r w:rsidR="004620D6" w:rsidRPr="00571173">
        <w:rPr>
          <w:rFonts w:ascii="Arial" w:hAnsi="Arial" w:cs="Arial"/>
          <w:sz w:val="22"/>
          <w:szCs w:val="22"/>
        </w:rPr>
        <w:t>(</w:t>
      </w:r>
      <w:r w:rsidRPr="00571173">
        <w:rPr>
          <w:rFonts w:ascii="Arial" w:hAnsi="Arial" w:cs="Arial"/>
          <w:sz w:val="22"/>
          <w:szCs w:val="22"/>
        </w:rPr>
        <w:t>3</w:t>
      </w:r>
      <w:r w:rsidR="004620D6" w:rsidRPr="00571173">
        <w:rPr>
          <w:rFonts w:ascii="Arial" w:hAnsi="Arial" w:cs="Arial"/>
          <w:sz w:val="22"/>
          <w:szCs w:val="22"/>
        </w:rPr>
        <w:t>)</w:t>
      </w:r>
      <w:r w:rsidRPr="00571173">
        <w:rPr>
          <w:rFonts w:ascii="Arial" w:hAnsi="Arial" w:cs="Arial"/>
          <w:sz w:val="22"/>
          <w:szCs w:val="22"/>
        </w:rPr>
        <w:t xml:space="preserve"> </w:t>
      </w:r>
      <w:r w:rsidR="007A5748" w:rsidRPr="00571173">
        <w:rPr>
          <w:rFonts w:ascii="Arial" w:hAnsi="Arial" w:cs="Arial"/>
          <w:sz w:val="22"/>
          <w:szCs w:val="22"/>
        </w:rPr>
        <w:tab/>
      </w:r>
      <w:r w:rsidRPr="00571173">
        <w:rPr>
          <w:rFonts w:ascii="Arial" w:hAnsi="Arial" w:cs="Arial"/>
          <w:sz w:val="22"/>
          <w:szCs w:val="22"/>
        </w:rPr>
        <w:t xml:space="preserve">Global Programme </w:t>
      </w:r>
      <w:r w:rsidR="004620D6" w:rsidRPr="00571173">
        <w:rPr>
          <w:rFonts w:ascii="Arial" w:hAnsi="Arial" w:cs="Arial"/>
          <w:sz w:val="22"/>
          <w:szCs w:val="22"/>
        </w:rPr>
        <w:t>(</w:t>
      </w:r>
      <w:r w:rsidRPr="00571173">
        <w:rPr>
          <w:rFonts w:ascii="Arial" w:hAnsi="Arial" w:cs="Arial"/>
          <w:sz w:val="22"/>
          <w:szCs w:val="22"/>
        </w:rPr>
        <w:t>Phase 3</w:t>
      </w:r>
      <w:r w:rsidR="004620D6" w:rsidRPr="00571173">
        <w:rPr>
          <w:rFonts w:ascii="Arial" w:hAnsi="Arial" w:cs="Arial"/>
          <w:sz w:val="22"/>
          <w:szCs w:val="22"/>
        </w:rPr>
        <w:t>)</w:t>
      </w:r>
    </w:p>
    <w:p w14:paraId="0E966619" w14:textId="298B33BA"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HRBA </w:t>
      </w:r>
      <w:r w:rsidR="007A5748" w:rsidRPr="00571173">
        <w:rPr>
          <w:rFonts w:ascii="Arial" w:hAnsi="Arial" w:cs="Arial"/>
          <w:sz w:val="22"/>
          <w:szCs w:val="22"/>
        </w:rPr>
        <w:tab/>
      </w:r>
      <w:r w:rsidRPr="00571173">
        <w:rPr>
          <w:rFonts w:ascii="Arial" w:hAnsi="Arial" w:cs="Arial"/>
          <w:color w:val="000000"/>
          <w:sz w:val="22"/>
          <w:szCs w:val="22"/>
        </w:rPr>
        <w:t>Human rights-based approach</w:t>
      </w:r>
    </w:p>
    <w:p w14:paraId="3AD77B2A" w14:textId="0FBA0877"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HQ </w:t>
      </w:r>
      <w:r w:rsidR="007A5748" w:rsidRPr="00571173">
        <w:rPr>
          <w:rFonts w:ascii="Arial" w:hAnsi="Arial" w:cs="Arial"/>
          <w:sz w:val="22"/>
          <w:szCs w:val="22"/>
        </w:rPr>
        <w:tab/>
      </w:r>
      <w:r w:rsidRPr="00571173">
        <w:rPr>
          <w:rFonts w:ascii="Arial" w:hAnsi="Arial" w:cs="Arial"/>
          <w:sz w:val="22"/>
          <w:szCs w:val="22"/>
        </w:rPr>
        <w:t>Headquarters</w:t>
      </w:r>
    </w:p>
    <w:p w14:paraId="0B41EEF0" w14:textId="6E7C2AAA" w:rsidR="007A5748" w:rsidRPr="00571173" w:rsidRDefault="007A5748" w:rsidP="000572F5">
      <w:pPr>
        <w:tabs>
          <w:tab w:val="left" w:pos="1134"/>
        </w:tabs>
        <w:spacing w:after="60" w:line="240" w:lineRule="auto"/>
        <w:ind w:left="1130" w:hanging="1130"/>
        <w:rPr>
          <w:rStyle w:val="acopre"/>
          <w:rFonts w:ascii="Arial" w:hAnsi="Arial" w:cs="Arial"/>
          <w:sz w:val="22"/>
          <w:szCs w:val="22"/>
        </w:rPr>
      </w:pPr>
      <w:r w:rsidRPr="00571173">
        <w:rPr>
          <w:rFonts w:ascii="Arial" w:hAnsi="Arial" w:cs="Arial"/>
          <w:sz w:val="22"/>
          <w:szCs w:val="22"/>
        </w:rPr>
        <w:t xml:space="preserve">INL </w:t>
      </w:r>
      <w:r w:rsidRPr="00571173">
        <w:rPr>
          <w:rFonts w:ascii="Arial" w:hAnsi="Arial" w:cs="Arial"/>
          <w:sz w:val="22"/>
          <w:szCs w:val="22"/>
        </w:rPr>
        <w:tab/>
      </w:r>
      <w:r w:rsidR="00470E82" w:rsidRPr="00571173">
        <w:rPr>
          <w:rStyle w:val="Emphasis"/>
          <w:rFonts w:ascii="Arial" w:hAnsi="Arial" w:cs="Arial"/>
          <w:i w:val="0"/>
          <w:iCs w:val="0"/>
          <w:sz w:val="22"/>
          <w:szCs w:val="22"/>
        </w:rPr>
        <w:t>Bureau of International Narcotics</w:t>
      </w:r>
      <w:r w:rsidR="00470E82" w:rsidRPr="00571173">
        <w:rPr>
          <w:rStyle w:val="acopre"/>
          <w:rFonts w:ascii="Arial" w:hAnsi="Arial" w:cs="Arial"/>
          <w:i/>
          <w:iCs/>
          <w:sz w:val="22"/>
          <w:szCs w:val="22"/>
        </w:rPr>
        <w:t xml:space="preserve"> </w:t>
      </w:r>
      <w:r w:rsidR="00470E82" w:rsidRPr="00571173">
        <w:rPr>
          <w:rStyle w:val="acopre"/>
          <w:rFonts w:ascii="Arial" w:hAnsi="Arial" w:cs="Arial"/>
          <w:sz w:val="22"/>
          <w:szCs w:val="22"/>
        </w:rPr>
        <w:t>and Law Enforcement Affairs (U.S. State Department)</w:t>
      </w:r>
    </w:p>
    <w:p w14:paraId="2C7DA961" w14:textId="380A45DB" w:rsidR="001A7F29" w:rsidRPr="00571173" w:rsidRDefault="001A7F29" w:rsidP="000572F5">
      <w:pPr>
        <w:tabs>
          <w:tab w:val="left" w:pos="1134"/>
        </w:tabs>
        <w:spacing w:after="60" w:line="240" w:lineRule="auto"/>
        <w:rPr>
          <w:rFonts w:ascii="Arial" w:eastAsia="Times New Roman" w:hAnsi="Arial" w:cs="Arial"/>
          <w:sz w:val="22"/>
          <w:szCs w:val="22"/>
          <w:lang w:eastAsia="en-CA"/>
        </w:rPr>
      </w:pPr>
      <w:r w:rsidRPr="00571173">
        <w:rPr>
          <w:rStyle w:val="acopre"/>
          <w:rFonts w:ascii="Arial" w:hAnsi="Arial" w:cs="Arial"/>
          <w:sz w:val="22"/>
          <w:szCs w:val="22"/>
        </w:rPr>
        <w:t>IIAG</w:t>
      </w:r>
      <w:r w:rsidRPr="00571173">
        <w:rPr>
          <w:rStyle w:val="acopre"/>
          <w:rFonts w:ascii="Arial" w:hAnsi="Arial" w:cs="Arial"/>
          <w:sz w:val="22"/>
          <w:szCs w:val="22"/>
        </w:rPr>
        <w:tab/>
      </w:r>
      <w:r w:rsidRPr="00571173">
        <w:rPr>
          <w:rFonts w:ascii="Arial" w:eastAsia="Times New Roman" w:hAnsi="Arial" w:cs="Arial"/>
          <w:sz w:val="22"/>
          <w:szCs w:val="22"/>
          <w:lang w:eastAsia="en-CA"/>
        </w:rPr>
        <w:t>Ibrahim Index of African Governance</w:t>
      </w:r>
    </w:p>
    <w:p w14:paraId="7D26ADDC" w14:textId="396010B1" w:rsidR="001A7F29" w:rsidRPr="00571173" w:rsidRDefault="001A7F29" w:rsidP="000572F5">
      <w:pPr>
        <w:tabs>
          <w:tab w:val="left" w:pos="1134"/>
        </w:tabs>
        <w:spacing w:after="60" w:line="240" w:lineRule="auto"/>
        <w:rPr>
          <w:rFonts w:ascii="Arial" w:hAnsi="Arial" w:cs="Arial"/>
          <w:sz w:val="22"/>
          <w:szCs w:val="22"/>
        </w:rPr>
      </w:pPr>
      <w:r w:rsidRPr="00571173">
        <w:rPr>
          <w:rStyle w:val="acopre"/>
          <w:rFonts w:ascii="Arial" w:hAnsi="Arial" w:cs="Arial"/>
          <w:sz w:val="22"/>
          <w:szCs w:val="22"/>
        </w:rPr>
        <w:t>ISACS</w:t>
      </w:r>
      <w:r w:rsidRPr="00571173">
        <w:rPr>
          <w:rStyle w:val="acopre"/>
          <w:rFonts w:ascii="Arial" w:hAnsi="Arial" w:cs="Arial"/>
          <w:sz w:val="22"/>
          <w:szCs w:val="22"/>
        </w:rPr>
        <w:tab/>
        <w:t xml:space="preserve">International Small </w:t>
      </w:r>
      <w:r w:rsidRPr="00571173">
        <w:rPr>
          <w:rStyle w:val="Emphasis"/>
          <w:rFonts w:ascii="Arial" w:hAnsi="Arial" w:cs="Arial"/>
          <w:i w:val="0"/>
          <w:iCs w:val="0"/>
          <w:sz w:val="22"/>
          <w:szCs w:val="22"/>
        </w:rPr>
        <w:t>Arms Control</w:t>
      </w:r>
      <w:r w:rsidRPr="00571173">
        <w:rPr>
          <w:rStyle w:val="acopre"/>
          <w:rFonts w:ascii="Arial" w:hAnsi="Arial" w:cs="Arial"/>
          <w:sz w:val="22"/>
          <w:szCs w:val="22"/>
        </w:rPr>
        <w:t xml:space="preserve"> Standards</w:t>
      </w:r>
    </w:p>
    <w:p w14:paraId="226A6A4F" w14:textId="514E2CA8" w:rsidR="00A01D7F" w:rsidRPr="00571173" w:rsidRDefault="00A01D7F" w:rsidP="000572F5">
      <w:pPr>
        <w:tabs>
          <w:tab w:val="left" w:pos="1134"/>
        </w:tabs>
        <w:spacing w:after="60" w:line="240" w:lineRule="auto"/>
        <w:ind w:hanging="2"/>
        <w:rPr>
          <w:rFonts w:ascii="Arial" w:hAnsi="Arial" w:cs="Arial"/>
          <w:color w:val="000000"/>
          <w:sz w:val="22"/>
          <w:szCs w:val="22"/>
        </w:rPr>
      </w:pPr>
      <w:r w:rsidRPr="00571173">
        <w:rPr>
          <w:rFonts w:ascii="Arial" w:hAnsi="Arial" w:cs="Arial"/>
          <w:sz w:val="22"/>
          <w:szCs w:val="22"/>
        </w:rPr>
        <w:t>ISSAT</w:t>
      </w:r>
      <w:r w:rsidRPr="00571173">
        <w:rPr>
          <w:rFonts w:ascii="Arial" w:hAnsi="Arial" w:cs="Arial"/>
          <w:sz w:val="22"/>
          <w:szCs w:val="22"/>
        </w:rPr>
        <w:tab/>
      </w:r>
      <w:r w:rsidRPr="00571173">
        <w:rPr>
          <w:rFonts w:ascii="Arial" w:hAnsi="Arial" w:cs="Arial"/>
          <w:color w:val="000000"/>
          <w:sz w:val="22"/>
          <w:szCs w:val="22"/>
        </w:rPr>
        <w:t>International Security Sector Advisory Team</w:t>
      </w:r>
    </w:p>
    <w:p w14:paraId="3F140558" w14:textId="625138B3" w:rsidR="00B70D09" w:rsidRPr="00571173" w:rsidRDefault="00B70D09" w:rsidP="000572F5">
      <w:pPr>
        <w:tabs>
          <w:tab w:val="left" w:pos="1134"/>
        </w:tabs>
        <w:spacing w:after="60" w:line="240" w:lineRule="auto"/>
        <w:ind w:hanging="2"/>
        <w:rPr>
          <w:rFonts w:ascii="Arial" w:hAnsi="Arial" w:cs="Arial"/>
          <w:color w:val="000000"/>
          <w:sz w:val="22"/>
          <w:szCs w:val="22"/>
          <w:lang w:val="fr-HT"/>
        </w:rPr>
      </w:pPr>
      <w:r w:rsidRPr="00571173">
        <w:rPr>
          <w:rFonts w:ascii="Arial" w:hAnsi="Arial" w:cs="Arial"/>
          <w:color w:val="000000"/>
          <w:sz w:val="22"/>
          <w:szCs w:val="22"/>
          <w:lang w:val="fr-HT"/>
        </w:rPr>
        <w:t>JJP</w:t>
      </w:r>
      <w:r w:rsidRPr="00571173">
        <w:rPr>
          <w:rFonts w:ascii="Arial" w:hAnsi="Arial" w:cs="Arial"/>
          <w:color w:val="000000"/>
          <w:sz w:val="22"/>
          <w:szCs w:val="22"/>
          <w:lang w:val="fr-HT"/>
        </w:rPr>
        <w:tab/>
        <w:t>Joint Justice Programme (Somalia)</w:t>
      </w:r>
    </w:p>
    <w:p w14:paraId="1F00D0F1" w14:textId="6BE35F8A" w:rsidR="00B70D09" w:rsidRPr="00571173" w:rsidRDefault="00B70D09" w:rsidP="000572F5">
      <w:pPr>
        <w:tabs>
          <w:tab w:val="left" w:pos="1134"/>
        </w:tabs>
        <w:spacing w:after="60" w:line="240" w:lineRule="auto"/>
        <w:ind w:hanging="2"/>
        <w:rPr>
          <w:rFonts w:ascii="Arial" w:hAnsi="Arial" w:cs="Arial"/>
          <w:color w:val="000000"/>
          <w:sz w:val="22"/>
          <w:szCs w:val="22"/>
          <w:lang w:val="fr-HT"/>
        </w:rPr>
      </w:pPr>
      <w:r w:rsidRPr="00571173">
        <w:rPr>
          <w:rFonts w:ascii="Arial" w:hAnsi="Arial" w:cs="Arial"/>
          <w:color w:val="000000"/>
          <w:sz w:val="22"/>
          <w:szCs w:val="22"/>
          <w:lang w:val="fr-HT"/>
        </w:rPr>
        <w:t>JP</w:t>
      </w:r>
      <w:r w:rsidRPr="00571173">
        <w:rPr>
          <w:rFonts w:ascii="Arial" w:hAnsi="Arial" w:cs="Arial"/>
          <w:color w:val="000000"/>
          <w:sz w:val="22"/>
          <w:szCs w:val="22"/>
          <w:lang w:val="fr-HT"/>
        </w:rPr>
        <w:tab/>
        <w:t>Joint Programme</w:t>
      </w:r>
    </w:p>
    <w:p w14:paraId="0CD520EE" w14:textId="5426810C" w:rsidR="00470E82" w:rsidRPr="00571173" w:rsidRDefault="00470E82" w:rsidP="000572F5">
      <w:pPr>
        <w:tabs>
          <w:tab w:val="left" w:pos="1134"/>
        </w:tabs>
        <w:spacing w:after="60" w:line="240" w:lineRule="auto"/>
        <w:ind w:hanging="2"/>
        <w:rPr>
          <w:rFonts w:ascii="Arial" w:hAnsi="Arial" w:cs="Arial"/>
          <w:sz w:val="22"/>
          <w:szCs w:val="22"/>
        </w:rPr>
      </w:pPr>
      <w:r w:rsidRPr="00571173">
        <w:rPr>
          <w:rFonts w:ascii="Arial" w:hAnsi="Arial" w:cs="Arial"/>
          <w:color w:val="000000"/>
          <w:sz w:val="22"/>
          <w:szCs w:val="22"/>
        </w:rPr>
        <w:t>LNOB</w:t>
      </w:r>
      <w:r w:rsidRPr="00571173">
        <w:rPr>
          <w:rFonts w:ascii="Arial" w:hAnsi="Arial" w:cs="Arial"/>
          <w:color w:val="000000"/>
          <w:sz w:val="22"/>
          <w:szCs w:val="22"/>
        </w:rPr>
        <w:tab/>
      </w:r>
      <w:r w:rsidRPr="000572F5">
        <w:rPr>
          <w:rFonts w:ascii="Arial" w:hAnsi="Arial" w:cs="Arial"/>
          <w:color w:val="000000"/>
          <w:sz w:val="22"/>
          <w:szCs w:val="22"/>
          <w:lang w:val="en-US"/>
        </w:rPr>
        <w:t>Leave No One Behind</w:t>
      </w:r>
    </w:p>
    <w:p w14:paraId="779CC8EE" w14:textId="6E1EA596"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M&amp;E </w:t>
      </w:r>
      <w:r w:rsidR="007A5748" w:rsidRPr="00571173">
        <w:rPr>
          <w:rFonts w:ascii="Arial" w:hAnsi="Arial" w:cs="Arial"/>
          <w:sz w:val="22"/>
          <w:szCs w:val="22"/>
        </w:rPr>
        <w:tab/>
      </w:r>
      <w:r w:rsidRPr="00571173">
        <w:rPr>
          <w:rFonts w:ascii="Arial" w:hAnsi="Arial" w:cs="Arial"/>
          <w:sz w:val="22"/>
          <w:szCs w:val="22"/>
        </w:rPr>
        <w:t>Monitoring and Evaluation</w:t>
      </w:r>
    </w:p>
    <w:p w14:paraId="28C34CD3" w14:textId="7CC64ED6" w:rsidR="00571173" w:rsidRPr="00571173" w:rsidRDefault="00571173" w:rsidP="000572F5">
      <w:pPr>
        <w:tabs>
          <w:tab w:val="left" w:pos="1134"/>
        </w:tabs>
        <w:spacing w:after="60" w:line="240" w:lineRule="auto"/>
        <w:ind w:left="1128" w:hanging="1130"/>
        <w:rPr>
          <w:rFonts w:ascii="Arial" w:hAnsi="Arial" w:cs="Arial"/>
          <w:sz w:val="22"/>
          <w:szCs w:val="22"/>
        </w:rPr>
      </w:pPr>
      <w:r w:rsidRPr="00571173">
        <w:rPr>
          <w:rFonts w:ascii="Arial" w:hAnsi="Arial" w:cs="Arial"/>
          <w:sz w:val="22"/>
          <w:szCs w:val="22"/>
        </w:rPr>
        <w:t>MINUSCA</w:t>
      </w:r>
      <w:r w:rsidRPr="00571173">
        <w:rPr>
          <w:rFonts w:ascii="Arial" w:hAnsi="Arial" w:cs="Arial"/>
          <w:sz w:val="22"/>
          <w:szCs w:val="22"/>
        </w:rPr>
        <w:tab/>
      </w:r>
      <w:r w:rsidRPr="00571173">
        <w:rPr>
          <w:rStyle w:val="acopre"/>
          <w:rFonts w:ascii="Arial" w:hAnsi="Arial" w:cs="Arial"/>
          <w:sz w:val="22"/>
          <w:szCs w:val="22"/>
        </w:rPr>
        <w:t>United Nations Multidimensional Integrated Stabilization Mission in the Central African Republic</w:t>
      </w:r>
    </w:p>
    <w:p w14:paraId="4897485D" w14:textId="5B64F41D" w:rsidR="00512D35" w:rsidRPr="00571173" w:rsidRDefault="00512D35"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MPTF</w:t>
      </w:r>
      <w:r w:rsidRPr="00571173">
        <w:rPr>
          <w:rFonts w:ascii="Arial" w:hAnsi="Arial" w:cs="Arial"/>
          <w:sz w:val="22"/>
          <w:szCs w:val="22"/>
        </w:rPr>
        <w:tab/>
      </w:r>
      <w:r w:rsidRPr="00571173">
        <w:rPr>
          <w:rFonts w:ascii="Arial" w:eastAsia="Times New Roman" w:hAnsi="Arial" w:cs="Arial"/>
          <w:color w:val="000000"/>
          <w:sz w:val="22"/>
          <w:szCs w:val="22"/>
          <w:lang w:val="en-US" w:eastAsia="de-DE"/>
        </w:rPr>
        <w:t>Multi-Partner Trust Fund</w:t>
      </w:r>
    </w:p>
    <w:p w14:paraId="54D54806" w14:textId="36B0F9CD"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OECD </w:t>
      </w:r>
      <w:r w:rsidR="007A5748" w:rsidRPr="00571173">
        <w:rPr>
          <w:rFonts w:ascii="Arial" w:hAnsi="Arial" w:cs="Arial"/>
          <w:sz w:val="22"/>
          <w:szCs w:val="22"/>
        </w:rPr>
        <w:tab/>
      </w:r>
      <w:r w:rsidRPr="00571173">
        <w:rPr>
          <w:rFonts w:ascii="Arial" w:hAnsi="Arial" w:cs="Arial"/>
          <w:sz w:val="22"/>
          <w:szCs w:val="22"/>
        </w:rPr>
        <w:t xml:space="preserve">Organisation for Economic Cooperation and Development </w:t>
      </w:r>
    </w:p>
    <w:p w14:paraId="3E6BF122" w14:textId="10FABF27" w:rsidR="007A5748" w:rsidRPr="00571173" w:rsidRDefault="007A574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OHCHR</w:t>
      </w:r>
      <w:r w:rsidRPr="00571173">
        <w:rPr>
          <w:rFonts w:ascii="Arial" w:hAnsi="Arial" w:cs="Arial"/>
          <w:sz w:val="22"/>
          <w:szCs w:val="22"/>
        </w:rPr>
        <w:tab/>
      </w:r>
      <w:r w:rsidR="00A54C6C" w:rsidRPr="00571173">
        <w:rPr>
          <w:rFonts w:ascii="Arial" w:hAnsi="Arial" w:cs="Arial"/>
          <w:sz w:val="22"/>
          <w:szCs w:val="22"/>
        </w:rPr>
        <w:t xml:space="preserve">Office of the High Commissioner for Human Rights </w:t>
      </w:r>
    </w:p>
    <w:p w14:paraId="7E840678" w14:textId="6C323FDA" w:rsidR="00470E82" w:rsidRPr="00571173" w:rsidRDefault="00470E82" w:rsidP="000572F5">
      <w:pPr>
        <w:tabs>
          <w:tab w:val="left" w:pos="1134"/>
        </w:tabs>
        <w:spacing w:after="60" w:line="240" w:lineRule="auto"/>
        <w:ind w:hanging="2"/>
        <w:rPr>
          <w:rFonts w:ascii="Arial" w:hAnsi="Arial" w:cs="Arial"/>
          <w:sz w:val="22"/>
          <w:szCs w:val="22"/>
        </w:rPr>
      </w:pPr>
      <w:r w:rsidRPr="00571173">
        <w:rPr>
          <w:rStyle w:val="cf01"/>
          <w:rFonts w:ascii="Arial" w:hAnsi="Arial" w:cs="Arial"/>
          <w:sz w:val="22"/>
          <w:szCs w:val="22"/>
        </w:rPr>
        <w:t>OROLSI</w:t>
      </w:r>
      <w:r w:rsidRPr="00571173">
        <w:rPr>
          <w:rStyle w:val="cf01"/>
          <w:rFonts w:ascii="Arial" w:hAnsi="Arial" w:cs="Arial"/>
          <w:sz w:val="22"/>
          <w:szCs w:val="22"/>
        </w:rPr>
        <w:tab/>
      </w:r>
      <w:r w:rsidR="00571173" w:rsidRPr="00470E82">
        <w:rPr>
          <w:rStyle w:val="Emphasis"/>
          <w:rFonts w:ascii="Arial" w:hAnsi="Arial" w:cs="Arial"/>
          <w:i w:val="0"/>
          <w:iCs w:val="0"/>
          <w:sz w:val="22"/>
          <w:szCs w:val="22"/>
        </w:rPr>
        <w:t>Office of Rule of Law and Security Institutions</w:t>
      </w:r>
    </w:p>
    <w:p w14:paraId="171546AB" w14:textId="4736EB4C" w:rsidR="00B70D09" w:rsidRPr="00571173" w:rsidRDefault="00B70D09"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PBF</w:t>
      </w:r>
      <w:r w:rsidRPr="00571173">
        <w:rPr>
          <w:rFonts w:ascii="Arial" w:hAnsi="Arial" w:cs="Arial"/>
          <w:sz w:val="22"/>
          <w:szCs w:val="22"/>
        </w:rPr>
        <w:tab/>
        <w:t>Peacebuilding Fund</w:t>
      </w:r>
      <w:r w:rsidR="00571173">
        <w:rPr>
          <w:rFonts w:ascii="Arial" w:hAnsi="Arial" w:cs="Arial"/>
          <w:sz w:val="22"/>
          <w:szCs w:val="22"/>
        </w:rPr>
        <w:t xml:space="preserve"> (of UN)</w:t>
      </w:r>
    </w:p>
    <w:p w14:paraId="4561DE59" w14:textId="6A3AA6FF" w:rsidR="00A54C6C" w:rsidRPr="00571173" w:rsidRDefault="00A54C6C"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Prodoc</w:t>
      </w:r>
      <w:r w:rsidRPr="00571173">
        <w:rPr>
          <w:rFonts w:ascii="Arial" w:hAnsi="Arial" w:cs="Arial"/>
          <w:sz w:val="22"/>
          <w:szCs w:val="22"/>
        </w:rPr>
        <w:tab/>
      </w:r>
      <w:r w:rsidR="00571173">
        <w:rPr>
          <w:rFonts w:ascii="Arial" w:hAnsi="Arial" w:cs="Arial"/>
          <w:sz w:val="22"/>
          <w:szCs w:val="22"/>
        </w:rPr>
        <w:t>Project Document</w:t>
      </w:r>
    </w:p>
    <w:p w14:paraId="76EB756C" w14:textId="2732D2E0" w:rsidR="00B70D09" w:rsidRPr="00571173" w:rsidRDefault="00B70D09" w:rsidP="000572F5">
      <w:pPr>
        <w:tabs>
          <w:tab w:val="left" w:pos="1134"/>
        </w:tabs>
        <w:spacing w:after="60" w:line="240" w:lineRule="auto"/>
        <w:ind w:hanging="2"/>
        <w:rPr>
          <w:rStyle w:val="acopre"/>
          <w:rFonts w:ascii="Arial" w:hAnsi="Arial" w:cs="Arial"/>
          <w:sz w:val="22"/>
          <w:szCs w:val="22"/>
        </w:rPr>
      </w:pPr>
      <w:r w:rsidRPr="00571173">
        <w:rPr>
          <w:rFonts w:ascii="Arial" w:hAnsi="Arial" w:cs="Arial"/>
          <w:sz w:val="22"/>
          <w:szCs w:val="22"/>
        </w:rPr>
        <w:t>P-CVE</w:t>
      </w:r>
      <w:r w:rsidRPr="00571173">
        <w:rPr>
          <w:rFonts w:ascii="Arial" w:hAnsi="Arial" w:cs="Arial"/>
          <w:sz w:val="22"/>
          <w:szCs w:val="22"/>
        </w:rPr>
        <w:tab/>
      </w:r>
      <w:r w:rsidRPr="00571173">
        <w:rPr>
          <w:rStyle w:val="acopre"/>
          <w:rFonts w:ascii="Arial" w:hAnsi="Arial" w:cs="Arial"/>
          <w:sz w:val="22"/>
          <w:szCs w:val="22"/>
        </w:rPr>
        <w:t>Preventing and countering violent extremism</w:t>
      </w:r>
    </w:p>
    <w:p w14:paraId="63D09ECF" w14:textId="6725D6E8" w:rsidR="00333000" w:rsidRPr="00571173" w:rsidRDefault="00333000" w:rsidP="000572F5">
      <w:pPr>
        <w:tabs>
          <w:tab w:val="left" w:pos="1134"/>
        </w:tabs>
        <w:spacing w:after="60" w:line="240" w:lineRule="auto"/>
        <w:ind w:hanging="2"/>
        <w:rPr>
          <w:rFonts w:ascii="Arial" w:hAnsi="Arial" w:cs="Arial"/>
          <w:sz w:val="22"/>
          <w:szCs w:val="22"/>
        </w:rPr>
      </w:pPr>
      <w:r w:rsidRPr="00571173">
        <w:rPr>
          <w:rStyle w:val="acopre"/>
          <w:rFonts w:ascii="Arial" w:hAnsi="Arial" w:cs="Arial"/>
          <w:sz w:val="22"/>
          <w:szCs w:val="22"/>
        </w:rPr>
        <w:t>RBM</w:t>
      </w:r>
      <w:r w:rsidRPr="00571173">
        <w:rPr>
          <w:rStyle w:val="acopre"/>
          <w:rFonts w:ascii="Arial" w:hAnsi="Arial" w:cs="Arial"/>
          <w:sz w:val="22"/>
          <w:szCs w:val="22"/>
        </w:rPr>
        <w:tab/>
        <w:t>Results-based management</w:t>
      </w:r>
    </w:p>
    <w:p w14:paraId="1538E7DF" w14:textId="36F41CEC"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RCO </w:t>
      </w:r>
      <w:r w:rsidR="007A5748" w:rsidRPr="00571173">
        <w:rPr>
          <w:rFonts w:ascii="Arial" w:hAnsi="Arial" w:cs="Arial"/>
          <w:sz w:val="22"/>
          <w:szCs w:val="22"/>
        </w:rPr>
        <w:tab/>
      </w:r>
      <w:r w:rsidRPr="00571173">
        <w:rPr>
          <w:rFonts w:ascii="Arial" w:hAnsi="Arial" w:cs="Arial"/>
          <w:sz w:val="22"/>
          <w:szCs w:val="22"/>
        </w:rPr>
        <w:t>Resident Coordinator’s Office</w:t>
      </w:r>
    </w:p>
    <w:p w14:paraId="432419BF" w14:textId="6F18C3FB"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RO </w:t>
      </w:r>
      <w:r w:rsidR="007A5748" w:rsidRPr="00571173">
        <w:rPr>
          <w:rFonts w:ascii="Arial" w:hAnsi="Arial" w:cs="Arial"/>
          <w:sz w:val="22"/>
          <w:szCs w:val="22"/>
        </w:rPr>
        <w:tab/>
      </w:r>
      <w:r w:rsidRPr="00571173">
        <w:rPr>
          <w:rFonts w:ascii="Arial" w:hAnsi="Arial" w:cs="Arial"/>
          <w:sz w:val="22"/>
          <w:szCs w:val="22"/>
        </w:rPr>
        <w:t>Regional Office</w:t>
      </w:r>
    </w:p>
    <w:p w14:paraId="24235C7C" w14:textId="4B8D01A0" w:rsidR="00512D35" w:rsidRPr="00571173" w:rsidRDefault="00512D35"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ROAR</w:t>
      </w:r>
      <w:r w:rsidRPr="00571173">
        <w:rPr>
          <w:rFonts w:ascii="Arial" w:hAnsi="Arial" w:cs="Arial"/>
          <w:sz w:val="22"/>
          <w:szCs w:val="22"/>
        </w:rPr>
        <w:tab/>
        <w:t>Results Oriented Annual Report</w:t>
      </w:r>
    </w:p>
    <w:p w14:paraId="5AFC9604" w14:textId="3B6BD2CF"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ROL </w:t>
      </w:r>
      <w:r w:rsidR="007A5748" w:rsidRPr="00571173">
        <w:rPr>
          <w:rFonts w:ascii="Arial" w:hAnsi="Arial" w:cs="Arial"/>
          <w:sz w:val="22"/>
          <w:szCs w:val="22"/>
        </w:rPr>
        <w:tab/>
      </w:r>
      <w:r w:rsidRPr="00571173">
        <w:rPr>
          <w:rFonts w:ascii="Arial" w:hAnsi="Arial" w:cs="Arial"/>
          <w:sz w:val="22"/>
          <w:szCs w:val="22"/>
        </w:rPr>
        <w:t>Rule of law</w:t>
      </w:r>
    </w:p>
    <w:p w14:paraId="27140B4B" w14:textId="654A3720"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R</w:t>
      </w:r>
      <w:r w:rsidR="007A5748" w:rsidRPr="00571173">
        <w:rPr>
          <w:rFonts w:ascii="Arial" w:hAnsi="Arial" w:cs="Arial"/>
          <w:sz w:val="22"/>
          <w:szCs w:val="22"/>
        </w:rPr>
        <w:t>O</w:t>
      </w:r>
      <w:r w:rsidRPr="00571173">
        <w:rPr>
          <w:rFonts w:ascii="Arial" w:hAnsi="Arial" w:cs="Arial"/>
          <w:sz w:val="22"/>
          <w:szCs w:val="22"/>
        </w:rPr>
        <w:t xml:space="preserve">LSHR </w:t>
      </w:r>
      <w:r w:rsidR="007A5748" w:rsidRPr="00571173">
        <w:rPr>
          <w:rFonts w:ascii="Arial" w:hAnsi="Arial" w:cs="Arial"/>
          <w:sz w:val="22"/>
          <w:szCs w:val="22"/>
        </w:rPr>
        <w:tab/>
      </w:r>
      <w:r w:rsidRPr="00571173">
        <w:rPr>
          <w:rFonts w:ascii="Arial" w:hAnsi="Arial" w:cs="Arial"/>
          <w:sz w:val="22"/>
          <w:szCs w:val="22"/>
        </w:rPr>
        <w:t>Rule of Law, Security and Human Rights</w:t>
      </w:r>
    </w:p>
    <w:p w14:paraId="6B31C194" w14:textId="7EAC45BC" w:rsidR="007A5748" w:rsidRPr="00571173" w:rsidRDefault="007A574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RR</w:t>
      </w:r>
      <w:r w:rsidRPr="00571173">
        <w:rPr>
          <w:rFonts w:ascii="Arial" w:hAnsi="Arial" w:cs="Arial"/>
          <w:sz w:val="22"/>
          <w:szCs w:val="22"/>
        </w:rPr>
        <w:tab/>
        <w:t>Resident Representative (UNDP)</w:t>
      </w:r>
    </w:p>
    <w:p w14:paraId="31FC290C" w14:textId="59727EDF" w:rsidR="00A54C6C" w:rsidRPr="00571173" w:rsidRDefault="00A54C6C"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SALIENT</w:t>
      </w:r>
      <w:r w:rsidRPr="00571173">
        <w:rPr>
          <w:rFonts w:ascii="Arial" w:hAnsi="Arial" w:cs="Arial"/>
          <w:sz w:val="22"/>
          <w:szCs w:val="22"/>
        </w:rPr>
        <w:tab/>
        <w:t>The Saving Lives Entity</w:t>
      </w:r>
    </w:p>
    <w:p w14:paraId="23552406" w14:textId="7631D68B" w:rsidR="005C072E" w:rsidRPr="00571173" w:rsidRDefault="005C072E"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SDG</w:t>
      </w:r>
      <w:r w:rsidRPr="00571173">
        <w:rPr>
          <w:rFonts w:ascii="Arial" w:hAnsi="Arial" w:cs="Arial"/>
          <w:sz w:val="22"/>
          <w:szCs w:val="22"/>
        </w:rPr>
        <w:tab/>
      </w:r>
      <w:r w:rsidR="00571173">
        <w:rPr>
          <w:rFonts w:ascii="Arial" w:hAnsi="Arial" w:cs="Arial"/>
          <w:sz w:val="22"/>
          <w:szCs w:val="22"/>
        </w:rPr>
        <w:t>Sustainable Development Goals</w:t>
      </w:r>
    </w:p>
    <w:p w14:paraId="47840A37" w14:textId="77777777" w:rsidR="001A7F29" w:rsidRPr="00571173" w:rsidRDefault="001A7F29"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SG</w:t>
      </w:r>
      <w:r w:rsidRPr="00571173">
        <w:rPr>
          <w:rFonts w:ascii="Arial" w:hAnsi="Arial" w:cs="Arial"/>
          <w:sz w:val="22"/>
          <w:szCs w:val="22"/>
        </w:rPr>
        <w:tab/>
        <w:t>Secretary General (of the UN)</w:t>
      </w:r>
    </w:p>
    <w:p w14:paraId="5B0D426C" w14:textId="4C7C4E4A" w:rsidR="00B70D09" w:rsidRPr="00571173" w:rsidRDefault="00B70D09" w:rsidP="000572F5">
      <w:pPr>
        <w:tabs>
          <w:tab w:val="left" w:pos="1134"/>
        </w:tabs>
        <w:spacing w:after="60" w:line="240" w:lineRule="auto"/>
        <w:ind w:hanging="2"/>
        <w:rPr>
          <w:rFonts w:ascii="Arial" w:eastAsia="Times New Roman" w:hAnsi="Arial" w:cs="Arial"/>
          <w:color w:val="000000"/>
          <w:sz w:val="22"/>
          <w:szCs w:val="22"/>
          <w:lang w:val="en-US" w:eastAsia="de-DE"/>
        </w:rPr>
      </w:pPr>
      <w:r w:rsidRPr="00571173">
        <w:rPr>
          <w:rFonts w:ascii="Arial" w:hAnsi="Arial" w:cs="Arial"/>
          <w:sz w:val="22"/>
          <w:szCs w:val="22"/>
        </w:rPr>
        <w:t>SGBV</w:t>
      </w:r>
      <w:r w:rsidRPr="00571173">
        <w:rPr>
          <w:rFonts w:ascii="Arial" w:hAnsi="Arial" w:cs="Arial"/>
          <w:sz w:val="22"/>
          <w:szCs w:val="22"/>
        </w:rPr>
        <w:tab/>
      </w:r>
      <w:r w:rsidR="00571173">
        <w:rPr>
          <w:rFonts w:ascii="Arial" w:eastAsia="Times New Roman" w:hAnsi="Arial" w:cs="Arial"/>
          <w:color w:val="000000"/>
          <w:sz w:val="22"/>
          <w:szCs w:val="22"/>
          <w:lang w:val="en-US" w:eastAsia="de-DE"/>
        </w:rPr>
        <w:t>S</w:t>
      </w:r>
      <w:r w:rsidRPr="00571173">
        <w:rPr>
          <w:rFonts w:ascii="Arial" w:eastAsia="Times New Roman" w:hAnsi="Arial" w:cs="Arial"/>
          <w:color w:val="000000"/>
          <w:sz w:val="22"/>
          <w:szCs w:val="22"/>
          <w:lang w:val="en-US" w:eastAsia="de-DE"/>
        </w:rPr>
        <w:t>exual and gender-based violence</w:t>
      </w:r>
    </w:p>
    <w:p w14:paraId="43F461DF" w14:textId="6FDB5C57" w:rsidR="00470E82" w:rsidRPr="00571173" w:rsidRDefault="00470E82" w:rsidP="000572F5">
      <w:pPr>
        <w:tabs>
          <w:tab w:val="left" w:pos="1134"/>
        </w:tabs>
        <w:spacing w:after="60" w:line="240" w:lineRule="auto"/>
        <w:ind w:hanging="2"/>
        <w:rPr>
          <w:rFonts w:ascii="Arial" w:eastAsia="Times New Roman" w:hAnsi="Arial" w:cs="Arial"/>
          <w:color w:val="000000"/>
          <w:sz w:val="22"/>
          <w:szCs w:val="22"/>
          <w:lang w:val="en-US" w:eastAsia="de-DE"/>
        </w:rPr>
      </w:pPr>
      <w:r w:rsidRPr="00571173">
        <w:rPr>
          <w:rFonts w:ascii="Arial" w:eastAsia="Times New Roman" w:hAnsi="Arial" w:cs="Arial"/>
          <w:color w:val="000000"/>
          <w:sz w:val="22"/>
          <w:szCs w:val="22"/>
          <w:lang w:val="en-US" w:eastAsia="de-DE"/>
        </w:rPr>
        <w:t>SOP</w:t>
      </w:r>
      <w:r w:rsidRPr="00571173">
        <w:rPr>
          <w:rFonts w:ascii="Arial" w:eastAsia="Times New Roman" w:hAnsi="Arial" w:cs="Arial"/>
          <w:color w:val="000000"/>
          <w:sz w:val="22"/>
          <w:szCs w:val="22"/>
          <w:lang w:val="en-US" w:eastAsia="de-DE"/>
        </w:rPr>
        <w:tab/>
      </w:r>
      <w:r w:rsidR="00571173">
        <w:rPr>
          <w:rFonts w:ascii="Arial" w:eastAsia="Times New Roman" w:hAnsi="Arial" w:cs="Arial"/>
          <w:color w:val="000000"/>
          <w:sz w:val="22"/>
          <w:szCs w:val="22"/>
          <w:lang w:val="en-US" w:eastAsia="de-DE"/>
        </w:rPr>
        <w:t>S</w:t>
      </w:r>
      <w:r w:rsidRPr="00571173">
        <w:rPr>
          <w:rFonts w:ascii="Arial" w:eastAsia="Times New Roman" w:hAnsi="Arial" w:cs="Arial"/>
          <w:color w:val="000000"/>
          <w:sz w:val="22"/>
          <w:szCs w:val="22"/>
          <w:lang w:val="en-US" w:eastAsia="de-DE"/>
        </w:rPr>
        <w:t xml:space="preserve">tandard </w:t>
      </w:r>
      <w:r w:rsidR="000572F5">
        <w:rPr>
          <w:rFonts w:ascii="Arial" w:eastAsia="Times New Roman" w:hAnsi="Arial" w:cs="Arial"/>
          <w:color w:val="000000"/>
          <w:sz w:val="22"/>
          <w:szCs w:val="22"/>
          <w:lang w:val="en-US" w:eastAsia="de-DE"/>
        </w:rPr>
        <w:t>O</w:t>
      </w:r>
      <w:r w:rsidRPr="00571173">
        <w:rPr>
          <w:rFonts w:ascii="Arial" w:eastAsia="Times New Roman" w:hAnsi="Arial" w:cs="Arial"/>
          <w:color w:val="000000"/>
          <w:sz w:val="22"/>
          <w:szCs w:val="22"/>
          <w:lang w:val="en-US" w:eastAsia="de-DE"/>
        </w:rPr>
        <w:t xml:space="preserve">perating </w:t>
      </w:r>
      <w:r w:rsidR="000572F5">
        <w:rPr>
          <w:rFonts w:ascii="Arial" w:eastAsia="Times New Roman" w:hAnsi="Arial" w:cs="Arial"/>
          <w:color w:val="000000"/>
          <w:sz w:val="22"/>
          <w:szCs w:val="22"/>
          <w:lang w:val="en-US" w:eastAsia="de-DE"/>
        </w:rPr>
        <w:t>P</w:t>
      </w:r>
      <w:r w:rsidRPr="00571173">
        <w:rPr>
          <w:rFonts w:ascii="Arial" w:eastAsia="Times New Roman" w:hAnsi="Arial" w:cs="Arial"/>
          <w:color w:val="000000"/>
          <w:sz w:val="22"/>
          <w:szCs w:val="22"/>
          <w:lang w:val="en-US" w:eastAsia="de-DE"/>
        </w:rPr>
        <w:t>rocedure</w:t>
      </w:r>
    </w:p>
    <w:p w14:paraId="34D74438" w14:textId="3FAD854F" w:rsidR="001A7F29" w:rsidRPr="00571173" w:rsidRDefault="001A7F29" w:rsidP="000572F5">
      <w:pPr>
        <w:tabs>
          <w:tab w:val="left" w:pos="1134"/>
        </w:tabs>
        <w:spacing w:after="60" w:line="240" w:lineRule="auto"/>
        <w:ind w:hanging="2"/>
        <w:rPr>
          <w:rFonts w:ascii="Arial" w:hAnsi="Arial" w:cs="Arial"/>
          <w:sz w:val="22"/>
          <w:szCs w:val="22"/>
        </w:rPr>
      </w:pPr>
      <w:r w:rsidRPr="00571173">
        <w:rPr>
          <w:rFonts w:ascii="Arial" w:eastAsia="Times New Roman" w:hAnsi="Arial" w:cs="Arial"/>
          <w:color w:val="000000"/>
          <w:sz w:val="22"/>
          <w:szCs w:val="22"/>
          <w:lang w:val="en-US" w:eastAsia="de-DE"/>
        </w:rPr>
        <w:t>SP</w:t>
      </w:r>
      <w:r w:rsidRPr="00571173">
        <w:rPr>
          <w:rFonts w:ascii="Arial" w:eastAsia="Times New Roman" w:hAnsi="Arial" w:cs="Arial"/>
          <w:color w:val="000000"/>
          <w:sz w:val="22"/>
          <w:szCs w:val="22"/>
          <w:lang w:val="en-US" w:eastAsia="de-DE"/>
        </w:rPr>
        <w:tab/>
        <w:t>Strategic Plan</w:t>
      </w:r>
    </w:p>
    <w:p w14:paraId="4A888957" w14:textId="5564A584" w:rsidR="00B70D09" w:rsidRPr="00571173" w:rsidRDefault="00B70D09"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SSR</w:t>
      </w:r>
      <w:r w:rsidRPr="00571173">
        <w:rPr>
          <w:rFonts w:ascii="Arial" w:hAnsi="Arial" w:cs="Arial"/>
          <w:sz w:val="22"/>
          <w:szCs w:val="22"/>
        </w:rPr>
        <w:tab/>
      </w:r>
      <w:r w:rsidRPr="00571173">
        <w:rPr>
          <w:rFonts w:ascii="Arial" w:eastAsia="Times New Roman" w:hAnsi="Arial" w:cs="Arial"/>
          <w:color w:val="000000"/>
          <w:sz w:val="22"/>
          <w:szCs w:val="22"/>
          <w:lang w:val="en-US" w:eastAsia="de-DE"/>
        </w:rPr>
        <w:t>Security Sector Reform</w:t>
      </w:r>
    </w:p>
    <w:p w14:paraId="47020F0B" w14:textId="1A5BB056"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T</w:t>
      </w:r>
      <w:r w:rsidR="00A54C6C" w:rsidRPr="00571173">
        <w:rPr>
          <w:rFonts w:ascii="Arial" w:hAnsi="Arial" w:cs="Arial"/>
          <w:sz w:val="22"/>
          <w:szCs w:val="22"/>
        </w:rPr>
        <w:t>O</w:t>
      </w:r>
      <w:r w:rsidRPr="00571173">
        <w:rPr>
          <w:rFonts w:ascii="Arial" w:hAnsi="Arial" w:cs="Arial"/>
          <w:sz w:val="22"/>
          <w:szCs w:val="22"/>
        </w:rPr>
        <w:t xml:space="preserve">R </w:t>
      </w:r>
      <w:r w:rsidR="007A5748" w:rsidRPr="00571173">
        <w:rPr>
          <w:rFonts w:ascii="Arial" w:hAnsi="Arial" w:cs="Arial"/>
          <w:sz w:val="22"/>
          <w:szCs w:val="22"/>
        </w:rPr>
        <w:tab/>
      </w:r>
      <w:r w:rsidRPr="00571173">
        <w:rPr>
          <w:rFonts w:ascii="Arial" w:hAnsi="Arial" w:cs="Arial"/>
          <w:sz w:val="22"/>
          <w:szCs w:val="22"/>
        </w:rPr>
        <w:t>Terms of Reference</w:t>
      </w:r>
    </w:p>
    <w:p w14:paraId="3507E7D2" w14:textId="21B5725B"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UN </w:t>
      </w:r>
      <w:r w:rsidR="007A5748" w:rsidRPr="00571173">
        <w:rPr>
          <w:rFonts w:ascii="Arial" w:hAnsi="Arial" w:cs="Arial"/>
          <w:sz w:val="22"/>
          <w:szCs w:val="22"/>
        </w:rPr>
        <w:tab/>
      </w:r>
      <w:r w:rsidRPr="00571173">
        <w:rPr>
          <w:rFonts w:ascii="Arial" w:hAnsi="Arial" w:cs="Arial"/>
          <w:sz w:val="22"/>
          <w:szCs w:val="22"/>
        </w:rPr>
        <w:t>United Nations</w:t>
      </w:r>
    </w:p>
    <w:p w14:paraId="0B55406E" w14:textId="35D96EDE" w:rsidR="00573598"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UNCT </w:t>
      </w:r>
      <w:r w:rsidR="007A5748" w:rsidRPr="00571173">
        <w:rPr>
          <w:rFonts w:ascii="Arial" w:hAnsi="Arial" w:cs="Arial"/>
          <w:sz w:val="22"/>
          <w:szCs w:val="22"/>
        </w:rPr>
        <w:tab/>
      </w:r>
      <w:r w:rsidRPr="00571173">
        <w:rPr>
          <w:rFonts w:ascii="Arial" w:hAnsi="Arial" w:cs="Arial"/>
          <w:sz w:val="22"/>
          <w:szCs w:val="22"/>
        </w:rPr>
        <w:t>United Nations Country Team</w:t>
      </w:r>
    </w:p>
    <w:p w14:paraId="3352250C" w14:textId="1431EB9F" w:rsidR="00104586" w:rsidRPr="00571173" w:rsidRDefault="00573598"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 xml:space="preserve">UNDP </w:t>
      </w:r>
      <w:r w:rsidR="007A5748" w:rsidRPr="00571173">
        <w:rPr>
          <w:rFonts w:ascii="Arial" w:hAnsi="Arial" w:cs="Arial"/>
          <w:sz w:val="22"/>
          <w:szCs w:val="22"/>
        </w:rPr>
        <w:tab/>
      </w:r>
      <w:r w:rsidRPr="00571173">
        <w:rPr>
          <w:rFonts w:ascii="Arial" w:hAnsi="Arial" w:cs="Arial"/>
          <w:sz w:val="22"/>
          <w:szCs w:val="22"/>
        </w:rPr>
        <w:t>United Nations Development Programme</w:t>
      </w:r>
    </w:p>
    <w:p w14:paraId="6193DFF5" w14:textId="4FA58ACF" w:rsidR="007A5748" w:rsidRPr="00571173" w:rsidRDefault="007A5748" w:rsidP="000572F5">
      <w:pPr>
        <w:tabs>
          <w:tab w:val="left" w:pos="1134"/>
        </w:tabs>
        <w:spacing w:after="60" w:line="240" w:lineRule="auto"/>
        <w:ind w:hanging="2"/>
        <w:rPr>
          <w:rFonts w:ascii="Arial" w:hAnsi="Arial" w:cs="Arial"/>
          <w:sz w:val="22"/>
          <w:szCs w:val="22"/>
          <w:lang w:val="en-US"/>
        </w:rPr>
      </w:pPr>
      <w:r w:rsidRPr="00571173">
        <w:rPr>
          <w:rFonts w:ascii="Arial" w:hAnsi="Arial" w:cs="Arial"/>
          <w:sz w:val="22"/>
          <w:szCs w:val="22"/>
        </w:rPr>
        <w:t>UNHCR</w:t>
      </w:r>
      <w:r w:rsidR="00A54C6C" w:rsidRPr="00571173">
        <w:rPr>
          <w:rFonts w:ascii="Arial" w:hAnsi="Arial" w:cs="Arial"/>
          <w:sz w:val="22"/>
          <w:szCs w:val="22"/>
        </w:rPr>
        <w:tab/>
      </w:r>
      <w:r w:rsidR="00A54C6C" w:rsidRPr="00571173">
        <w:rPr>
          <w:rFonts w:ascii="Arial" w:hAnsi="Arial" w:cs="Arial"/>
          <w:sz w:val="22"/>
          <w:szCs w:val="22"/>
          <w:lang w:val="en-US"/>
        </w:rPr>
        <w:t>United Nations High Commissioner for Refugees</w:t>
      </w:r>
    </w:p>
    <w:p w14:paraId="1CCAF966" w14:textId="161CEB5F" w:rsidR="00772F62" w:rsidRPr="00571173" w:rsidRDefault="00772F62" w:rsidP="000572F5">
      <w:pPr>
        <w:tabs>
          <w:tab w:val="left" w:pos="1134"/>
        </w:tabs>
        <w:spacing w:after="60" w:line="240" w:lineRule="auto"/>
        <w:ind w:hanging="2"/>
        <w:rPr>
          <w:rFonts w:ascii="Arial" w:hAnsi="Arial" w:cs="Arial"/>
          <w:sz w:val="22"/>
          <w:szCs w:val="22"/>
          <w:lang w:val="en-US"/>
        </w:rPr>
      </w:pPr>
      <w:r w:rsidRPr="00571173">
        <w:rPr>
          <w:rFonts w:ascii="Arial" w:hAnsi="Arial" w:cs="Arial"/>
          <w:sz w:val="22"/>
          <w:szCs w:val="22"/>
          <w:lang w:val="en-US"/>
        </w:rPr>
        <w:t>UNISS</w:t>
      </w:r>
      <w:r w:rsidRPr="00571173">
        <w:rPr>
          <w:rFonts w:ascii="Arial" w:hAnsi="Arial" w:cs="Arial"/>
          <w:sz w:val="22"/>
          <w:szCs w:val="22"/>
          <w:lang w:val="en-US"/>
        </w:rPr>
        <w:tab/>
      </w:r>
      <w:r w:rsidRPr="00571173">
        <w:rPr>
          <w:rFonts w:ascii="Arial" w:hAnsi="Arial" w:cs="Arial"/>
          <w:sz w:val="22"/>
          <w:szCs w:val="22"/>
        </w:rPr>
        <w:t>United Nations Integrated Strategy for the Sahel</w:t>
      </w:r>
    </w:p>
    <w:p w14:paraId="7E48BFF6" w14:textId="77777777" w:rsidR="00772F62" w:rsidRPr="00571173" w:rsidRDefault="00772F62"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UNODA</w:t>
      </w:r>
      <w:r w:rsidRPr="00571173">
        <w:rPr>
          <w:rFonts w:ascii="Arial" w:hAnsi="Arial" w:cs="Arial"/>
          <w:sz w:val="22"/>
          <w:szCs w:val="22"/>
        </w:rPr>
        <w:tab/>
        <w:t>United Nations Office of Disarmament Affairs</w:t>
      </w:r>
    </w:p>
    <w:p w14:paraId="6F8E275D" w14:textId="77777777" w:rsidR="00772F62" w:rsidRPr="00571173" w:rsidRDefault="00772F62" w:rsidP="000572F5">
      <w:pPr>
        <w:tabs>
          <w:tab w:val="left" w:pos="1134"/>
          <w:tab w:val="left" w:pos="1730"/>
        </w:tabs>
        <w:spacing w:after="60" w:line="240" w:lineRule="auto"/>
        <w:ind w:hanging="2"/>
        <w:rPr>
          <w:rFonts w:ascii="Arial" w:hAnsi="Arial" w:cs="Arial"/>
          <w:sz w:val="22"/>
          <w:szCs w:val="22"/>
        </w:rPr>
      </w:pPr>
      <w:r w:rsidRPr="00571173">
        <w:rPr>
          <w:rFonts w:ascii="Arial" w:hAnsi="Arial" w:cs="Arial"/>
          <w:sz w:val="22"/>
          <w:szCs w:val="22"/>
        </w:rPr>
        <w:t>UNODC</w:t>
      </w:r>
      <w:r w:rsidRPr="00571173">
        <w:rPr>
          <w:rFonts w:ascii="Arial" w:hAnsi="Arial" w:cs="Arial"/>
          <w:sz w:val="22"/>
          <w:szCs w:val="22"/>
        </w:rPr>
        <w:tab/>
      </w:r>
      <w:r w:rsidRPr="00571173">
        <w:rPr>
          <w:rFonts w:ascii="Arial" w:hAnsi="Arial" w:cs="Arial"/>
          <w:sz w:val="22"/>
          <w:szCs w:val="22"/>
          <w:lang w:val="en-US"/>
        </w:rPr>
        <w:t>United Nations Office on Drugs and Crime</w:t>
      </w:r>
    </w:p>
    <w:p w14:paraId="36A56615" w14:textId="6BCB5DD6" w:rsidR="00470E82" w:rsidRPr="00571173" w:rsidRDefault="00470E82" w:rsidP="000572F5">
      <w:pPr>
        <w:tabs>
          <w:tab w:val="left" w:pos="1134"/>
        </w:tabs>
        <w:spacing w:after="60" w:line="240" w:lineRule="auto"/>
        <w:ind w:hanging="2"/>
        <w:rPr>
          <w:rFonts w:ascii="Arial" w:hAnsi="Arial" w:cs="Arial"/>
          <w:sz w:val="22"/>
          <w:szCs w:val="22"/>
          <w:lang w:val="en-US"/>
        </w:rPr>
      </w:pPr>
      <w:r w:rsidRPr="00571173">
        <w:rPr>
          <w:rFonts w:ascii="Arial" w:hAnsi="Arial" w:cs="Arial"/>
          <w:sz w:val="22"/>
          <w:szCs w:val="22"/>
          <w:lang w:val="en-US"/>
        </w:rPr>
        <w:t>U</w:t>
      </w:r>
      <w:r w:rsidR="00772F62" w:rsidRPr="00571173">
        <w:rPr>
          <w:rFonts w:ascii="Arial" w:hAnsi="Arial" w:cs="Arial"/>
          <w:sz w:val="22"/>
          <w:szCs w:val="22"/>
          <w:lang w:val="en-US"/>
        </w:rPr>
        <w:t>N</w:t>
      </w:r>
      <w:r w:rsidRPr="00571173">
        <w:rPr>
          <w:rFonts w:ascii="Arial" w:hAnsi="Arial" w:cs="Arial"/>
          <w:sz w:val="22"/>
          <w:szCs w:val="22"/>
          <w:lang w:val="en-US"/>
        </w:rPr>
        <w:t>MAS</w:t>
      </w:r>
      <w:r w:rsidRPr="00571173">
        <w:rPr>
          <w:rFonts w:ascii="Arial" w:hAnsi="Arial" w:cs="Arial"/>
          <w:sz w:val="22"/>
          <w:szCs w:val="22"/>
          <w:lang w:val="en-US"/>
        </w:rPr>
        <w:tab/>
      </w:r>
      <w:r w:rsidRPr="00571173">
        <w:rPr>
          <w:rFonts w:ascii="Arial" w:hAnsi="Arial" w:cs="Arial"/>
          <w:sz w:val="22"/>
          <w:szCs w:val="22"/>
        </w:rPr>
        <w:t>United Nations Mine Action Service</w:t>
      </w:r>
    </w:p>
    <w:p w14:paraId="48685BF2" w14:textId="04ACAA54" w:rsidR="00B70D09" w:rsidRPr="00571173" w:rsidRDefault="00B70D09"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lang w:val="en-US"/>
        </w:rPr>
        <w:t>UNSOM</w:t>
      </w:r>
      <w:r w:rsidRPr="00571173">
        <w:rPr>
          <w:rFonts w:ascii="Arial" w:hAnsi="Arial" w:cs="Arial"/>
          <w:sz w:val="22"/>
          <w:szCs w:val="22"/>
          <w:lang w:val="en-US"/>
        </w:rPr>
        <w:tab/>
      </w:r>
      <w:r w:rsidRPr="00571173">
        <w:rPr>
          <w:rFonts w:ascii="Arial" w:hAnsi="Arial" w:cs="Arial"/>
          <w:sz w:val="22"/>
          <w:szCs w:val="22"/>
        </w:rPr>
        <w:t>United Nations Assistance Mission in Somalia</w:t>
      </w:r>
    </w:p>
    <w:p w14:paraId="6F0F1C53" w14:textId="06D75081" w:rsidR="00571173" w:rsidRPr="00571173" w:rsidRDefault="00571173" w:rsidP="000572F5">
      <w:pPr>
        <w:tabs>
          <w:tab w:val="left" w:pos="1134"/>
        </w:tabs>
        <w:spacing w:after="60" w:line="240" w:lineRule="auto"/>
        <w:ind w:hanging="2"/>
        <w:rPr>
          <w:rFonts w:ascii="Arial" w:hAnsi="Arial" w:cs="Arial"/>
          <w:sz w:val="22"/>
          <w:szCs w:val="22"/>
        </w:rPr>
      </w:pPr>
      <w:r w:rsidRPr="00571173">
        <w:rPr>
          <w:rFonts w:ascii="Arial" w:hAnsi="Arial" w:cs="Arial"/>
          <w:sz w:val="22"/>
          <w:szCs w:val="22"/>
        </w:rPr>
        <w:t>UNV</w:t>
      </w:r>
      <w:r w:rsidRPr="00571173">
        <w:rPr>
          <w:rFonts w:ascii="Arial" w:hAnsi="Arial" w:cs="Arial"/>
          <w:sz w:val="22"/>
          <w:szCs w:val="22"/>
        </w:rPr>
        <w:tab/>
        <w:t>UN Volunteers</w:t>
      </w:r>
    </w:p>
    <w:p w14:paraId="743E6794" w14:textId="191891ED" w:rsidR="00C20986" w:rsidRPr="00C20986" w:rsidRDefault="00A54C6C" w:rsidP="000572F5">
      <w:pPr>
        <w:tabs>
          <w:tab w:val="left" w:pos="1134"/>
        </w:tabs>
        <w:spacing w:after="60" w:line="240" w:lineRule="auto"/>
        <w:ind w:hanging="2"/>
        <w:rPr>
          <w:rFonts w:ascii="Arial" w:hAnsi="Arial" w:cs="Arial"/>
          <w:sz w:val="22"/>
          <w:szCs w:val="22"/>
        </w:rPr>
        <w:sectPr w:rsidR="00C20986" w:rsidRPr="00C20986" w:rsidSect="00C20986">
          <w:headerReference w:type="default" r:id="rId10"/>
          <w:pgSz w:w="12240" w:h="15840"/>
          <w:pgMar w:top="1440" w:right="1440" w:bottom="1440" w:left="1440" w:header="708" w:footer="708" w:gutter="0"/>
          <w:pgNumType w:fmt="lowerRoman" w:start="1"/>
          <w:cols w:space="708"/>
          <w:docGrid w:linePitch="360"/>
        </w:sectPr>
      </w:pPr>
      <w:r w:rsidRPr="00571173">
        <w:rPr>
          <w:rFonts w:ascii="Arial" w:hAnsi="Arial" w:cs="Arial"/>
          <w:sz w:val="22"/>
          <w:szCs w:val="22"/>
        </w:rPr>
        <w:t>U.S.</w:t>
      </w:r>
      <w:r w:rsidRPr="00571173">
        <w:rPr>
          <w:rFonts w:ascii="Arial" w:hAnsi="Arial" w:cs="Arial"/>
          <w:sz w:val="22"/>
          <w:szCs w:val="22"/>
        </w:rPr>
        <w:tab/>
        <w:t>United States of America</w:t>
      </w:r>
    </w:p>
    <w:p w14:paraId="656A9E97" w14:textId="7592BAB6" w:rsidR="00B012C6" w:rsidRDefault="00B012C6" w:rsidP="00B012C6">
      <w:pPr>
        <w:pStyle w:val="Heading1"/>
        <w:rPr>
          <w:sz w:val="28"/>
          <w:szCs w:val="28"/>
        </w:rPr>
      </w:pPr>
      <w:bookmarkStart w:id="0" w:name="_Toc71701874"/>
      <w:r>
        <w:rPr>
          <w:sz w:val="28"/>
          <w:szCs w:val="28"/>
        </w:rPr>
        <w:t>Executive Summary</w:t>
      </w:r>
      <w:bookmarkEnd w:id="0"/>
    </w:p>
    <w:p w14:paraId="23B44680" w14:textId="77777777" w:rsidR="00B012C6" w:rsidRPr="00BA6BB1" w:rsidRDefault="00B012C6" w:rsidP="00B012C6">
      <w:pPr>
        <w:pStyle w:val="ListParagraph"/>
        <w:numPr>
          <w:ilvl w:val="0"/>
          <w:numId w:val="57"/>
        </w:numPr>
        <w:jc w:val="both"/>
        <w:rPr>
          <w:rFonts w:ascii="Arial" w:hAnsi="Arial" w:cs="Arial"/>
          <w:b/>
          <w:bCs/>
          <w:i/>
          <w:iCs/>
          <w:sz w:val="22"/>
          <w:szCs w:val="22"/>
        </w:rPr>
      </w:pPr>
      <w:r w:rsidRPr="00BA6BB1">
        <w:rPr>
          <w:rFonts w:ascii="Arial" w:hAnsi="Arial" w:cs="Arial"/>
          <w:b/>
          <w:bCs/>
          <w:i/>
          <w:iCs/>
          <w:sz w:val="22"/>
          <w:szCs w:val="22"/>
        </w:rPr>
        <w:t>Programme Background</w:t>
      </w:r>
    </w:p>
    <w:p w14:paraId="56015179" w14:textId="5F51661F" w:rsidR="00B012C6" w:rsidRPr="00693229" w:rsidRDefault="1AD012E0" w:rsidP="00B012C6">
      <w:pPr>
        <w:spacing w:line="240" w:lineRule="auto"/>
        <w:jc w:val="both"/>
        <w:rPr>
          <w:rFonts w:ascii="Arial" w:hAnsi="Arial" w:cs="Arial"/>
          <w:sz w:val="22"/>
          <w:szCs w:val="22"/>
        </w:rPr>
      </w:pPr>
      <w:r w:rsidRPr="4F82A3C2">
        <w:rPr>
          <w:rFonts w:ascii="Arial" w:hAnsi="Arial" w:cs="Arial"/>
          <w:sz w:val="22"/>
          <w:szCs w:val="22"/>
        </w:rPr>
        <w:t xml:space="preserve">The United Nations Development Programme (UNDP) has long recognized that strong commitments to the rule of law, security and human rights are imperative to achieving and sustaining peace and building resilience. These commitments entered a new phase in 2008 when the </w:t>
      </w:r>
      <w:r w:rsidRPr="4F82A3C2">
        <w:rPr>
          <w:rFonts w:ascii="Arial" w:hAnsi="Arial" w:cs="Arial"/>
          <w:i/>
          <w:iCs/>
          <w:sz w:val="22"/>
          <w:szCs w:val="22"/>
        </w:rPr>
        <w:t>Global Programme on Strengthening the Rule of Law in Conflict and Post-Conflict Situations</w:t>
      </w:r>
      <w:r w:rsidR="004416B8">
        <w:rPr>
          <w:rFonts w:ascii="Arial" w:hAnsi="Arial" w:cs="Arial"/>
          <w:i/>
          <w:iCs/>
          <w:sz w:val="22"/>
          <w:szCs w:val="22"/>
        </w:rPr>
        <w:t xml:space="preserve"> (the GP)</w:t>
      </w:r>
      <w:r w:rsidRPr="4F82A3C2">
        <w:rPr>
          <w:rFonts w:ascii="Arial" w:hAnsi="Arial" w:cs="Arial"/>
          <w:i/>
          <w:iCs/>
          <w:sz w:val="22"/>
          <w:szCs w:val="22"/>
        </w:rPr>
        <w:t xml:space="preserve"> </w:t>
      </w:r>
      <w:r w:rsidRPr="4F82A3C2">
        <w:rPr>
          <w:rFonts w:ascii="Arial" w:hAnsi="Arial" w:cs="Arial"/>
          <w:sz w:val="22"/>
          <w:szCs w:val="22"/>
        </w:rPr>
        <w:t xml:space="preserve">commenced. </w:t>
      </w:r>
      <w:r w:rsidR="003C16C5">
        <w:rPr>
          <w:rFonts w:ascii="Arial" w:hAnsi="Arial" w:cs="Arial"/>
          <w:sz w:val="22"/>
          <w:szCs w:val="22"/>
        </w:rPr>
        <w:t>Eve</w:t>
      </w:r>
      <w:r w:rsidR="004416B8">
        <w:rPr>
          <w:rFonts w:ascii="Arial" w:hAnsi="Arial" w:cs="Arial"/>
          <w:sz w:val="22"/>
          <w:szCs w:val="22"/>
        </w:rPr>
        <w:t>r</w:t>
      </w:r>
      <w:r w:rsidR="003C16C5">
        <w:rPr>
          <w:rFonts w:ascii="Arial" w:hAnsi="Arial" w:cs="Arial"/>
          <w:sz w:val="22"/>
          <w:szCs w:val="22"/>
        </w:rPr>
        <w:t xml:space="preserve"> since, </w:t>
      </w:r>
      <w:r w:rsidRPr="4F82A3C2">
        <w:rPr>
          <w:rFonts w:ascii="Arial" w:hAnsi="Arial" w:cs="Arial"/>
          <w:sz w:val="22"/>
          <w:szCs w:val="22"/>
        </w:rPr>
        <w:t xml:space="preserve">UNDP </w:t>
      </w:r>
      <w:r w:rsidR="00F66DD9">
        <w:rPr>
          <w:rFonts w:ascii="Arial" w:hAnsi="Arial" w:cs="Arial"/>
          <w:sz w:val="22"/>
          <w:szCs w:val="22"/>
        </w:rPr>
        <w:t xml:space="preserve">has been </w:t>
      </w:r>
      <w:r w:rsidRPr="4F82A3C2">
        <w:rPr>
          <w:rFonts w:ascii="Arial" w:hAnsi="Arial" w:cs="Arial"/>
          <w:sz w:val="22"/>
          <w:szCs w:val="22"/>
        </w:rPr>
        <w:t>provid</w:t>
      </w:r>
      <w:r w:rsidR="00F66DD9">
        <w:rPr>
          <w:rFonts w:ascii="Arial" w:hAnsi="Arial" w:cs="Arial"/>
          <w:sz w:val="22"/>
          <w:szCs w:val="22"/>
        </w:rPr>
        <w:t>ing</w:t>
      </w:r>
      <w:r w:rsidRPr="4F82A3C2">
        <w:rPr>
          <w:rFonts w:ascii="Arial" w:hAnsi="Arial" w:cs="Arial"/>
          <w:sz w:val="22"/>
          <w:szCs w:val="22"/>
        </w:rPr>
        <w:t xml:space="preserve"> targeted assistance</w:t>
      </w:r>
      <w:r w:rsidR="00F66DD9">
        <w:rPr>
          <w:rFonts w:ascii="Arial" w:hAnsi="Arial" w:cs="Arial"/>
          <w:sz w:val="22"/>
          <w:szCs w:val="22"/>
        </w:rPr>
        <w:t xml:space="preserve"> </w:t>
      </w:r>
      <w:r w:rsidR="00F66DD9" w:rsidRPr="4F82A3C2">
        <w:rPr>
          <w:rFonts w:ascii="Arial" w:hAnsi="Arial" w:cs="Arial"/>
          <w:sz w:val="22"/>
          <w:szCs w:val="22"/>
        </w:rPr>
        <w:t>to countries threatened or affected by crisis or other types of fragility (in addition to its work in other contexts)</w:t>
      </w:r>
      <w:r w:rsidR="004416B8">
        <w:rPr>
          <w:rFonts w:ascii="Arial" w:hAnsi="Arial" w:cs="Arial"/>
          <w:sz w:val="22"/>
          <w:szCs w:val="22"/>
        </w:rPr>
        <w:t xml:space="preserve">. Substantive thematic areas covered by the GP have always included rule of law (ROL), justice and security. </w:t>
      </w:r>
      <w:r w:rsidR="0092468C">
        <w:rPr>
          <w:rFonts w:ascii="Arial" w:hAnsi="Arial" w:cs="Arial"/>
          <w:sz w:val="22"/>
          <w:szCs w:val="22"/>
        </w:rPr>
        <w:t>Under its latest iteration, the third phase which started in 2016, the programme expanded to explicitly include the area of human rights (previously covered by a separate “</w:t>
      </w:r>
      <w:r w:rsidR="0092468C" w:rsidRPr="003C16C5">
        <w:rPr>
          <w:rFonts w:ascii="Arial" w:hAnsi="Arial" w:cs="Arial"/>
          <w:sz w:val="22"/>
          <w:szCs w:val="22"/>
        </w:rPr>
        <w:t>Global Human R</w:t>
      </w:r>
      <w:r w:rsidR="0092468C">
        <w:rPr>
          <w:rFonts w:ascii="Arial" w:hAnsi="Arial" w:cs="Arial"/>
          <w:sz w:val="22"/>
          <w:szCs w:val="22"/>
        </w:rPr>
        <w:t>i</w:t>
      </w:r>
      <w:r w:rsidR="0092468C" w:rsidRPr="003C16C5">
        <w:rPr>
          <w:rFonts w:ascii="Arial" w:hAnsi="Arial" w:cs="Arial"/>
          <w:sz w:val="22"/>
          <w:szCs w:val="22"/>
        </w:rPr>
        <w:t>ghts Strengthening Programme</w:t>
      </w:r>
      <w:r w:rsidR="0092468C">
        <w:rPr>
          <w:rFonts w:ascii="Arial" w:hAnsi="Arial" w:cs="Arial"/>
          <w:sz w:val="22"/>
          <w:szCs w:val="22"/>
        </w:rPr>
        <w:t xml:space="preserve">” from </w:t>
      </w:r>
      <w:r w:rsidR="0092468C" w:rsidRPr="003C16C5">
        <w:rPr>
          <w:rFonts w:ascii="Arial" w:hAnsi="Arial" w:cs="Arial"/>
          <w:sz w:val="22"/>
          <w:szCs w:val="22"/>
        </w:rPr>
        <w:t xml:space="preserve">2009 </w:t>
      </w:r>
      <w:r w:rsidR="0038156C">
        <w:rPr>
          <w:rFonts w:ascii="Arial" w:hAnsi="Arial" w:cs="Arial"/>
          <w:sz w:val="22"/>
          <w:szCs w:val="22"/>
        </w:rPr>
        <w:t>–</w:t>
      </w:r>
      <w:r w:rsidR="0092468C" w:rsidRPr="003C16C5">
        <w:rPr>
          <w:rFonts w:ascii="Arial" w:hAnsi="Arial" w:cs="Arial"/>
          <w:sz w:val="22"/>
          <w:szCs w:val="22"/>
        </w:rPr>
        <w:t xml:space="preserve"> 2014</w:t>
      </w:r>
      <w:r w:rsidR="0038156C">
        <w:rPr>
          <w:rFonts w:ascii="Arial" w:hAnsi="Arial" w:cs="Arial"/>
          <w:sz w:val="22"/>
          <w:szCs w:val="22"/>
        </w:rPr>
        <w:t>, which was</w:t>
      </w:r>
      <w:r w:rsidR="0092468C" w:rsidRPr="003C16C5">
        <w:rPr>
          <w:rFonts w:ascii="Arial" w:hAnsi="Arial" w:cs="Arial"/>
          <w:sz w:val="22"/>
          <w:szCs w:val="22"/>
        </w:rPr>
        <w:t xml:space="preserve"> not limited to crisis affected contexts</w:t>
      </w:r>
      <w:r w:rsidR="0092468C">
        <w:rPr>
          <w:rFonts w:ascii="Arial" w:hAnsi="Arial" w:cs="Arial"/>
          <w:sz w:val="22"/>
          <w:szCs w:val="22"/>
        </w:rPr>
        <w:t xml:space="preserve">). The </w:t>
      </w:r>
      <w:r w:rsidRPr="4F82A3C2">
        <w:rPr>
          <w:rFonts w:ascii="Arial" w:hAnsi="Arial" w:cs="Arial"/>
          <w:sz w:val="22"/>
          <w:szCs w:val="22"/>
        </w:rPr>
        <w:t>Rule of Law, Security and Human Rights (R</w:t>
      </w:r>
      <w:r w:rsidR="00877FAD">
        <w:rPr>
          <w:rFonts w:ascii="Arial" w:hAnsi="Arial" w:cs="Arial"/>
          <w:sz w:val="22"/>
          <w:szCs w:val="22"/>
        </w:rPr>
        <w:t>O</w:t>
      </w:r>
      <w:r w:rsidRPr="4F82A3C2">
        <w:rPr>
          <w:rFonts w:ascii="Arial" w:hAnsi="Arial" w:cs="Arial"/>
          <w:sz w:val="22"/>
          <w:szCs w:val="22"/>
        </w:rPr>
        <w:t xml:space="preserve">LSHR) team situated within the UNDP Crisis Bureau </w:t>
      </w:r>
      <w:r w:rsidR="00D26473">
        <w:rPr>
          <w:rFonts w:ascii="Arial" w:hAnsi="Arial" w:cs="Arial"/>
          <w:sz w:val="22"/>
          <w:szCs w:val="22"/>
        </w:rPr>
        <w:t xml:space="preserve">leads the </w:t>
      </w:r>
      <w:r w:rsidR="00D26473" w:rsidRPr="4F82A3C2">
        <w:rPr>
          <w:rFonts w:ascii="Arial" w:hAnsi="Arial" w:cs="Arial"/>
          <w:sz w:val="22"/>
          <w:szCs w:val="22"/>
        </w:rPr>
        <w:t>implement</w:t>
      </w:r>
      <w:r w:rsidR="00D26473">
        <w:rPr>
          <w:rFonts w:ascii="Arial" w:hAnsi="Arial" w:cs="Arial"/>
          <w:sz w:val="22"/>
          <w:szCs w:val="22"/>
        </w:rPr>
        <w:t>ation of</w:t>
      </w:r>
      <w:r w:rsidR="00D26473" w:rsidRPr="4F82A3C2">
        <w:rPr>
          <w:rFonts w:ascii="Arial" w:hAnsi="Arial" w:cs="Arial"/>
          <w:sz w:val="22"/>
          <w:szCs w:val="22"/>
        </w:rPr>
        <w:t xml:space="preserve"> </w:t>
      </w:r>
      <w:r w:rsidRPr="4F82A3C2">
        <w:rPr>
          <w:rFonts w:ascii="Arial" w:hAnsi="Arial" w:cs="Arial"/>
          <w:sz w:val="22"/>
          <w:szCs w:val="22"/>
        </w:rPr>
        <w:t xml:space="preserve">the third phase of the </w:t>
      </w:r>
      <w:r w:rsidRPr="4F82A3C2">
        <w:rPr>
          <w:rStyle w:val="Emphasis"/>
          <w:rFonts w:ascii="Arial" w:hAnsi="Arial" w:cs="Arial"/>
          <w:sz w:val="22"/>
          <w:szCs w:val="22"/>
        </w:rPr>
        <w:t>Global Programme for Strengthening the Rule of Law and Human Rights for Sustaining Peace and Fostering Development”</w:t>
      </w:r>
      <w:r w:rsidRPr="4F82A3C2">
        <w:rPr>
          <w:rFonts w:ascii="Arial" w:hAnsi="Arial" w:cs="Arial"/>
          <w:sz w:val="22"/>
          <w:szCs w:val="22"/>
        </w:rPr>
        <w:t xml:space="preserve"> (GP</w:t>
      </w:r>
      <w:r w:rsidR="004416B8">
        <w:rPr>
          <w:rFonts w:ascii="Arial" w:hAnsi="Arial" w:cs="Arial"/>
          <w:sz w:val="22"/>
          <w:szCs w:val="22"/>
        </w:rPr>
        <w:t>3</w:t>
      </w:r>
      <w:r w:rsidRPr="4F82A3C2">
        <w:rPr>
          <w:rFonts w:ascii="Arial" w:hAnsi="Arial" w:cs="Arial"/>
          <w:sz w:val="22"/>
          <w:szCs w:val="22"/>
        </w:rPr>
        <w:t>)</w:t>
      </w:r>
      <w:r w:rsidRPr="4F82A3C2">
        <w:rPr>
          <w:rStyle w:val="Emphasis"/>
          <w:rFonts w:ascii="Arial" w:hAnsi="Arial" w:cs="Arial"/>
          <w:sz w:val="22"/>
          <w:szCs w:val="22"/>
        </w:rPr>
        <w:t xml:space="preserve">, </w:t>
      </w:r>
      <w:r w:rsidRPr="4F82A3C2">
        <w:rPr>
          <w:rStyle w:val="Emphasis"/>
          <w:rFonts w:ascii="Arial" w:hAnsi="Arial" w:cs="Arial"/>
          <w:i w:val="0"/>
          <w:iCs w:val="0"/>
          <w:sz w:val="22"/>
          <w:szCs w:val="22"/>
        </w:rPr>
        <w:t>which is the subject of this evaluation</w:t>
      </w:r>
      <w:r w:rsidRPr="4F82A3C2">
        <w:rPr>
          <w:rFonts w:ascii="Arial" w:hAnsi="Arial" w:cs="Arial"/>
          <w:i/>
          <w:iCs/>
          <w:sz w:val="22"/>
          <w:szCs w:val="22"/>
        </w:rPr>
        <w:t>.</w:t>
      </w:r>
      <w:r w:rsidRPr="4F82A3C2">
        <w:rPr>
          <w:rFonts w:ascii="Arial" w:hAnsi="Arial" w:cs="Arial"/>
          <w:sz w:val="22"/>
          <w:szCs w:val="22"/>
        </w:rPr>
        <w:t xml:space="preserve"> </w:t>
      </w:r>
    </w:p>
    <w:p w14:paraId="0B9F8469" w14:textId="7C4D16CE" w:rsidR="00B012C6" w:rsidRDefault="1AD012E0" w:rsidP="00B012C6">
      <w:pPr>
        <w:spacing w:line="240" w:lineRule="auto"/>
        <w:jc w:val="both"/>
        <w:rPr>
          <w:rFonts w:ascii="Arial" w:hAnsi="Arial" w:cs="Arial"/>
          <w:sz w:val="22"/>
          <w:szCs w:val="22"/>
        </w:rPr>
      </w:pPr>
      <w:r w:rsidRPr="4F82A3C2">
        <w:rPr>
          <w:rFonts w:ascii="Arial" w:hAnsi="Arial" w:cs="Arial"/>
          <w:sz w:val="22"/>
          <w:szCs w:val="22"/>
        </w:rPr>
        <w:t>Seven interlinked thematic areas underpin the GP’s third phase: Political Engagement; Institution Building; Community Security; Human Rights Systems; Access to Justice; Transitional Justice; and Gender Justice</w:t>
      </w:r>
      <w:r w:rsidRPr="4F82A3C2">
        <w:rPr>
          <w:rFonts w:ascii="CIDFont+F1" w:hAnsi="CIDFont+F1" w:cs="CIDFont+F1"/>
          <w:sz w:val="22"/>
          <w:szCs w:val="22"/>
        </w:rPr>
        <w:t xml:space="preserve">. </w:t>
      </w:r>
      <w:r w:rsidRPr="4F82A3C2">
        <w:rPr>
          <w:rFonts w:ascii="Arial" w:hAnsi="Arial" w:cs="Arial"/>
          <w:sz w:val="22"/>
          <w:szCs w:val="22"/>
        </w:rPr>
        <w:t>The GP seeks to assist UNDP Country Offices in developing and implementing comprehensive interventions that respond rapidly and effectively to needs on the ground in these areas, providing direct financial and technical support to approximately 40 country contexts as well as regional level initiatives. In addition, the GP team has a significant responsibility to lead and support policy development and guidance to internal and external partners and forms the basis for multiple global and policy development initiatives.</w:t>
      </w:r>
    </w:p>
    <w:p w14:paraId="01A76C17" w14:textId="1D114754" w:rsidR="00B012C6" w:rsidRDefault="1AD012E0" w:rsidP="00B012C6">
      <w:pPr>
        <w:spacing w:line="240" w:lineRule="auto"/>
        <w:jc w:val="both"/>
        <w:rPr>
          <w:rFonts w:ascii="Arial" w:hAnsi="Arial" w:cs="Arial"/>
          <w:sz w:val="22"/>
          <w:szCs w:val="22"/>
        </w:rPr>
      </w:pPr>
      <w:r w:rsidRPr="4F82A3C2">
        <w:rPr>
          <w:rFonts w:ascii="Arial" w:hAnsi="Arial" w:cs="Arial"/>
          <w:sz w:val="22"/>
          <w:szCs w:val="22"/>
        </w:rPr>
        <w:t xml:space="preserve">The GP has a range of substantive partners. Notably, the GP/ROLSHR team leads UNDP’s engagement with the Department of Peace Operations as joint managers of </w:t>
      </w:r>
      <w:r w:rsidRPr="4F82A3C2">
        <w:rPr>
          <w:rFonts w:ascii="Arial" w:hAnsi="Arial" w:cs="Arial"/>
          <w:color w:val="000000" w:themeColor="text1"/>
          <w:sz w:val="22"/>
          <w:szCs w:val="22"/>
        </w:rPr>
        <w:t>the</w:t>
      </w:r>
      <w:r w:rsidRPr="4F82A3C2">
        <w:rPr>
          <w:rFonts w:ascii="Arial" w:hAnsi="Arial" w:cs="Arial"/>
          <w:b/>
          <w:bCs/>
          <w:color w:val="000000" w:themeColor="text1"/>
          <w:sz w:val="22"/>
          <w:szCs w:val="22"/>
        </w:rPr>
        <w:t xml:space="preserve"> </w:t>
      </w:r>
      <w:r w:rsidRPr="4F82A3C2">
        <w:rPr>
          <w:rFonts w:ascii="Arial" w:hAnsi="Arial" w:cs="Arial"/>
          <w:sz w:val="22"/>
          <w:szCs w:val="22"/>
        </w:rPr>
        <w:t>Global Focal Point for Police, Justice and Corrections (</w:t>
      </w:r>
      <w:r w:rsidRPr="4F82A3C2">
        <w:rPr>
          <w:rFonts w:ascii="Arial" w:hAnsi="Arial" w:cs="Arial"/>
          <w:color w:val="000000" w:themeColor="text1"/>
          <w:sz w:val="22"/>
          <w:szCs w:val="22"/>
        </w:rPr>
        <w:t>GFP)</w:t>
      </w:r>
      <w:r w:rsidRPr="4F82A3C2">
        <w:rPr>
          <w:rFonts w:ascii="Arial" w:hAnsi="Arial" w:cs="Arial"/>
          <w:sz w:val="22"/>
          <w:szCs w:val="22"/>
        </w:rPr>
        <w:t>. The objective of the GFP arrangement is to facilitate UN entities to “deliver as one” on</w:t>
      </w:r>
      <w:r w:rsidR="00D26473">
        <w:rPr>
          <w:rFonts w:ascii="Arial" w:hAnsi="Arial" w:cs="Arial"/>
          <w:sz w:val="22"/>
          <w:szCs w:val="22"/>
        </w:rPr>
        <w:t xml:space="preserve"> programming related to police, justice</w:t>
      </w:r>
      <w:r w:rsidR="002A5608">
        <w:rPr>
          <w:rFonts w:ascii="Arial" w:hAnsi="Arial" w:cs="Arial"/>
          <w:sz w:val="22"/>
          <w:szCs w:val="22"/>
        </w:rPr>
        <w:t>,</w:t>
      </w:r>
      <w:r w:rsidR="00D26473">
        <w:rPr>
          <w:rFonts w:ascii="Arial" w:hAnsi="Arial" w:cs="Arial"/>
          <w:sz w:val="22"/>
          <w:szCs w:val="22"/>
        </w:rPr>
        <w:t xml:space="preserve"> and corrections</w:t>
      </w:r>
      <w:r w:rsidRPr="4F82A3C2">
        <w:rPr>
          <w:rFonts w:ascii="Arial" w:hAnsi="Arial" w:cs="Arial"/>
          <w:sz w:val="22"/>
          <w:szCs w:val="22"/>
        </w:rPr>
        <w:t xml:space="preserve">, by overcoming systemic fragmentation and working together in the pursuit of shared goals. The GP, from the outset, has served as the host entity to operationalize the GFP. </w:t>
      </w:r>
    </w:p>
    <w:p w14:paraId="0EEA6DD3" w14:textId="0AB310EB" w:rsidR="00B012C6" w:rsidRPr="00693229" w:rsidRDefault="00B012C6" w:rsidP="00B012C6">
      <w:pPr>
        <w:spacing w:line="240" w:lineRule="auto"/>
        <w:jc w:val="both"/>
        <w:rPr>
          <w:rFonts w:ascii="Arial" w:hAnsi="Arial" w:cs="Arial"/>
          <w:sz w:val="22"/>
          <w:szCs w:val="22"/>
        </w:rPr>
      </w:pPr>
      <w:r w:rsidRPr="00693229">
        <w:rPr>
          <w:rFonts w:ascii="Arial" w:hAnsi="Arial" w:cs="Arial"/>
          <w:sz w:val="22"/>
          <w:szCs w:val="22"/>
        </w:rPr>
        <w:t xml:space="preserve">Major donor partners </w:t>
      </w:r>
      <w:r>
        <w:rPr>
          <w:rFonts w:ascii="Arial" w:hAnsi="Arial" w:cs="Arial"/>
          <w:sz w:val="22"/>
          <w:szCs w:val="22"/>
        </w:rPr>
        <w:t xml:space="preserve">of the GP </w:t>
      </w:r>
      <w:r w:rsidRPr="00693229">
        <w:rPr>
          <w:rFonts w:ascii="Arial" w:hAnsi="Arial" w:cs="Arial"/>
          <w:sz w:val="22"/>
          <w:szCs w:val="22"/>
        </w:rPr>
        <w:t>include the governments of the Netherlands, Norway, Sweden, Switzerland, the United Kingdom, and the United States</w:t>
      </w:r>
      <w:r>
        <w:rPr>
          <w:rFonts w:ascii="Arial" w:hAnsi="Arial" w:cs="Arial"/>
          <w:sz w:val="22"/>
          <w:szCs w:val="22"/>
        </w:rPr>
        <w:t xml:space="preserve">, </w:t>
      </w:r>
      <w:r w:rsidRPr="00693229">
        <w:rPr>
          <w:rFonts w:ascii="Arial" w:hAnsi="Arial" w:cs="Arial"/>
          <w:sz w:val="22"/>
          <w:szCs w:val="22"/>
        </w:rPr>
        <w:t>among others. Total funding has amounted to approximately $1</w:t>
      </w:r>
      <w:r w:rsidR="00C57018">
        <w:rPr>
          <w:rFonts w:ascii="Arial" w:hAnsi="Arial" w:cs="Arial"/>
          <w:sz w:val="22"/>
          <w:szCs w:val="22"/>
        </w:rPr>
        <w:t>67</w:t>
      </w:r>
      <w:r w:rsidR="00920CFA">
        <w:rPr>
          <w:rFonts w:ascii="Arial" w:hAnsi="Arial" w:cs="Arial"/>
          <w:sz w:val="22"/>
          <w:szCs w:val="22"/>
        </w:rPr>
        <w:t xml:space="preserve"> </w:t>
      </w:r>
      <w:r w:rsidRPr="00693229">
        <w:rPr>
          <w:rFonts w:ascii="Arial" w:hAnsi="Arial" w:cs="Arial"/>
          <w:sz w:val="22"/>
          <w:szCs w:val="22"/>
        </w:rPr>
        <w:t>million from 2016 to 2019.</w:t>
      </w:r>
    </w:p>
    <w:p w14:paraId="5283E55C" w14:textId="77777777" w:rsidR="00B012C6" w:rsidRPr="00BA6BB1" w:rsidRDefault="00B012C6" w:rsidP="00B012C6">
      <w:pPr>
        <w:pStyle w:val="ListParagraph"/>
        <w:numPr>
          <w:ilvl w:val="0"/>
          <w:numId w:val="57"/>
        </w:numPr>
        <w:jc w:val="both"/>
        <w:rPr>
          <w:rFonts w:ascii="Arial" w:hAnsi="Arial" w:cs="Arial"/>
          <w:b/>
          <w:bCs/>
          <w:i/>
          <w:iCs/>
          <w:sz w:val="22"/>
          <w:szCs w:val="22"/>
        </w:rPr>
      </w:pPr>
      <w:r w:rsidRPr="00BA6BB1">
        <w:rPr>
          <w:rFonts w:ascii="Arial" w:hAnsi="Arial" w:cs="Arial"/>
          <w:b/>
          <w:bCs/>
          <w:i/>
          <w:iCs/>
          <w:sz w:val="22"/>
          <w:szCs w:val="22"/>
        </w:rPr>
        <w:t>Evaluation Objectives and Methodology</w:t>
      </w:r>
    </w:p>
    <w:p w14:paraId="2902D81F" w14:textId="77777777" w:rsidR="00B012C6" w:rsidRPr="00693229" w:rsidRDefault="00B012C6" w:rsidP="00B012C6">
      <w:pPr>
        <w:spacing w:line="240" w:lineRule="auto"/>
        <w:jc w:val="both"/>
        <w:rPr>
          <w:rFonts w:ascii="Arial" w:hAnsi="Arial"/>
          <w:sz w:val="22"/>
          <w:szCs w:val="22"/>
        </w:rPr>
      </w:pPr>
      <w:r w:rsidRPr="00693229">
        <w:rPr>
          <w:rFonts w:ascii="Arial" w:hAnsi="Arial" w:cs="Arial"/>
          <w:sz w:val="22"/>
          <w:szCs w:val="22"/>
        </w:rPr>
        <w:t xml:space="preserve">This interim evaluation of </w:t>
      </w:r>
      <w:r>
        <w:rPr>
          <w:rFonts w:ascii="Arial" w:hAnsi="Arial" w:cs="Arial"/>
          <w:sz w:val="22"/>
          <w:szCs w:val="22"/>
        </w:rPr>
        <w:t xml:space="preserve">GP </w:t>
      </w:r>
      <w:r w:rsidRPr="00693229">
        <w:rPr>
          <w:rFonts w:ascii="Arial" w:hAnsi="Arial" w:cs="Arial"/>
          <w:sz w:val="22"/>
          <w:szCs w:val="22"/>
        </w:rPr>
        <w:t xml:space="preserve">Phase </w:t>
      </w:r>
      <w:r>
        <w:rPr>
          <w:rFonts w:ascii="Arial" w:hAnsi="Arial" w:cs="Arial"/>
          <w:sz w:val="22"/>
          <w:szCs w:val="22"/>
        </w:rPr>
        <w:t>3</w:t>
      </w:r>
      <w:r w:rsidRPr="00693229">
        <w:rPr>
          <w:rFonts w:ascii="Arial" w:hAnsi="Arial" w:cs="Arial"/>
          <w:sz w:val="22"/>
          <w:szCs w:val="22"/>
        </w:rPr>
        <w:t xml:space="preserve"> </w:t>
      </w:r>
      <w:r>
        <w:rPr>
          <w:rFonts w:ascii="Arial" w:hAnsi="Arial" w:cs="Arial"/>
          <w:sz w:val="22"/>
          <w:szCs w:val="22"/>
        </w:rPr>
        <w:t xml:space="preserve">aims </w:t>
      </w:r>
      <w:r w:rsidRPr="00693229">
        <w:rPr>
          <w:rFonts w:ascii="Arial" w:hAnsi="Arial" w:cs="Arial"/>
          <w:sz w:val="22"/>
          <w:szCs w:val="22"/>
        </w:rPr>
        <w:t>to inform UNDP and its partners of lessons learned, results achieved and areas for improvements to ensure proper implementation and performance through the end of this programmatic phase in December 2021</w:t>
      </w:r>
      <w:r>
        <w:rPr>
          <w:rFonts w:ascii="Arial" w:hAnsi="Arial" w:cs="Arial"/>
          <w:sz w:val="22"/>
          <w:szCs w:val="22"/>
        </w:rPr>
        <w:t>,</w:t>
      </w:r>
      <w:r w:rsidRPr="00693229">
        <w:rPr>
          <w:rFonts w:ascii="Arial" w:hAnsi="Arial" w:cs="Arial"/>
          <w:sz w:val="22"/>
          <w:szCs w:val="22"/>
        </w:rPr>
        <w:t xml:space="preserve"> and to feed into development of the </w:t>
      </w:r>
      <w:r>
        <w:rPr>
          <w:rFonts w:ascii="Arial" w:hAnsi="Arial" w:cs="Arial"/>
          <w:sz w:val="22"/>
          <w:szCs w:val="22"/>
        </w:rPr>
        <w:t xml:space="preserve">anticipated </w:t>
      </w:r>
      <w:r w:rsidRPr="00693229">
        <w:rPr>
          <w:rFonts w:ascii="Arial" w:hAnsi="Arial" w:cs="Arial"/>
          <w:sz w:val="22"/>
          <w:szCs w:val="22"/>
        </w:rPr>
        <w:t>fourth phase (2022-2026).</w:t>
      </w:r>
      <w:r>
        <w:rPr>
          <w:rFonts w:ascii="Arial" w:hAnsi="Arial" w:cs="Arial"/>
          <w:sz w:val="22"/>
          <w:szCs w:val="22"/>
        </w:rPr>
        <w:t xml:space="preserve"> </w:t>
      </w:r>
      <w:r w:rsidRPr="00693229">
        <w:rPr>
          <w:rFonts w:ascii="Arial" w:hAnsi="Arial"/>
          <w:sz w:val="22"/>
          <w:szCs w:val="22"/>
        </w:rPr>
        <w:t>This evaluation has aimed to assess the GP</w:t>
      </w:r>
      <w:r>
        <w:rPr>
          <w:rFonts w:ascii="Arial" w:hAnsi="Arial"/>
          <w:sz w:val="22"/>
          <w:szCs w:val="22"/>
        </w:rPr>
        <w:t>’s</w:t>
      </w:r>
      <w:r w:rsidRPr="00693229">
        <w:rPr>
          <w:rFonts w:ascii="Arial" w:hAnsi="Arial"/>
          <w:sz w:val="22"/>
          <w:szCs w:val="22"/>
        </w:rPr>
        <w:t xml:space="preserve"> </w:t>
      </w:r>
      <w:r>
        <w:rPr>
          <w:rFonts w:ascii="Arial" w:hAnsi="Arial"/>
          <w:sz w:val="22"/>
          <w:szCs w:val="22"/>
        </w:rPr>
        <w:t>progress</w:t>
      </w:r>
      <w:r w:rsidRPr="00693229">
        <w:rPr>
          <w:rFonts w:ascii="Arial" w:hAnsi="Arial"/>
          <w:sz w:val="22"/>
          <w:szCs w:val="22"/>
        </w:rPr>
        <w:t xml:space="preserve"> </w:t>
      </w:r>
      <w:r>
        <w:rPr>
          <w:rFonts w:ascii="Arial" w:hAnsi="Arial"/>
          <w:sz w:val="22"/>
          <w:szCs w:val="22"/>
        </w:rPr>
        <w:t>towards</w:t>
      </w:r>
      <w:r w:rsidRPr="00693229">
        <w:rPr>
          <w:rFonts w:ascii="Arial" w:hAnsi="Arial"/>
          <w:sz w:val="22"/>
          <w:szCs w:val="22"/>
        </w:rPr>
        <w:t xml:space="preserve"> results and objectives, focus</w:t>
      </w:r>
      <w:r>
        <w:rPr>
          <w:rFonts w:ascii="Arial" w:hAnsi="Arial"/>
          <w:sz w:val="22"/>
          <w:szCs w:val="22"/>
        </w:rPr>
        <w:t>ing</w:t>
      </w:r>
      <w:r w:rsidRPr="00693229">
        <w:rPr>
          <w:rFonts w:ascii="Arial" w:hAnsi="Arial"/>
          <w:sz w:val="22"/>
          <w:szCs w:val="22"/>
        </w:rPr>
        <w:t xml:space="preserve"> on the period from January 2016 to December 2019, and to provide insights on</w:t>
      </w:r>
      <w:r>
        <w:rPr>
          <w:rFonts w:ascii="Arial" w:hAnsi="Arial"/>
          <w:sz w:val="22"/>
          <w:szCs w:val="22"/>
        </w:rPr>
        <w:t xml:space="preserve"> the following elements</w:t>
      </w:r>
      <w:r w:rsidRPr="00693229">
        <w:rPr>
          <w:rFonts w:ascii="Arial" w:hAnsi="Arial"/>
          <w:sz w:val="22"/>
          <w:szCs w:val="22"/>
        </w:rPr>
        <w:t>:</w:t>
      </w:r>
    </w:p>
    <w:p w14:paraId="6D29E963" w14:textId="77777777" w:rsidR="00B012C6" w:rsidRPr="00693229" w:rsidRDefault="00B012C6" w:rsidP="00B012C6">
      <w:pPr>
        <w:pStyle w:val="TableContents"/>
        <w:numPr>
          <w:ilvl w:val="0"/>
          <w:numId w:val="20"/>
        </w:numPr>
        <w:tabs>
          <w:tab w:val="left" w:pos="707"/>
        </w:tabs>
        <w:spacing w:after="120"/>
        <w:jc w:val="both"/>
        <w:rPr>
          <w:rFonts w:ascii="Arial" w:hAnsi="Arial"/>
          <w:sz w:val="22"/>
          <w:szCs w:val="22"/>
        </w:rPr>
      </w:pPr>
      <w:r w:rsidRPr="00693229">
        <w:rPr>
          <w:rFonts w:ascii="Arial" w:hAnsi="Arial"/>
          <w:sz w:val="22"/>
          <w:szCs w:val="22"/>
        </w:rPr>
        <w:t>The ability of UNDP to function as an effective provider of ROLSHR programming support</w:t>
      </w:r>
      <w:r>
        <w:rPr>
          <w:rFonts w:ascii="Arial" w:hAnsi="Arial"/>
          <w:sz w:val="22"/>
          <w:szCs w:val="22"/>
        </w:rPr>
        <w:t>.</w:t>
      </w:r>
    </w:p>
    <w:p w14:paraId="7BEB69C8" w14:textId="77777777" w:rsidR="00B012C6" w:rsidRPr="00693229" w:rsidRDefault="00B012C6" w:rsidP="00B012C6">
      <w:pPr>
        <w:pStyle w:val="TableContents"/>
        <w:numPr>
          <w:ilvl w:val="0"/>
          <w:numId w:val="20"/>
        </w:numPr>
        <w:tabs>
          <w:tab w:val="left" w:pos="707"/>
        </w:tabs>
        <w:spacing w:after="120"/>
        <w:jc w:val="both"/>
        <w:rPr>
          <w:rFonts w:ascii="Arial" w:hAnsi="Arial"/>
          <w:sz w:val="22"/>
          <w:szCs w:val="22"/>
        </w:rPr>
      </w:pPr>
      <w:r w:rsidRPr="00693229">
        <w:rPr>
          <w:rFonts w:ascii="Arial" w:hAnsi="Arial"/>
          <w:sz w:val="22"/>
          <w:szCs w:val="22"/>
        </w:rPr>
        <w:t xml:space="preserve">The ability of the GP to leverage UNDP’s role as an international policy maker and thought leader on </w:t>
      </w:r>
      <w:r>
        <w:rPr>
          <w:rFonts w:ascii="Arial" w:hAnsi="Arial"/>
          <w:sz w:val="22"/>
          <w:szCs w:val="22"/>
        </w:rPr>
        <w:t>ROLSHR</w:t>
      </w:r>
      <w:r w:rsidRPr="00693229">
        <w:rPr>
          <w:rFonts w:ascii="Arial" w:hAnsi="Arial"/>
          <w:sz w:val="22"/>
          <w:szCs w:val="22"/>
        </w:rPr>
        <w:t>.</w:t>
      </w:r>
    </w:p>
    <w:p w14:paraId="11461060" w14:textId="77777777" w:rsidR="00B012C6" w:rsidRPr="00693229" w:rsidRDefault="00B012C6" w:rsidP="00B012C6">
      <w:pPr>
        <w:pStyle w:val="TableContents"/>
        <w:numPr>
          <w:ilvl w:val="0"/>
          <w:numId w:val="20"/>
        </w:numPr>
        <w:tabs>
          <w:tab w:val="left" w:pos="707"/>
        </w:tabs>
        <w:spacing w:after="120"/>
        <w:jc w:val="both"/>
        <w:rPr>
          <w:rFonts w:ascii="Arial" w:hAnsi="Arial"/>
          <w:sz w:val="22"/>
          <w:szCs w:val="22"/>
        </w:rPr>
      </w:pPr>
      <w:r w:rsidRPr="00693229">
        <w:rPr>
          <w:rFonts w:ascii="Arial" w:hAnsi="Arial"/>
          <w:sz w:val="22"/>
          <w:szCs w:val="22"/>
        </w:rPr>
        <w:t>The effectiveness and achievements of UNDP in forging interagency cooperation and implementation across the UN system.</w:t>
      </w:r>
    </w:p>
    <w:p w14:paraId="47EEE9F2" w14:textId="77777777" w:rsidR="00B012C6" w:rsidRPr="00693229" w:rsidRDefault="00B012C6" w:rsidP="00B012C6">
      <w:pPr>
        <w:pStyle w:val="TableContents"/>
        <w:numPr>
          <w:ilvl w:val="0"/>
          <w:numId w:val="20"/>
        </w:numPr>
        <w:tabs>
          <w:tab w:val="left" w:pos="707"/>
        </w:tabs>
        <w:spacing w:after="120"/>
        <w:jc w:val="both"/>
        <w:rPr>
          <w:rFonts w:ascii="Arial" w:hAnsi="Arial"/>
          <w:sz w:val="22"/>
          <w:szCs w:val="22"/>
        </w:rPr>
      </w:pPr>
      <w:r w:rsidRPr="00693229">
        <w:rPr>
          <w:rFonts w:ascii="Arial" w:hAnsi="Arial"/>
          <w:sz w:val="22"/>
          <w:szCs w:val="22"/>
        </w:rPr>
        <w:t>The GP’s contributions to UNDP’s Integrated Results and Resources Framework for the 2014-2017 and the 2018-2021 UNDP Strategic Plan. </w:t>
      </w:r>
    </w:p>
    <w:p w14:paraId="3391D629" w14:textId="77777777" w:rsidR="00B012C6" w:rsidRPr="00693229" w:rsidRDefault="00B012C6" w:rsidP="00B012C6">
      <w:pPr>
        <w:pStyle w:val="TableContents"/>
        <w:numPr>
          <w:ilvl w:val="0"/>
          <w:numId w:val="20"/>
        </w:numPr>
        <w:tabs>
          <w:tab w:val="left" w:pos="707"/>
        </w:tabs>
        <w:spacing w:after="120"/>
        <w:jc w:val="both"/>
        <w:rPr>
          <w:rFonts w:ascii="Arial" w:hAnsi="Arial"/>
          <w:sz w:val="22"/>
          <w:szCs w:val="22"/>
        </w:rPr>
      </w:pPr>
      <w:r w:rsidRPr="00693229">
        <w:rPr>
          <w:rFonts w:ascii="Arial" w:hAnsi="Arial"/>
          <w:sz w:val="22"/>
          <w:szCs w:val="22"/>
        </w:rPr>
        <w:t>The ability of the current GP structure to manage finances and operations, meet partner expectations, and respond to the needs of priority countries.</w:t>
      </w:r>
    </w:p>
    <w:p w14:paraId="7CD1B649" w14:textId="5B1108C0" w:rsidR="00B012C6" w:rsidRPr="00693229" w:rsidRDefault="00B012C6" w:rsidP="00B012C6">
      <w:pPr>
        <w:spacing w:after="240" w:line="240" w:lineRule="auto"/>
        <w:jc w:val="both"/>
        <w:rPr>
          <w:rFonts w:ascii="Arial" w:eastAsia="Arial" w:hAnsi="Arial" w:cs="Arial"/>
          <w:color w:val="000000"/>
          <w:sz w:val="22"/>
          <w:szCs w:val="22"/>
        </w:rPr>
      </w:pPr>
      <w:r w:rsidRPr="00693229">
        <w:rPr>
          <w:rFonts w:ascii="Arial" w:hAnsi="Arial" w:cs="Arial"/>
          <w:color w:val="000000"/>
          <w:sz w:val="22"/>
          <w:szCs w:val="22"/>
        </w:rPr>
        <w:t xml:space="preserve">The evaluation team </w:t>
      </w:r>
      <w:r>
        <w:rPr>
          <w:rFonts w:ascii="Arial" w:hAnsi="Arial" w:cs="Arial"/>
          <w:color w:val="000000"/>
          <w:sz w:val="22"/>
          <w:szCs w:val="22"/>
        </w:rPr>
        <w:t xml:space="preserve">of two experienced consultants was guided by </w:t>
      </w:r>
      <w:r w:rsidRPr="00693229">
        <w:rPr>
          <w:rFonts w:ascii="Arial" w:hAnsi="Arial" w:cs="Arial"/>
          <w:color w:val="000000"/>
          <w:sz w:val="22"/>
          <w:szCs w:val="22"/>
        </w:rPr>
        <w:t>the six evaluation criteria</w:t>
      </w:r>
      <w:r w:rsidRPr="00693229">
        <w:rPr>
          <w:rFonts w:ascii="Arial" w:hAnsi="Arial" w:cs="Arial"/>
          <w:sz w:val="22"/>
          <w:szCs w:val="22"/>
        </w:rPr>
        <w:t xml:space="preserve"> recommended by the Organization for Economic Cooperation and Development</w:t>
      </w:r>
      <w:r w:rsidRPr="00693229">
        <w:rPr>
          <w:rFonts w:ascii="Arial" w:hAnsi="Arial" w:cs="Arial"/>
          <w:color w:val="000000"/>
          <w:sz w:val="22"/>
          <w:szCs w:val="22"/>
        </w:rPr>
        <w:t>: relevance, coherence, efficiency, effectiveness, impact</w:t>
      </w:r>
      <w:r w:rsidR="007678E7">
        <w:rPr>
          <w:rFonts w:ascii="Arial" w:hAnsi="Arial" w:cs="Arial"/>
          <w:color w:val="000000"/>
          <w:sz w:val="22"/>
          <w:szCs w:val="22"/>
        </w:rPr>
        <w:t xml:space="preserve">, </w:t>
      </w:r>
      <w:r w:rsidRPr="00693229">
        <w:rPr>
          <w:rFonts w:ascii="Arial" w:hAnsi="Arial" w:cs="Arial"/>
          <w:color w:val="000000"/>
          <w:sz w:val="22"/>
          <w:szCs w:val="22"/>
        </w:rPr>
        <w:t xml:space="preserve">and sustainability. The evaluators </w:t>
      </w:r>
      <w:r>
        <w:rPr>
          <w:rFonts w:ascii="Arial" w:hAnsi="Arial" w:cs="Arial"/>
          <w:color w:val="000000"/>
          <w:sz w:val="22"/>
          <w:szCs w:val="22"/>
        </w:rPr>
        <w:t>organized</w:t>
      </w:r>
      <w:r w:rsidRPr="00693229">
        <w:rPr>
          <w:rFonts w:ascii="Arial" w:hAnsi="Arial" w:cs="Arial"/>
          <w:color w:val="000000"/>
          <w:sz w:val="22"/>
          <w:szCs w:val="22"/>
        </w:rPr>
        <w:t xml:space="preserve"> the key evaluation questions and objectives in the T</w:t>
      </w:r>
      <w:r>
        <w:rPr>
          <w:rFonts w:ascii="Arial" w:hAnsi="Arial" w:cs="Arial"/>
          <w:color w:val="000000"/>
          <w:sz w:val="22"/>
          <w:szCs w:val="22"/>
        </w:rPr>
        <w:t>erms of Reference (T</w:t>
      </w:r>
      <w:r w:rsidRPr="00693229">
        <w:rPr>
          <w:rFonts w:ascii="Arial" w:hAnsi="Arial" w:cs="Arial"/>
          <w:color w:val="000000"/>
          <w:sz w:val="22"/>
          <w:szCs w:val="22"/>
        </w:rPr>
        <w:t>OR</w:t>
      </w:r>
      <w:r>
        <w:rPr>
          <w:rFonts w:ascii="Arial" w:hAnsi="Arial" w:cs="Arial"/>
          <w:color w:val="000000"/>
          <w:sz w:val="22"/>
          <w:szCs w:val="22"/>
        </w:rPr>
        <w:t>)</w:t>
      </w:r>
      <w:r w:rsidRPr="00693229">
        <w:rPr>
          <w:rFonts w:ascii="Arial" w:hAnsi="Arial" w:cs="Arial"/>
          <w:color w:val="000000"/>
          <w:sz w:val="22"/>
          <w:szCs w:val="22"/>
        </w:rPr>
        <w:t xml:space="preserve"> </w:t>
      </w:r>
      <w:r>
        <w:rPr>
          <w:rFonts w:ascii="Arial" w:hAnsi="Arial" w:cs="Arial"/>
          <w:color w:val="000000"/>
          <w:sz w:val="22"/>
          <w:szCs w:val="22"/>
          <w:highlight w:val="white"/>
        </w:rPr>
        <w:t xml:space="preserve">based on those criteria, and the findings and conclusions of this report are presented according to that structure (with effectiveness and impact combined). </w:t>
      </w:r>
    </w:p>
    <w:p w14:paraId="144B1518" w14:textId="77777777" w:rsidR="00B012C6" w:rsidRPr="00111F3B" w:rsidRDefault="00B012C6" w:rsidP="00B012C6">
      <w:pPr>
        <w:spacing w:after="240" w:line="240" w:lineRule="auto"/>
        <w:jc w:val="both"/>
        <w:rPr>
          <w:rFonts w:ascii="Arial" w:eastAsia="Times New Roman" w:hAnsi="Arial" w:cs="Arial"/>
          <w:sz w:val="22"/>
          <w:szCs w:val="22"/>
        </w:rPr>
      </w:pPr>
      <w:r w:rsidRPr="00693229">
        <w:rPr>
          <w:rFonts w:ascii="Arial" w:hAnsi="Arial" w:cs="Arial"/>
          <w:color w:val="000000"/>
          <w:sz w:val="22"/>
          <w:szCs w:val="22"/>
        </w:rPr>
        <w:t xml:space="preserve">The evaluation captured and analyzed both qualitative and quantitative data. </w:t>
      </w:r>
      <w:r>
        <w:rPr>
          <w:rFonts w:ascii="Arial" w:hAnsi="Arial" w:cs="Arial"/>
          <w:color w:val="000000"/>
          <w:sz w:val="22"/>
          <w:szCs w:val="22"/>
        </w:rPr>
        <w:t>S</w:t>
      </w:r>
      <w:r w:rsidRPr="00693229">
        <w:rPr>
          <w:rFonts w:ascii="Arial" w:hAnsi="Arial" w:cs="Arial"/>
          <w:color w:val="000000"/>
          <w:sz w:val="22"/>
          <w:szCs w:val="22"/>
        </w:rPr>
        <w:t xml:space="preserve">econdary data was collected through a continuous comprehensive desk review process, including analysis of relevant global and country level documents, data/statistics, </w:t>
      </w:r>
      <w:r>
        <w:rPr>
          <w:rFonts w:ascii="Arial" w:hAnsi="Arial" w:cs="Arial"/>
          <w:color w:val="000000"/>
          <w:sz w:val="22"/>
          <w:szCs w:val="22"/>
        </w:rPr>
        <w:t xml:space="preserve">and </w:t>
      </w:r>
      <w:r w:rsidRPr="00693229">
        <w:rPr>
          <w:rFonts w:ascii="Arial" w:hAnsi="Arial" w:cs="Arial"/>
          <w:color w:val="000000"/>
          <w:sz w:val="22"/>
          <w:szCs w:val="22"/>
        </w:rPr>
        <w:t>previous evaluations and reviews. </w:t>
      </w:r>
      <w:r>
        <w:rPr>
          <w:rFonts w:ascii="Arial" w:hAnsi="Arial" w:cs="Arial"/>
          <w:color w:val="000000"/>
          <w:sz w:val="22"/>
          <w:szCs w:val="22"/>
        </w:rPr>
        <w:t>T</w:t>
      </w:r>
      <w:r w:rsidRPr="00693229">
        <w:rPr>
          <w:rFonts w:ascii="Arial" w:hAnsi="Arial" w:cs="Arial"/>
          <w:color w:val="000000"/>
          <w:sz w:val="22"/>
          <w:szCs w:val="22"/>
        </w:rPr>
        <w:t xml:space="preserve">he evaluators gathered primary data through direct engagement with a wide range of stakeholders through semi-structured interviews. Informants included staff of UNDP at global, regional and country levels (including but not limited to GP and GFP teams), other UN entities, government and non-government counterparts in targeted countries, and key GP bilateral donors. Overall, 158 </w:t>
      </w:r>
      <w:r w:rsidRPr="00111F3B">
        <w:rPr>
          <w:rFonts w:ascii="Arial" w:hAnsi="Arial" w:cs="Arial"/>
          <w:color w:val="000000"/>
          <w:sz w:val="22"/>
          <w:szCs w:val="22"/>
        </w:rPr>
        <w:t xml:space="preserve">individuals were interviewed (84 male, 74 female). </w:t>
      </w:r>
    </w:p>
    <w:p w14:paraId="1F74F5E3" w14:textId="26C4460C" w:rsidR="00B012C6" w:rsidRPr="00693229" w:rsidRDefault="00B012C6" w:rsidP="00B012C6">
      <w:pPr>
        <w:spacing w:line="240" w:lineRule="auto"/>
        <w:ind w:hanging="2"/>
        <w:jc w:val="both"/>
        <w:rPr>
          <w:rFonts w:ascii="Arial" w:hAnsi="Arial" w:cs="Arial"/>
          <w:color w:val="000000"/>
          <w:sz w:val="22"/>
          <w:szCs w:val="22"/>
        </w:rPr>
      </w:pPr>
      <w:r w:rsidRPr="00111F3B">
        <w:rPr>
          <w:rFonts w:ascii="Arial" w:hAnsi="Arial" w:cs="Arial"/>
          <w:color w:val="000000"/>
          <w:sz w:val="22"/>
          <w:szCs w:val="22"/>
        </w:rPr>
        <w:t xml:space="preserve">The TOR </w:t>
      </w:r>
      <w:r w:rsidR="00921FB5" w:rsidRPr="00111F3B">
        <w:rPr>
          <w:rFonts w:ascii="Arial" w:hAnsi="Arial" w:cs="Arial"/>
          <w:color w:val="000000"/>
          <w:sz w:val="22"/>
          <w:szCs w:val="22"/>
        </w:rPr>
        <w:t xml:space="preserve">stipulated </w:t>
      </w:r>
      <w:r w:rsidRPr="00111F3B">
        <w:rPr>
          <w:rFonts w:ascii="Arial" w:hAnsi="Arial" w:cs="Arial"/>
          <w:color w:val="000000"/>
          <w:sz w:val="22"/>
          <w:szCs w:val="22"/>
        </w:rPr>
        <w:t xml:space="preserve">that six unspecified countries would be the subject of “case studies”. The evaluation team initially designed a sampling process to identify a list of countries for consideration, however, the studied countries were ultimately determined by GP management </w:t>
      </w:r>
      <w:r w:rsidR="00680C47" w:rsidRPr="00111F3B">
        <w:rPr>
          <w:rFonts w:ascii="Arial" w:hAnsi="Arial" w:cs="Arial"/>
          <w:color w:val="000000"/>
          <w:sz w:val="22"/>
          <w:szCs w:val="22"/>
        </w:rPr>
        <w:t xml:space="preserve">in consultation with ROLSHR Focal Points and regional hub colleagues with final approval from the </w:t>
      </w:r>
      <w:r w:rsidRPr="00111F3B">
        <w:rPr>
          <w:rFonts w:ascii="Arial" w:hAnsi="Arial" w:cs="Arial"/>
          <w:color w:val="000000"/>
          <w:sz w:val="22"/>
          <w:szCs w:val="22"/>
        </w:rPr>
        <w:t>the Project Boar</w:t>
      </w:r>
      <w:r w:rsidR="00A33C1E" w:rsidRPr="00111F3B">
        <w:rPr>
          <w:rFonts w:ascii="Arial" w:hAnsi="Arial" w:cs="Arial"/>
          <w:color w:val="000000"/>
          <w:sz w:val="22"/>
          <w:szCs w:val="22"/>
        </w:rPr>
        <w:t xml:space="preserve">d. </w:t>
      </w:r>
      <w:r w:rsidRPr="00111F3B">
        <w:rPr>
          <w:rFonts w:ascii="Arial" w:hAnsi="Arial" w:cs="Arial"/>
          <w:color w:val="000000"/>
          <w:sz w:val="22"/>
          <w:szCs w:val="22"/>
        </w:rPr>
        <w:t>The countries were: Kyrgyzstan, Somalia, Central African Republic, Burkina Faso, Colombia, and Pakistan. The</w:t>
      </w:r>
      <w:r w:rsidR="00921FB5" w:rsidRPr="00111F3B">
        <w:rPr>
          <w:rFonts w:ascii="Arial" w:hAnsi="Arial" w:cs="Arial"/>
          <w:color w:val="000000"/>
          <w:sz w:val="22"/>
          <w:szCs w:val="22"/>
        </w:rPr>
        <w:t xml:space="preserve"> studies </w:t>
      </w:r>
      <w:r w:rsidRPr="00111F3B">
        <w:rPr>
          <w:rFonts w:ascii="Arial" w:hAnsi="Arial" w:cs="Arial"/>
          <w:color w:val="000000"/>
          <w:sz w:val="22"/>
          <w:szCs w:val="22"/>
        </w:rPr>
        <w:t xml:space="preserve">were designed as “instrumental” case studies to obtain insights into broader issues relevant to the GP, as compared to in-depth individual evaluations of country level programming. Selection of informants at global/regional level was largely guided by the GP management team. For country case studies, the </w:t>
      </w:r>
      <w:r w:rsidR="00473258" w:rsidRPr="00111F3B">
        <w:rPr>
          <w:rFonts w:ascii="Arial" w:hAnsi="Arial" w:cs="Arial"/>
          <w:color w:val="000000"/>
          <w:sz w:val="22"/>
          <w:szCs w:val="22"/>
        </w:rPr>
        <w:t xml:space="preserve">informant </w:t>
      </w:r>
      <w:r w:rsidRPr="00111F3B">
        <w:rPr>
          <w:rFonts w:ascii="Arial" w:hAnsi="Arial" w:cs="Arial"/>
          <w:color w:val="000000"/>
          <w:sz w:val="22"/>
          <w:szCs w:val="22"/>
        </w:rPr>
        <w:t>selection process started with suggestions from the Focal</w:t>
      </w:r>
      <w:r w:rsidRPr="00693229">
        <w:rPr>
          <w:rFonts w:ascii="Arial" w:hAnsi="Arial" w:cs="Arial"/>
          <w:color w:val="000000"/>
          <w:sz w:val="22"/>
          <w:szCs w:val="22"/>
        </w:rPr>
        <w:t xml:space="preserve"> Points responsible for those countries, which </w:t>
      </w:r>
      <w:r>
        <w:rPr>
          <w:rFonts w:ascii="Arial" w:hAnsi="Arial" w:cs="Arial"/>
          <w:color w:val="000000"/>
          <w:sz w:val="22"/>
          <w:szCs w:val="22"/>
        </w:rPr>
        <w:t>were</w:t>
      </w:r>
      <w:r w:rsidRPr="00693229">
        <w:rPr>
          <w:rFonts w:ascii="Arial" w:hAnsi="Arial" w:cs="Arial"/>
          <w:color w:val="000000"/>
          <w:sz w:val="22"/>
          <w:szCs w:val="22"/>
        </w:rPr>
        <w:t xml:space="preserve"> fleshed out via consultations with in-country UNDP staff. The objective was to engage a broad spectrum of entities/persons capable of providing informed perspectives across the evaluative areas of interest. </w:t>
      </w:r>
    </w:p>
    <w:p w14:paraId="6509D9D5" w14:textId="77777777" w:rsidR="00B012C6" w:rsidRPr="00693229" w:rsidRDefault="00B012C6" w:rsidP="00B012C6">
      <w:pPr>
        <w:spacing w:line="240" w:lineRule="auto"/>
        <w:ind w:hanging="2"/>
        <w:jc w:val="both"/>
        <w:rPr>
          <w:rFonts w:ascii="Arial" w:eastAsia="Times New Roman" w:hAnsi="Arial" w:cs="Arial"/>
          <w:color w:val="FF0000"/>
          <w:sz w:val="22"/>
          <w:szCs w:val="22"/>
        </w:rPr>
      </w:pPr>
      <w:r>
        <w:rPr>
          <w:rFonts w:ascii="Arial" w:hAnsi="Arial" w:cs="Arial"/>
          <w:color w:val="000000"/>
          <w:sz w:val="22"/>
          <w:szCs w:val="22"/>
        </w:rPr>
        <w:t>T</w:t>
      </w:r>
      <w:r w:rsidRPr="00693229">
        <w:rPr>
          <w:rFonts w:ascii="Arial" w:hAnsi="Arial" w:cs="Arial"/>
          <w:color w:val="000000"/>
          <w:sz w:val="22"/>
          <w:szCs w:val="22"/>
        </w:rPr>
        <w:t xml:space="preserve">he significant amount of data generated via the above-described interviews and meetings was summarized and analyzed using the six OECD evaluation criteria. Triangulation </w:t>
      </w:r>
      <w:r>
        <w:rPr>
          <w:rFonts w:ascii="Arial" w:hAnsi="Arial" w:cs="Arial"/>
          <w:color w:val="000000"/>
          <w:sz w:val="22"/>
          <w:szCs w:val="22"/>
        </w:rPr>
        <w:t>allowed</w:t>
      </w:r>
      <w:r w:rsidRPr="00693229">
        <w:rPr>
          <w:rFonts w:ascii="Arial" w:hAnsi="Arial" w:cs="Arial"/>
          <w:color w:val="000000"/>
          <w:sz w:val="22"/>
          <w:szCs w:val="22"/>
        </w:rPr>
        <w:t xml:space="preserve"> a deeper understanding of the perspectives of diverse respondents and </w:t>
      </w:r>
      <w:r>
        <w:rPr>
          <w:rFonts w:ascii="Arial" w:hAnsi="Arial" w:cs="Arial"/>
          <w:color w:val="000000"/>
          <w:sz w:val="22"/>
          <w:szCs w:val="22"/>
        </w:rPr>
        <w:t>verification of</w:t>
      </w:r>
      <w:r w:rsidRPr="00693229">
        <w:rPr>
          <w:rFonts w:ascii="Arial" w:hAnsi="Arial" w:cs="Arial"/>
          <w:color w:val="000000"/>
          <w:sz w:val="22"/>
          <w:szCs w:val="22"/>
        </w:rPr>
        <w:t xml:space="preserve"> findings from different sources. </w:t>
      </w:r>
      <w:r>
        <w:rPr>
          <w:rFonts w:ascii="Arial" w:hAnsi="Arial" w:cs="Arial"/>
          <w:color w:val="000000"/>
          <w:sz w:val="22"/>
          <w:szCs w:val="22"/>
        </w:rPr>
        <w:t>As well</w:t>
      </w:r>
      <w:r w:rsidRPr="00693229">
        <w:rPr>
          <w:rFonts w:ascii="Arial" w:hAnsi="Arial" w:cs="Arial"/>
          <w:color w:val="000000"/>
          <w:sz w:val="22"/>
          <w:szCs w:val="22"/>
        </w:rPr>
        <w:t xml:space="preserve">, the evaluation team attempted to analyze progress towards targets for the </w:t>
      </w:r>
      <w:r>
        <w:rPr>
          <w:rFonts w:ascii="Arial" w:hAnsi="Arial" w:cs="Arial"/>
          <w:color w:val="000000"/>
          <w:sz w:val="22"/>
          <w:szCs w:val="22"/>
        </w:rPr>
        <w:t xml:space="preserve">17 </w:t>
      </w:r>
      <w:r w:rsidRPr="00693229">
        <w:rPr>
          <w:rFonts w:ascii="Arial" w:hAnsi="Arial" w:cs="Arial"/>
          <w:color w:val="000000"/>
          <w:sz w:val="22"/>
          <w:szCs w:val="22"/>
        </w:rPr>
        <w:t xml:space="preserve">output indicators and change in the five outcome level indicators, which rely on internationally recognized ranking and scoring systems. However, </w:t>
      </w:r>
      <w:r>
        <w:rPr>
          <w:rFonts w:ascii="Arial" w:hAnsi="Arial" w:cs="Arial"/>
          <w:color w:val="000000"/>
          <w:sz w:val="22"/>
          <w:szCs w:val="22"/>
        </w:rPr>
        <w:t>the scope of analysis was constrained by issues with</w:t>
      </w:r>
      <w:r w:rsidRPr="00693229">
        <w:rPr>
          <w:rFonts w:ascii="Arial" w:hAnsi="Arial" w:cs="Arial"/>
          <w:color w:val="000000"/>
          <w:sz w:val="22"/>
          <w:szCs w:val="22"/>
        </w:rPr>
        <w:t xml:space="preserve"> the quality of data and meaningfulness of the output indicators,</w:t>
      </w:r>
      <w:r>
        <w:rPr>
          <w:rFonts w:ascii="Arial" w:hAnsi="Arial" w:cs="Arial"/>
          <w:color w:val="000000"/>
          <w:sz w:val="22"/>
          <w:szCs w:val="22"/>
        </w:rPr>
        <w:t xml:space="preserve"> and</w:t>
      </w:r>
      <w:r w:rsidRPr="00693229">
        <w:rPr>
          <w:rFonts w:ascii="Arial" w:hAnsi="Arial" w:cs="Arial"/>
          <w:color w:val="000000"/>
          <w:sz w:val="22"/>
          <w:szCs w:val="22"/>
        </w:rPr>
        <w:t xml:space="preserve"> </w:t>
      </w:r>
      <w:r>
        <w:rPr>
          <w:rFonts w:ascii="Arial" w:hAnsi="Arial" w:cs="Arial"/>
          <w:color w:val="000000"/>
          <w:sz w:val="22"/>
          <w:szCs w:val="22"/>
        </w:rPr>
        <w:t>limited information and relevance in relation to</w:t>
      </w:r>
      <w:r w:rsidRPr="00693229">
        <w:rPr>
          <w:rFonts w:ascii="Arial" w:hAnsi="Arial" w:cs="Arial"/>
          <w:color w:val="000000"/>
          <w:sz w:val="22"/>
          <w:szCs w:val="22"/>
        </w:rPr>
        <w:t xml:space="preserve"> the outcome level indicators. </w:t>
      </w:r>
    </w:p>
    <w:p w14:paraId="45F6AE73" w14:textId="77777777" w:rsidR="00B012C6" w:rsidRPr="00693229" w:rsidRDefault="00B012C6" w:rsidP="00B012C6">
      <w:pPr>
        <w:spacing w:line="240" w:lineRule="auto"/>
        <w:jc w:val="both"/>
        <w:rPr>
          <w:rFonts w:ascii="Arial" w:hAnsi="Arial" w:cs="Arial"/>
          <w:sz w:val="22"/>
          <w:szCs w:val="22"/>
        </w:rPr>
      </w:pPr>
      <w:r>
        <w:rPr>
          <w:rFonts w:ascii="Arial" w:hAnsi="Arial" w:cs="Arial"/>
          <w:sz w:val="22"/>
          <w:szCs w:val="22"/>
        </w:rPr>
        <w:t>T</w:t>
      </w:r>
      <w:r w:rsidRPr="00693229">
        <w:rPr>
          <w:rFonts w:ascii="Arial" w:hAnsi="Arial" w:cs="Arial"/>
          <w:sz w:val="22"/>
          <w:szCs w:val="22"/>
        </w:rPr>
        <w:t xml:space="preserve">he evaluation team encountered various challenges and </w:t>
      </w:r>
      <w:r w:rsidRPr="00C47516">
        <w:rPr>
          <w:rFonts w:ascii="Arial" w:hAnsi="Arial" w:cs="Arial"/>
          <w:sz w:val="22"/>
          <w:szCs w:val="22"/>
        </w:rPr>
        <w:t>limitations,</w:t>
      </w:r>
      <w:r>
        <w:rPr>
          <w:rFonts w:ascii="Arial" w:hAnsi="Arial" w:cs="Arial"/>
          <w:sz w:val="22"/>
          <w:szCs w:val="22"/>
        </w:rPr>
        <w:t xml:space="preserve"> which </w:t>
      </w:r>
      <w:r w:rsidRPr="00C47516">
        <w:rPr>
          <w:rFonts w:ascii="Arial" w:hAnsi="Arial" w:cs="Arial"/>
          <w:sz w:val="22"/>
          <w:szCs w:val="22"/>
        </w:rPr>
        <w:t>included:</w:t>
      </w:r>
      <w:r>
        <w:rPr>
          <w:rFonts w:ascii="Arial" w:hAnsi="Arial" w:cs="Arial"/>
          <w:sz w:val="22"/>
          <w:szCs w:val="22"/>
        </w:rPr>
        <w:t xml:space="preserve"> </w:t>
      </w:r>
    </w:p>
    <w:p w14:paraId="238F451A" w14:textId="77777777" w:rsidR="00B012C6" w:rsidRPr="00C47516" w:rsidRDefault="00B012C6" w:rsidP="00B012C6">
      <w:pPr>
        <w:pStyle w:val="ListParagraph"/>
        <w:numPr>
          <w:ilvl w:val="0"/>
          <w:numId w:val="56"/>
        </w:numPr>
        <w:spacing w:line="240" w:lineRule="auto"/>
        <w:jc w:val="both"/>
        <w:rPr>
          <w:rFonts w:ascii="Arial" w:hAnsi="Arial" w:cs="Arial"/>
          <w:sz w:val="22"/>
          <w:szCs w:val="22"/>
        </w:rPr>
      </w:pPr>
      <w:r w:rsidRPr="00C47516">
        <w:rPr>
          <w:rFonts w:ascii="Arial" w:hAnsi="Arial" w:cs="Arial"/>
          <w:sz w:val="22"/>
          <w:szCs w:val="22"/>
        </w:rPr>
        <w:t xml:space="preserve">The global scope and thematic complexity of the GP represented a challenge to comprehensive evaluation of four years of implementation, especially with an evaluation team of only two members with limited contract days. </w:t>
      </w:r>
    </w:p>
    <w:p w14:paraId="4A5AA952" w14:textId="77777777" w:rsidR="00B012C6" w:rsidRPr="00C47516" w:rsidRDefault="00B012C6" w:rsidP="00B012C6">
      <w:pPr>
        <w:pStyle w:val="ListParagraph"/>
        <w:numPr>
          <w:ilvl w:val="0"/>
          <w:numId w:val="56"/>
        </w:numPr>
        <w:spacing w:line="240" w:lineRule="auto"/>
        <w:jc w:val="both"/>
        <w:rPr>
          <w:rFonts w:ascii="Arial" w:hAnsi="Arial" w:cs="Arial"/>
          <w:sz w:val="22"/>
          <w:szCs w:val="22"/>
        </w:rPr>
      </w:pPr>
      <w:r w:rsidRPr="00C47516">
        <w:rPr>
          <w:rFonts w:ascii="Arial" w:hAnsi="Arial" w:cs="Arial"/>
          <w:sz w:val="22"/>
          <w:szCs w:val="22"/>
        </w:rPr>
        <w:t xml:space="preserve">The period under evaluation </w:t>
      </w:r>
      <w:r>
        <w:rPr>
          <w:rFonts w:ascii="Arial" w:hAnsi="Arial" w:cs="Arial"/>
          <w:sz w:val="22"/>
          <w:szCs w:val="22"/>
        </w:rPr>
        <w:t>was</w:t>
      </w:r>
      <w:r w:rsidRPr="00C47516">
        <w:rPr>
          <w:rFonts w:ascii="Arial" w:hAnsi="Arial" w:cs="Arial"/>
          <w:sz w:val="22"/>
          <w:szCs w:val="22"/>
        </w:rPr>
        <w:t xml:space="preserve"> January 2016 </w:t>
      </w:r>
      <w:r>
        <w:rPr>
          <w:rFonts w:ascii="Arial" w:hAnsi="Arial" w:cs="Arial"/>
          <w:sz w:val="22"/>
          <w:szCs w:val="22"/>
        </w:rPr>
        <w:t>to</w:t>
      </w:r>
      <w:r w:rsidRPr="00C47516">
        <w:rPr>
          <w:rFonts w:ascii="Arial" w:hAnsi="Arial" w:cs="Arial"/>
          <w:sz w:val="22"/>
          <w:szCs w:val="22"/>
        </w:rPr>
        <w:t xml:space="preserve"> December 2019. Some informants were no longer available </w:t>
      </w:r>
      <w:r>
        <w:rPr>
          <w:rFonts w:ascii="Arial" w:hAnsi="Arial" w:cs="Arial"/>
          <w:sz w:val="22"/>
          <w:szCs w:val="22"/>
        </w:rPr>
        <w:t>or</w:t>
      </w:r>
      <w:r w:rsidRPr="00C47516">
        <w:rPr>
          <w:rFonts w:ascii="Arial" w:hAnsi="Arial" w:cs="Arial"/>
          <w:sz w:val="22"/>
          <w:szCs w:val="22"/>
        </w:rPr>
        <w:t xml:space="preserve"> found it hard to recall the earl</w:t>
      </w:r>
      <w:r>
        <w:rPr>
          <w:rFonts w:ascii="Arial" w:hAnsi="Arial" w:cs="Arial"/>
          <w:sz w:val="22"/>
          <w:szCs w:val="22"/>
        </w:rPr>
        <w:t>ier</w:t>
      </w:r>
      <w:r w:rsidRPr="00C47516">
        <w:rPr>
          <w:rFonts w:ascii="Arial" w:hAnsi="Arial" w:cs="Arial"/>
          <w:sz w:val="22"/>
          <w:szCs w:val="22"/>
        </w:rPr>
        <w:t xml:space="preserve"> </w:t>
      </w:r>
      <w:r>
        <w:rPr>
          <w:rFonts w:ascii="Arial" w:hAnsi="Arial" w:cs="Arial"/>
          <w:sz w:val="22"/>
          <w:szCs w:val="22"/>
        </w:rPr>
        <w:t>years</w:t>
      </w:r>
      <w:r w:rsidRPr="00C47516">
        <w:rPr>
          <w:rFonts w:ascii="Arial" w:hAnsi="Arial" w:cs="Arial"/>
          <w:sz w:val="22"/>
          <w:szCs w:val="22"/>
        </w:rPr>
        <w:t xml:space="preserve"> and/or to distinguish between pre-</w:t>
      </w:r>
      <w:r>
        <w:rPr>
          <w:rFonts w:ascii="Arial" w:hAnsi="Arial" w:cs="Arial"/>
          <w:sz w:val="22"/>
          <w:szCs w:val="22"/>
        </w:rPr>
        <w:t xml:space="preserve"> and post-</w:t>
      </w:r>
      <w:r w:rsidRPr="00C47516">
        <w:rPr>
          <w:rFonts w:ascii="Arial" w:hAnsi="Arial" w:cs="Arial"/>
          <w:sz w:val="22"/>
          <w:szCs w:val="22"/>
        </w:rPr>
        <w:t xml:space="preserve">2020. </w:t>
      </w:r>
      <w:r>
        <w:rPr>
          <w:rFonts w:ascii="Arial" w:hAnsi="Arial" w:cs="Arial"/>
          <w:sz w:val="22"/>
          <w:szCs w:val="22"/>
        </w:rPr>
        <w:t>In fact,</w:t>
      </w:r>
      <w:r w:rsidRPr="00C47516">
        <w:rPr>
          <w:rFonts w:ascii="Arial" w:hAnsi="Arial" w:cs="Arial"/>
          <w:sz w:val="22"/>
          <w:szCs w:val="22"/>
        </w:rPr>
        <w:t xml:space="preserve"> developments after 2019 were relevant to impact and sustainability, and examination of </w:t>
      </w:r>
      <w:r>
        <w:rPr>
          <w:rFonts w:ascii="Arial" w:hAnsi="Arial" w:cs="Arial"/>
          <w:sz w:val="22"/>
          <w:szCs w:val="22"/>
        </w:rPr>
        <w:t xml:space="preserve">GP’s </w:t>
      </w:r>
      <w:r w:rsidRPr="00C47516">
        <w:rPr>
          <w:rFonts w:ascii="Arial" w:hAnsi="Arial" w:cs="Arial"/>
          <w:sz w:val="22"/>
          <w:szCs w:val="22"/>
        </w:rPr>
        <w:t xml:space="preserve">business processes required consideration of the current situation. This </w:t>
      </w:r>
      <w:r>
        <w:rPr>
          <w:rFonts w:ascii="Arial" w:hAnsi="Arial" w:cs="Arial"/>
          <w:sz w:val="22"/>
          <w:szCs w:val="22"/>
        </w:rPr>
        <w:t>made it necessary to also</w:t>
      </w:r>
      <w:r w:rsidRPr="00C47516">
        <w:rPr>
          <w:rFonts w:ascii="Arial" w:hAnsi="Arial" w:cs="Arial"/>
          <w:sz w:val="22"/>
          <w:szCs w:val="22"/>
        </w:rPr>
        <w:t xml:space="preserve"> discuss</w:t>
      </w:r>
      <w:r>
        <w:rPr>
          <w:rFonts w:ascii="Arial" w:hAnsi="Arial" w:cs="Arial"/>
          <w:sz w:val="22"/>
          <w:szCs w:val="22"/>
        </w:rPr>
        <w:t xml:space="preserve"> and</w:t>
      </w:r>
      <w:r w:rsidRPr="00C47516">
        <w:rPr>
          <w:rFonts w:ascii="Arial" w:hAnsi="Arial" w:cs="Arial"/>
          <w:sz w:val="22"/>
          <w:szCs w:val="22"/>
        </w:rPr>
        <w:t xml:space="preserve"> review data related to 2020. </w:t>
      </w:r>
    </w:p>
    <w:p w14:paraId="131E9572" w14:textId="77777777" w:rsidR="00B012C6" w:rsidRDefault="00B012C6" w:rsidP="00B012C6">
      <w:pPr>
        <w:pStyle w:val="ListParagraph"/>
        <w:numPr>
          <w:ilvl w:val="0"/>
          <w:numId w:val="56"/>
        </w:numPr>
        <w:spacing w:line="240" w:lineRule="auto"/>
        <w:jc w:val="both"/>
        <w:rPr>
          <w:rFonts w:ascii="Arial" w:hAnsi="Arial" w:cs="Arial"/>
          <w:sz w:val="22"/>
          <w:szCs w:val="22"/>
        </w:rPr>
      </w:pPr>
      <w:r w:rsidRPr="00C47516">
        <w:rPr>
          <w:rFonts w:ascii="Arial" w:hAnsi="Arial" w:cs="Arial"/>
          <w:sz w:val="22"/>
          <w:szCs w:val="22"/>
        </w:rPr>
        <w:t xml:space="preserve">Due to Covid-19 travel constraints, </w:t>
      </w:r>
      <w:r>
        <w:rPr>
          <w:rFonts w:ascii="Arial" w:hAnsi="Arial" w:cs="Arial"/>
          <w:sz w:val="22"/>
          <w:szCs w:val="22"/>
        </w:rPr>
        <w:t>the entire mission was home-based. Ev</w:t>
      </w:r>
      <w:r w:rsidRPr="00C47516">
        <w:rPr>
          <w:rFonts w:ascii="Arial" w:hAnsi="Arial" w:cs="Arial"/>
          <w:sz w:val="22"/>
          <w:szCs w:val="22"/>
        </w:rPr>
        <w:t xml:space="preserve">aluators could not visit any programme contexts or meet in person with interlocutors at field or headquarters level. This made it more difficult to obtain a clear understanding of each context and to establish rapport with informants, and posed challenges in terms of interview timing. As well, </w:t>
      </w:r>
      <w:r>
        <w:rPr>
          <w:rFonts w:ascii="Arial" w:hAnsi="Arial" w:cs="Arial"/>
          <w:sz w:val="22"/>
          <w:szCs w:val="22"/>
        </w:rPr>
        <w:t>this was</w:t>
      </w:r>
      <w:r w:rsidRPr="00C47516">
        <w:rPr>
          <w:rFonts w:ascii="Arial" w:hAnsi="Arial" w:cs="Arial"/>
          <w:sz w:val="22"/>
          <w:szCs w:val="22"/>
        </w:rPr>
        <w:t xml:space="preserve"> an </w:t>
      </w:r>
      <w:r w:rsidRPr="00937F77">
        <w:rPr>
          <w:rFonts w:ascii="Arial" w:hAnsi="Arial" w:cs="Arial"/>
          <w:sz w:val="22"/>
          <w:szCs w:val="22"/>
        </w:rPr>
        <w:t xml:space="preserve">obstacle to engaging with end beneficiaries. </w:t>
      </w:r>
    </w:p>
    <w:p w14:paraId="1757E40C" w14:textId="52023F2D" w:rsidR="00B012C6" w:rsidRPr="00E86931" w:rsidRDefault="00B012C6" w:rsidP="00B012C6">
      <w:pPr>
        <w:pStyle w:val="ListParagraph"/>
        <w:numPr>
          <w:ilvl w:val="0"/>
          <w:numId w:val="56"/>
        </w:numPr>
        <w:spacing w:line="240" w:lineRule="auto"/>
        <w:jc w:val="both"/>
        <w:rPr>
          <w:rFonts w:ascii="Arial" w:hAnsi="Arial" w:cs="Arial"/>
          <w:sz w:val="22"/>
          <w:szCs w:val="22"/>
        </w:rPr>
      </w:pPr>
      <w:r>
        <w:rPr>
          <w:rFonts w:ascii="Arial" w:hAnsi="Arial" w:cs="Arial"/>
          <w:sz w:val="22"/>
          <w:szCs w:val="22"/>
        </w:rPr>
        <w:t>T</w:t>
      </w:r>
      <w:r w:rsidRPr="00E86931">
        <w:rPr>
          <w:rFonts w:ascii="Arial" w:hAnsi="Arial" w:cs="Arial"/>
          <w:sz w:val="22"/>
          <w:szCs w:val="22"/>
        </w:rPr>
        <w:t>he GP’s Theory of Change was only briefly diagrammed in the 2015 Prodoc, and the results chain was never defined to show causal linkages and underlying assumptions. This constrained assess</w:t>
      </w:r>
      <w:r>
        <w:rPr>
          <w:rFonts w:ascii="Arial" w:hAnsi="Arial" w:cs="Arial"/>
          <w:sz w:val="22"/>
          <w:szCs w:val="22"/>
        </w:rPr>
        <w:t>ment of</w:t>
      </w:r>
      <w:r w:rsidRPr="00E86931">
        <w:rPr>
          <w:rFonts w:ascii="Arial" w:hAnsi="Arial" w:cs="Arial"/>
          <w:sz w:val="22"/>
          <w:szCs w:val="22"/>
        </w:rPr>
        <w:t xml:space="preserve"> results, especially </w:t>
      </w:r>
      <w:r>
        <w:rPr>
          <w:rFonts w:ascii="Arial" w:hAnsi="Arial" w:cs="Arial"/>
          <w:sz w:val="22"/>
          <w:szCs w:val="22"/>
        </w:rPr>
        <w:t>in relation to</w:t>
      </w:r>
      <w:r w:rsidRPr="00E86931">
        <w:rPr>
          <w:rFonts w:ascii="Arial" w:hAnsi="Arial" w:cs="Arial"/>
          <w:sz w:val="22"/>
          <w:szCs w:val="22"/>
        </w:rPr>
        <w:t xml:space="preserve"> effectiveness and impact. </w:t>
      </w:r>
    </w:p>
    <w:p w14:paraId="21D46B97" w14:textId="77777777" w:rsidR="00B012C6" w:rsidRPr="007E6E07" w:rsidRDefault="00B012C6" w:rsidP="00B012C6">
      <w:pPr>
        <w:pStyle w:val="ListParagraph"/>
        <w:spacing w:line="240" w:lineRule="auto"/>
        <w:ind w:left="426"/>
        <w:jc w:val="both"/>
        <w:rPr>
          <w:rFonts w:ascii="Arial" w:eastAsia="Times New Roman" w:hAnsi="Arial" w:cs="Arial"/>
          <w:sz w:val="16"/>
          <w:szCs w:val="16"/>
        </w:rPr>
      </w:pPr>
    </w:p>
    <w:p w14:paraId="6D30416A" w14:textId="77777777" w:rsidR="00B012C6" w:rsidRPr="00BA6BB1" w:rsidRDefault="00B012C6" w:rsidP="00B012C6">
      <w:pPr>
        <w:pStyle w:val="ListParagraph"/>
        <w:numPr>
          <w:ilvl w:val="0"/>
          <w:numId w:val="57"/>
        </w:numPr>
        <w:spacing w:line="240" w:lineRule="auto"/>
        <w:jc w:val="both"/>
        <w:rPr>
          <w:rFonts w:ascii="Arial" w:hAnsi="Arial" w:cs="Arial"/>
          <w:b/>
          <w:bCs/>
          <w:i/>
          <w:iCs/>
          <w:sz w:val="22"/>
          <w:szCs w:val="22"/>
        </w:rPr>
      </w:pPr>
      <w:r w:rsidRPr="00BA6BB1">
        <w:rPr>
          <w:rFonts w:ascii="Arial" w:hAnsi="Arial" w:cs="Arial"/>
          <w:b/>
          <w:bCs/>
          <w:i/>
          <w:iCs/>
          <w:sz w:val="22"/>
          <w:szCs w:val="22"/>
        </w:rPr>
        <w:t>Key Findings and Conclusions</w:t>
      </w:r>
    </w:p>
    <w:p w14:paraId="6F4A7D3C" w14:textId="77777777" w:rsidR="00B012C6" w:rsidRPr="00693229" w:rsidRDefault="00B012C6" w:rsidP="00B012C6">
      <w:pPr>
        <w:spacing w:line="240" w:lineRule="auto"/>
        <w:jc w:val="both"/>
        <w:rPr>
          <w:rStyle w:val="Strong"/>
          <w:rFonts w:ascii="Arial" w:hAnsi="Arial" w:cs="Arial"/>
          <w:sz w:val="22"/>
          <w:szCs w:val="22"/>
        </w:rPr>
      </w:pPr>
      <w:r w:rsidRPr="00693229">
        <w:rPr>
          <w:rStyle w:val="Strong"/>
          <w:rFonts w:ascii="Arial" w:hAnsi="Arial" w:cs="Arial"/>
          <w:sz w:val="22"/>
          <w:szCs w:val="22"/>
        </w:rPr>
        <w:t>Relevance</w:t>
      </w:r>
      <w:r>
        <w:t xml:space="preserve">: </w:t>
      </w:r>
      <w:r w:rsidRPr="00267F2F">
        <w:rPr>
          <w:rStyle w:val="Strong"/>
          <w:rFonts w:ascii="Arial" w:hAnsi="Arial" w:cs="Arial"/>
          <w:b w:val="0"/>
          <w:bCs w:val="0"/>
          <w:i/>
          <w:iCs/>
          <w:sz w:val="22"/>
          <w:szCs w:val="22"/>
        </w:rPr>
        <w:t>Is the Global Programme doing “the right things”?</w:t>
      </w:r>
    </w:p>
    <w:p w14:paraId="17B35F36" w14:textId="77777777" w:rsidR="00B012C6" w:rsidRDefault="00B012C6" w:rsidP="00B012C6">
      <w:pPr>
        <w:spacing w:line="240" w:lineRule="auto"/>
        <w:jc w:val="both"/>
        <w:rPr>
          <w:rStyle w:val="Strong"/>
          <w:rFonts w:ascii="Arial" w:hAnsi="Arial" w:cs="Arial"/>
          <w:b w:val="0"/>
          <w:bCs w:val="0"/>
          <w:sz w:val="22"/>
          <w:szCs w:val="22"/>
        </w:rPr>
      </w:pPr>
      <w:r>
        <w:rPr>
          <w:rStyle w:val="Strong"/>
          <w:rFonts w:ascii="Arial" w:hAnsi="Arial" w:cs="Arial"/>
          <w:b w:val="0"/>
          <w:bCs w:val="0"/>
          <w:sz w:val="22"/>
          <w:szCs w:val="22"/>
        </w:rPr>
        <w:t>T</w:t>
      </w:r>
      <w:r w:rsidRPr="00693229">
        <w:rPr>
          <w:rStyle w:val="Strong"/>
          <w:rFonts w:ascii="Arial" w:hAnsi="Arial" w:cs="Arial"/>
          <w:b w:val="0"/>
          <w:bCs w:val="0"/>
          <w:sz w:val="22"/>
          <w:szCs w:val="22"/>
        </w:rPr>
        <w:t xml:space="preserve">he GP platform has helped UNDP to position itself in a leading role in the niche of ROLSHR and to sustain donor attention on crisis and fragile contexts; this was seen on global level and in most case study countries. </w:t>
      </w:r>
      <w:r>
        <w:rPr>
          <w:rStyle w:val="Strong"/>
          <w:rFonts w:ascii="Arial" w:hAnsi="Arial" w:cs="Arial"/>
          <w:b w:val="0"/>
          <w:bCs w:val="0"/>
          <w:sz w:val="22"/>
          <w:szCs w:val="22"/>
        </w:rPr>
        <w:t>It was found that</w:t>
      </w:r>
      <w:r w:rsidRPr="00693229">
        <w:rPr>
          <w:rStyle w:val="Strong"/>
          <w:rFonts w:ascii="Arial" w:hAnsi="Arial" w:cs="Arial"/>
          <w:b w:val="0"/>
          <w:bCs w:val="0"/>
          <w:sz w:val="22"/>
          <w:szCs w:val="22"/>
        </w:rPr>
        <w:t xml:space="preserve"> the GP provides a flexible and relatively fast source of seed funding as well as technical support, primarily directed to UNDP Country Offices, </w:t>
      </w:r>
      <w:r>
        <w:rPr>
          <w:rStyle w:val="Strong"/>
          <w:rFonts w:ascii="Arial" w:hAnsi="Arial" w:cs="Arial"/>
          <w:b w:val="0"/>
          <w:bCs w:val="0"/>
          <w:sz w:val="22"/>
          <w:szCs w:val="22"/>
        </w:rPr>
        <w:t>which</w:t>
      </w:r>
      <w:r w:rsidRPr="00693229">
        <w:rPr>
          <w:rStyle w:val="Strong"/>
          <w:rFonts w:ascii="Arial" w:hAnsi="Arial" w:cs="Arial"/>
          <w:b w:val="0"/>
          <w:bCs w:val="0"/>
          <w:sz w:val="22"/>
          <w:szCs w:val="22"/>
        </w:rPr>
        <w:t xml:space="preserve"> makes few demands on recipient</w:t>
      </w:r>
      <w:r>
        <w:rPr>
          <w:rStyle w:val="Strong"/>
          <w:rFonts w:ascii="Arial" w:hAnsi="Arial" w:cs="Arial"/>
          <w:b w:val="0"/>
          <w:bCs w:val="0"/>
          <w:sz w:val="22"/>
          <w:szCs w:val="22"/>
        </w:rPr>
        <w:t xml:space="preserve">s </w:t>
      </w:r>
      <w:r w:rsidRPr="00693229">
        <w:rPr>
          <w:rStyle w:val="Strong"/>
          <w:rFonts w:ascii="Arial" w:hAnsi="Arial" w:cs="Arial"/>
          <w:b w:val="0"/>
          <w:bCs w:val="0"/>
          <w:sz w:val="22"/>
          <w:szCs w:val="22"/>
        </w:rPr>
        <w:t xml:space="preserve">and meets needs that other funding sources cannot fulfil. </w:t>
      </w:r>
      <w:r>
        <w:rPr>
          <w:rStyle w:val="Strong"/>
          <w:rFonts w:ascii="Arial" w:hAnsi="Arial" w:cs="Arial"/>
          <w:b w:val="0"/>
          <w:bCs w:val="0"/>
          <w:sz w:val="22"/>
          <w:szCs w:val="22"/>
        </w:rPr>
        <w:t>Moreover</w:t>
      </w:r>
      <w:r w:rsidRPr="00693229">
        <w:rPr>
          <w:rStyle w:val="Strong"/>
          <w:rFonts w:ascii="Arial" w:hAnsi="Arial" w:cs="Arial"/>
          <w:b w:val="0"/>
          <w:bCs w:val="0"/>
          <w:sz w:val="22"/>
          <w:szCs w:val="22"/>
        </w:rPr>
        <w:t xml:space="preserve">, the GP and wider ROLSHR team of UNDP are widely recognized globally and in-country for their ability to mobilize funds, provide complementary expertise, and design/administer relevant projects in the ROLSHR sector. </w:t>
      </w:r>
    </w:p>
    <w:p w14:paraId="57584A32" w14:textId="77777777" w:rsidR="00B012C6" w:rsidRPr="00693229" w:rsidRDefault="00B012C6" w:rsidP="00B012C6">
      <w:pPr>
        <w:spacing w:line="240" w:lineRule="auto"/>
        <w:jc w:val="both"/>
        <w:rPr>
          <w:rStyle w:val="Strong"/>
          <w:rFonts w:ascii="Arial" w:hAnsi="Arial" w:cs="Arial"/>
          <w:b w:val="0"/>
          <w:bCs w:val="0"/>
          <w:sz w:val="22"/>
          <w:szCs w:val="22"/>
        </w:rPr>
      </w:pPr>
      <w:r>
        <w:rPr>
          <w:rStyle w:val="Strong"/>
          <w:rFonts w:ascii="Arial" w:hAnsi="Arial" w:cs="Arial"/>
          <w:b w:val="0"/>
          <w:bCs w:val="0"/>
          <w:sz w:val="22"/>
          <w:szCs w:val="22"/>
        </w:rPr>
        <w:t>In spite of those positive aspects, there are concerns that t</w:t>
      </w:r>
      <w:r w:rsidRPr="00693229">
        <w:rPr>
          <w:rStyle w:val="Strong"/>
          <w:rFonts w:ascii="Arial" w:hAnsi="Arial" w:cs="Arial"/>
          <w:b w:val="0"/>
          <w:bCs w:val="0"/>
          <w:sz w:val="22"/>
          <w:szCs w:val="22"/>
        </w:rPr>
        <w:t xml:space="preserve">he high-profile global role of the GP may be overshadowing UNDP and donor attention to more stable countries with significant needs that are </w:t>
      </w:r>
      <w:r>
        <w:rPr>
          <w:rStyle w:val="Strong"/>
          <w:rFonts w:ascii="Arial" w:hAnsi="Arial" w:cs="Arial"/>
          <w:b w:val="0"/>
          <w:bCs w:val="0"/>
          <w:sz w:val="22"/>
          <w:szCs w:val="22"/>
        </w:rPr>
        <w:t>precluded from</w:t>
      </w:r>
      <w:r w:rsidRPr="00693229">
        <w:rPr>
          <w:rStyle w:val="Strong"/>
          <w:rFonts w:ascii="Arial" w:hAnsi="Arial" w:cs="Arial"/>
          <w:b w:val="0"/>
          <w:bCs w:val="0"/>
          <w:sz w:val="22"/>
          <w:szCs w:val="22"/>
        </w:rPr>
        <w:t xml:space="preserve"> </w:t>
      </w:r>
      <w:r>
        <w:rPr>
          <w:rStyle w:val="Strong"/>
          <w:rFonts w:ascii="Arial" w:hAnsi="Arial" w:cs="Arial"/>
          <w:b w:val="0"/>
          <w:bCs w:val="0"/>
          <w:sz w:val="22"/>
          <w:szCs w:val="22"/>
        </w:rPr>
        <w:t xml:space="preserve">GP </w:t>
      </w:r>
      <w:r w:rsidRPr="00693229">
        <w:rPr>
          <w:rStyle w:val="Strong"/>
          <w:rFonts w:ascii="Arial" w:hAnsi="Arial" w:cs="Arial"/>
          <w:b w:val="0"/>
          <w:bCs w:val="0"/>
          <w:sz w:val="22"/>
          <w:szCs w:val="22"/>
        </w:rPr>
        <w:t xml:space="preserve">access (though </w:t>
      </w:r>
      <w:r>
        <w:rPr>
          <w:rStyle w:val="Strong"/>
          <w:rFonts w:ascii="Arial" w:hAnsi="Arial" w:cs="Arial"/>
          <w:b w:val="0"/>
          <w:bCs w:val="0"/>
          <w:sz w:val="22"/>
          <w:szCs w:val="22"/>
        </w:rPr>
        <w:t xml:space="preserve">the GP team sometimes </w:t>
      </w:r>
      <w:r w:rsidRPr="00693229">
        <w:rPr>
          <w:rStyle w:val="Strong"/>
          <w:rFonts w:ascii="Arial" w:hAnsi="Arial" w:cs="Arial"/>
          <w:b w:val="0"/>
          <w:bCs w:val="0"/>
          <w:sz w:val="22"/>
          <w:szCs w:val="22"/>
        </w:rPr>
        <w:t>facilitate</w:t>
      </w:r>
      <w:r>
        <w:rPr>
          <w:rStyle w:val="Strong"/>
          <w:rFonts w:ascii="Arial" w:hAnsi="Arial" w:cs="Arial"/>
          <w:b w:val="0"/>
          <w:bCs w:val="0"/>
          <w:sz w:val="22"/>
          <w:szCs w:val="22"/>
        </w:rPr>
        <w:t>s</w:t>
      </w:r>
      <w:r w:rsidRPr="00693229">
        <w:rPr>
          <w:rStyle w:val="Strong"/>
          <w:rFonts w:ascii="Arial" w:hAnsi="Arial" w:cs="Arial"/>
          <w:b w:val="0"/>
          <w:bCs w:val="0"/>
          <w:sz w:val="22"/>
          <w:szCs w:val="22"/>
        </w:rPr>
        <w:t xml:space="preserve"> access to other donors). In addition, the thought leadership and policy role of UNDP’s ROLSHR team is perceived as less prominent than in the past </w:t>
      </w:r>
      <w:r>
        <w:rPr>
          <w:rStyle w:val="Strong"/>
          <w:rFonts w:ascii="Arial" w:hAnsi="Arial" w:cs="Arial"/>
          <w:b w:val="0"/>
          <w:bCs w:val="0"/>
          <w:sz w:val="22"/>
          <w:szCs w:val="22"/>
        </w:rPr>
        <w:t>at</w:t>
      </w:r>
      <w:r w:rsidRPr="00693229">
        <w:rPr>
          <w:rStyle w:val="Strong"/>
          <w:rFonts w:ascii="Arial" w:hAnsi="Arial" w:cs="Arial"/>
          <w:b w:val="0"/>
          <w:bCs w:val="0"/>
          <w:sz w:val="22"/>
          <w:szCs w:val="22"/>
        </w:rPr>
        <w:t xml:space="preserve"> global level, and the GP in particular has devoted little attention to</w:t>
      </w:r>
      <w:r>
        <w:rPr>
          <w:rStyle w:val="Strong"/>
          <w:rFonts w:ascii="Arial" w:hAnsi="Arial" w:cs="Arial"/>
          <w:b w:val="0"/>
          <w:bCs w:val="0"/>
          <w:sz w:val="22"/>
          <w:szCs w:val="22"/>
        </w:rPr>
        <w:t xml:space="preserve"> evidence-based learning and related knowledge management</w:t>
      </w:r>
      <w:r w:rsidRPr="00693229">
        <w:rPr>
          <w:rStyle w:val="Strong"/>
          <w:rFonts w:ascii="Arial" w:hAnsi="Arial" w:cs="Arial"/>
          <w:b w:val="0"/>
          <w:bCs w:val="0"/>
          <w:sz w:val="22"/>
          <w:szCs w:val="22"/>
        </w:rPr>
        <w:t>.</w:t>
      </w:r>
    </w:p>
    <w:p w14:paraId="7123471D" w14:textId="77777777" w:rsidR="00B012C6" w:rsidRPr="00693229" w:rsidRDefault="00B012C6" w:rsidP="00B012C6">
      <w:pPr>
        <w:rPr>
          <w:rStyle w:val="Strong"/>
          <w:rFonts w:ascii="Arial" w:hAnsi="Arial" w:cs="Arial"/>
          <w:i/>
          <w:iCs/>
          <w:sz w:val="22"/>
          <w:szCs w:val="22"/>
        </w:rPr>
      </w:pPr>
      <w:r w:rsidRPr="00693229">
        <w:rPr>
          <w:rStyle w:val="Strong"/>
          <w:rFonts w:ascii="Arial" w:hAnsi="Arial" w:cs="Arial"/>
          <w:bCs w:val="0"/>
          <w:sz w:val="22"/>
          <w:szCs w:val="22"/>
        </w:rPr>
        <w:t>Coherence</w:t>
      </w:r>
      <w:r w:rsidRPr="00693229">
        <w:rPr>
          <w:rStyle w:val="Strong"/>
          <w:rFonts w:ascii="Arial" w:hAnsi="Arial" w:cs="Arial"/>
          <w:sz w:val="22"/>
          <w:szCs w:val="22"/>
        </w:rPr>
        <w:t xml:space="preserve">: </w:t>
      </w:r>
      <w:r w:rsidRPr="00B012C6">
        <w:rPr>
          <w:rStyle w:val="Strong"/>
          <w:rFonts w:ascii="Arial" w:hAnsi="Arial" w:cs="Arial"/>
          <w:b w:val="0"/>
          <w:bCs w:val="0"/>
          <w:i/>
          <w:iCs/>
          <w:sz w:val="22"/>
          <w:szCs w:val="22"/>
        </w:rPr>
        <w:t>How well does the Programme fit (and coordinate) with other actors and interventions?</w:t>
      </w:r>
      <w:r w:rsidRPr="00693229">
        <w:rPr>
          <w:rStyle w:val="Strong"/>
          <w:rFonts w:ascii="Arial" w:hAnsi="Arial" w:cs="Arial"/>
          <w:i/>
          <w:iCs/>
          <w:sz w:val="22"/>
          <w:szCs w:val="22"/>
        </w:rPr>
        <w:t xml:space="preserve"> </w:t>
      </w:r>
    </w:p>
    <w:p w14:paraId="716C1367" w14:textId="46D9185E" w:rsidR="00B012C6" w:rsidRPr="00693229" w:rsidRDefault="00B012C6" w:rsidP="00B012C6">
      <w:pPr>
        <w:spacing w:line="240" w:lineRule="auto"/>
        <w:jc w:val="both"/>
        <w:rPr>
          <w:rFonts w:ascii="Arial" w:hAnsi="Arial" w:cs="Arial"/>
          <w:sz w:val="22"/>
          <w:szCs w:val="22"/>
        </w:rPr>
      </w:pPr>
      <w:r w:rsidRPr="00693229">
        <w:rPr>
          <w:rFonts w:ascii="Arial" w:hAnsi="Arial" w:cs="Arial"/>
          <w:sz w:val="22"/>
          <w:szCs w:val="22"/>
        </w:rPr>
        <w:t>Overall, the GP and wider ROLSHR team are providing services and support that are complementary to other key actors</w:t>
      </w:r>
      <w:r w:rsidR="002F3F58">
        <w:rPr>
          <w:rFonts w:ascii="Arial" w:hAnsi="Arial" w:cs="Arial"/>
          <w:sz w:val="22"/>
          <w:szCs w:val="22"/>
        </w:rPr>
        <w:t xml:space="preserve"> </w:t>
      </w:r>
      <w:r w:rsidRPr="00693229">
        <w:rPr>
          <w:rFonts w:ascii="Arial" w:hAnsi="Arial" w:cs="Arial"/>
          <w:sz w:val="22"/>
          <w:szCs w:val="22"/>
        </w:rPr>
        <w:t xml:space="preserve">and making consistent efforts to coordinate and seek collaboration within the UN system, especially via the GFP mechanism. However, tensions and potentially growing rivalry between UNDP and </w:t>
      </w:r>
      <w:r>
        <w:rPr>
          <w:rFonts w:ascii="Arial" w:hAnsi="Arial" w:cs="Arial"/>
          <w:sz w:val="22"/>
          <w:szCs w:val="22"/>
        </w:rPr>
        <w:t>the Department of Peace Operations</w:t>
      </w:r>
      <w:r w:rsidRPr="00693229">
        <w:rPr>
          <w:rFonts w:ascii="Arial" w:hAnsi="Arial" w:cs="Arial"/>
          <w:sz w:val="22"/>
          <w:szCs w:val="22"/>
        </w:rPr>
        <w:t xml:space="preserve"> </w:t>
      </w:r>
      <w:r>
        <w:rPr>
          <w:rFonts w:ascii="Arial" w:hAnsi="Arial" w:cs="Arial"/>
          <w:sz w:val="22"/>
          <w:szCs w:val="22"/>
        </w:rPr>
        <w:t>a</w:t>
      </w:r>
      <w:r w:rsidRPr="00693229">
        <w:rPr>
          <w:rFonts w:ascii="Arial" w:hAnsi="Arial" w:cs="Arial"/>
          <w:sz w:val="22"/>
          <w:szCs w:val="22"/>
        </w:rPr>
        <w:t>re a source of concern, and interoperability remains a challenge for certain UN-UN partnerships. GP-supported programming in country was reasonably well coordinated with other donors as well as national counterparts</w:t>
      </w:r>
      <w:r w:rsidR="002F3F58">
        <w:rPr>
          <w:rFonts w:ascii="Arial" w:hAnsi="Arial" w:cs="Arial"/>
          <w:sz w:val="22"/>
          <w:szCs w:val="22"/>
        </w:rPr>
        <w:t xml:space="preserve"> </w:t>
      </w:r>
      <w:r w:rsidRPr="00693229">
        <w:rPr>
          <w:rFonts w:ascii="Arial" w:hAnsi="Arial" w:cs="Arial"/>
          <w:sz w:val="22"/>
          <w:szCs w:val="22"/>
        </w:rPr>
        <w:t xml:space="preserve">and included various examples of direct collaboration with other UN entities. The GFP is adding value </w:t>
      </w:r>
      <w:r>
        <w:rPr>
          <w:rFonts w:ascii="Arial" w:hAnsi="Arial" w:cs="Arial"/>
          <w:sz w:val="22"/>
          <w:szCs w:val="22"/>
        </w:rPr>
        <w:t>by</w:t>
      </w:r>
      <w:r w:rsidRPr="00693229">
        <w:rPr>
          <w:rFonts w:ascii="Arial" w:hAnsi="Arial" w:cs="Arial"/>
          <w:sz w:val="22"/>
          <w:szCs w:val="22"/>
        </w:rPr>
        <w:t xml:space="preserve"> bring</w:t>
      </w:r>
      <w:r>
        <w:rPr>
          <w:rFonts w:ascii="Arial" w:hAnsi="Arial" w:cs="Arial"/>
          <w:sz w:val="22"/>
          <w:szCs w:val="22"/>
        </w:rPr>
        <w:t>ing</w:t>
      </w:r>
      <w:r w:rsidRPr="00693229">
        <w:rPr>
          <w:rFonts w:ascii="Arial" w:hAnsi="Arial" w:cs="Arial"/>
          <w:sz w:val="22"/>
          <w:szCs w:val="22"/>
        </w:rPr>
        <w:t xml:space="preserve"> together key UN players in the ROLSHR sector, a</w:t>
      </w:r>
      <w:r>
        <w:rPr>
          <w:rFonts w:ascii="Arial" w:hAnsi="Arial" w:cs="Arial"/>
          <w:sz w:val="22"/>
          <w:szCs w:val="22"/>
        </w:rPr>
        <w:t xml:space="preserve">lthough it remains relatively </w:t>
      </w:r>
      <w:r w:rsidRPr="00693229">
        <w:rPr>
          <w:rFonts w:ascii="Arial" w:hAnsi="Arial" w:cs="Arial"/>
          <w:sz w:val="22"/>
          <w:szCs w:val="22"/>
        </w:rPr>
        <w:t>little known</w:t>
      </w:r>
      <w:r>
        <w:rPr>
          <w:rFonts w:ascii="Arial" w:hAnsi="Arial" w:cs="Arial"/>
          <w:sz w:val="22"/>
          <w:szCs w:val="22"/>
        </w:rPr>
        <w:t xml:space="preserve"> and </w:t>
      </w:r>
      <w:r w:rsidRPr="00693229">
        <w:rPr>
          <w:rFonts w:ascii="Arial" w:hAnsi="Arial" w:cs="Arial"/>
          <w:sz w:val="22"/>
          <w:szCs w:val="22"/>
        </w:rPr>
        <w:t xml:space="preserve">understood. </w:t>
      </w:r>
      <w:r>
        <w:rPr>
          <w:rFonts w:ascii="Arial" w:hAnsi="Arial" w:cs="Arial"/>
          <w:sz w:val="22"/>
          <w:szCs w:val="22"/>
        </w:rPr>
        <w:t xml:space="preserve">The </w:t>
      </w:r>
      <w:r w:rsidRPr="00693229">
        <w:rPr>
          <w:rFonts w:ascii="Arial" w:hAnsi="Arial" w:cs="Arial"/>
          <w:sz w:val="22"/>
          <w:szCs w:val="22"/>
        </w:rPr>
        <w:t>GP has been an adequate host for the GFP to date</w:t>
      </w:r>
      <w:r>
        <w:rPr>
          <w:rFonts w:ascii="Arial" w:hAnsi="Arial" w:cs="Arial"/>
          <w:sz w:val="22"/>
          <w:szCs w:val="22"/>
        </w:rPr>
        <w:t xml:space="preserve">. </w:t>
      </w:r>
    </w:p>
    <w:p w14:paraId="5A313799" w14:textId="77777777" w:rsidR="00B012C6" w:rsidRPr="00693229" w:rsidRDefault="00B012C6" w:rsidP="00B012C6">
      <w:pPr>
        <w:spacing w:line="240" w:lineRule="auto"/>
        <w:jc w:val="both"/>
        <w:rPr>
          <w:rStyle w:val="Strong"/>
          <w:rFonts w:ascii="Arial" w:hAnsi="Arial" w:cs="Arial"/>
          <w:sz w:val="22"/>
          <w:szCs w:val="22"/>
        </w:rPr>
      </w:pPr>
      <w:r>
        <w:rPr>
          <w:rFonts w:ascii="Arial" w:hAnsi="Arial" w:cs="Arial"/>
          <w:sz w:val="22"/>
          <w:szCs w:val="22"/>
        </w:rPr>
        <w:t>T</w:t>
      </w:r>
      <w:r w:rsidRPr="00693229">
        <w:rPr>
          <w:rFonts w:ascii="Arial" w:hAnsi="Arial" w:cs="Arial"/>
          <w:sz w:val="22"/>
          <w:szCs w:val="22"/>
        </w:rPr>
        <w:t>here is considerable ambiguity at global and country levels around how the GP differs from or fits into the wider work of the ROLSHR team, including in what contexts the GP can intervene, which may undermine coordination efforts and overall coherence. The</w:t>
      </w:r>
      <w:r>
        <w:rPr>
          <w:rFonts w:ascii="Arial" w:hAnsi="Arial" w:cs="Arial"/>
          <w:sz w:val="22"/>
          <w:szCs w:val="22"/>
        </w:rPr>
        <w:t>re is evidence that the</w:t>
      </w:r>
      <w:r w:rsidRPr="00693229">
        <w:rPr>
          <w:rFonts w:ascii="Arial" w:hAnsi="Arial" w:cs="Arial"/>
          <w:sz w:val="22"/>
          <w:szCs w:val="22"/>
        </w:rPr>
        <w:t xml:space="preserve"> de-linking of Resident Coordinator and Resident Representative functions </w:t>
      </w:r>
      <w:r>
        <w:rPr>
          <w:rFonts w:ascii="Arial" w:hAnsi="Arial" w:cs="Arial"/>
          <w:sz w:val="22"/>
          <w:szCs w:val="22"/>
        </w:rPr>
        <w:t>could</w:t>
      </w:r>
      <w:r w:rsidRPr="00693229">
        <w:rPr>
          <w:rFonts w:ascii="Arial" w:hAnsi="Arial" w:cs="Arial"/>
          <w:sz w:val="22"/>
          <w:szCs w:val="22"/>
        </w:rPr>
        <w:t xml:space="preserve"> have some negative side effects on UN-internal coherence</w:t>
      </w:r>
      <w:r>
        <w:rPr>
          <w:rFonts w:ascii="Arial" w:hAnsi="Arial" w:cs="Arial"/>
          <w:sz w:val="22"/>
          <w:szCs w:val="22"/>
        </w:rPr>
        <w:t>,</w:t>
      </w:r>
      <w:r w:rsidRPr="00693229">
        <w:rPr>
          <w:rFonts w:ascii="Arial" w:hAnsi="Arial" w:cs="Arial"/>
          <w:sz w:val="22"/>
          <w:szCs w:val="22"/>
        </w:rPr>
        <w:t xml:space="preserve"> including on the GP/GFP.</w:t>
      </w:r>
      <w:r w:rsidRPr="00693229">
        <w:rPr>
          <w:rStyle w:val="Strong"/>
          <w:rFonts w:ascii="Arial" w:hAnsi="Arial" w:cs="Arial"/>
          <w:sz w:val="22"/>
          <w:szCs w:val="22"/>
        </w:rPr>
        <w:t xml:space="preserve"> </w:t>
      </w:r>
    </w:p>
    <w:p w14:paraId="2D2ED90D" w14:textId="77777777" w:rsidR="00B012C6" w:rsidRPr="00693229" w:rsidRDefault="00B012C6" w:rsidP="00B012C6">
      <w:pPr>
        <w:rPr>
          <w:rStyle w:val="Strong"/>
          <w:rFonts w:ascii="Arial" w:hAnsi="Arial" w:cs="Arial"/>
          <w:i/>
          <w:iCs/>
          <w:sz w:val="22"/>
          <w:szCs w:val="22"/>
        </w:rPr>
      </w:pPr>
      <w:r w:rsidRPr="00693229">
        <w:rPr>
          <w:rStyle w:val="Strong"/>
          <w:rFonts w:ascii="Arial" w:hAnsi="Arial" w:cs="Arial"/>
          <w:bCs w:val="0"/>
          <w:sz w:val="22"/>
          <w:szCs w:val="22"/>
        </w:rPr>
        <w:t>Efficiency</w:t>
      </w:r>
      <w:r w:rsidRPr="00693229">
        <w:rPr>
          <w:rStyle w:val="Strong"/>
          <w:rFonts w:ascii="Arial" w:hAnsi="Arial" w:cs="Arial"/>
          <w:sz w:val="22"/>
          <w:szCs w:val="22"/>
        </w:rPr>
        <w:t xml:space="preserve"> – </w:t>
      </w:r>
      <w:r w:rsidRPr="00B012C6">
        <w:rPr>
          <w:rStyle w:val="Strong"/>
          <w:rFonts w:ascii="Arial" w:hAnsi="Arial" w:cs="Arial"/>
          <w:b w:val="0"/>
          <w:bCs w:val="0"/>
          <w:i/>
          <w:iCs/>
          <w:sz w:val="22"/>
          <w:szCs w:val="22"/>
        </w:rPr>
        <w:t>How well are resources used and operations managed?</w:t>
      </w:r>
      <w:r w:rsidRPr="00693229">
        <w:rPr>
          <w:rStyle w:val="Strong"/>
          <w:rFonts w:ascii="Arial" w:hAnsi="Arial" w:cs="Arial"/>
          <w:i/>
          <w:iCs/>
          <w:sz w:val="22"/>
          <w:szCs w:val="22"/>
        </w:rPr>
        <w:t xml:space="preserve"> </w:t>
      </w:r>
    </w:p>
    <w:p w14:paraId="794993D9" w14:textId="77777777" w:rsidR="00B012C6" w:rsidRPr="008A227B" w:rsidRDefault="00B012C6" w:rsidP="00B012C6">
      <w:pPr>
        <w:spacing w:line="240" w:lineRule="auto"/>
        <w:jc w:val="both"/>
        <w:rPr>
          <w:rFonts w:ascii="Arial" w:hAnsi="Arial" w:cs="Arial"/>
          <w:sz w:val="22"/>
          <w:szCs w:val="22"/>
        </w:rPr>
      </w:pPr>
      <w:r w:rsidRPr="00693229">
        <w:rPr>
          <w:rFonts w:ascii="Arial" w:hAnsi="Arial" w:cs="Arial"/>
          <w:sz w:val="22"/>
          <w:szCs w:val="22"/>
        </w:rPr>
        <w:t>This criterion is where the GP demonstrates its most serious challenges, primarily in relation to results-based managemen</w:t>
      </w:r>
      <w:r>
        <w:rPr>
          <w:rFonts w:ascii="Arial" w:hAnsi="Arial" w:cs="Arial"/>
          <w:sz w:val="22"/>
          <w:szCs w:val="22"/>
        </w:rPr>
        <w:t>t</w:t>
      </w:r>
      <w:r w:rsidRPr="00693229">
        <w:rPr>
          <w:rFonts w:ascii="Arial" w:hAnsi="Arial" w:cs="Arial"/>
          <w:sz w:val="22"/>
          <w:szCs w:val="22"/>
        </w:rPr>
        <w:t>.</w:t>
      </w:r>
      <w:r>
        <w:rPr>
          <w:rFonts w:ascii="Arial" w:hAnsi="Arial" w:cs="Arial"/>
          <w:sz w:val="22"/>
          <w:szCs w:val="22"/>
        </w:rPr>
        <w:t xml:space="preserve"> </w:t>
      </w:r>
      <w:r w:rsidRPr="00693229">
        <w:rPr>
          <w:rFonts w:ascii="Arial" w:hAnsi="Arial" w:cs="Arial"/>
          <w:sz w:val="22"/>
          <w:szCs w:val="22"/>
        </w:rPr>
        <w:t>The performance indicators and the overall results framework are not well designed, have been poorly implemented, and do not generate particularly useful information.</w:t>
      </w:r>
      <w:r>
        <w:rPr>
          <w:rFonts w:ascii="Arial" w:hAnsi="Arial" w:cs="Arial"/>
          <w:sz w:val="22"/>
          <w:szCs w:val="22"/>
        </w:rPr>
        <w:t xml:space="preserve"> T</w:t>
      </w:r>
      <w:r w:rsidRPr="00693229">
        <w:rPr>
          <w:rFonts w:ascii="Arial" w:hAnsi="Arial" w:cs="Arial"/>
          <w:sz w:val="22"/>
          <w:szCs w:val="22"/>
        </w:rPr>
        <w:t xml:space="preserve">here </w:t>
      </w:r>
      <w:r>
        <w:rPr>
          <w:rFonts w:ascii="Arial" w:hAnsi="Arial" w:cs="Arial"/>
          <w:sz w:val="22"/>
          <w:szCs w:val="22"/>
        </w:rPr>
        <w:t>has not yet been a</w:t>
      </w:r>
      <w:r w:rsidRPr="00693229">
        <w:rPr>
          <w:rFonts w:ascii="Arial" w:hAnsi="Arial" w:cs="Arial"/>
          <w:sz w:val="22"/>
          <w:szCs w:val="22"/>
        </w:rPr>
        <w:t xml:space="preserve"> </w:t>
      </w:r>
      <w:r w:rsidRPr="008A227B">
        <w:rPr>
          <w:rFonts w:ascii="Arial" w:hAnsi="Arial" w:cs="Arial"/>
          <w:sz w:val="22"/>
          <w:szCs w:val="22"/>
        </w:rPr>
        <w:t xml:space="preserve">systematic attempt to measure outcomes, and output tracking is severely limited in both design and execution. In addition, although GP annual reports narrate an impressive array of activities and outputs across targeted contexts, the contribution made by GP inputs is not clearly explained. The reports tend to conflate inputs, outputs and outcomes of overall UNDP ROLSHR programming with those that could realistically be linked to the relatively modest financial contributions of the GP. </w:t>
      </w:r>
    </w:p>
    <w:p w14:paraId="16B9DAA7" w14:textId="1E31DCAE" w:rsidR="00B012C6" w:rsidRPr="00693229" w:rsidRDefault="1AD012E0" w:rsidP="4F82A3C2">
      <w:pPr>
        <w:spacing w:line="240" w:lineRule="auto"/>
        <w:jc w:val="both"/>
        <w:rPr>
          <w:rFonts w:ascii="Arial" w:hAnsi="Arial" w:cs="Arial"/>
          <w:b/>
          <w:bCs/>
          <w:color w:val="000000"/>
          <w:sz w:val="22"/>
          <w:szCs w:val="22"/>
        </w:rPr>
      </w:pPr>
      <w:r w:rsidRPr="008A227B">
        <w:rPr>
          <w:rFonts w:ascii="Arial" w:hAnsi="Arial" w:cs="Arial"/>
          <w:sz w:val="22"/>
          <w:szCs w:val="22"/>
        </w:rPr>
        <w:t>Although in theory, GP attention in Phase 3 was to focus</w:t>
      </w:r>
      <w:r w:rsidRPr="4F82A3C2">
        <w:rPr>
          <w:rFonts w:ascii="Arial" w:hAnsi="Arial" w:cs="Arial"/>
          <w:sz w:val="22"/>
          <w:szCs w:val="22"/>
        </w:rPr>
        <w:t xml:space="preserve"> on a priority list of 32 countries (with exceptions for emerging needs), its resources have been spread over a much larger number of contexts. Prioritization processes are unclear and undocumented, both geographically and thematically across the GP’s seven thematic areas. The process for allocating funds was found to be a relatively easy and quick way for UNDP teams to flexibly access modest amounts for short-term needs, which is widely appreciated. </w:t>
      </w:r>
      <w:r w:rsidRPr="00236733">
        <w:rPr>
          <w:rFonts w:ascii="Arial" w:hAnsi="Arial" w:cs="Arial"/>
          <w:sz w:val="22"/>
          <w:szCs w:val="22"/>
        </w:rPr>
        <w:t xml:space="preserve">However, the process is </w:t>
      </w:r>
      <w:r w:rsidR="006B2351" w:rsidRPr="00236733">
        <w:rPr>
          <w:rFonts w:ascii="Arial" w:hAnsi="Arial" w:cs="Arial"/>
          <w:sz w:val="22"/>
          <w:szCs w:val="22"/>
        </w:rPr>
        <w:t xml:space="preserve">characterized by a complex array of criteria and priorities that are not clearly and </w:t>
      </w:r>
      <w:r w:rsidRPr="00236733">
        <w:rPr>
          <w:rFonts w:ascii="Arial" w:hAnsi="Arial" w:cs="Arial"/>
          <w:sz w:val="22"/>
          <w:szCs w:val="22"/>
        </w:rPr>
        <w:t>systematic</w:t>
      </w:r>
      <w:r w:rsidR="006B2351" w:rsidRPr="00236733">
        <w:rPr>
          <w:rFonts w:ascii="Arial" w:hAnsi="Arial" w:cs="Arial"/>
          <w:sz w:val="22"/>
          <w:szCs w:val="22"/>
        </w:rPr>
        <w:t>ally</w:t>
      </w:r>
      <w:r w:rsidRPr="00236733">
        <w:rPr>
          <w:rFonts w:ascii="Arial" w:hAnsi="Arial" w:cs="Arial"/>
          <w:sz w:val="22"/>
          <w:szCs w:val="22"/>
        </w:rPr>
        <w:t xml:space="preserve"> defined </w:t>
      </w:r>
      <w:r w:rsidR="00D45F35" w:rsidRPr="00236733">
        <w:rPr>
          <w:rFonts w:ascii="Arial" w:hAnsi="Arial" w:cs="Arial"/>
          <w:sz w:val="22"/>
          <w:szCs w:val="22"/>
        </w:rPr>
        <w:t>and applied</w:t>
      </w:r>
      <w:r w:rsidR="006B2351" w:rsidRPr="00236733">
        <w:rPr>
          <w:rFonts w:ascii="Arial" w:hAnsi="Arial" w:cs="Arial"/>
          <w:sz w:val="22"/>
          <w:szCs w:val="22"/>
        </w:rPr>
        <w:t xml:space="preserve"> to funding decisions</w:t>
      </w:r>
      <w:r w:rsidRPr="00236733">
        <w:rPr>
          <w:rFonts w:ascii="Arial" w:hAnsi="Arial" w:cs="Arial"/>
          <w:sz w:val="22"/>
          <w:szCs w:val="22"/>
        </w:rPr>
        <w:t xml:space="preserve">. </w:t>
      </w:r>
      <w:r w:rsidRPr="4F82A3C2">
        <w:rPr>
          <w:rFonts w:ascii="Arial" w:hAnsi="Arial" w:cs="Arial"/>
          <w:sz w:val="22"/>
          <w:szCs w:val="22"/>
        </w:rPr>
        <w:t xml:space="preserve">The GP/ROLSHR team was found to be insufficiently staffed, given the vast scope of programming and level of funding. </w:t>
      </w:r>
    </w:p>
    <w:p w14:paraId="73060504" w14:textId="69A735D5" w:rsidR="00B012C6" w:rsidRPr="00693229" w:rsidRDefault="00B012C6" w:rsidP="00B012C6">
      <w:pPr>
        <w:rPr>
          <w:rStyle w:val="Strong"/>
          <w:rFonts w:ascii="Arial" w:hAnsi="Arial" w:cs="Arial"/>
          <w:sz w:val="22"/>
          <w:szCs w:val="22"/>
        </w:rPr>
      </w:pPr>
      <w:r w:rsidRPr="00693229">
        <w:rPr>
          <w:rStyle w:val="Strong"/>
          <w:rFonts w:ascii="Arial" w:hAnsi="Arial" w:cs="Arial"/>
          <w:bCs w:val="0"/>
          <w:sz w:val="22"/>
          <w:szCs w:val="22"/>
        </w:rPr>
        <w:t>Effectiveness/Impact</w:t>
      </w:r>
      <w:r w:rsidRPr="00693229">
        <w:rPr>
          <w:rStyle w:val="Strong"/>
          <w:rFonts w:ascii="Arial" w:hAnsi="Arial" w:cs="Arial"/>
          <w:sz w:val="22"/>
          <w:szCs w:val="22"/>
        </w:rPr>
        <w:t xml:space="preserve"> – </w:t>
      </w:r>
      <w:r>
        <w:rPr>
          <w:rStyle w:val="Strong"/>
          <w:rFonts w:ascii="Arial" w:hAnsi="Arial" w:cs="Arial"/>
          <w:b w:val="0"/>
          <w:bCs w:val="0"/>
          <w:i/>
          <w:iCs/>
          <w:sz w:val="22"/>
          <w:szCs w:val="22"/>
        </w:rPr>
        <w:t>A</w:t>
      </w:r>
      <w:r w:rsidRPr="00B012C6">
        <w:rPr>
          <w:rStyle w:val="Strong"/>
          <w:rFonts w:ascii="Arial" w:hAnsi="Arial" w:cs="Arial"/>
          <w:b w:val="0"/>
          <w:bCs w:val="0"/>
          <w:i/>
          <w:iCs/>
          <w:sz w:val="22"/>
          <w:szCs w:val="22"/>
        </w:rPr>
        <w:t xml:space="preserve">re objectives being achieved or is progress being made? </w:t>
      </w:r>
      <w:r>
        <w:rPr>
          <w:rStyle w:val="Strong"/>
          <w:rFonts w:ascii="Arial" w:hAnsi="Arial" w:cs="Arial"/>
          <w:b w:val="0"/>
          <w:bCs w:val="0"/>
          <w:i/>
          <w:iCs/>
          <w:sz w:val="22"/>
          <w:szCs w:val="22"/>
        </w:rPr>
        <w:t>W</w:t>
      </w:r>
      <w:r w:rsidRPr="00B012C6">
        <w:rPr>
          <w:rStyle w:val="Strong"/>
          <w:rFonts w:ascii="Arial" w:hAnsi="Arial" w:cs="Arial"/>
          <w:b w:val="0"/>
          <w:bCs w:val="0"/>
          <w:i/>
          <w:iCs/>
          <w:sz w:val="22"/>
          <w:szCs w:val="22"/>
        </w:rPr>
        <w:t>hat has changed?</w:t>
      </w:r>
      <w:r w:rsidRPr="00693229">
        <w:rPr>
          <w:rStyle w:val="Strong"/>
          <w:rFonts w:ascii="Arial" w:hAnsi="Arial" w:cs="Arial"/>
          <w:sz w:val="22"/>
          <w:szCs w:val="22"/>
        </w:rPr>
        <w:t xml:space="preserve"> </w:t>
      </w:r>
    </w:p>
    <w:p w14:paraId="48FB6E2D" w14:textId="77777777" w:rsidR="00B012C6" w:rsidRDefault="00B012C6" w:rsidP="00B012C6">
      <w:pPr>
        <w:spacing w:line="240" w:lineRule="auto"/>
        <w:jc w:val="both"/>
        <w:rPr>
          <w:rStyle w:val="Strong"/>
          <w:rFonts w:ascii="Arial" w:hAnsi="Arial" w:cs="Arial"/>
          <w:bCs w:val="0"/>
          <w:sz w:val="22"/>
          <w:szCs w:val="22"/>
        </w:rPr>
      </w:pPr>
      <w:r>
        <w:rPr>
          <w:rFonts w:ascii="Arial" w:hAnsi="Arial" w:cs="Arial"/>
          <w:sz w:val="22"/>
          <w:szCs w:val="22"/>
        </w:rPr>
        <w:t>R</w:t>
      </w:r>
      <w:r w:rsidRPr="00693229">
        <w:rPr>
          <w:rFonts w:ascii="Arial" w:hAnsi="Arial" w:cs="Arial"/>
          <w:sz w:val="22"/>
          <w:szCs w:val="22"/>
        </w:rPr>
        <w:t xml:space="preserve">eaching conclusions about the overall effectiveness and impact of the GP is hampered by the </w:t>
      </w:r>
      <w:r>
        <w:rPr>
          <w:rFonts w:ascii="Arial" w:hAnsi="Arial" w:cs="Arial"/>
          <w:sz w:val="22"/>
          <w:szCs w:val="22"/>
        </w:rPr>
        <w:t>weak</w:t>
      </w:r>
      <w:r w:rsidRPr="00693229">
        <w:rPr>
          <w:rFonts w:ascii="Arial" w:hAnsi="Arial" w:cs="Arial"/>
          <w:sz w:val="22"/>
          <w:szCs w:val="22"/>
        </w:rPr>
        <w:t xml:space="preserve"> monitoring data and blending of GP activities/results with those of the UNDP more broadly.</w:t>
      </w:r>
      <w:r>
        <w:rPr>
          <w:rFonts w:ascii="Arial" w:hAnsi="Arial" w:cs="Arial"/>
          <w:sz w:val="22"/>
          <w:szCs w:val="22"/>
        </w:rPr>
        <w:t xml:space="preserve"> However, p</w:t>
      </w:r>
      <w:r w:rsidRPr="00693229">
        <w:rPr>
          <w:rFonts w:ascii="Arial" w:hAnsi="Arial" w:cs="Arial"/>
          <w:sz w:val="22"/>
          <w:szCs w:val="22"/>
        </w:rPr>
        <w:t xml:space="preserve">ositive changes linked to the GP include effective global partnerships and regional programming, in addition to the country-specific results on which the case studies focused. In </w:t>
      </w:r>
      <w:r>
        <w:rPr>
          <w:rFonts w:ascii="Arial" w:hAnsi="Arial" w:cs="Arial"/>
          <w:sz w:val="22"/>
          <w:szCs w:val="22"/>
        </w:rPr>
        <w:t>those</w:t>
      </w:r>
      <w:r w:rsidRPr="00693229">
        <w:rPr>
          <w:rFonts w:ascii="Arial" w:hAnsi="Arial" w:cs="Arial"/>
          <w:sz w:val="22"/>
          <w:szCs w:val="22"/>
        </w:rPr>
        <w:t xml:space="preserve"> countries, GP-supported interventions have produced a range of positive ROLSHR outcomes.</w:t>
      </w:r>
      <w:r w:rsidRPr="00115A9E">
        <w:rPr>
          <w:rFonts w:ascii="Arial" w:hAnsi="Arial" w:cs="Arial"/>
          <w:sz w:val="22"/>
          <w:szCs w:val="22"/>
        </w:rPr>
        <w:t xml:space="preserve"> </w:t>
      </w:r>
      <w:r w:rsidRPr="00693229">
        <w:rPr>
          <w:rFonts w:ascii="Arial" w:hAnsi="Arial" w:cs="Arial"/>
          <w:sz w:val="22"/>
          <w:szCs w:val="22"/>
        </w:rPr>
        <w:t xml:space="preserve">Levels of donor satisfaction with </w:t>
      </w:r>
      <w:r>
        <w:rPr>
          <w:rFonts w:ascii="Arial" w:hAnsi="Arial" w:cs="Arial"/>
          <w:sz w:val="22"/>
          <w:szCs w:val="22"/>
        </w:rPr>
        <w:t>the GP</w:t>
      </w:r>
      <w:r w:rsidRPr="00693229">
        <w:rPr>
          <w:rFonts w:ascii="Arial" w:hAnsi="Arial" w:cs="Arial"/>
          <w:sz w:val="22"/>
          <w:szCs w:val="22"/>
        </w:rPr>
        <w:t xml:space="preserve"> appear relatively high, though tempered by doubts about how accurately and clearly GP results are being tracked and reported. </w:t>
      </w:r>
    </w:p>
    <w:p w14:paraId="70BE9AC6" w14:textId="77777777" w:rsidR="00B012C6" w:rsidRPr="00693229" w:rsidRDefault="00B012C6" w:rsidP="00B012C6">
      <w:pPr>
        <w:spacing w:line="240" w:lineRule="auto"/>
        <w:jc w:val="both"/>
        <w:rPr>
          <w:rFonts w:ascii="Arial" w:hAnsi="Arial" w:cs="Arial"/>
          <w:sz w:val="22"/>
          <w:szCs w:val="22"/>
        </w:rPr>
      </w:pPr>
      <w:r w:rsidRPr="00693229">
        <w:rPr>
          <w:rFonts w:ascii="Arial" w:hAnsi="Arial" w:cs="Arial"/>
          <w:sz w:val="22"/>
          <w:szCs w:val="22"/>
        </w:rPr>
        <w:t xml:space="preserve">GP seed funding has been applied in diverse ways, primarily </w:t>
      </w:r>
      <w:r>
        <w:rPr>
          <w:rFonts w:ascii="Arial" w:hAnsi="Arial" w:cs="Arial"/>
          <w:sz w:val="22"/>
          <w:szCs w:val="22"/>
        </w:rPr>
        <w:t>chosen</w:t>
      </w:r>
      <w:r w:rsidRPr="00693229">
        <w:rPr>
          <w:rFonts w:ascii="Arial" w:hAnsi="Arial" w:cs="Arial"/>
          <w:sz w:val="22"/>
          <w:szCs w:val="22"/>
        </w:rPr>
        <w:t xml:space="preserve"> at country level by UNDP Country Offices. It often appears to have contributed to subsequent new programming and more significant funding for UNDP as well as UN joint programmes, complemented by the efforts of the GFP. However, there is not sufficient data to permit thorough analysis of these catalytic effects on the global level (either percentage of funding allocations that produce catalytic effects, or the monetary value of catalytic effects). </w:t>
      </w:r>
    </w:p>
    <w:p w14:paraId="5B448362" w14:textId="752F6E27" w:rsidR="00B012C6" w:rsidRPr="00693229" w:rsidRDefault="00B012C6" w:rsidP="00B012C6">
      <w:r w:rsidRPr="00693229">
        <w:rPr>
          <w:rStyle w:val="Strong"/>
          <w:rFonts w:ascii="Arial" w:hAnsi="Arial" w:cs="Arial"/>
          <w:bCs w:val="0"/>
          <w:sz w:val="22"/>
          <w:szCs w:val="22"/>
        </w:rPr>
        <w:t>Sustainability</w:t>
      </w:r>
      <w:r w:rsidRPr="00693229">
        <w:t xml:space="preserve"> – </w:t>
      </w:r>
      <w:r w:rsidRPr="00B012C6">
        <w:rPr>
          <w:rFonts w:ascii="Arial" w:hAnsi="Arial" w:cs="Arial"/>
          <w:i/>
          <w:iCs/>
          <w:sz w:val="22"/>
          <w:szCs w:val="22"/>
        </w:rPr>
        <w:t xml:space="preserve">Will the </w:t>
      </w:r>
      <w:r w:rsidRPr="00B012C6">
        <w:rPr>
          <w:rStyle w:val="Strong"/>
          <w:rFonts w:ascii="Arial" w:hAnsi="Arial" w:cs="Arial"/>
          <w:b w:val="0"/>
          <w:bCs w:val="0"/>
          <w:i/>
          <w:iCs/>
          <w:sz w:val="22"/>
          <w:szCs w:val="22"/>
        </w:rPr>
        <w:t>benefits</w:t>
      </w:r>
      <w:r w:rsidRPr="00B012C6">
        <w:rPr>
          <w:rFonts w:ascii="Arial" w:hAnsi="Arial" w:cs="Arial"/>
          <w:i/>
          <w:iCs/>
          <w:sz w:val="22"/>
          <w:szCs w:val="22"/>
        </w:rPr>
        <w:t xml:space="preserve"> last? Will the GP platform itself endure?</w:t>
      </w:r>
      <w:r w:rsidRPr="00693229">
        <w:t xml:space="preserve"> </w:t>
      </w:r>
    </w:p>
    <w:p w14:paraId="6E711E57" w14:textId="7A85024C" w:rsidR="00B012C6" w:rsidRPr="00693229" w:rsidRDefault="00B012C6" w:rsidP="00B012C6">
      <w:pPr>
        <w:spacing w:line="240" w:lineRule="auto"/>
        <w:jc w:val="both"/>
        <w:rPr>
          <w:rFonts w:ascii="Arial" w:hAnsi="Arial" w:cs="Arial"/>
          <w:sz w:val="22"/>
          <w:szCs w:val="22"/>
        </w:rPr>
      </w:pPr>
      <w:r w:rsidRPr="63DEE6EF">
        <w:rPr>
          <w:rFonts w:ascii="Arial" w:hAnsi="Arial" w:cs="Arial"/>
          <w:sz w:val="22"/>
          <w:szCs w:val="22"/>
        </w:rPr>
        <w:t>The GP at global level has maintained a steady base of donor support in Phase 3, due to its close attention to donor interests and feedback, emphasis on country-level support, and diverse list of achievements in its annual reports. However, the Programme is highly dependent on two funding sources: the International Bureau for Narcotics and Legal Affairs (INL, which earmarks all funds for contexts and projects that they identify) and the Netherlands government (80% earmark for</w:t>
      </w:r>
      <w:r w:rsidR="2398F364" w:rsidRPr="63DEE6EF">
        <w:rPr>
          <w:rFonts w:ascii="Arial" w:hAnsi="Arial" w:cs="Arial"/>
          <w:sz w:val="22"/>
          <w:szCs w:val="22"/>
        </w:rPr>
        <w:t xml:space="preserve"> their priority </w:t>
      </w:r>
      <w:r w:rsidR="00D26473">
        <w:rPr>
          <w:rFonts w:ascii="Arial" w:hAnsi="Arial" w:cs="Arial"/>
          <w:sz w:val="22"/>
          <w:szCs w:val="22"/>
        </w:rPr>
        <w:t xml:space="preserve">geographic </w:t>
      </w:r>
      <w:r w:rsidR="2398F364" w:rsidRPr="63DEE6EF">
        <w:rPr>
          <w:rFonts w:ascii="Arial" w:hAnsi="Arial" w:cs="Arial"/>
          <w:sz w:val="22"/>
          <w:szCs w:val="22"/>
        </w:rPr>
        <w:t>areas</w:t>
      </w:r>
      <w:r w:rsidRPr="63DEE6EF">
        <w:rPr>
          <w:rFonts w:ascii="Arial" w:hAnsi="Arial" w:cs="Arial"/>
          <w:sz w:val="22"/>
          <w:szCs w:val="22"/>
        </w:rPr>
        <w:t xml:space="preserve">). Mobilization of funds at country level has been positively influenced by GP technical and financial support in all case study countries, although total catalytic effects are difficult to assess or quantify. The short term and modest amount of GP funding are not always conducive to stimulating longer-term change, though repeated funding alleviated this issue. </w:t>
      </w:r>
    </w:p>
    <w:p w14:paraId="04A5E459" w14:textId="32271DE6" w:rsidR="00B012C6" w:rsidRDefault="00B012C6" w:rsidP="00B012C6">
      <w:pPr>
        <w:spacing w:line="240" w:lineRule="auto"/>
        <w:jc w:val="both"/>
        <w:rPr>
          <w:rFonts w:ascii="Arial" w:hAnsi="Arial" w:cs="Arial"/>
          <w:sz w:val="22"/>
          <w:szCs w:val="22"/>
        </w:rPr>
      </w:pPr>
      <w:r w:rsidRPr="44A265BC">
        <w:rPr>
          <w:rFonts w:ascii="Arial" w:hAnsi="Arial" w:cs="Arial"/>
          <w:sz w:val="22"/>
          <w:szCs w:val="22"/>
        </w:rPr>
        <w:t>Challenges include that the management of INL funding requires the devotion of significant GP staff time, while the fees they pay for those services are only 8% of the managed funds</w:t>
      </w:r>
      <w:r w:rsidR="3C98CAC8" w:rsidRPr="44A265BC">
        <w:rPr>
          <w:rFonts w:ascii="Arial" w:hAnsi="Arial" w:cs="Arial"/>
          <w:sz w:val="22"/>
          <w:szCs w:val="22"/>
        </w:rPr>
        <w:t xml:space="preserve"> (GMS)</w:t>
      </w:r>
      <w:r w:rsidRPr="44A265BC">
        <w:rPr>
          <w:rFonts w:ascii="Arial" w:hAnsi="Arial" w:cs="Arial"/>
          <w:sz w:val="22"/>
          <w:szCs w:val="22"/>
        </w:rPr>
        <w:t>, which have all been passed on to the COs implementing the funded interventions. There is a risk of this undermining the GP team’s ability to effectively handle the full gamut of tasks on their plate.</w:t>
      </w:r>
    </w:p>
    <w:p w14:paraId="6B35DDCE" w14:textId="77777777" w:rsidR="00B012C6" w:rsidRPr="00693229" w:rsidRDefault="00B012C6" w:rsidP="00B012C6">
      <w:pPr>
        <w:spacing w:line="240" w:lineRule="auto"/>
        <w:jc w:val="both"/>
        <w:rPr>
          <w:rFonts w:ascii="Arial" w:hAnsi="Arial" w:cs="Arial"/>
          <w:sz w:val="22"/>
          <w:szCs w:val="22"/>
        </w:rPr>
      </w:pPr>
      <w:r w:rsidRPr="00693229">
        <w:rPr>
          <w:rFonts w:ascii="Arial" w:hAnsi="Arial" w:cs="Arial"/>
          <w:sz w:val="22"/>
          <w:szCs w:val="22"/>
        </w:rPr>
        <w:t xml:space="preserve">Key factors affecting fundraising success as well as sustainability of results include the level of donor interest in the country, and the prevailing security and political environment. With a focus on fragile and crisis-affected contexts, the deterioration of security or political conditions </w:t>
      </w:r>
      <w:r>
        <w:rPr>
          <w:rFonts w:ascii="Arial" w:hAnsi="Arial" w:cs="Arial"/>
          <w:sz w:val="22"/>
          <w:szCs w:val="22"/>
        </w:rPr>
        <w:t xml:space="preserve">is </w:t>
      </w:r>
      <w:r w:rsidRPr="00693229">
        <w:rPr>
          <w:rFonts w:ascii="Arial" w:hAnsi="Arial" w:cs="Arial"/>
          <w:sz w:val="22"/>
          <w:szCs w:val="22"/>
        </w:rPr>
        <w:t xml:space="preserve">a risk factor for </w:t>
      </w:r>
      <w:r>
        <w:rPr>
          <w:rFonts w:ascii="Arial" w:hAnsi="Arial" w:cs="Arial"/>
          <w:sz w:val="22"/>
          <w:szCs w:val="22"/>
        </w:rPr>
        <w:t xml:space="preserve">GP </w:t>
      </w:r>
      <w:r w:rsidRPr="00693229">
        <w:rPr>
          <w:rFonts w:ascii="Arial" w:hAnsi="Arial" w:cs="Arial"/>
          <w:sz w:val="22"/>
          <w:szCs w:val="22"/>
        </w:rPr>
        <w:t>achieving longer term impact</w:t>
      </w:r>
      <w:r>
        <w:rPr>
          <w:rFonts w:ascii="Arial" w:hAnsi="Arial" w:cs="Arial"/>
          <w:sz w:val="22"/>
          <w:szCs w:val="22"/>
        </w:rPr>
        <w:t>; while</w:t>
      </w:r>
      <w:r w:rsidRPr="00693229">
        <w:rPr>
          <w:rFonts w:ascii="Arial" w:hAnsi="Arial" w:cs="Arial"/>
          <w:sz w:val="22"/>
          <w:szCs w:val="22"/>
        </w:rPr>
        <w:t xml:space="preserve"> the GP’s ability to provide strategic support to sustain peace in more stable contexts is restricted—in large part because they are not the priority of the GP’s current core donors.</w:t>
      </w:r>
    </w:p>
    <w:p w14:paraId="0C8B1FE0" w14:textId="77777777" w:rsidR="00B012C6" w:rsidRPr="00BA6BB1" w:rsidRDefault="00B012C6" w:rsidP="00B012C6">
      <w:pPr>
        <w:pStyle w:val="ListParagraph"/>
        <w:numPr>
          <w:ilvl w:val="0"/>
          <w:numId w:val="57"/>
        </w:numPr>
        <w:rPr>
          <w:rFonts w:ascii="Arial" w:hAnsi="Arial" w:cs="Arial"/>
          <w:b/>
          <w:bCs/>
          <w:i/>
          <w:iCs/>
          <w:sz w:val="22"/>
          <w:szCs w:val="22"/>
          <w:lang w:val="en-US" w:eastAsia="de-DE"/>
        </w:rPr>
      </w:pPr>
      <w:r w:rsidRPr="00BA6BB1">
        <w:rPr>
          <w:rFonts w:ascii="Arial" w:hAnsi="Arial" w:cs="Arial"/>
          <w:b/>
          <w:bCs/>
          <w:i/>
          <w:iCs/>
          <w:sz w:val="22"/>
          <w:szCs w:val="22"/>
          <w:lang w:val="en-US" w:eastAsia="de-DE"/>
        </w:rPr>
        <w:t>Recommendations</w:t>
      </w:r>
    </w:p>
    <w:p w14:paraId="5052878D" w14:textId="77777777" w:rsidR="00B012C6" w:rsidRPr="00BA6BB1" w:rsidRDefault="00B012C6" w:rsidP="00B012C6">
      <w:pPr>
        <w:jc w:val="both"/>
        <w:rPr>
          <w:rFonts w:ascii="Arial" w:hAnsi="Arial" w:cs="Arial"/>
          <w:b/>
          <w:bCs/>
          <w:sz w:val="22"/>
          <w:szCs w:val="22"/>
        </w:rPr>
      </w:pPr>
      <w:r w:rsidRPr="00BA6BB1">
        <w:rPr>
          <w:rFonts w:ascii="Arial" w:hAnsi="Arial" w:cs="Arial"/>
          <w:b/>
          <w:bCs/>
          <w:sz w:val="22"/>
          <w:szCs w:val="22"/>
        </w:rPr>
        <w:t xml:space="preserve">Overall Programme Design </w:t>
      </w:r>
    </w:p>
    <w:p w14:paraId="09270863" w14:textId="77777777" w:rsidR="00B012C6" w:rsidRPr="00210D1D" w:rsidRDefault="00B012C6" w:rsidP="00B012C6">
      <w:pPr>
        <w:pStyle w:val="ListParagraph"/>
        <w:numPr>
          <w:ilvl w:val="3"/>
          <w:numId w:val="51"/>
        </w:numPr>
        <w:pBdr>
          <w:top w:val="nil"/>
          <w:left w:val="nil"/>
          <w:bottom w:val="nil"/>
          <w:right w:val="nil"/>
          <w:between w:val="nil"/>
        </w:pBdr>
        <w:spacing w:after="0" w:line="240" w:lineRule="auto"/>
        <w:ind w:left="709" w:hanging="357"/>
        <w:contextualSpacing w:val="0"/>
        <w:jc w:val="both"/>
        <w:rPr>
          <w:rFonts w:ascii="Arial" w:eastAsia="Arial" w:hAnsi="Arial" w:cs="Arial"/>
          <w:color w:val="000000"/>
          <w:sz w:val="22"/>
          <w:szCs w:val="22"/>
        </w:rPr>
      </w:pPr>
      <w:r w:rsidRPr="00210D1D">
        <w:rPr>
          <w:rFonts w:ascii="Arial" w:eastAsia="Arial" w:hAnsi="Arial" w:cs="Arial"/>
          <w:color w:val="000000"/>
          <w:sz w:val="22"/>
          <w:szCs w:val="22"/>
        </w:rPr>
        <w:t xml:space="preserve">Elaborate a comprehensive Theory of Change to underpin the future development of the GP, explicitly including the entire UNDP ROLSHR team’s scope of work. </w:t>
      </w:r>
    </w:p>
    <w:p w14:paraId="3979817A" w14:textId="77777777" w:rsidR="00B012C6" w:rsidRDefault="00B012C6" w:rsidP="00B012C6">
      <w:pPr>
        <w:pStyle w:val="ListParagraph"/>
        <w:numPr>
          <w:ilvl w:val="0"/>
          <w:numId w:val="50"/>
        </w:numPr>
        <w:pBdr>
          <w:top w:val="nil"/>
          <w:left w:val="nil"/>
          <w:bottom w:val="nil"/>
          <w:right w:val="nil"/>
          <w:between w:val="nil"/>
        </w:pBdr>
        <w:spacing w:after="0" w:line="240" w:lineRule="auto"/>
        <w:jc w:val="both"/>
        <w:rPr>
          <w:rFonts w:ascii="Arial" w:eastAsia="Arial" w:hAnsi="Arial" w:cs="Arial"/>
          <w:color w:val="000000"/>
          <w:sz w:val="22"/>
          <w:szCs w:val="22"/>
        </w:rPr>
      </w:pPr>
      <w:r w:rsidRPr="00210D1D">
        <w:rPr>
          <w:rFonts w:ascii="Arial" w:eastAsia="Arial" w:hAnsi="Arial" w:cs="Arial"/>
          <w:color w:val="000000"/>
          <w:sz w:val="22"/>
          <w:szCs w:val="22"/>
        </w:rPr>
        <w:t xml:space="preserve">Continue to offer flexible support to ROLSHR programming and teams in need around the world, with timely provision of seed funding and/or technical advice. </w:t>
      </w:r>
    </w:p>
    <w:p w14:paraId="0568F20D" w14:textId="306A23E3" w:rsidR="00B012C6" w:rsidRPr="007E6E07" w:rsidRDefault="1AD012E0" w:rsidP="00B012C6">
      <w:pPr>
        <w:pStyle w:val="ListParagraph"/>
        <w:numPr>
          <w:ilvl w:val="0"/>
          <w:numId w:val="50"/>
        </w:numPr>
        <w:pBdr>
          <w:top w:val="nil"/>
          <w:left w:val="nil"/>
          <w:bottom w:val="nil"/>
          <w:right w:val="nil"/>
          <w:between w:val="nil"/>
        </w:pBdr>
        <w:spacing w:line="240" w:lineRule="auto"/>
        <w:ind w:left="714" w:hanging="357"/>
        <w:jc w:val="both"/>
        <w:rPr>
          <w:rFonts w:ascii="Arial" w:eastAsia="Arial" w:hAnsi="Arial" w:cs="Arial"/>
          <w:color w:val="000000"/>
          <w:sz w:val="22"/>
          <w:szCs w:val="22"/>
        </w:rPr>
      </w:pPr>
      <w:r w:rsidRPr="4F82A3C2">
        <w:rPr>
          <w:rFonts w:ascii="Arial" w:eastAsia="Arial" w:hAnsi="Arial" w:cs="Arial"/>
          <w:color w:val="000000" w:themeColor="text1"/>
          <w:sz w:val="22"/>
          <w:szCs w:val="22"/>
        </w:rPr>
        <w:t xml:space="preserve">Consider increasing the focus of GP programming, staffing/standing capacity, and knowledge products in emergent subject areas (e.g., </w:t>
      </w:r>
      <w:r w:rsidR="009D7A5A">
        <w:rPr>
          <w:rFonts w:ascii="Arial" w:eastAsia="Arial" w:hAnsi="Arial" w:cs="Arial"/>
          <w:color w:val="000000" w:themeColor="text1"/>
          <w:sz w:val="22"/>
          <w:szCs w:val="22"/>
        </w:rPr>
        <w:t xml:space="preserve">the implications of </w:t>
      </w:r>
      <w:r w:rsidRPr="4F82A3C2">
        <w:rPr>
          <w:rFonts w:ascii="Arial" w:eastAsia="Arial" w:hAnsi="Arial" w:cs="Arial"/>
          <w:color w:val="000000" w:themeColor="text1"/>
          <w:sz w:val="22"/>
          <w:szCs w:val="22"/>
        </w:rPr>
        <w:t xml:space="preserve">digitalization </w:t>
      </w:r>
      <w:r w:rsidR="009D7A5A">
        <w:rPr>
          <w:rFonts w:ascii="Arial" w:eastAsia="Arial" w:hAnsi="Arial" w:cs="Arial"/>
          <w:color w:val="000000" w:themeColor="text1"/>
          <w:sz w:val="22"/>
          <w:szCs w:val="22"/>
        </w:rPr>
        <w:t xml:space="preserve">regarding </w:t>
      </w:r>
      <w:r w:rsidRPr="4F82A3C2">
        <w:rPr>
          <w:rFonts w:ascii="Arial" w:eastAsia="Arial" w:hAnsi="Arial" w:cs="Arial"/>
          <w:color w:val="000000" w:themeColor="text1"/>
          <w:sz w:val="22"/>
          <w:szCs w:val="22"/>
        </w:rPr>
        <w:t>human rights</w:t>
      </w:r>
      <w:r w:rsidR="009D7A5A">
        <w:rPr>
          <w:rFonts w:ascii="Arial" w:eastAsia="Arial" w:hAnsi="Arial" w:cs="Arial"/>
          <w:color w:val="000000" w:themeColor="text1"/>
          <w:sz w:val="22"/>
          <w:szCs w:val="22"/>
        </w:rPr>
        <w:t xml:space="preserve"> (</w:t>
      </w:r>
      <w:r w:rsidR="009124C7">
        <w:rPr>
          <w:rFonts w:ascii="Arial" w:eastAsia="Arial" w:hAnsi="Arial" w:cs="Arial"/>
          <w:color w:val="000000" w:themeColor="text1"/>
          <w:sz w:val="22"/>
          <w:szCs w:val="22"/>
        </w:rPr>
        <w:t xml:space="preserve">including access to justice, </w:t>
      </w:r>
      <w:r w:rsidR="009D7A5A">
        <w:rPr>
          <w:rFonts w:ascii="Arial" w:eastAsia="Arial" w:hAnsi="Arial" w:cs="Arial"/>
          <w:color w:val="000000" w:themeColor="text1"/>
          <w:sz w:val="22"/>
          <w:szCs w:val="22"/>
        </w:rPr>
        <w:t>access to information</w:t>
      </w:r>
      <w:r w:rsidR="00467A69">
        <w:rPr>
          <w:rFonts w:ascii="Arial" w:eastAsia="Arial" w:hAnsi="Arial" w:cs="Arial"/>
          <w:color w:val="000000" w:themeColor="text1"/>
          <w:sz w:val="22"/>
          <w:szCs w:val="22"/>
        </w:rPr>
        <w:t>, equal voices and participation in democratic processes</w:t>
      </w:r>
      <w:r w:rsidR="00D26473">
        <w:rPr>
          <w:rFonts w:ascii="Arial" w:eastAsia="Arial" w:hAnsi="Arial" w:cs="Arial"/>
          <w:color w:val="000000" w:themeColor="text1"/>
          <w:sz w:val="22"/>
          <w:szCs w:val="22"/>
        </w:rPr>
        <w:t>,</w:t>
      </w:r>
      <w:r w:rsidR="009D7A5A">
        <w:rPr>
          <w:rFonts w:ascii="Arial" w:eastAsia="Arial" w:hAnsi="Arial" w:cs="Arial"/>
          <w:color w:val="000000" w:themeColor="text1"/>
          <w:sz w:val="22"/>
          <w:szCs w:val="22"/>
        </w:rPr>
        <w:t xml:space="preserve"> etc.)</w:t>
      </w:r>
      <w:r w:rsidRPr="4F82A3C2">
        <w:rPr>
          <w:rFonts w:ascii="Arial" w:eastAsia="Arial" w:hAnsi="Arial" w:cs="Arial"/>
          <w:color w:val="000000" w:themeColor="text1"/>
          <w:sz w:val="22"/>
          <w:szCs w:val="22"/>
        </w:rPr>
        <w:t>; climate justice; business and human rights; cyber-crime and hate speech.</w:t>
      </w:r>
    </w:p>
    <w:p w14:paraId="261A9033" w14:textId="77777777" w:rsidR="00B012C6" w:rsidRPr="00BA6BB1" w:rsidRDefault="00B012C6" w:rsidP="00B012C6">
      <w:pPr>
        <w:jc w:val="both"/>
        <w:rPr>
          <w:rFonts w:ascii="Arial" w:eastAsia="Arial" w:hAnsi="Arial" w:cs="Arial"/>
          <w:b/>
          <w:bCs/>
          <w:color w:val="000000"/>
          <w:sz w:val="22"/>
          <w:szCs w:val="22"/>
        </w:rPr>
      </w:pPr>
      <w:r w:rsidRPr="00BA6BB1">
        <w:rPr>
          <w:rFonts w:ascii="Arial" w:eastAsia="Arial" w:hAnsi="Arial" w:cs="Arial"/>
          <w:b/>
          <w:bCs/>
          <w:sz w:val="22"/>
          <w:szCs w:val="22"/>
        </w:rPr>
        <w:t>Programme Governance and Staffing</w:t>
      </w:r>
    </w:p>
    <w:p w14:paraId="641AC633" w14:textId="77777777" w:rsidR="00B012C6" w:rsidRPr="00210D1D" w:rsidRDefault="00B012C6" w:rsidP="00B012C6">
      <w:pPr>
        <w:pStyle w:val="ListParagraph"/>
        <w:numPr>
          <w:ilvl w:val="0"/>
          <w:numId w:val="50"/>
        </w:numPr>
        <w:pBdr>
          <w:top w:val="nil"/>
          <w:left w:val="nil"/>
          <w:bottom w:val="nil"/>
          <w:right w:val="nil"/>
          <w:between w:val="nil"/>
        </w:pBdr>
        <w:spacing w:after="0" w:line="240" w:lineRule="auto"/>
        <w:ind w:left="714" w:hanging="357"/>
        <w:contextualSpacing w:val="0"/>
        <w:jc w:val="both"/>
        <w:rPr>
          <w:rFonts w:ascii="Arial" w:eastAsia="Arial" w:hAnsi="Arial" w:cs="Arial"/>
          <w:color w:val="000000"/>
          <w:sz w:val="22"/>
          <w:szCs w:val="22"/>
        </w:rPr>
      </w:pPr>
      <w:r w:rsidRPr="00210D1D">
        <w:rPr>
          <w:rFonts w:ascii="Arial" w:eastAsia="Arial" w:hAnsi="Arial" w:cs="Arial"/>
          <w:color w:val="000000"/>
          <w:sz w:val="22"/>
          <w:szCs w:val="22"/>
        </w:rPr>
        <w:t xml:space="preserve">Review </w:t>
      </w:r>
      <w:r>
        <w:rPr>
          <w:rFonts w:ascii="Arial" w:eastAsia="Arial" w:hAnsi="Arial" w:cs="Arial"/>
          <w:color w:val="000000"/>
          <w:sz w:val="22"/>
          <w:szCs w:val="22"/>
        </w:rPr>
        <w:t>the GP</w:t>
      </w:r>
      <w:r w:rsidRPr="00210D1D">
        <w:rPr>
          <w:rFonts w:ascii="Arial" w:eastAsia="Arial" w:hAnsi="Arial" w:cs="Arial"/>
          <w:color w:val="000000"/>
          <w:sz w:val="22"/>
          <w:szCs w:val="22"/>
        </w:rPr>
        <w:t xml:space="preserve"> governance structure, including the Project Board</w:t>
      </w:r>
      <w:r>
        <w:rPr>
          <w:rFonts w:ascii="Arial" w:eastAsia="Arial" w:hAnsi="Arial" w:cs="Arial"/>
          <w:color w:val="000000"/>
          <w:sz w:val="22"/>
          <w:szCs w:val="22"/>
        </w:rPr>
        <w:t>’s</w:t>
      </w:r>
      <w:r w:rsidRPr="00210D1D">
        <w:rPr>
          <w:rFonts w:ascii="Arial" w:eastAsia="Arial" w:hAnsi="Arial" w:cs="Arial"/>
          <w:color w:val="000000"/>
          <w:sz w:val="22"/>
          <w:szCs w:val="22"/>
        </w:rPr>
        <w:t xml:space="preserve"> role and composition.</w:t>
      </w:r>
    </w:p>
    <w:p w14:paraId="72326BEA" w14:textId="77777777" w:rsidR="00B012C6" w:rsidRPr="00210D1D" w:rsidRDefault="00B012C6" w:rsidP="00B012C6">
      <w:pPr>
        <w:pStyle w:val="ListParagraph"/>
        <w:numPr>
          <w:ilvl w:val="0"/>
          <w:numId w:val="50"/>
        </w:numPr>
        <w:pBdr>
          <w:top w:val="nil"/>
          <w:left w:val="nil"/>
          <w:bottom w:val="nil"/>
          <w:right w:val="nil"/>
          <w:between w:val="nil"/>
        </w:pBdr>
        <w:spacing w:after="0" w:line="240" w:lineRule="auto"/>
        <w:ind w:left="714" w:hanging="357"/>
        <w:contextualSpacing w:val="0"/>
        <w:jc w:val="both"/>
        <w:rPr>
          <w:rFonts w:ascii="Arial" w:eastAsia="Arial" w:hAnsi="Arial" w:cs="Arial"/>
          <w:color w:val="000000"/>
          <w:sz w:val="22"/>
          <w:szCs w:val="22"/>
        </w:rPr>
      </w:pPr>
      <w:r w:rsidRPr="00210D1D">
        <w:rPr>
          <w:rFonts w:ascii="Arial" w:eastAsia="Arial" w:hAnsi="Arial" w:cs="Arial"/>
          <w:color w:val="000000"/>
          <w:sz w:val="22"/>
          <w:szCs w:val="22"/>
        </w:rPr>
        <w:t>Review the staffing structure</w:t>
      </w:r>
      <w:r>
        <w:rPr>
          <w:rFonts w:ascii="Arial" w:eastAsia="Arial" w:hAnsi="Arial" w:cs="Arial"/>
          <w:color w:val="000000"/>
          <w:sz w:val="22"/>
          <w:szCs w:val="22"/>
        </w:rPr>
        <w:t xml:space="preserve"> </w:t>
      </w:r>
      <w:r w:rsidRPr="00210D1D">
        <w:rPr>
          <w:rFonts w:ascii="Arial" w:eastAsia="Arial" w:hAnsi="Arial" w:cs="Arial"/>
          <w:color w:val="000000"/>
          <w:sz w:val="22"/>
          <w:szCs w:val="22"/>
        </w:rPr>
        <w:t xml:space="preserve">with a view to bolstering the core GP management team and clarifying the division of labor between </w:t>
      </w:r>
      <w:r>
        <w:rPr>
          <w:rFonts w:ascii="Arial" w:eastAsia="Arial" w:hAnsi="Arial" w:cs="Arial"/>
          <w:color w:val="000000"/>
          <w:sz w:val="22"/>
          <w:szCs w:val="22"/>
        </w:rPr>
        <w:t xml:space="preserve">headquarters and </w:t>
      </w:r>
      <w:r w:rsidRPr="00210D1D">
        <w:rPr>
          <w:rFonts w:ascii="Arial" w:eastAsia="Arial" w:hAnsi="Arial" w:cs="Arial"/>
          <w:color w:val="000000"/>
          <w:sz w:val="22"/>
          <w:szCs w:val="22"/>
        </w:rPr>
        <w:t>regions.</w:t>
      </w:r>
    </w:p>
    <w:p w14:paraId="1362E499" w14:textId="77777777" w:rsidR="00B012C6" w:rsidRPr="007E6E07" w:rsidRDefault="00B012C6" w:rsidP="00B012C6">
      <w:pPr>
        <w:pStyle w:val="ListParagraph"/>
        <w:numPr>
          <w:ilvl w:val="0"/>
          <w:numId w:val="50"/>
        </w:numPr>
        <w:pBdr>
          <w:top w:val="nil"/>
          <w:left w:val="nil"/>
          <w:bottom w:val="nil"/>
          <w:right w:val="nil"/>
          <w:between w:val="nil"/>
        </w:pBdr>
        <w:spacing w:line="240" w:lineRule="auto"/>
        <w:ind w:left="714" w:hanging="357"/>
        <w:jc w:val="both"/>
        <w:rPr>
          <w:rFonts w:ascii="Arial" w:eastAsia="Arial" w:hAnsi="Arial" w:cs="Arial"/>
          <w:color w:val="000000"/>
          <w:sz w:val="22"/>
          <w:szCs w:val="22"/>
        </w:rPr>
      </w:pPr>
      <w:r w:rsidRPr="00853248">
        <w:rPr>
          <w:rFonts w:ascii="Arial" w:eastAsia="Arial" w:hAnsi="Arial" w:cs="Arial"/>
          <w:color w:val="000000"/>
          <w:sz w:val="22"/>
          <w:szCs w:val="22"/>
        </w:rPr>
        <w:t>Revisit the mandate, role and weight of regional offices and hubs in GP business processes to enhance approaches to complex RoL and SDG16+ programming challenges.</w:t>
      </w:r>
    </w:p>
    <w:p w14:paraId="53E88D55" w14:textId="77777777" w:rsidR="00B012C6" w:rsidRPr="00BA6BB1" w:rsidRDefault="00B012C6" w:rsidP="00B012C6">
      <w:pPr>
        <w:jc w:val="both"/>
        <w:rPr>
          <w:rFonts w:ascii="Arial" w:hAnsi="Arial" w:cs="Arial"/>
          <w:b/>
          <w:bCs/>
          <w:sz w:val="22"/>
          <w:szCs w:val="22"/>
        </w:rPr>
      </w:pPr>
      <w:r w:rsidRPr="00BA6BB1">
        <w:rPr>
          <w:rFonts w:ascii="Arial" w:hAnsi="Arial" w:cs="Arial"/>
          <w:b/>
          <w:bCs/>
          <w:sz w:val="22"/>
          <w:szCs w:val="22"/>
        </w:rPr>
        <w:t>Country Support Priorities and Methods</w:t>
      </w:r>
    </w:p>
    <w:p w14:paraId="1B82E839" w14:textId="77777777" w:rsidR="00B012C6" w:rsidRPr="00210D1D" w:rsidRDefault="00B012C6" w:rsidP="00B012C6">
      <w:pPr>
        <w:pStyle w:val="ListParagraph"/>
        <w:numPr>
          <w:ilvl w:val="0"/>
          <w:numId w:val="50"/>
        </w:numPr>
        <w:pBdr>
          <w:top w:val="nil"/>
          <w:left w:val="nil"/>
          <w:bottom w:val="nil"/>
          <w:right w:val="nil"/>
          <w:between w:val="nil"/>
        </w:pBdr>
        <w:spacing w:after="0" w:line="240" w:lineRule="auto"/>
        <w:jc w:val="both"/>
        <w:rPr>
          <w:rFonts w:ascii="Arial" w:eastAsia="Arial" w:hAnsi="Arial" w:cs="Arial"/>
          <w:color w:val="000000"/>
          <w:sz w:val="22"/>
          <w:szCs w:val="22"/>
        </w:rPr>
      </w:pPr>
      <w:r w:rsidRPr="00210D1D">
        <w:rPr>
          <w:rFonts w:ascii="Arial" w:eastAsia="Arial" w:hAnsi="Arial" w:cs="Arial"/>
          <w:color w:val="000000"/>
          <w:sz w:val="22"/>
          <w:szCs w:val="22"/>
        </w:rPr>
        <w:t xml:space="preserve">Base future </w:t>
      </w:r>
      <w:r>
        <w:rPr>
          <w:rFonts w:ascii="Arial" w:eastAsia="Arial" w:hAnsi="Arial" w:cs="Arial"/>
          <w:color w:val="000000"/>
          <w:sz w:val="22"/>
          <w:szCs w:val="22"/>
        </w:rPr>
        <w:t>GP</w:t>
      </w:r>
      <w:r w:rsidRPr="00210D1D">
        <w:rPr>
          <w:rFonts w:ascii="Arial" w:eastAsia="Arial" w:hAnsi="Arial" w:cs="Arial"/>
          <w:color w:val="000000"/>
          <w:sz w:val="22"/>
          <w:szCs w:val="22"/>
        </w:rPr>
        <w:t xml:space="preserve"> targeting </w:t>
      </w:r>
      <w:r>
        <w:rPr>
          <w:rFonts w:ascii="Arial" w:eastAsia="Arial" w:hAnsi="Arial" w:cs="Arial"/>
          <w:color w:val="000000"/>
          <w:sz w:val="22"/>
          <w:szCs w:val="22"/>
        </w:rPr>
        <w:t xml:space="preserve">of contexts </w:t>
      </w:r>
      <w:r w:rsidRPr="00210D1D">
        <w:rPr>
          <w:rFonts w:ascii="Arial" w:eastAsia="Arial" w:hAnsi="Arial" w:cs="Arial"/>
          <w:color w:val="000000"/>
          <w:sz w:val="22"/>
          <w:szCs w:val="22"/>
        </w:rPr>
        <w:t>on the basis of evidence of effectiveness</w:t>
      </w:r>
      <w:r>
        <w:rPr>
          <w:rFonts w:ascii="Arial" w:eastAsia="Arial" w:hAnsi="Arial" w:cs="Arial"/>
          <w:color w:val="000000"/>
          <w:sz w:val="22"/>
          <w:szCs w:val="22"/>
        </w:rPr>
        <w:t xml:space="preserve"> (including likelihood of catalytic effects)</w:t>
      </w:r>
      <w:r w:rsidRPr="00210D1D">
        <w:rPr>
          <w:rFonts w:ascii="Arial" w:eastAsia="Arial" w:hAnsi="Arial" w:cs="Arial"/>
          <w:color w:val="000000"/>
          <w:sz w:val="22"/>
          <w:szCs w:val="22"/>
        </w:rPr>
        <w:t>, rather than pre-selecting a list of priority countries.</w:t>
      </w:r>
    </w:p>
    <w:p w14:paraId="08138D3B" w14:textId="77777777" w:rsidR="00B012C6" w:rsidRPr="00853248" w:rsidRDefault="00B012C6" w:rsidP="00B012C6">
      <w:pPr>
        <w:pStyle w:val="ListParagraph"/>
        <w:numPr>
          <w:ilvl w:val="0"/>
          <w:numId w:val="50"/>
        </w:numPr>
        <w:pBdr>
          <w:top w:val="nil"/>
          <w:left w:val="nil"/>
          <w:bottom w:val="nil"/>
          <w:right w:val="nil"/>
          <w:between w:val="nil"/>
        </w:pBdr>
        <w:spacing w:line="240" w:lineRule="auto"/>
        <w:ind w:left="714" w:hanging="357"/>
        <w:jc w:val="both"/>
        <w:rPr>
          <w:rFonts w:ascii="Arial" w:eastAsia="Arial" w:hAnsi="Arial" w:cs="Arial"/>
          <w:color w:val="000000"/>
          <w:sz w:val="22"/>
          <w:szCs w:val="22"/>
        </w:rPr>
      </w:pPr>
      <w:r w:rsidRPr="00853248">
        <w:rPr>
          <w:rFonts w:ascii="Arial" w:eastAsia="Arial" w:hAnsi="Arial" w:cs="Arial"/>
          <w:color w:val="000000"/>
          <w:sz w:val="22"/>
          <w:szCs w:val="22"/>
        </w:rPr>
        <w:t xml:space="preserve">Clarify and streamline pipeline funding procedures, including enhanced transparency and more strategic approaches. </w:t>
      </w:r>
    </w:p>
    <w:p w14:paraId="711DBE96" w14:textId="77777777" w:rsidR="00B012C6" w:rsidRPr="00BA6BB1" w:rsidRDefault="00B012C6" w:rsidP="00B012C6">
      <w:pPr>
        <w:jc w:val="both"/>
        <w:rPr>
          <w:rFonts w:ascii="Arial" w:hAnsi="Arial" w:cs="Arial"/>
          <w:b/>
          <w:bCs/>
          <w:sz w:val="22"/>
          <w:szCs w:val="22"/>
        </w:rPr>
      </w:pPr>
      <w:r w:rsidRPr="00BA6BB1">
        <w:rPr>
          <w:rFonts w:ascii="Arial" w:hAnsi="Arial" w:cs="Arial"/>
          <w:b/>
          <w:bCs/>
          <w:sz w:val="22"/>
          <w:szCs w:val="22"/>
        </w:rPr>
        <w:t>Results-Based Management</w:t>
      </w:r>
    </w:p>
    <w:p w14:paraId="1D257C80" w14:textId="77777777" w:rsidR="00B012C6" w:rsidRPr="00210D1D" w:rsidRDefault="00B012C6" w:rsidP="00B012C6">
      <w:pPr>
        <w:numPr>
          <w:ilvl w:val="0"/>
          <w:numId w:val="50"/>
        </w:numPr>
        <w:pBdr>
          <w:top w:val="nil"/>
          <w:left w:val="nil"/>
          <w:bottom w:val="nil"/>
          <w:right w:val="nil"/>
          <w:between w:val="nil"/>
        </w:pBdr>
        <w:spacing w:after="0" w:line="240" w:lineRule="auto"/>
        <w:jc w:val="both"/>
        <w:rPr>
          <w:rFonts w:ascii="Arial" w:eastAsia="Arial" w:hAnsi="Arial" w:cs="Arial"/>
          <w:color w:val="000000"/>
          <w:sz w:val="22"/>
          <w:szCs w:val="22"/>
        </w:rPr>
      </w:pPr>
      <w:r w:rsidRPr="00210D1D">
        <w:rPr>
          <w:rFonts w:ascii="Arial" w:eastAsia="Arial" w:hAnsi="Arial" w:cs="Arial"/>
          <w:color w:val="000000"/>
          <w:sz w:val="22"/>
          <w:szCs w:val="22"/>
        </w:rPr>
        <w:t>Invest in results-based management systems and reporting by the GP and the supported Country Offices</w:t>
      </w:r>
      <w:r>
        <w:rPr>
          <w:rFonts w:ascii="Arial" w:eastAsia="Arial" w:hAnsi="Arial" w:cs="Arial"/>
          <w:color w:val="000000"/>
          <w:sz w:val="22"/>
          <w:szCs w:val="22"/>
        </w:rPr>
        <w:t>.</w:t>
      </w:r>
    </w:p>
    <w:p w14:paraId="422605A7" w14:textId="33B71D7B" w:rsidR="00B012C6" w:rsidRPr="00210D1D" w:rsidRDefault="00B012C6" w:rsidP="00B012C6">
      <w:pPr>
        <w:numPr>
          <w:ilvl w:val="0"/>
          <w:numId w:val="50"/>
        </w:numPr>
        <w:pBdr>
          <w:top w:val="nil"/>
          <w:left w:val="nil"/>
          <w:bottom w:val="nil"/>
          <w:right w:val="nil"/>
          <w:between w:val="nil"/>
        </w:pBdr>
        <w:spacing w:after="0" w:line="240" w:lineRule="auto"/>
        <w:jc w:val="both"/>
        <w:rPr>
          <w:rFonts w:ascii="Arial" w:eastAsia="Arial" w:hAnsi="Arial" w:cs="Arial"/>
          <w:color w:val="000000"/>
          <w:sz w:val="22"/>
          <w:szCs w:val="22"/>
        </w:rPr>
      </w:pPr>
      <w:r w:rsidRPr="00210D1D">
        <w:rPr>
          <w:rFonts w:ascii="Arial" w:eastAsia="Arial" w:hAnsi="Arial" w:cs="Arial"/>
          <w:color w:val="000000"/>
          <w:sz w:val="22"/>
          <w:szCs w:val="22"/>
        </w:rPr>
        <w:t>Eliminate or reform monitoring practices and indicators that do not add specific value for measurement and management of GP results and focus efforts on few</w:t>
      </w:r>
      <w:r>
        <w:rPr>
          <w:rFonts w:ascii="Arial" w:eastAsia="Arial" w:hAnsi="Arial" w:cs="Arial"/>
          <w:color w:val="000000"/>
          <w:sz w:val="22"/>
          <w:szCs w:val="22"/>
        </w:rPr>
        <w:t>er</w:t>
      </w:r>
      <w:r w:rsidRPr="00210D1D">
        <w:rPr>
          <w:rFonts w:ascii="Arial" w:eastAsia="Arial" w:hAnsi="Arial" w:cs="Arial"/>
          <w:color w:val="000000"/>
          <w:sz w:val="22"/>
          <w:szCs w:val="22"/>
        </w:rPr>
        <w:t xml:space="preserve"> data points that will generate useful information. </w:t>
      </w:r>
    </w:p>
    <w:p w14:paraId="47B3B8A0" w14:textId="77777777" w:rsidR="00B012C6" w:rsidRPr="00853248" w:rsidRDefault="00B012C6" w:rsidP="00B012C6">
      <w:pPr>
        <w:pStyle w:val="ListParagraph"/>
        <w:numPr>
          <w:ilvl w:val="0"/>
          <w:numId w:val="50"/>
        </w:numPr>
        <w:pBdr>
          <w:top w:val="nil"/>
          <w:left w:val="nil"/>
          <w:bottom w:val="nil"/>
          <w:right w:val="nil"/>
          <w:between w:val="nil"/>
        </w:pBdr>
        <w:spacing w:line="240" w:lineRule="auto"/>
        <w:ind w:left="714" w:hanging="357"/>
        <w:jc w:val="both"/>
        <w:rPr>
          <w:rFonts w:ascii="Arial" w:eastAsia="Arial" w:hAnsi="Arial" w:cs="Arial"/>
          <w:color w:val="000000"/>
          <w:sz w:val="22"/>
          <w:szCs w:val="22"/>
        </w:rPr>
      </w:pPr>
      <w:r w:rsidRPr="00853248">
        <w:rPr>
          <w:rFonts w:ascii="Arial" w:eastAsia="Arial" w:hAnsi="Arial" w:cs="Arial"/>
          <w:color w:val="000000"/>
          <w:sz w:val="22"/>
          <w:szCs w:val="22"/>
        </w:rPr>
        <w:t>Increase GP’s contribution to ROLSHR knowledge management and thought leadership, in collaboration with other key actors such as the GPN.</w:t>
      </w:r>
    </w:p>
    <w:p w14:paraId="54BEAD9D" w14:textId="77777777" w:rsidR="00B012C6" w:rsidRPr="00ED1C32" w:rsidRDefault="00B012C6" w:rsidP="00B012C6">
      <w:pPr>
        <w:jc w:val="both"/>
        <w:rPr>
          <w:rFonts w:ascii="Arial" w:hAnsi="Arial" w:cs="Arial"/>
          <w:sz w:val="22"/>
          <w:szCs w:val="22"/>
        </w:rPr>
      </w:pPr>
      <w:r w:rsidRPr="00BA6BB1">
        <w:rPr>
          <w:rFonts w:ascii="Arial" w:hAnsi="Arial" w:cs="Arial"/>
          <w:b/>
          <w:bCs/>
          <w:sz w:val="22"/>
          <w:szCs w:val="22"/>
        </w:rPr>
        <w:t xml:space="preserve">Coherence and </w:t>
      </w:r>
      <w:r>
        <w:rPr>
          <w:rFonts w:ascii="Arial" w:hAnsi="Arial" w:cs="Arial"/>
          <w:b/>
          <w:bCs/>
          <w:sz w:val="22"/>
          <w:szCs w:val="22"/>
        </w:rPr>
        <w:t>C</w:t>
      </w:r>
      <w:r w:rsidRPr="00BA6BB1">
        <w:rPr>
          <w:rFonts w:ascii="Arial" w:hAnsi="Arial" w:cs="Arial"/>
          <w:b/>
          <w:bCs/>
          <w:sz w:val="22"/>
          <w:szCs w:val="22"/>
        </w:rPr>
        <w:t>ollaboration</w:t>
      </w:r>
      <w:r w:rsidRPr="00ED1C32">
        <w:rPr>
          <w:rFonts w:ascii="Arial" w:hAnsi="Arial" w:cs="Arial"/>
          <w:sz w:val="22"/>
          <w:szCs w:val="22"/>
        </w:rPr>
        <w:t xml:space="preserve"> (including GFP)</w:t>
      </w:r>
    </w:p>
    <w:p w14:paraId="3217318F" w14:textId="77777777" w:rsidR="00B012C6" w:rsidRPr="00853248" w:rsidRDefault="00B012C6" w:rsidP="00B012C6">
      <w:pPr>
        <w:pStyle w:val="ListParagraph"/>
        <w:numPr>
          <w:ilvl w:val="0"/>
          <w:numId w:val="50"/>
        </w:numPr>
        <w:pBdr>
          <w:top w:val="nil"/>
          <w:left w:val="nil"/>
          <w:bottom w:val="nil"/>
          <w:right w:val="nil"/>
          <w:between w:val="nil"/>
        </w:pBdr>
        <w:spacing w:line="240" w:lineRule="auto"/>
        <w:jc w:val="both"/>
        <w:rPr>
          <w:rFonts w:ascii="Arial" w:eastAsia="Arial" w:hAnsi="Arial" w:cs="Arial"/>
          <w:color w:val="000000"/>
          <w:sz w:val="22"/>
          <w:szCs w:val="22"/>
        </w:rPr>
      </w:pPr>
      <w:r w:rsidRPr="00853248">
        <w:rPr>
          <w:rFonts w:ascii="Arial" w:eastAsia="Arial" w:hAnsi="Arial" w:cs="Arial"/>
          <w:color w:val="1D2228"/>
          <w:sz w:val="22"/>
          <w:szCs w:val="22"/>
        </w:rPr>
        <w:t>Enhance GP/GFP design features to support improved coherence and optimize effectiveness and reach of the GFP.</w:t>
      </w:r>
    </w:p>
    <w:p w14:paraId="3ED50667" w14:textId="77777777" w:rsidR="00B012C6" w:rsidRPr="00BA6BB1" w:rsidRDefault="00B012C6" w:rsidP="00B012C6">
      <w:pPr>
        <w:jc w:val="both"/>
        <w:rPr>
          <w:rFonts w:ascii="Arial" w:hAnsi="Arial" w:cs="Arial"/>
          <w:b/>
          <w:bCs/>
          <w:sz w:val="22"/>
          <w:szCs w:val="22"/>
        </w:rPr>
      </w:pPr>
      <w:r w:rsidRPr="00BA6BB1">
        <w:rPr>
          <w:rFonts w:ascii="Arial" w:hAnsi="Arial" w:cs="Arial"/>
          <w:b/>
          <w:bCs/>
          <w:sz w:val="22"/>
          <w:szCs w:val="22"/>
        </w:rPr>
        <w:t>Other Recommendations</w:t>
      </w:r>
    </w:p>
    <w:p w14:paraId="0D6373E3" w14:textId="77777777" w:rsidR="00B012C6" w:rsidRPr="007E6E07" w:rsidRDefault="00B012C6" w:rsidP="00B012C6">
      <w:pPr>
        <w:numPr>
          <w:ilvl w:val="0"/>
          <w:numId w:val="50"/>
        </w:numPr>
        <w:pBdr>
          <w:top w:val="nil"/>
          <w:left w:val="nil"/>
          <w:bottom w:val="nil"/>
          <w:right w:val="nil"/>
          <w:between w:val="nil"/>
        </w:pBdr>
        <w:spacing w:after="0" w:line="240" w:lineRule="auto"/>
        <w:jc w:val="both"/>
        <w:rPr>
          <w:rFonts w:ascii="Arial" w:eastAsia="Arial" w:hAnsi="Arial" w:cs="Arial"/>
          <w:sz w:val="22"/>
          <w:szCs w:val="22"/>
        </w:rPr>
      </w:pPr>
      <w:r w:rsidRPr="007E6E07">
        <w:rPr>
          <w:rFonts w:ascii="Arial" w:eastAsia="Arial" w:hAnsi="Arial" w:cs="Arial"/>
          <w:color w:val="000000"/>
          <w:sz w:val="22"/>
          <w:szCs w:val="22"/>
        </w:rPr>
        <w:t>Modify the arrangement with INL to enhance sustainability and results-based management</w:t>
      </w:r>
      <w:r>
        <w:rPr>
          <w:rFonts w:ascii="Arial" w:eastAsia="Arial" w:hAnsi="Arial" w:cs="Arial"/>
          <w:color w:val="000000"/>
          <w:sz w:val="22"/>
          <w:szCs w:val="22"/>
        </w:rPr>
        <w:t>.</w:t>
      </w:r>
    </w:p>
    <w:p w14:paraId="3B619678" w14:textId="38B8A888" w:rsidR="00B012C6" w:rsidRPr="00853248" w:rsidRDefault="1AD012E0" w:rsidP="00B012C6">
      <w:pPr>
        <w:pStyle w:val="ListParagraph"/>
        <w:numPr>
          <w:ilvl w:val="0"/>
          <w:numId w:val="50"/>
        </w:numPr>
        <w:pBdr>
          <w:top w:val="nil"/>
          <w:left w:val="nil"/>
          <w:bottom w:val="nil"/>
          <w:right w:val="nil"/>
          <w:between w:val="nil"/>
        </w:pBdr>
        <w:spacing w:after="0" w:line="240" w:lineRule="auto"/>
        <w:jc w:val="both"/>
        <w:rPr>
          <w:rFonts w:ascii="Arial" w:hAnsi="Arial" w:cs="Arial"/>
          <w:sz w:val="22"/>
          <w:szCs w:val="22"/>
          <w:lang w:val="en-US" w:eastAsia="de-DE"/>
        </w:rPr>
      </w:pPr>
      <w:r w:rsidRPr="4F82A3C2">
        <w:rPr>
          <w:rFonts w:ascii="Arial" w:eastAsia="Arial" w:hAnsi="Arial" w:cs="Arial"/>
          <w:color w:val="000000" w:themeColor="text1"/>
          <w:sz w:val="22"/>
          <w:szCs w:val="22"/>
        </w:rPr>
        <w:t>Increase the focus on supporting design and implementation of ROLSHR interventions based on locally accepted and established customary/traditional mechanisms</w:t>
      </w:r>
      <w:r w:rsidR="328D1825" w:rsidRPr="4F82A3C2">
        <w:rPr>
          <w:rFonts w:ascii="Arial" w:eastAsia="Arial" w:hAnsi="Arial" w:cs="Arial"/>
          <w:color w:val="000000" w:themeColor="text1"/>
          <w:sz w:val="22"/>
          <w:szCs w:val="22"/>
        </w:rPr>
        <w:t xml:space="preserve"> that are based on human </w:t>
      </w:r>
      <w:r w:rsidR="255A998D" w:rsidRPr="4F82A3C2">
        <w:rPr>
          <w:rFonts w:ascii="Arial" w:eastAsia="Arial" w:hAnsi="Arial" w:cs="Arial"/>
          <w:color w:val="000000" w:themeColor="text1"/>
          <w:sz w:val="22"/>
          <w:szCs w:val="22"/>
        </w:rPr>
        <w:t>rights</w:t>
      </w:r>
      <w:r w:rsidR="328D1825" w:rsidRPr="4F82A3C2">
        <w:rPr>
          <w:rFonts w:ascii="Arial" w:eastAsia="Arial" w:hAnsi="Arial" w:cs="Arial"/>
          <w:color w:val="000000" w:themeColor="text1"/>
          <w:sz w:val="22"/>
          <w:szCs w:val="22"/>
        </w:rPr>
        <w:t xml:space="preserve"> </w:t>
      </w:r>
      <w:r w:rsidR="4779061B" w:rsidRPr="4F82A3C2">
        <w:rPr>
          <w:rFonts w:ascii="Arial" w:eastAsia="Arial" w:hAnsi="Arial" w:cs="Arial"/>
          <w:color w:val="000000" w:themeColor="text1"/>
          <w:sz w:val="22"/>
          <w:szCs w:val="22"/>
        </w:rPr>
        <w:t>principles</w:t>
      </w:r>
      <w:r w:rsidR="328D1825" w:rsidRPr="4F82A3C2">
        <w:rPr>
          <w:rFonts w:ascii="Arial" w:eastAsia="Arial" w:hAnsi="Arial" w:cs="Arial"/>
          <w:color w:val="000000" w:themeColor="text1"/>
          <w:sz w:val="22"/>
          <w:szCs w:val="22"/>
        </w:rPr>
        <w:t xml:space="preserve">. </w:t>
      </w:r>
    </w:p>
    <w:p w14:paraId="748E5DD1" w14:textId="77777777" w:rsidR="00B012C6" w:rsidRDefault="00B012C6" w:rsidP="00B012C6"/>
    <w:p w14:paraId="4A6747E3" w14:textId="4652E0FF" w:rsidR="00B012C6" w:rsidRPr="00B012C6" w:rsidRDefault="00B012C6" w:rsidP="00B012C6">
      <w:pPr>
        <w:sectPr w:rsidR="00B012C6" w:rsidRPr="00B012C6" w:rsidSect="00B012C6">
          <w:headerReference w:type="default" r:id="rId11"/>
          <w:footerReference w:type="default" r:id="rId12"/>
          <w:pgSz w:w="12240" w:h="15840"/>
          <w:pgMar w:top="1440" w:right="1440" w:bottom="1440" w:left="1440" w:header="708" w:footer="708" w:gutter="0"/>
          <w:pgNumType w:fmt="lowerRoman" w:start="1"/>
          <w:cols w:space="708"/>
          <w:docGrid w:linePitch="360"/>
        </w:sectPr>
      </w:pPr>
    </w:p>
    <w:p w14:paraId="4E14B7D0" w14:textId="2686D4AB" w:rsidR="00FB015E" w:rsidRPr="0082285D" w:rsidRDefault="00FB015E" w:rsidP="00567956">
      <w:pPr>
        <w:pStyle w:val="Heading1"/>
        <w:numPr>
          <w:ilvl w:val="0"/>
          <w:numId w:val="21"/>
        </w:numPr>
        <w:rPr>
          <w:rStyle w:val="Strong"/>
          <w:b w:val="0"/>
          <w:bCs w:val="0"/>
          <w:sz w:val="28"/>
          <w:szCs w:val="28"/>
        </w:rPr>
      </w:pPr>
      <w:bookmarkStart w:id="1" w:name="_Toc71701875"/>
      <w:r w:rsidRPr="0082285D">
        <w:t xml:space="preserve">Programme </w:t>
      </w:r>
      <w:r w:rsidRPr="00FB27EA">
        <w:rPr>
          <w:rStyle w:val="Strong"/>
          <w:b w:val="0"/>
          <w:bCs w:val="0"/>
        </w:rPr>
        <w:t>Background</w:t>
      </w:r>
      <w:bookmarkEnd w:id="1"/>
    </w:p>
    <w:p w14:paraId="0BDC83ED" w14:textId="69402589" w:rsidR="00FB015E" w:rsidRPr="00573598" w:rsidRDefault="3AEB2DBA" w:rsidP="00FB015E">
      <w:pPr>
        <w:spacing w:line="240" w:lineRule="auto"/>
        <w:rPr>
          <w:rFonts w:ascii="Arial" w:hAnsi="Arial" w:cs="Arial"/>
          <w:sz w:val="22"/>
          <w:szCs w:val="22"/>
        </w:rPr>
      </w:pPr>
      <w:r w:rsidRPr="4F82A3C2">
        <w:rPr>
          <w:rFonts w:ascii="Arial" w:hAnsi="Arial" w:cs="Arial"/>
          <w:sz w:val="22"/>
          <w:szCs w:val="22"/>
        </w:rPr>
        <w:t>The United Nations Development Programme (</w:t>
      </w:r>
      <w:r w:rsidR="13EE547F" w:rsidRPr="4F82A3C2">
        <w:rPr>
          <w:rFonts w:ascii="Arial" w:hAnsi="Arial" w:cs="Arial"/>
          <w:sz w:val="22"/>
          <w:szCs w:val="22"/>
        </w:rPr>
        <w:t>UNDP</w:t>
      </w:r>
      <w:r w:rsidRPr="4F82A3C2">
        <w:rPr>
          <w:rFonts w:ascii="Arial" w:hAnsi="Arial" w:cs="Arial"/>
          <w:sz w:val="22"/>
          <w:szCs w:val="22"/>
        </w:rPr>
        <w:t>)</w:t>
      </w:r>
      <w:r w:rsidR="13EE547F" w:rsidRPr="4F82A3C2">
        <w:rPr>
          <w:rFonts w:ascii="Arial" w:hAnsi="Arial" w:cs="Arial"/>
          <w:sz w:val="22"/>
          <w:szCs w:val="22"/>
        </w:rPr>
        <w:t xml:space="preserve"> has long recognized that strong commitments to the rule of law, security and human rights are imperative to achieving and sustaining peace and building resilience, as well as to realizing the vision now set forth in the Sustainable Development Goals</w:t>
      </w:r>
      <w:r w:rsidRPr="4F82A3C2">
        <w:rPr>
          <w:rFonts w:ascii="Arial" w:hAnsi="Arial" w:cs="Arial"/>
          <w:sz w:val="22"/>
          <w:szCs w:val="22"/>
        </w:rPr>
        <w:t xml:space="preserve"> (SDG)</w:t>
      </w:r>
      <w:r w:rsidR="13EE547F" w:rsidRPr="4F82A3C2">
        <w:rPr>
          <w:rFonts w:ascii="Arial" w:hAnsi="Arial" w:cs="Arial"/>
          <w:sz w:val="22"/>
          <w:szCs w:val="22"/>
        </w:rPr>
        <w:t xml:space="preserve">. These commitments entered a new phase in 2008 when the </w:t>
      </w:r>
      <w:r w:rsidR="13EE547F" w:rsidRPr="4F82A3C2">
        <w:rPr>
          <w:rFonts w:ascii="Arial" w:hAnsi="Arial" w:cs="Arial"/>
          <w:i/>
          <w:iCs/>
          <w:sz w:val="22"/>
          <w:szCs w:val="22"/>
        </w:rPr>
        <w:t xml:space="preserve">Global Programme on Strengthening the Rule of Law in Conflict and Post-Conflict Situations </w:t>
      </w:r>
      <w:r w:rsidR="13EE547F" w:rsidRPr="4F82A3C2">
        <w:rPr>
          <w:rFonts w:ascii="Arial" w:hAnsi="Arial" w:cs="Arial"/>
          <w:sz w:val="22"/>
          <w:szCs w:val="22"/>
        </w:rPr>
        <w:t xml:space="preserve">commenced. Previously, UNDP had supported justice and security projects across a handful of contexts. However, </w:t>
      </w:r>
      <w:r w:rsidR="007B7F32">
        <w:rPr>
          <w:rFonts w:ascii="Arial" w:hAnsi="Arial" w:cs="Arial"/>
          <w:sz w:val="22"/>
          <w:szCs w:val="22"/>
        </w:rPr>
        <w:t xml:space="preserve">since </w:t>
      </w:r>
      <w:r w:rsidR="13EE547F" w:rsidRPr="4F82A3C2">
        <w:rPr>
          <w:rFonts w:ascii="Arial" w:hAnsi="Arial" w:cs="Arial"/>
          <w:sz w:val="22"/>
          <w:szCs w:val="22"/>
        </w:rPr>
        <w:t>the Global Programme</w:t>
      </w:r>
      <w:r w:rsidR="007B7F32">
        <w:rPr>
          <w:rFonts w:ascii="Arial" w:hAnsi="Arial" w:cs="Arial"/>
          <w:sz w:val="22"/>
          <w:szCs w:val="22"/>
        </w:rPr>
        <w:t xml:space="preserve"> (GP)</w:t>
      </w:r>
      <w:r w:rsidR="13EE547F" w:rsidRPr="4F82A3C2">
        <w:rPr>
          <w:rFonts w:ascii="Arial" w:hAnsi="Arial" w:cs="Arial"/>
          <w:sz w:val="22"/>
          <w:szCs w:val="22"/>
        </w:rPr>
        <w:t xml:space="preserve"> </w:t>
      </w:r>
      <w:r w:rsidR="007B7F32">
        <w:rPr>
          <w:rFonts w:ascii="Arial" w:hAnsi="Arial" w:cs="Arial"/>
          <w:sz w:val="22"/>
          <w:szCs w:val="22"/>
        </w:rPr>
        <w:t>was launched</w:t>
      </w:r>
      <w:r w:rsidR="13EE547F" w:rsidRPr="4F82A3C2">
        <w:rPr>
          <w:rFonts w:ascii="Arial" w:hAnsi="Arial" w:cs="Arial"/>
          <w:sz w:val="22"/>
          <w:szCs w:val="22"/>
        </w:rPr>
        <w:t xml:space="preserve">, the breadth and depth of UNDP’s engagement in fostering the rule of law, justice and security in crisis and fragile contexts </w:t>
      </w:r>
      <w:r w:rsidR="007B7F32">
        <w:rPr>
          <w:rFonts w:ascii="Arial" w:hAnsi="Arial" w:cs="Arial"/>
          <w:sz w:val="22"/>
          <w:szCs w:val="22"/>
        </w:rPr>
        <w:t xml:space="preserve">has </w:t>
      </w:r>
      <w:r w:rsidR="13EE547F" w:rsidRPr="4F82A3C2">
        <w:rPr>
          <w:rFonts w:ascii="Arial" w:hAnsi="Arial" w:cs="Arial"/>
          <w:sz w:val="22"/>
          <w:szCs w:val="22"/>
        </w:rPr>
        <w:t xml:space="preserve">expanded considerably. </w:t>
      </w:r>
    </w:p>
    <w:p w14:paraId="31187BD5" w14:textId="28750415" w:rsidR="007B7F32" w:rsidRDefault="00FB015E" w:rsidP="00FB015E">
      <w:pPr>
        <w:spacing w:line="240" w:lineRule="auto"/>
        <w:rPr>
          <w:rFonts w:ascii="Arial" w:hAnsi="Arial" w:cs="Arial"/>
          <w:sz w:val="22"/>
          <w:szCs w:val="22"/>
        </w:rPr>
      </w:pPr>
      <w:r w:rsidRPr="00573598">
        <w:rPr>
          <w:rFonts w:ascii="Arial" w:hAnsi="Arial" w:cs="Arial"/>
          <w:sz w:val="22"/>
          <w:szCs w:val="22"/>
        </w:rPr>
        <w:t xml:space="preserve">With an in-country presence before, during and after conflict or crisis, UNDP </w:t>
      </w:r>
      <w:r w:rsidR="007B7F32">
        <w:rPr>
          <w:rFonts w:ascii="Arial" w:hAnsi="Arial" w:cs="Arial"/>
          <w:sz w:val="22"/>
          <w:szCs w:val="22"/>
        </w:rPr>
        <w:t>via the GP has been providing</w:t>
      </w:r>
      <w:r w:rsidR="007B7F32" w:rsidRPr="00573598">
        <w:rPr>
          <w:rFonts w:ascii="Arial" w:hAnsi="Arial" w:cs="Arial"/>
          <w:sz w:val="22"/>
          <w:szCs w:val="22"/>
        </w:rPr>
        <w:t xml:space="preserve"> </w:t>
      </w:r>
      <w:r w:rsidRPr="00573598">
        <w:rPr>
          <w:rFonts w:ascii="Arial" w:hAnsi="Arial" w:cs="Arial"/>
          <w:sz w:val="22"/>
          <w:szCs w:val="22"/>
        </w:rPr>
        <w:t>targeted assistance to countries threatened or affected by crisis or other types of fragility</w:t>
      </w:r>
      <w:r w:rsidR="001B027A">
        <w:rPr>
          <w:rFonts w:ascii="Arial" w:hAnsi="Arial" w:cs="Arial"/>
          <w:sz w:val="22"/>
          <w:szCs w:val="22"/>
        </w:rPr>
        <w:t xml:space="preserve"> (in addition to its work in other contexts)</w:t>
      </w:r>
      <w:r w:rsidRPr="00573598">
        <w:rPr>
          <w:rFonts w:ascii="Arial" w:hAnsi="Arial" w:cs="Arial"/>
          <w:sz w:val="22"/>
          <w:szCs w:val="22"/>
        </w:rPr>
        <w:t xml:space="preserve">. </w:t>
      </w:r>
      <w:r w:rsidR="00D43D45">
        <w:rPr>
          <w:rFonts w:ascii="Arial" w:hAnsi="Arial" w:cs="Arial"/>
          <w:sz w:val="22"/>
          <w:szCs w:val="22"/>
        </w:rPr>
        <w:t>Since 2008</w:t>
      </w:r>
      <w:r w:rsidR="00327F7B">
        <w:rPr>
          <w:rFonts w:ascii="Arial" w:hAnsi="Arial" w:cs="Arial"/>
          <w:sz w:val="22"/>
          <w:szCs w:val="22"/>
        </w:rPr>
        <w:t>,</w:t>
      </w:r>
      <w:r w:rsidR="00D43D45">
        <w:rPr>
          <w:rFonts w:ascii="Arial" w:hAnsi="Arial" w:cs="Arial"/>
          <w:sz w:val="22"/>
          <w:szCs w:val="22"/>
        </w:rPr>
        <w:t xml:space="preserve"> the </w:t>
      </w:r>
      <w:r w:rsidRPr="00573598">
        <w:rPr>
          <w:rFonts w:ascii="Arial" w:hAnsi="Arial" w:cs="Arial"/>
          <w:sz w:val="22"/>
          <w:szCs w:val="22"/>
        </w:rPr>
        <w:t xml:space="preserve">UNDP’s Global Programme has been the main operational and financial instrument for </w:t>
      </w:r>
      <w:r w:rsidR="00865E0C">
        <w:rPr>
          <w:rFonts w:ascii="Arial" w:hAnsi="Arial" w:cs="Arial"/>
          <w:sz w:val="22"/>
          <w:szCs w:val="22"/>
        </w:rPr>
        <w:t>the organization’s engagement</w:t>
      </w:r>
      <w:r w:rsidRPr="00573598">
        <w:rPr>
          <w:rFonts w:ascii="Arial" w:hAnsi="Arial" w:cs="Arial"/>
          <w:sz w:val="22"/>
          <w:szCs w:val="22"/>
        </w:rPr>
        <w:t xml:space="preserve"> on rule of law in crisis-affected contexts. Drawing on UNDP’s most innovative rule of law initiatives, it seeks to expand such </w:t>
      </w:r>
      <w:r w:rsidR="00865E0C">
        <w:rPr>
          <w:rFonts w:ascii="Arial" w:hAnsi="Arial" w:cs="Arial"/>
          <w:sz w:val="22"/>
          <w:szCs w:val="22"/>
        </w:rPr>
        <w:t>support</w:t>
      </w:r>
      <w:r w:rsidR="00865E0C" w:rsidRPr="00573598">
        <w:rPr>
          <w:rFonts w:ascii="Arial" w:hAnsi="Arial" w:cs="Arial"/>
          <w:sz w:val="22"/>
          <w:szCs w:val="22"/>
        </w:rPr>
        <w:t xml:space="preserve"> </w:t>
      </w:r>
      <w:r w:rsidRPr="00573598">
        <w:rPr>
          <w:rFonts w:ascii="Arial" w:hAnsi="Arial" w:cs="Arial"/>
          <w:sz w:val="22"/>
          <w:szCs w:val="22"/>
        </w:rPr>
        <w:t xml:space="preserve">to assist UNDP Country Offices </w:t>
      </w:r>
      <w:r w:rsidR="005C072E">
        <w:rPr>
          <w:rFonts w:ascii="Arial" w:hAnsi="Arial" w:cs="Arial"/>
          <w:sz w:val="22"/>
          <w:szCs w:val="22"/>
        </w:rPr>
        <w:t xml:space="preserve">(COs) </w:t>
      </w:r>
      <w:r w:rsidR="00865E0C">
        <w:rPr>
          <w:rFonts w:ascii="Arial" w:hAnsi="Arial" w:cs="Arial"/>
          <w:sz w:val="22"/>
          <w:szCs w:val="22"/>
        </w:rPr>
        <w:t>in developing and implementing</w:t>
      </w:r>
      <w:r w:rsidRPr="00573598">
        <w:rPr>
          <w:rFonts w:ascii="Arial" w:hAnsi="Arial" w:cs="Arial"/>
          <w:sz w:val="22"/>
          <w:szCs w:val="22"/>
        </w:rPr>
        <w:t xml:space="preserve"> comprehensive </w:t>
      </w:r>
      <w:r w:rsidR="004437E4">
        <w:rPr>
          <w:rFonts w:ascii="Arial" w:hAnsi="Arial" w:cs="Arial"/>
          <w:sz w:val="22"/>
          <w:szCs w:val="22"/>
        </w:rPr>
        <w:t>interventions</w:t>
      </w:r>
      <w:r w:rsidR="004437E4" w:rsidRPr="00573598">
        <w:rPr>
          <w:rFonts w:ascii="Arial" w:hAnsi="Arial" w:cs="Arial"/>
          <w:sz w:val="22"/>
          <w:szCs w:val="22"/>
        </w:rPr>
        <w:t xml:space="preserve"> </w:t>
      </w:r>
      <w:r w:rsidRPr="00573598">
        <w:rPr>
          <w:rFonts w:ascii="Arial" w:hAnsi="Arial" w:cs="Arial"/>
          <w:sz w:val="22"/>
          <w:szCs w:val="22"/>
        </w:rPr>
        <w:t xml:space="preserve">that respond rapidly and effectively to the needs on the ground. </w:t>
      </w:r>
      <w:r w:rsidR="00D36FF0" w:rsidRPr="00573598">
        <w:rPr>
          <w:rFonts w:ascii="Arial" w:hAnsi="Arial" w:cs="Arial"/>
          <w:sz w:val="22"/>
          <w:szCs w:val="22"/>
        </w:rPr>
        <w:t>To this end, the Rule of Law, Security and Human Rights (R</w:t>
      </w:r>
      <w:r w:rsidR="009F062D">
        <w:rPr>
          <w:rFonts w:ascii="Arial" w:hAnsi="Arial" w:cs="Arial"/>
          <w:sz w:val="22"/>
          <w:szCs w:val="22"/>
        </w:rPr>
        <w:t>O</w:t>
      </w:r>
      <w:r w:rsidR="00D36FF0" w:rsidRPr="00573598">
        <w:rPr>
          <w:rFonts w:ascii="Arial" w:hAnsi="Arial" w:cs="Arial"/>
          <w:sz w:val="22"/>
          <w:szCs w:val="22"/>
        </w:rPr>
        <w:t xml:space="preserve">LSHR) team </w:t>
      </w:r>
      <w:r w:rsidR="00D36FF0">
        <w:rPr>
          <w:rFonts w:ascii="Arial" w:hAnsi="Arial" w:cs="Arial"/>
          <w:sz w:val="22"/>
          <w:szCs w:val="22"/>
        </w:rPr>
        <w:t>situated with</w:t>
      </w:r>
      <w:r w:rsidR="00D36FF0" w:rsidRPr="00573598">
        <w:rPr>
          <w:rFonts w:ascii="Arial" w:hAnsi="Arial" w:cs="Arial"/>
          <w:sz w:val="22"/>
          <w:szCs w:val="22"/>
        </w:rPr>
        <w:t>in the UNDP Crisis Bureau plays a leading role</w:t>
      </w:r>
      <w:r w:rsidR="00D36FF0">
        <w:rPr>
          <w:rFonts w:ascii="Arial" w:hAnsi="Arial" w:cs="Arial"/>
          <w:sz w:val="22"/>
          <w:szCs w:val="22"/>
        </w:rPr>
        <w:t xml:space="preserve">, most recently through the third phase </w:t>
      </w:r>
      <w:r w:rsidR="00D36FF0" w:rsidRPr="00573598">
        <w:rPr>
          <w:rFonts w:ascii="Arial" w:hAnsi="Arial" w:cs="Arial"/>
          <w:sz w:val="22"/>
          <w:szCs w:val="22"/>
        </w:rPr>
        <w:t xml:space="preserve">of the </w:t>
      </w:r>
      <w:r w:rsidR="00D36FF0">
        <w:rPr>
          <w:rFonts w:ascii="Arial" w:hAnsi="Arial" w:cs="Arial"/>
          <w:sz w:val="22"/>
          <w:szCs w:val="22"/>
        </w:rPr>
        <w:t xml:space="preserve">GP, officially called the </w:t>
      </w:r>
      <w:r w:rsidR="00D36FF0" w:rsidRPr="00573598">
        <w:rPr>
          <w:rStyle w:val="Emphasis"/>
          <w:rFonts w:ascii="Arial" w:hAnsi="Arial" w:cs="Arial"/>
          <w:sz w:val="22"/>
          <w:szCs w:val="22"/>
        </w:rPr>
        <w:t>Global Programme for Strengthening the Rule of Law and Human Rights for Sustaining Peace and Fostering Development</w:t>
      </w:r>
      <w:r w:rsidR="00D36FF0" w:rsidRPr="00573598">
        <w:rPr>
          <w:rFonts w:ascii="Arial" w:hAnsi="Arial" w:cs="Arial"/>
          <w:sz w:val="22"/>
          <w:szCs w:val="22"/>
        </w:rPr>
        <w:t>.</w:t>
      </w:r>
    </w:p>
    <w:p w14:paraId="25BDDB03" w14:textId="6CCD0529" w:rsidR="00FB015E" w:rsidRPr="00573598" w:rsidRDefault="007B7F32" w:rsidP="00FB015E">
      <w:pPr>
        <w:spacing w:line="240" w:lineRule="auto"/>
        <w:rPr>
          <w:rFonts w:ascii="Arial" w:hAnsi="Arial" w:cs="Arial"/>
          <w:sz w:val="22"/>
          <w:szCs w:val="22"/>
        </w:rPr>
      </w:pPr>
      <w:r>
        <w:rPr>
          <w:rFonts w:ascii="Arial" w:hAnsi="Arial" w:cs="Arial"/>
          <w:sz w:val="22"/>
          <w:szCs w:val="22"/>
        </w:rPr>
        <w:t>Since 2016, the GP expanded to explicitly include the area of human rights, which was previously covered by a separate “</w:t>
      </w:r>
      <w:r w:rsidRPr="003C16C5">
        <w:rPr>
          <w:rFonts w:ascii="Arial" w:hAnsi="Arial" w:cs="Arial"/>
          <w:sz w:val="22"/>
          <w:szCs w:val="22"/>
        </w:rPr>
        <w:t>Global Human R</w:t>
      </w:r>
      <w:r>
        <w:rPr>
          <w:rFonts w:ascii="Arial" w:hAnsi="Arial" w:cs="Arial"/>
          <w:sz w:val="22"/>
          <w:szCs w:val="22"/>
        </w:rPr>
        <w:t>i</w:t>
      </w:r>
      <w:r w:rsidRPr="003C16C5">
        <w:rPr>
          <w:rFonts w:ascii="Arial" w:hAnsi="Arial" w:cs="Arial"/>
          <w:sz w:val="22"/>
          <w:szCs w:val="22"/>
        </w:rPr>
        <w:t>ghts Strengthening Programme</w:t>
      </w:r>
      <w:r>
        <w:rPr>
          <w:rFonts w:ascii="Arial" w:hAnsi="Arial" w:cs="Arial"/>
          <w:sz w:val="22"/>
          <w:szCs w:val="22"/>
        </w:rPr>
        <w:t xml:space="preserve">” from </w:t>
      </w:r>
      <w:r w:rsidRPr="003C16C5">
        <w:rPr>
          <w:rFonts w:ascii="Arial" w:hAnsi="Arial" w:cs="Arial"/>
          <w:sz w:val="22"/>
          <w:szCs w:val="22"/>
        </w:rPr>
        <w:t xml:space="preserve">2009 </w:t>
      </w:r>
      <w:r>
        <w:rPr>
          <w:rFonts w:ascii="Arial" w:hAnsi="Arial" w:cs="Arial"/>
          <w:sz w:val="22"/>
          <w:szCs w:val="22"/>
        </w:rPr>
        <w:t>–</w:t>
      </w:r>
      <w:r w:rsidRPr="003C16C5">
        <w:rPr>
          <w:rFonts w:ascii="Arial" w:hAnsi="Arial" w:cs="Arial"/>
          <w:sz w:val="22"/>
          <w:szCs w:val="22"/>
        </w:rPr>
        <w:t xml:space="preserve"> 2014</w:t>
      </w:r>
      <w:r>
        <w:rPr>
          <w:rFonts w:ascii="Arial" w:hAnsi="Arial" w:cs="Arial"/>
          <w:sz w:val="22"/>
          <w:szCs w:val="22"/>
        </w:rPr>
        <w:t>, which was</w:t>
      </w:r>
      <w:r w:rsidRPr="003C16C5">
        <w:rPr>
          <w:rFonts w:ascii="Arial" w:hAnsi="Arial" w:cs="Arial"/>
          <w:sz w:val="22"/>
          <w:szCs w:val="22"/>
        </w:rPr>
        <w:t xml:space="preserve"> not limited to crisis affected contexts</w:t>
      </w:r>
      <w:r w:rsidR="004437E4" w:rsidRPr="004437E4">
        <w:rPr>
          <w:rFonts w:ascii="Arial" w:hAnsi="Arial" w:cs="Arial"/>
          <w:sz w:val="22"/>
          <w:szCs w:val="22"/>
        </w:rPr>
        <w:t xml:space="preserve">. Considering the majority of </w:t>
      </w:r>
      <w:r w:rsidR="004437E4">
        <w:rPr>
          <w:rFonts w:ascii="Arial" w:hAnsi="Arial" w:cs="Arial"/>
          <w:sz w:val="22"/>
          <w:szCs w:val="22"/>
        </w:rPr>
        <w:t>C</w:t>
      </w:r>
      <w:r w:rsidR="004437E4" w:rsidRPr="004437E4">
        <w:rPr>
          <w:rFonts w:ascii="Arial" w:hAnsi="Arial" w:cs="Arial"/>
          <w:sz w:val="22"/>
          <w:szCs w:val="22"/>
        </w:rPr>
        <w:t xml:space="preserve">ountry </w:t>
      </w:r>
      <w:r w:rsidR="004437E4">
        <w:rPr>
          <w:rFonts w:ascii="Arial" w:hAnsi="Arial" w:cs="Arial"/>
          <w:sz w:val="22"/>
          <w:szCs w:val="22"/>
        </w:rPr>
        <w:t>O</w:t>
      </w:r>
      <w:r w:rsidR="004437E4" w:rsidRPr="004437E4">
        <w:rPr>
          <w:rFonts w:ascii="Arial" w:hAnsi="Arial" w:cs="Arial"/>
          <w:sz w:val="22"/>
          <w:szCs w:val="22"/>
        </w:rPr>
        <w:t xml:space="preserve">ffices have integrated </w:t>
      </w:r>
      <w:r w:rsidR="00E7403C">
        <w:rPr>
          <w:rFonts w:ascii="Arial" w:hAnsi="Arial" w:cs="Arial"/>
          <w:sz w:val="22"/>
          <w:szCs w:val="22"/>
        </w:rPr>
        <w:t xml:space="preserve">their </w:t>
      </w:r>
      <w:r w:rsidR="004437E4" w:rsidRPr="004437E4">
        <w:rPr>
          <w:rFonts w:ascii="Arial" w:hAnsi="Arial" w:cs="Arial"/>
          <w:sz w:val="22"/>
          <w:szCs w:val="22"/>
        </w:rPr>
        <w:t>human rights and rule of law work, GP</w:t>
      </w:r>
      <w:r w:rsidR="004437E4">
        <w:rPr>
          <w:rFonts w:ascii="Arial" w:hAnsi="Arial" w:cs="Arial"/>
          <w:sz w:val="22"/>
          <w:szCs w:val="22"/>
        </w:rPr>
        <w:t>’s</w:t>
      </w:r>
      <w:r w:rsidR="004437E4" w:rsidRPr="004437E4">
        <w:rPr>
          <w:rFonts w:ascii="Arial" w:hAnsi="Arial" w:cs="Arial"/>
          <w:sz w:val="22"/>
          <w:szCs w:val="22"/>
        </w:rPr>
        <w:t xml:space="preserve"> </w:t>
      </w:r>
      <w:r w:rsidR="004437E4">
        <w:rPr>
          <w:rFonts w:ascii="Arial" w:hAnsi="Arial" w:cs="Arial"/>
          <w:sz w:val="22"/>
          <w:szCs w:val="22"/>
        </w:rPr>
        <w:t>P</w:t>
      </w:r>
      <w:r w:rsidR="004437E4" w:rsidRPr="004437E4">
        <w:rPr>
          <w:rFonts w:ascii="Arial" w:hAnsi="Arial" w:cs="Arial"/>
          <w:sz w:val="22"/>
          <w:szCs w:val="22"/>
        </w:rPr>
        <w:t xml:space="preserve">hase 3 amalgamated both global programmes into one </w:t>
      </w:r>
      <w:r w:rsidR="004437E4">
        <w:rPr>
          <w:rFonts w:ascii="Arial" w:hAnsi="Arial" w:cs="Arial"/>
          <w:sz w:val="22"/>
          <w:szCs w:val="22"/>
        </w:rPr>
        <w:t>mechanism</w:t>
      </w:r>
      <w:r w:rsidR="004437E4" w:rsidRPr="004437E4">
        <w:rPr>
          <w:rFonts w:ascii="Arial" w:hAnsi="Arial" w:cs="Arial"/>
          <w:sz w:val="22"/>
          <w:szCs w:val="22"/>
        </w:rPr>
        <w:t>.</w:t>
      </w:r>
    </w:p>
    <w:p w14:paraId="72A86E91" w14:textId="1CABC84F" w:rsidR="00573598" w:rsidRDefault="00FB015E" w:rsidP="00D36FF0">
      <w:pPr>
        <w:spacing w:line="240" w:lineRule="auto"/>
        <w:rPr>
          <w:rFonts w:ascii="Arial" w:hAnsi="Arial" w:cs="Arial"/>
        </w:rPr>
      </w:pPr>
      <w:r w:rsidRPr="44A265BC">
        <w:rPr>
          <w:rFonts w:ascii="Arial" w:hAnsi="Arial" w:cs="Arial"/>
          <w:sz w:val="22"/>
          <w:szCs w:val="22"/>
        </w:rPr>
        <w:t xml:space="preserve">The </w:t>
      </w:r>
      <w:r w:rsidR="002B7AE6" w:rsidRPr="44A265BC">
        <w:rPr>
          <w:rFonts w:ascii="Arial" w:hAnsi="Arial" w:cs="Arial"/>
          <w:sz w:val="22"/>
          <w:szCs w:val="22"/>
        </w:rPr>
        <w:t xml:space="preserve">third phase of the </w:t>
      </w:r>
      <w:r w:rsidRPr="44A265BC">
        <w:rPr>
          <w:rFonts w:ascii="Arial" w:hAnsi="Arial" w:cs="Arial"/>
          <w:sz w:val="22"/>
          <w:szCs w:val="22"/>
        </w:rPr>
        <w:t xml:space="preserve">Global Programme </w:t>
      </w:r>
      <w:r w:rsidR="00573598" w:rsidRPr="44A265BC">
        <w:rPr>
          <w:rFonts w:ascii="Arial" w:hAnsi="Arial" w:cs="Arial"/>
          <w:sz w:val="22"/>
          <w:szCs w:val="22"/>
        </w:rPr>
        <w:t>(GP)</w:t>
      </w:r>
      <w:r w:rsidR="002B7AE6" w:rsidRPr="44A265BC">
        <w:rPr>
          <w:rFonts w:ascii="Arial" w:hAnsi="Arial" w:cs="Arial"/>
          <w:sz w:val="22"/>
          <w:szCs w:val="22"/>
        </w:rPr>
        <w:t xml:space="preserve"> </w:t>
      </w:r>
      <w:r w:rsidR="00DF3168" w:rsidRPr="44A265BC">
        <w:rPr>
          <w:rFonts w:ascii="Arial" w:hAnsi="Arial" w:cs="Arial"/>
          <w:sz w:val="22"/>
          <w:szCs w:val="22"/>
        </w:rPr>
        <w:t>was</w:t>
      </w:r>
      <w:r w:rsidR="002B7AE6" w:rsidRPr="44A265BC">
        <w:rPr>
          <w:rFonts w:ascii="Arial" w:hAnsi="Arial" w:cs="Arial"/>
          <w:sz w:val="22"/>
          <w:szCs w:val="22"/>
        </w:rPr>
        <w:t xml:space="preserve"> a five-year commitment</w:t>
      </w:r>
      <w:r w:rsidR="00DF3168" w:rsidRPr="44A265BC">
        <w:rPr>
          <w:rFonts w:ascii="Arial" w:hAnsi="Arial" w:cs="Arial"/>
          <w:sz w:val="22"/>
          <w:szCs w:val="22"/>
        </w:rPr>
        <w:t xml:space="preserve"> which commenced</w:t>
      </w:r>
      <w:r w:rsidRPr="44A265BC">
        <w:rPr>
          <w:rFonts w:ascii="Arial" w:hAnsi="Arial" w:cs="Arial"/>
          <w:sz w:val="22"/>
          <w:szCs w:val="22"/>
        </w:rPr>
        <w:t xml:space="preserve"> in 2016</w:t>
      </w:r>
      <w:r w:rsidR="002B7AE6" w:rsidRPr="44A265BC">
        <w:rPr>
          <w:rFonts w:ascii="Arial" w:hAnsi="Arial" w:cs="Arial"/>
          <w:sz w:val="22"/>
          <w:szCs w:val="22"/>
        </w:rPr>
        <w:t xml:space="preserve"> </w:t>
      </w:r>
      <w:r w:rsidR="00DF3168" w:rsidRPr="44A265BC">
        <w:rPr>
          <w:rFonts w:ascii="Arial" w:hAnsi="Arial" w:cs="Arial"/>
          <w:sz w:val="22"/>
          <w:szCs w:val="22"/>
        </w:rPr>
        <w:t xml:space="preserve">and </w:t>
      </w:r>
      <w:r w:rsidR="002B7AE6" w:rsidRPr="44A265BC">
        <w:rPr>
          <w:rFonts w:ascii="Arial" w:hAnsi="Arial" w:cs="Arial"/>
          <w:sz w:val="22"/>
          <w:szCs w:val="22"/>
        </w:rPr>
        <w:t>was later</w:t>
      </w:r>
      <w:r w:rsidRPr="44A265BC">
        <w:rPr>
          <w:rFonts w:ascii="Arial" w:hAnsi="Arial" w:cs="Arial"/>
          <w:sz w:val="22"/>
          <w:szCs w:val="22"/>
        </w:rPr>
        <w:t xml:space="preserve"> exten</w:t>
      </w:r>
      <w:r w:rsidR="002B7AE6" w:rsidRPr="44A265BC">
        <w:rPr>
          <w:rFonts w:ascii="Arial" w:hAnsi="Arial" w:cs="Arial"/>
          <w:sz w:val="22"/>
          <w:szCs w:val="22"/>
        </w:rPr>
        <w:t>ded</w:t>
      </w:r>
      <w:r w:rsidRPr="44A265BC">
        <w:rPr>
          <w:rFonts w:ascii="Arial" w:hAnsi="Arial" w:cs="Arial"/>
          <w:sz w:val="22"/>
          <w:szCs w:val="22"/>
        </w:rPr>
        <w:t xml:space="preserve"> </w:t>
      </w:r>
      <w:r w:rsidR="00DF3168" w:rsidRPr="44A265BC">
        <w:rPr>
          <w:rFonts w:ascii="Arial" w:hAnsi="Arial" w:cs="Arial"/>
          <w:sz w:val="22"/>
          <w:szCs w:val="22"/>
        </w:rPr>
        <w:t xml:space="preserve">to </w:t>
      </w:r>
      <w:r w:rsidRPr="44A265BC">
        <w:rPr>
          <w:rFonts w:ascii="Arial" w:hAnsi="Arial" w:cs="Arial"/>
          <w:sz w:val="22"/>
          <w:szCs w:val="22"/>
        </w:rPr>
        <w:t xml:space="preserve">December 2021. The </w:t>
      </w:r>
      <w:r w:rsidR="00573598" w:rsidRPr="44A265BC">
        <w:rPr>
          <w:rFonts w:ascii="Arial" w:hAnsi="Arial" w:cs="Arial"/>
          <w:sz w:val="22"/>
          <w:szCs w:val="22"/>
        </w:rPr>
        <w:t>GP</w:t>
      </w:r>
      <w:r w:rsidR="00482B89" w:rsidRPr="44A265BC">
        <w:rPr>
          <w:rFonts w:ascii="Arial" w:hAnsi="Arial" w:cs="Arial"/>
          <w:sz w:val="22"/>
          <w:szCs w:val="22"/>
        </w:rPr>
        <w:t>, implemented by the</w:t>
      </w:r>
      <w:r w:rsidRPr="44A265BC">
        <w:rPr>
          <w:rFonts w:ascii="Arial" w:hAnsi="Arial" w:cs="Arial"/>
          <w:sz w:val="22"/>
          <w:szCs w:val="22"/>
        </w:rPr>
        <w:t xml:space="preserve"> </w:t>
      </w:r>
      <w:r w:rsidR="00482B89" w:rsidRPr="44A265BC">
        <w:rPr>
          <w:rFonts w:ascii="Arial" w:hAnsi="Arial" w:cs="Arial"/>
          <w:sz w:val="22"/>
          <w:szCs w:val="22"/>
        </w:rPr>
        <w:t>UNDP R</w:t>
      </w:r>
      <w:r w:rsidR="00066283">
        <w:rPr>
          <w:rFonts w:ascii="Arial" w:hAnsi="Arial" w:cs="Arial"/>
          <w:sz w:val="22"/>
          <w:szCs w:val="22"/>
        </w:rPr>
        <w:t>O</w:t>
      </w:r>
      <w:r w:rsidR="00482B89" w:rsidRPr="44A265BC">
        <w:rPr>
          <w:rFonts w:ascii="Arial" w:hAnsi="Arial" w:cs="Arial"/>
          <w:sz w:val="22"/>
          <w:szCs w:val="22"/>
        </w:rPr>
        <w:t xml:space="preserve">LSHR team, </w:t>
      </w:r>
      <w:r w:rsidRPr="44A265BC">
        <w:rPr>
          <w:rFonts w:ascii="Arial" w:hAnsi="Arial" w:cs="Arial"/>
          <w:sz w:val="22"/>
          <w:szCs w:val="22"/>
        </w:rPr>
        <w:t xml:space="preserve">provides </w:t>
      </w:r>
      <w:r w:rsidR="00482B89" w:rsidRPr="44A265BC">
        <w:rPr>
          <w:rFonts w:ascii="Arial" w:hAnsi="Arial" w:cs="Arial"/>
          <w:sz w:val="22"/>
          <w:szCs w:val="22"/>
        </w:rPr>
        <w:t xml:space="preserve">direct </w:t>
      </w:r>
      <w:r w:rsidRPr="44A265BC">
        <w:rPr>
          <w:rFonts w:ascii="Arial" w:hAnsi="Arial" w:cs="Arial"/>
          <w:sz w:val="22"/>
          <w:szCs w:val="22"/>
        </w:rPr>
        <w:t xml:space="preserve">financial and technical support to </w:t>
      </w:r>
      <w:r w:rsidR="6D3662F3" w:rsidRPr="44A265BC">
        <w:rPr>
          <w:rFonts w:ascii="Arial" w:hAnsi="Arial" w:cs="Arial"/>
          <w:sz w:val="22"/>
          <w:szCs w:val="22"/>
        </w:rPr>
        <w:t>over</w:t>
      </w:r>
      <w:r w:rsidRPr="44A265BC">
        <w:rPr>
          <w:rFonts w:ascii="Arial" w:hAnsi="Arial" w:cs="Arial"/>
          <w:sz w:val="22"/>
          <w:szCs w:val="22"/>
        </w:rPr>
        <w:t xml:space="preserve"> 40 countries and ha</w:t>
      </w:r>
      <w:r w:rsidR="0095024A" w:rsidRPr="44A265BC">
        <w:rPr>
          <w:rFonts w:ascii="Arial" w:hAnsi="Arial" w:cs="Arial"/>
          <w:sz w:val="22"/>
          <w:szCs w:val="22"/>
        </w:rPr>
        <w:t>s a</w:t>
      </w:r>
      <w:r w:rsidRPr="44A265BC">
        <w:rPr>
          <w:rFonts w:ascii="Arial" w:hAnsi="Arial" w:cs="Arial"/>
          <w:sz w:val="22"/>
          <w:szCs w:val="22"/>
        </w:rPr>
        <w:t xml:space="preserve"> </w:t>
      </w:r>
      <w:r w:rsidR="002B7AE6" w:rsidRPr="44A265BC">
        <w:rPr>
          <w:rFonts w:ascii="Arial" w:hAnsi="Arial" w:cs="Arial"/>
          <w:sz w:val="22"/>
          <w:szCs w:val="22"/>
        </w:rPr>
        <w:t>significant</w:t>
      </w:r>
      <w:r w:rsidRPr="44A265BC">
        <w:rPr>
          <w:rFonts w:ascii="Arial" w:hAnsi="Arial" w:cs="Arial"/>
          <w:sz w:val="22"/>
          <w:szCs w:val="22"/>
        </w:rPr>
        <w:t xml:space="preserve"> responsibility to lead and support policy development and guidance </w:t>
      </w:r>
      <w:r w:rsidR="00E46CC4" w:rsidRPr="44A265BC">
        <w:rPr>
          <w:rFonts w:ascii="Arial" w:hAnsi="Arial" w:cs="Arial"/>
          <w:sz w:val="22"/>
          <w:szCs w:val="22"/>
        </w:rPr>
        <w:t>to internal and external partners</w:t>
      </w:r>
      <w:r w:rsidRPr="44A265BC">
        <w:rPr>
          <w:rFonts w:ascii="Arial" w:hAnsi="Arial" w:cs="Arial"/>
          <w:sz w:val="22"/>
          <w:szCs w:val="22"/>
        </w:rPr>
        <w:t xml:space="preserve">, </w:t>
      </w:r>
      <w:r w:rsidR="00E46CC4" w:rsidRPr="44A265BC">
        <w:rPr>
          <w:rFonts w:ascii="Arial" w:hAnsi="Arial" w:cs="Arial"/>
          <w:sz w:val="22"/>
          <w:szCs w:val="22"/>
        </w:rPr>
        <w:t xml:space="preserve">particularly </w:t>
      </w:r>
      <w:r w:rsidRPr="44A265BC">
        <w:rPr>
          <w:rFonts w:ascii="Arial" w:hAnsi="Arial" w:cs="Arial"/>
          <w:sz w:val="22"/>
          <w:szCs w:val="22"/>
        </w:rPr>
        <w:t xml:space="preserve">in the context of the SDG and Sustaining Peace agendas. </w:t>
      </w:r>
    </w:p>
    <w:p w14:paraId="5B5A9F5E" w14:textId="33E57AA1" w:rsidR="00573598" w:rsidRPr="00573598" w:rsidRDefault="00AB5BA1" w:rsidP="00AB5BA1">
      <w:pPr>
        <w:autoSpaceDE w:val="0"/>
        <w:autoSpaceDN w:val="0"/>
        <w:adjustRightInd w:val="0"/>
        <w:spacing w:after="0" w:line="240" w:lineRule="auto"/>
        <w:rPr>
          <w:rFonts w:ascii="Arial" w:hAnsi="Arial" w:cs="Arial"/>
          <w:sz w:val="22"/>
          <w:szCs w:val="22"/>
        </w:rPr>
      </w:pPr>
      <w:r w:rsidRPr="008414F3">
        <w:rPr>
          <w:rFonts w:ascii="Arial" w:hAnsi="Arial" w:cs="Arial"/>
          <w:sz w:val="22"/>
          <w:szCs w:val="22"/>
        </w:rPr>
        <w:t>As outlined in the Phase 3 Project Document (“Prodoc”), seven interlinked thematic areas form the blueprint for the GP’s engagement: Political Engagement; Institution Building; Community Security; Human Rights Systems; Access to Justice; Transitional Justice; and Gender Justice</w:t>
      </w:r>
      <w:r>
        <w:rPr>
          <w:rFonts w:ascii="CIDFont+F1" w:hAnsi="CIDFont+F1" w:cs="CIDFont+F1"/>
          <w:sz w:val="24"/>
          <w:szCs w:val="24"/>
        </w:rPr>
        <w:t xml:space="preserve">. </w:t>
      </w:r>
      <w:r w:rsidR="29998694" w:rsidRPr="006A57E1">
        <w:rPr>
          <w:rFonts w:ascii="Arial" w:hAnsi="Arial" w:cs="Arial"/>
          <w:sz w:val="22"/>
          <w:szCs w:val="22"/>
        </w:rPr>
        <w:t xml:space="preserve"> </w:t>
      </w:r>
      <w:r w:rsidR="008414F3">
        <w:rPr>
          <w:rFonts w:ascii="Arial" w:hAnsi="Arial" w:cs="Arial"/>
          <w:sz w:val="22"/>
          <w:szCs w:val="22"/>
        </w:rPr>
        <w:t xml:space="preserve">Those broad themes </w:t>
      </w:r>
      <w:r w:rsidR="004437E4">
        <w:rPr>
          <w:rFonts w:ascii="Arial" w:hAnsi="Arial" w:cs="Arial"/>
          <w:sz w:val="22"/>
          <w:szCs w:val="22"/>
        </w:rPr>
        <w:t xml:space="preserve">are </w:t>
      </w:r>
      <w:r w:rsidR="008414F3">
        <w:rPr>
          <w:rFonts w:ascii="Arial" w:hAnsi="Arial" w:cs="Arial"/>
          <w:sz w:val="22"/>
          <w:szCs w:val="22"/>
        </w:rPr>
        <w:t>defined in more detail as programme outputs</w:t>
      </w:r>
      <w:r w:rsidR="008414F3" w:rsidRPr="008414F3">
        <w:rPr>
          <w:rFonts w:ascii="Arial" w:hAnsi="Arial" w:cs="Arial"/>
          <w:sz w:val="22"/>
          <w:szCs w:val="22"/>
        </w:rPr>
        <w:t xml:space="preserve"> </w:t>
      </w:r>
      <w:r w:rsidR="008414F3">
        <w:rPr>
          <w:rFonts w:ascii="Arial" w:hAnsi="Arial" w:cs="Arial"/>
          <w:sz w:val="22"/>
          <w:szCs w:val="22"/>
        </w:rPr>
        <w:t>in the GP Results Framework,</w:t>
      </w:r>
      <w:r w:rsidR="008414F3" w:rsidRPr="00573598">
        <w:rPr>
          <w:rFonts w:ascii="Arial" w:hAnsi="Arial" w:cs="Arial"/>
          <w:sz w:val="22"/>
          <w:szCs w:val="22"/>
        </w:rPr>
        <w:t xml:space="preserve"> </w:t>
      </w:r>
      <w:r w:rsidR="29998694" w:rsidRPr="00573598">
        <w:rPr>
          <w:rFonts w:ascii="Arial" w:hAnsi="Arial" w:cs="Arial"/>
          <w:sz w:val="22"/>
          <w:szCs w:val="22"/>
        </w:rPr>
        <w:t>as follows:</w:t>
      </w:r>
    </w:p>
    <w:p w14:paraId="3EA0BAEE" w14:textId="7298307D" w:rsidR="00573598" w:rsidRPr="004437E4" w:rsidRDefault="00573598" w:rsidP="00573598">
      <w:pPr>
        <w:pStyle w:val="Default"/>
        <w:spacing w:after="120"/>
        <w:ind w:left="720"/>
        <w:rPr>
          <w:rFonts w:ascii="Arial" w:hAnsi="Arial" w:cs="Arial"/>
          <w:sz w:val="22"/>
          <w:szCs w:val="22"/>
        </w:rPr>
      </w:pPr>
      <w:r w:rsidRPr="004437E4">
        <w:rPr>
          <w:rFonts w:ascii="Arial" w:hAnsi="Arial" w:cs="Arial"/>
          <w:sz w:val="22"/>
          <w:szCs w:val="22"/>
        </w:rPr>
        <w:t xml:space="preserve">1. </w:t>
      </w:r>
      <w:r w:rsidR="004437E4" w:rsidRPr="004437E4">
        <w:rPr>
          <w:rFonts w:ascii="Arial" w:hAnsi="Arial" w:cs="Arial"/>
          <w:color w:val="auto"/>
          <w:sz w:val="22"/>
          <w:szCs w:val="22"/>
        </w:rPr>
        <w:t>A political environment that strengthens rule of law and human rights is further enabled.</w:t>
      </w:r>
    </w:p>
    <w:p w14:paraId="373017E0" w14:textId="6DA3E5F3" w:rsidR="00573598" w:rsidRPr="004437E4" w:rsidRDefault="00573598" w:rsidP="00573598">
      <w:pPr>
        <w:pStyle w:val="Default"/>
        <w:spacing w:after="120"/>
        <w:ind w:left="720"/>
        <w:rPr>
          <w:rFonts w:ascii="Arial" w:hAnsi="Arial" w:cs="Arial"/>
          <w:sz w:val="22"/>
          <w:szCs w:val="22"/>
        </w:rPr>
      </w:pPr>
      <w:r w:rsidRPr="004437E4">
        <w:rPr>
          <w:rFonts w:ascii="Arial" w:hAnsi="Arial" w:cs="Arial"/>
          <w:sz w:val="22"/>
          <w:szCs w:val="22"/>
        </w:rPr>
        <w:t xml:space="preserve">2. </w:t>
      </w:r>
      <w:r w:rsidR="004437E4" w:rsidRPr="004437E4">
        <w:rPr>
          <w:rFonts w:ascii="Arial" w:hAnsi="Arial" w:cs="Arial"/>
          <w:color w:val="auto"/>
          <w:sz w:val="22"/>
          <w:szCs w:val="22"/>
        </w:rPr>
        <w:t>Capable justice and security institutions are established and strengthened to increase and improve service delivery in crisis-affected and transitional settings.</w:t>
      </w:r>
    </w:p>
    <w:p w14:paraId="5706FD6F" w14:textId="77777777" w:rsidR="00A6109E" w:rsidRDefault="00573598" w:rsidP="00573598">
      <w:pPr>
        <w:pStyle w:val="Default"/>
        <w:spacing w:after="120"/>
        <w:ind w:left="720"/>
        <w:rPr>
          <w:rFonts w:ascii="Arial" w:hAnsi="Arial" w:cs="Arial"/>
          <w:color w:val="auto"/>
          <w:sz w:val="22"/>
          <w:szCs w:val="22"/>
        </w:rPr>
      </w:pPr>
      <w:r w:rsidRPr="004437E4">
        <w:rPr>
          <w:rFonts w:ascii="Arial" w:hAnsi="Arial" w:cs="Arial"/>
          <w:sz w:val="22"/>
          <w:szCs w:val="22"/>
        </w:rPr>
        <w:t xml:space="preserve">3. </w:t>
      </w:r>
      <w:r w:rsidR="004437E4" w:rsidRPr="004437E4">
        <w:rPr>
          <w:rFonts w:ascii="Arial" w:hAnsi="Arial" w:cs="Arial"/>
          <w:color w:val="auto"/>
          <w:sz w:val="22"/>
          <w:szCs w:val="22"/>
        </w:rPr>
        <w:t>Comprehensive community security approaches are developed, strengthened, and/or applied.</w:t>
      </w:r>
    </w:p>
    <w:p w14:paraId="5B469809" w14:textId="7E09BF90" w:rsidR="00573598" w:rsidRPr="004437E4" w:rsidRDefault="00573598" w:rsidP="00573598">
      <w:pPr>
        <w:pStyle w:val="Default"/>
        <w:spacing w:after="120"/>
        <w:ind w:left="720"/>
        <w:rPr>
          <w:rFonts w:ascii="Arial" w:hAnsi="Arial" w:cs="Arial"/>
          <w:sz w:val="22"/>
          <w:szCs w:val="22"/>
        </w:rPr>
      </w:pPr>
      <w:r w:rsidRPr="004437E4">
        <w:rPr>
          <w:rFonts w:ascii="Arial" w:hAnsi="Arial" w:cs="Arial"/>
          <w:sz w:val="22"/>
          <w:szCs w:val="22"/>
        </w:rPr>
        <w:t xml:space="preserve">4. </w:t>
      </w:r>
      <w:r w:rsidR="004437E4" w:rsidRPr="004437E4">
        <w:rPr>
          <w:rFonts w:ascii="Arial" w:hAnsi="Arial" w:cs="Arial"/>
          <w:color w:val="auto"/>
          <w:sz w:val="22"/>
          <w:szCs w:val="22"/>
        </w:rPr>
        <w:t>National human rights systems are strengthened and made more effective in promoting and protecting human rights.</w:t>
      </w:r>
    </w:p>
    <w:p w14:paraId="3E43675D" w14:textId="7F5CC643" w:rsidR="00573598" w:rsidRPr="004437E4" w:rsidRDefault="00573598" w:rsidP="00573598">
      <w:pPr>
        <w:pStyle w:val="Default"/>
        <w:spacing w:after="120"/>
        <w:ind w:left="720"/>
        <w:rPr>
          <w:rFonts w:ascii="Arial" w:hAnsi="Arial" w:cs="Arial"/>
          <w:sz w:val="22"/>
          <w:szCs w:val="22"/>
        </w:rPr>
      </w:pPr>
      <w:r w:rsidRPr="004437E4">
        <w:rPr>
          <w:rFonts w:ascii="Arial" w:hAnsi="Arial" w:cs="Arial"/>
          <w:sz w:val="22"/>
          <w:szCs w:val="22"/>
        </w:rPr>
        <w:t xml:space="preserve">5. </w:t>
      </w:r>
      <w:r w:rsidR="004437E4" w:rsidRPr="004437E4">
        <w:rPr>
          <w:rFonts w:ascii="Arial" w:hAnsi="Arial" w:cs="Arial"/>
          <w:color w:val="auto"/>
          <w:sz w:val="22"/>
          <w:szCs w:val="22"/>
        </w:rPr>
        <w:t>Access to justice for all is increased – particularly for vulnerable and marginalized groups, including minorities – and discrimination, exclusion and other drivers</w:t>
      </w:r>
      <w:r w:rsidR="00E7403C">
        <w:rPr>
          <w:rFonts w:ascii="Arial" w:hAnsi="Arial" w:cs="Arial"/>
          <w:color w:val="auto"/>
          <w:sz w:val="22"/>
          <w:szCs w:val="22"/>
        </w:rPr>
        <w:t>.</w:t>
      </w:r>
    </w:p>
    <w:p w14:paraId="3AE12950" w14:textId="5A705C98" w:rsidR="00573598" w:rsidRPr="004437E4" w:rsidRDefault="00573598" w:rsidP="00573598">
      <w:pPr>
        <w:pStyle w:val="Default"/>
        <w:spacing w:after="120"/>
        <w:ind w:left="720"/>
        <w:rPr>
          <w:rFonts w:ascii="Arial" w:hAnsi="Arial" w:cs="Arial"/>
          <w:sz w:val="22"/>
          <w:szCs w:val="22"/>
        </w:rPr>
      </w:pPr>
      <w:r w:rsidRPr="004437E4">
        <w:rPr>
          <w:rFonts w:ascii="Arial" w:hAnsi="Arial" w:cs="Arial"/>
          <w:sz w:val="22"/>
          <w:szCs w:val="22"/>
        </w:rPr>
        <w:t xml:space="preserve">6. </w:t>
      </w:r>
      <w:r w:rsidR="004437E4" w:rsidRPr="004437E4">
        <w:rPr>
          <w:rFonts w:ascii="Arial" w:hAnsi="Arial" w:cs="Arial"/>
          <w:color w:val="auto"/>
          <w:sz w:val="22"/>
          <w:szCs w:val="22"/>
        </w:rPr>
        <w:t>Transitional justice processes and/or mechanisms are promoted in conflict-affected contexts</w:t>
      </w:r>
      <w:r w:rsidR="00E7403C">
        <w:rPr>
          <w:rFonts w:ascii="Arial" w:hAnsi="Arial" w:cs="Arial"/>
          <w:color w:val="auto"/>
          <w:sz w:val="22"/>
          <w:szCs w:val="22"/>
        </w:rPr>
        <w:t>.</w:t>
      </w:r>
    </w:p>
    <w:p w14:paraId="6AFAA353" w14:textId="3A2CFF6F" w:rsidR="00573598" w:rsidRDefault="00573598" w:rsidP="00573598">
      <w:pPr>
        <w:pStyle w:val="Default"/>
        <w:spacing w:after="120"/>
        <w:ind w:left="720"/>
        <w:rPr>
          <w:rFonts w:ascii="Arial" w:hAnsi="Arial" w:cs="Arial"/>
          <w:sz w:val="22"/>
          <w:szCs w:val="22"/>
        </w:rPr>
      </w:pPr>
      <w:r w:rsidRPr="004437E4">
        <w:rPr>
          <w:rFonts w:ascii="Arial" w:hAnsi="Arial" w:cs="Arial"/>
          <w:sz w:val="22"/>
          <w:szCs w:val="22"/>
        </w:rPr>
        <w:t xml:space="preserve">7. </w:t>
      </w:r>
      <w:r w:rsidR="004437E4" w:rsidRPr="004437E4">
        <w:rPr>
          <w:rFonts w:ascii="Arial" w:hAnsi="Arial" w:cs="Arial"/>
          <w:color w:val="auto"/>
          <w:sz w:val="22"/>
          <w:szCs w:val="22"/>
        </w:rPr>
        <w:t>Human rights, access to justice, and security for women and girls are increased</w:t>
      </w:r>
      <w:r w:rsidR="00E7403C">
        <w:rPr>
          <w:rFonts w:ascii="Arial" w:hAnsi="Arial" w:cs="Arial"/>
          <w:color w:val="auto"/>
          <w:sz w:val="22"/>
          <w:szCs w:val="22"/>
        </w:rPr>
        <w:t>.</w:t>
      </w:r>
    </w:p>
    <w:p w14:paraId="56F5DE63" w14:textId="44806C12" w:rsidR="001B027A" w:rsidRDefault="002B3351" w:rsidP="008414F3">
      <w:pPr>
        <w:pStyle w:val="Default"/>
        <w:spacing w:after="120"/>
        <w:rPr>
          <w:rFonts w:ascii="Arial" w:hAnsi="Arial" w:cs="Arial"/>
          <w:i/>
          <w:iCs/>
          <w:sz w:val="22"/>
          <w:szCs w:val="22"/>
        </w:rPr>
      </w:pPr>
      <w:r>
        <w:rPr>
          <w:rFonts w:ascii="Arial" w:hAnsi="Arial" w:cs="Arial"/>
          <w:sz w:val="22"/>
          <w:szCs w:val="22"/>
        </w:rPr>
        <w:t xml:space="preserve">The GP Phase 3 </w:t>
      </w:r>
      <w:r w:rsidRPr="00573598">
        <w:rPr>
          <w:rFonts w:ascii="Arial" w:hAnsi="Arial" w:cs="Arial"/>
          <w:sz w:val="22"/>
          <w:szCs w:val="22"/>
        </w:rPr>
        <w:t>Theory of Change</w:t>
      </w:r>
      <w:r>
        <w:rPr>
          <w:rFonts w:ascii="Arial" w:hAnsi="Arial" w:cs="Arial"/>
          <w:sz w:val="22"/>
          <w:szCs w:val="22"/>
        </w:rPr>
        <w:t xml:space="preserve"> (sh</w:t>
      </w:r>
      <w:r w:rsidRPr="006A57E1">
        <w:rPr>
          <w:rFonts w:ascii="Arial" w:hAnsi="Arial" w:cs="Arial"/>
          <w:sz w:val="22"/>
          <w:szCs w:val="22"/>
        </w:rPr>
        <w:t xml:space="preserve">own in </w:t>
      </w:r>
      <w:r w:rsidRPr="3622381C">
        <w:rPr>
          <w:rFonts w:ascii="Arial" w:hAnsi="Arial" w:cs="Arial"/>
          <w:i/>
          <w:iCs/>
          <w:color w:val="2B579A"/>
          <w:sz w:val="22"/>
          <w:szCs w:val="22"/>
          <w:shd w:val="clear" w:color="auto" w:fill="E6E6E6"/>
        </w:rPr>
        <w:fldChar w:fldCharType="begin"/>
      </w:r>
      <w:r w:rsidRPr="3622381C">
        <w:rPr>
          <w:rFonts w:ascii="Arial" w:hAnsi="Arial" w:cs="Arial"/>
          <w:i/>
          <w:iCs/>
          <w:sz w:val="22"/>
          <w:szCs w:val="22"/>
        </w:rPr>
        <w:instrText xml:space="preserve"> REF _Ref70154291 \h  \* MERGEFORMAT </w:instrText>
      </w:r>
      <w:r w:rsidRPr="3622381C">
        <w:rPr>
          <w:rFonts w:ascii="Arial" w:hAnsi="Arial" w:cs="Arial"/>
          <w:i/>
          <w:iCs/>
          <w:color w:val="2B579A"/>
          <w:sz w:val="22"/>
          <w:szCs w:val="22"/>
          <w:shd w:val="clear" w:color="auto" w:fill="E6E6E6"/>
        </w:rPr>
      </w:r>
      <w:r w:rsidRPr="3622381C">
        <w:rPr>
          <w:rFonts w:ascii="Arial" w:hAnsi="Arial" w:cs="Arial"/>
          <w:i/>
          <w:iCs/>
          <w:color w:val="2B579A"/>
          <w:sz w:val="22"/>
          <w:szCs w:val="22"/>
          <w:shd w:val="clear" w:color="auto" w:fill="E6E6E6"/>
        </w:rPr>
        <w:fldChar w:fldCharType="separate"/>
      </w:r>
      <w:r w:rsidR="00036841" w:rsidRPr="00036841">
        <w:rPr>
          <w:rFonts w:ascii="Arial" w:hAnsi="Arial" w:cs="Arial"/>
          <w:i/>
          <w:iCs/>
          <w:sz w:val="22"/>
          <w:szCs w:val="22"/>
          <w:lang w:val="en-US" w:eastAsia="de-DE"/>
        </w:rPr>
        <w:t>Annex 2</w:t>
      </w:r>
      <w:r w:rsidR="00036841">
        <w:rPr>
          <w:lang w:val="en-US" w:eastAsia="de-DE"/>
        </w:rPr>
        <w:t xml:space="preserve">: </w:t>
      </w:r>
      <w:r w:rsidR="00036841">
        <w:t>Global Programme Phase III Theory of Change</w:t>
      </w:r>
      <w:r w:rsidRPr="3622381C">
        <w:rPr>
          <w:rFonts w:ascii="Arial" w:hAnsi="Arial" w:cs="Arial"/>
          <w:i/>
          <w:iCs/>
          <w:color w:val="2B579A"/>
          <w:sz w:val="22"/>
          <w:szCs w:val="22"/>
          <w:shd w:val="clear" w:color="auto" w:fill="E6E6E6"/>
        </w:rPr>
        <w:fldChar w:fldCharType="end"/>
      </w:r>
      <w:r w:rsidRPr="3622381C">
        <w:rPr>
          <w:rFonts w:ascii="Arial" w:hAnsi="Arial" w:cs="Arial"/>
          <w:i/>
          <w:iCs/>
          <w:sz w:val="22"/>
          <w:szCs w:val="22"/>
        </w:rPr>
        <w:t>)</w:t>
      </w:r>
      <w:r>
        <w:rPr>
          <w:rFonts w:ascii="Arial" w:hAnsi="Arial" w:cs="Arial"/>
          <w:i/>
          <w:iCs/>
          <w:sz w:val="22"/>
          <w:szCs w:val="22"/>
        </w:rPr>
        <w:t xml:space="preserve"> </w:t>
      </w:r>
      <w:r w:rsidRPr="008414F3">
        <w:rPr>
          <w:rFonts w:ascii="Arial" w:hAnsi="Arial" w:cs="Arial"/>
          <w:sz w:val="22"/>
          <w:szCs w:val="22"/>
        </w:rPr>
        <w:t xml:space="preserve">presents </w:t>
      </w:r>
      <w:r>
        <w:rPr>
          <w:rFonts w:ascii="Arial" w:hAnsi="Arial" w:cs="Arial"/>
          <w:sz w:val="22"/>
          <w:szCs w:val="22"/>
        </w:rPr>
        <w:t xml:space="preserve">the overarching programme goal and </w:t>
      </w:r>
      <w:r w:rsidRPr="008414F3">
        <w:rPr>
          <w:rFonts w:ascii="Arial" w:hAnsi="Arial" w:cs="Arial"/>
          <w:sz w:val="22"/>
          <w:szCs w:val="22"/>
        </w:rPr>
        <w:t>th</w:t>
      </w:r>
      <w:r>
        <w:rPr>
          <w:rFonts w:ascii="Arial" w:hAnsi="Arial" w:cs="Arial"/>
          <w:sz w:val="22"/>
          <w:szCs w:val="22"/>
        </w:rPr>
        <w:t xml:space="preserve">ose seven </w:t>
      </w:r>
      <w:r w:rsidRPr="008414F3">
        <w:rPr>
          <w:rFonts w:ascii="Arial" w:hAnsi="Arial" w:cs="Arial"/>
          <w:sz w:val="22"/>
          <w:szCs w:val="22"/>
        </w:rPr>
        <w:t>outputs</w:t>
      </w:r>
      <w:r>
        <w:rPr>
          <w:rFonts w:ascii="Arial" w:hAnsi="Arial" w:cs="Arial"/>
          <w:sz w:val="22"/>
          <w:szCs w:val="22"/>
        </w:rPr>
        <w:t xml:space="preserve"> in diagram form</w:t>
      </w:r>
      <w:r w:rsidRPr="008414F3">
        <w:rPr>
          <w:rFonts w:ascii="Arial" w:hAnsi="Arial" w:cs="Arial"/>
          <w:sz w:val="22"/>
          <w:szCs w:val="22"/>
        </w:rPr>
        <w:t>.</w:t>
      </w:r>
      <w:r>
        <w:rPr>
          <w:rFonts w:ascii="Arial" w:hAnsi="Arial" w:cs="Arial"/>
          <w:i/>
          <w:iCs/>
          <w:sz w:val="22"/>
          <w:szCs w:val="22"/>
        </w:rPr>
        <w:t xml:space="preserve"> </w:t>
      </w:r>
      <w:r w:rsidR="008414F3">
        <w:rPr>
          <w:rFonts w:ascii="Arial" w:hAnsi="Arial" w:cs="Arial"/>
          <w:sz w:val="22"/>
          <w:szCs w:val="22"/>
        </w:rPr>
        <w:t xml:space="preserve">An additional cross-cutting output appears in the Results Framework: </w:t>
      </w:r>
      <w:r w:rsidR="008414F3" w:rsidRPr="00D45F35">
        <w:rPr>
          <w:rFonts w:ascii="Arial" w:hAnsi="Arial" w:cs="Arial"/>
          <w:bCs/>
          <w:i/>
          <w:iCs/>
          <w:color w:val="auto"/>
          <w:sz w:val="22"/>
          <w:szCs w:val="22"/>
        </w:rPr>
        <w:t>8. High quality programming is assured through improved quality assurance processes, mainstreamed human rights in programming, and strengthening of external partnerships</w:t>
      </w:r>
      <w:r w:rsidR="008414F3" w:rsidRPr="001B027A">
        <w:rPr>
          <w:rFonts w:ascii="Arial" w:hAnsi="Arial" w:cs="Arial"/>
          <w:bCs/>
          <w:color w:val="auto"/>
          <w:sz w:val="22"/>
          <w:szCs w:val="22"/>
        </w:rPr>
        <w:t>.</w:t>
      </w:r>
      <w:r w:rsidR="008414F3">
        <w:rPr>
          <w:rFonts w:ascii="Arial" w:hAnsi="Arial" w:cs="Arial"/>
          <w:bCs/>
          <w:color w:val="auto"/>
          <w:sz w:val="22"/>
          <w:szCs w:val="22"/>
        </w:rPr>
        <w:t xml:space="preserve"> </w:t>
      </w:r>
    </w:p>
    <w:p w14:paraId="7BD6C996" w14:textId="14F93BED" w:rsidR="00FB015E" w:rsidRPr="00573598" w:rsidRDefault="00FB015E" w:rsidP="00FB015E">
      <w:pPr>
        <w:spacing w:line="240" w:lineRule="auto"/>
        <w:rPr>
          <w:rFonts w:ascii="Arial" w:hAnsi="Arial" w:cs="Arial"/>
          <w:sz w:val="22"/>
          <w:szCs w:val="22"/>
          <w:lang w:val="en-US"/>
        </w:rPr>
      </w:pPr>
      <w:r w:rsidRPr="415DC326">
        <w:rPr>
          <w:rFonts w:ascii="Arial" w:hAnsi="Arial" w:cs="Arial"/>
          <w:sz w:val="22"/>
          <w:szCs w:val="22"/>
        </w:rPr>
        <w:t xml:space="preserve">The </w:t>
      </w:r>
      <w:r w:rsidR="00647C3E" w:rsidRPr="415DC326">
        <w:rPr>
          <w:rFonts w:ascii="Arial" w:hAnsi="Arial" w:cs="Arial"/>
          <w:sz w:val="22"/>
          <w:szCs w:val="22"/>
        </w:rPr>
        <w:t>GP/</w:t>
      </w:r>
      <w:r w:rsidRPr="415DC326">
        <w:rPr>
          <w:rFonts w:ascii="Arial" w:hAnsi="Arial" w:cs="Arial"/>
          <w:sz w:val="22"/>
          <w:szCs w:val="22"/>
        </w:rPr>
        <w:t xml:space="preserve">ROLSHR team supports diverse initiatives related to those thematic areas at </w:t>
      </w:r>
      <w:r w:rsidR="00CB48A1">
        <w:rPr>
          <w:rFonts w:ascii="Arial" w:hAnsi="Arial" w:cs="Arial"/>
          <w:sz w:val="22"/>
          <w:szCs w:val="22"/>
        </w:rPr>
        <w:t>the global, regional and</w:t>
      </w:r>
      <w:r w:rsidR="00CB48A1" w:rsidRPr="415DC326">
        <w:rPr>
          <w:rFonts w:ascii="Arial" w:hAnsi="Arial" w:cs="Arial"/>
          <w:sz w:val="22"/>
          <w:szCs w:val="22"/>
        </w:rPr>
        <w:t xml:space="preserve"> </w:t>
      </w:r>
      <w:r w:rsidRPr="415DC326">
        <w:rPr>
          <w:rFonts w:ascii="Arial" w:hAnsi="Arial" w:cs="Arial"/>
          <w:sz w:val="22"/>
          <w:szCs w:val="22"/>
        </w:rPr>
        <w:t xml:space="preserve">country </w:t>
      </w:r>
      <w:r w:rsidR="4B34D5AF" w:rsidRPr="415DC326">
        <w:rPr>
          <w:rFonts w:ascii="Arial" w:hAnsi="Arial" w:cs="Arial"/>
          <w:sz w:val="22"/>
          <w:szCs w:val="22"/>
        </w:rPr>
        <w:t>levels</w:t>
      </w:r>
      <w:r w:rsidR="002B3351">
        <w:rPr>
          <w:rFonts w:ascii="Arial" w:hAnsi="Arial" w:cs="Arial"/>
          <w:sz w:val="22"/>
          <w:szCs w:val="22"/>
        </w:rPr>
        <w:t>,</w:t>
      </w:r>
      <w:r w:rsidR="4B34D5AF" w:rsidRPr="415DC326">
        <w:rPr>
          <w:rFonts w:ascii="Arial" w:hAnsi="Arial" w:cs="Arial"/>
          <w:sz w:val="22"/>
          <w:szCs w:val="22"/>
        </w:rPr>
        <w:t xml:space="preserve"> and</w:t>
      </w:r>
      <w:r w:rsidRPr="415DC326">
        <w:rPr>
          <w:rFonts w:ascii="Arial" w:hAnsi="Arial" w:cs="Arial"/>
          <w:sz w:val="22"/>
          <w:szCs w:val="22"/>
        </w:rPr>
        <w:t xml:space="preserve"> </w:t>
      </w:r>
      <w:r w:rsidR="00CB48A1">
        <w:rPr>
          <w:rFonts w:ascii="Arial" w:hAnsi="Arial" w:cs="Arial"/>
          <w:sz w:val="22"/>
          <w:szCs w:val="22"/>
        </w:rPr>
        <w:t xml:space="preserve">has dedicated focal points within the team to </w:t>
      </w:r>
      <w:r w:rsidRPr="415DC326">
        <w:rPr>
          <w:rFonts w:ascii="Arial" w:hAnsi="Arial" w:cs="Arial"/>
          <w:sz w:val="22"/>
          <w:szCs w:val="22"/>
        </w:rPr>
        <w:t xml:space="preserve">maintain regular contact with UNDP Country </w:t>
      </w:r>
      <w:r w:rsidR="002B7AE6" w:rsidRPr="415DC326">
        <w:rPr>
          <w:rFonts w:ascii="Arial" w:hAnsi="Arial" w:cs="Arial"/>
          <w:sz w:val="22"/>
          <w:szCs w:val="22"/>
        </w:rPr>
        <w:t>Offices</w:t>
      </w:r>
      <w:r w:rsidRPr="415DC326">
        <w:rPr>
          <w:rFonts w:ascii="Arial" w:hAnsi="Arial" w:cs="Arial"/>
          <w:sz w:val="22"/>
          <w:szCs w:val="22"/>
        </w:rPr>
        <w:t xml:space="preserve"> across its portfolio. Currently the </w:t>
      </w:r>
      <w:r w:rsidR="00647C3E" w:rsidRPr="415DC326">
        <w:rPr>
          <w:rFonts w:ascii="Arial" w:hAnsi="Arial" w:cs="Arial"/>
          <w:sz w:val="22"/>
          <w:szCs w:val="22"/>
        </w:rPr>
        <w:t>GP</w:t>
      </w:r>
      <w:r w:rsidRPr="415DC326">
        <w:rPr>
          <w:rFonts w:ascii="Arial" w:hAnsi="Arial" w:cs="Arial"/>
          <w:sz w:val="22"/>
          <w:szCs w:val="22"/>
        </w:rPr>
        <w:t xml:space="preserve"> is being implemented in five regions: Europe-Commonwealth of Independent States, Asia Pacific, Africa, Arab States, and Latin America/Caribbean. The majority of priority contexts </w:t>
      </w:r>
      <w:r w:rsidR="00E7403C">
        <w:rPr>
          <w:rFonts w:ascii="Arial" w:hAnsi="Arial" w:cs="Arial"/>
          <w:sz w:val="22"/>
          <w:szCs w:val="22"/>
        </w:rPr>
        <w:t xml:space="preserve">and funded Country Offices </w:t>
      </w:r>
      <w:r w:rsidR="002B7AE6" w:rsidRPr="415DC326">
        <w:rPr>
          <w:rFonts w:ascii="Arial" w:hAnsi="Arial" w:cs="Arial"/>
          <w:sz w:val="22"/>
          <w:szCs w:val="22"/>
        </w:rPr>
        <w:t xml:space="preserve">are </w:t>
      </w:r>
      <w:r w:rsidRPr="415DC326">
        <w:rPr>
          <w:rFonts w:ascii="Arial" w:hAnsi="Arial" w:cs="Arial"/>
          <w:sz w:val="22"/>
          <w:szCs w:val="22"/>
        </w:rPr>
        <w:t xml:space="preserve">in sub-Saharan Africa. </w:t>
      </w:r>
    </w:p>
    <w:p w14:paraId="7A008AB5" w14:textId="6DBBC763" w:rsidR="00FB015E" w:rsidRPr="00573598" w:rsidRDefault="13EE547F" w:rsidP="00FB015E">
      <w:pPr>
        <w:spacing w:line="240" w:lineRule="auto"/>
        <w:rPr>
          <w:rFonts w:ascii="Arial" w:hAnsi="Arial" w:cs="Arial"/>
          <w:sz w:val="22"/>
          <w:szCs w:val="22"/>
        </w:rPr>
      </w:pPr>
      <w:r w:rsidRPr="00573598">
        <w:rPr>
          <w:rFonts w:ascii="Arial" w:hAnsi="Arial" w:cs="Arial"/>
          <w:sz w:val="22"/>
          <w:szCs w:val="22"/>
        </w:rPr>
        <w:t xml:space="preserve">The </w:t>
      </w:r>
      <w:r w:rsidR="3BAC3260">
        <w:rPr>
          <w:rFonts w:ascii="Arial" w:hAnsi="Arial" w:cs="Arial"/>
          <w:sz w:val="22"/>
          <w:szCs w:val="22"/>
        </w:rPr>
        <w:t>GP</w:t>
      </w:r>
      <w:r w:rsidRPr="00573598">
        <w:rPr>
          <w:rFonts w:ascii="Arial" w:hAnsi="Arial" w:cs="Arial"/>
          <w:sz w:val="22"/>
          <w:szCs w:val="22"/>
        </w:rPr>
        <w:t xml:space="preserve"> forms the basis for multiple global and policy development initiatives and has a range of substantive partners</w:t>
      </w:r>
      <w:r w:rsidR="18D8E44A">
        <w:rPr>
          <w:rFonts w:ascii="Arial" w:hAnsi="Arial" w:cs="Arial"/>
          <w:sz w:val="22"/>
          <w:szCs w:val="22"/>
        </w:rPr>
        <w:t xml:space="preserve">, </w:t>
      </w:r>
      <w:r w:rsidRPr="00573598">
        <w:rPr>
          <w:rFonts w:ascii="Arial" w:hAnsi="Arial" w:cs="Arial"/>
          <w:sz w:val="22"/>
          <w:szCs w:val="22"/>
        </w:rPr>
        <w:t xml:space="preserve">including the Tri-Partite Partnership </w:t>
      </w:r>
      <w:r w:rsidR="18D8E44A">
        <w:rPr>
          <w:rFonts w:ascii="Arial" w:hAnsi="Arial" w:cs="Arial"/>
          <w:sz w:val="22"/>
          <w:szCs w:val="22"/>
        </w:rPr>
        <w:t xml:space="preserve">(TPP) </w:t>
      </w:r>
      <w:r w:rsidRPr="00573598">
        <w:rPr>
          <w:rFonts w:ascii="Arial" w:hAnsi="Arial" w:cs="Arial"/>
          <w:sz w:val="22"/>
          <w:szCs w:val="22"/>
        </w:rPr>
        <w:t xml:space="preserve">with </w:t>
      </w:r>
      <w:r w:rsidR="18D8E44A">
        <w:rPr>
          <w:rFonts w:ascii="Arial" w:hAnsi="Arial" w:cs="Arial"/>
          <w:sz w:val="22"/>
          <w:szCs w:val="22"/>
        </w:rPr>
        <w:t xml:space="preserve">the </w:t>
      </w:r>
      <w:r w:rsidR="18D8E44A" w:rsidRPr="00573598">
        <w:rPr>
          <w:rFonts w:ascii="Arial" w:hAnsi="Arial" w:cs="Arial"/>
          <w:sz w:val="22"/>
          <w:szCs w:val="22"/>
        </w:rPr>
        <w:t xml:space="preserve">Global Alliance for National Human Rights Institutions </w:t>
      </w:r>
      <w:r w:rsidR="18D8E44A">
        <w:rPr>
          <w:rFonts w:ascii="Arial" w:hAnsi="Arial" w:cs="Arial"/>
          <w:sz w:val="22"/>
          <w:szCs w:val="22"/>
        </w:rPr>
        <w:t>(</w:t>
      </w:r>
      <w:r w:rsidRPr="00573598">
        <w:rPr>
          <w:rFonts w:ascii="Arial" w:hAnsi="Arial" w:cs="Arial"/>
          <w:sz w:val="22"/>
          <w:szCs w:val="22"/>
        </w:rPr>
        <w:t>GANHRI</w:t>
      </w:r>
      <w:r w:rsidR="18D8E44A">
        <w:rPr>
          <w:rFonts w:ascii="Arial" w:hAnsi="Arial" w:cs="Arial"/>
          <w:sz w:val="22"/>
          <w:szCs w:val="22"/>
        </w:rPr>
        <w:t>)</w:t>
      </w:r>
      <w:r w:rsidRPr="00573598">
        <w:rPr>
          <w:rFonts w:ascii="Arial" w:hAnsi="Arial" w:cs="Arial"/>
          <w:sz w:val="22"/>
          <w:szCs w:val="22"/>
        </w:rPr>
        <w:t xml:space="preserve"> and </w:t>
      </w:r>
      <w:r w:rsidR="18D8E44A">
        <w:rPr>
          <w:rFonts w:ascii="Arial" w:hAnsi="Arial" w:cs="Arial"/>
          <w:sz w:val="22"/>
          <w:szCs w:val="22"/>
        </w:rPr>
        <w:t>Office of the High Commissioner for Human Rights (</w:t>
      </w:r>
      <w:r w:rsidRPr="00573598">
        <w:rPr>
          <w:rFonts w:ascii="Arial" w:hAnsi="Arial" w:cs="Arial"/>
          <w:sz w:val="22"/>
          <w:szCs w:val="22"/>
        </w:rPr>
        <w:t>OHCHR</w:t>
      </w:r>
      <w:r w:rsidR="18D8E44A">
        <w:rPr>
          <w:rFonts w:ascii="Arial" w:hAnsi="Arial" w:cs="Arial"/>
          <w:sz w:val="22"/>
          <w:szCs w:val="22"/>
        </w:rPr>
        <w:t>)</w:t>
      </w:r>
      <w:r w:rsidR="1F95471F" w:rsidRPr="410C252A">
        <w:rPr>
          <w:rFonts w:ascii="Arial" w:hAnsi="Arial" w:cs="Arial"/>
          <w:sz w:val="22"/>
          <w:szCs w:val="22"/>
        </w:rPr>
        <w:t xml:space="preserve"> to support National Human Rights Institutions</w:t>
      </w:r>
      <w:r w:rsidRPr="00573598">
        <w:rPr>
          <w:rFonts w:ascii="Arial" w:hAnsi="Arial" w:cs="Arial"/>
          <w:sz w:val="22"/>
          <w:szCs w:val="22"/>
        </w:rPr>
        <w:t>;</w:t>
      </w:r>
      <w:r w:rsidR="1281EE25" w:rsidRPr="00573598">
        <w:rPr>
          <w:rFonts w:ascii="Arial" w:hAnsi="Arial" w:cs="Arial"/>
          <w:sz w:val="22"/>
          <w:szCs w:val="22"/>
        </w:rPr>
        <w:t xml:space="preserve"> </w:t>
      </w:r>
      <w:r w:rsidRPr="00573598">
        <w:rPr>
          <w:rFonts w:ascii="Arial" w:hAnsi="Arial" w:cs="Arial"/>
          <w:sz w:val="22"/>
          <w:szCs w:val="22"/>
        </w:rPr>
        <w:t>and recently</w:t>
      </w:r>
      <w:r w:rsidRPr="00A54C6C">
        <w:rPr>
          <w:rFonts w:ascii="Arial" w:hAnsi="Arial" w:cs="Arial"/>
          <w:sz w:val="22"/>
          <w:szCs w:val="22"/>
        </w:rPr>
        <w:t xml:space="preserve">, </w:t>
      </w:r>
      <w:r w:rsidR="18D8E44A" w:rsidRPr="00A54C6C">
        <w:rPr>
          <w:rFonts w:ascii="Arial" w:hAnsi="Arial" w:cs="Arial"/>
          <w:sz w:val="22"/>
          <w:szCs w:val="22"/>
        </w:rPr>
        <w:t>the United Nations Office of Disarmament Affairs (</w:t>
      </w:r>
      <w:r w:rsidRPr="00A54C6C">
        <w:rPr>
          <w:rFonts w:ascii="Arial" w:hAnsi="Arial" w:cs="Arial"/>
          <w:sz w:val="22"/>
          <w:szCs w:val="22"/>
        </w:rPr>
        <w:t>UNODA</w:t>
      </w:r>
      <w:r w:rsidR="18D8E44A" w:rsidRPr="00A54C6C">
        <w:rPr>
          <w:rFonts w:ascii="Arial" w:hAnsi="Arial" w:cs="Arial"/>
          <w:sz w:val="22"/>
          <w:szCs w:val="22"/>
        </w:rPr>
        <w:t>)</w:t>
      </w:r>
      <w:r w:rsidRPr="00A54C6C">
        <w:rPr>
          <w:rFonts w:ascii="Arial" w:hAnsi="Arial" w:cs="Arial"/>
          <w:sz w:val="22"/>
          <w:szCs w:val="22"/>
        </w:rPr>
        <w:t xml:space="preserve"> via </w:t>
      </w:r>
      <w:r w:rsidR="18D8E44A" w:rsidRPr="00A54C6C">
        <w:rPr>
          <w:rFonts w:ascii="Arial" w:hAnsi="Arial" w:cs="Arial"/>
          <w:sz w:val="22"/>
          <w:szCs w:val="22"/>
        </w:rPr>
        <w:t>T</w:t>
      </w:r>
      <w:r w:rsidRPr="00A54C6C">
        <w:rPr>
          <w:rFonts w:ascii="Arial" w:hAnsi="Arial" w:cs="Arial"/>
          <w:sz w:val="22"/>
          <w:szCs w:val="22"/>
        </w:rPr>
        <w:t xml:space="preserve">he </w:t>
      </w:r>
      <w:r w:rsidR="18D8E44A" w:rsidRPr="00A54C6C">
        <w:rPr>
          <w:rFonts w:ascii="Arial" w:hAnsi="Arial" w:cs="Arial"/>
          <w:sz w:val="22"/>
          <w:szCs w:val="22"/>
        </w:rPr>
        <w:t>Saving Lives Entity (</w:t>
      </w:r>
      <w:r w:rsidRPr="00A54C6C">
        <w:rPr>
          <w:rFonts w:ascii="Arial" w:hAnsi="Arial" w:cs="Arial"/>
          <w:sz w:val="22"/>
          <w:szCs w:val="22"/>
        </w:rPr>
        <w:t>SALIENT</w:t>
      </w:r>
      <w:r w:rsidR="18D8E44A" w:rsidRPr="00A54C6C">
        <w:rPr>
          <w:rFonts w:ascii="Arial" w:hAnsi="Arial" w:cs="Arial"/>
          <w:sz w:val="22"/>
          <w:szCs w:val="22"/>
        </w:rPr>
        <w:t>)</w:t>
      </w:r>
      <w:r w:rsidR="00A54C6C" w:rsidRPr="00A54C6C">
        <w:rPr>
          <w:rStyle w:val="FootnoteReference"/>
          <w:rFonts w:ascii="Arial" w:hAnsi="Arial" w:cs="Arial"/>
          <w:sz w:val="22"/>
          <w:szCs w:val="22"/>
        </w:rPr>
        <w:footnoteReference w:id="2"/>
      </w:r>
      <w:r w:rsidRPr="00A54C6C">
        <w:rPr>
          <w:rFonts w:ascii="Arial" w:hAnsi="Arial" w:cs="Arial"/>
          <w:sz w:val="22"/>
          <w:szCs w:val="22"/>
        </w:rPr>
        <w:t xml:space="preserve">. The </w:t>
      </w:r>
      <w:r w:rsidR="3BAC3260" w:rsidRPr="00A54C6C">
        <w:rPr>
          <w:rFonts w:ascii="Arial" w:hAnsi="Arial" w:cs="Arial"/>
          <w:sz w:val="22"/>
          <w:szCs w:val="22"/>
        </w:rPr>
        <w:t>GP/ROLSHR</w:t>
      </w:r>
      <w:r w:rsidRPr="00A54C6C">
        <w:rPr>
          <w:rFonts w:ascii="Arial" w:hAnsi="Arial" w:cs="Arial"/>
          <w:sz w:val="22"/>
          <w:szCs w:val="22"/>
        </w:rPr>
        <w:t xml:space="preserve"> team also leads UNDP’s engagement with the Department of Peace Operations (DPO) as joint</w:t>
      </w:r>
      <w:r w:rsidRPr="00573598">
        <w:rPr>
          <w:rFonts w:ascii="Arial" w:hAnsi="Arial" w:cs="Arial"/>
          <w:sz w:val="22"/>
          <w:szCs w:val="22"/>
        </w:rPr>
        <w:t xml:space="preserve"> managers of </w:t>
      </w:r>
      <w:r w:rsidR="3BAC3260" w:rsidRPr="00573598">
        <w:rPr>
          <w:rFonts w:ascii="Arial" w:hAnsi="Arial" w:cs="Arial"/>
          <w:color w:val="000000"/>
          <w:sz w:val="22"/>
          <w:szCs w:val="22"/>
        </w:rPr>
        <w:t>the</w:t>
      </w:r>
      <w:r w:rsidR="3BAC3260" w:rsidRPr="410C252A">
        <w:rPr>
          <w:rFonts w:ascii="Arial" w:hAnsi="Arial" w:cs="Arial"/>
          <w:b/>
          <w:bCs/>
          <w:color w:val="000000"/>
          <w:sz w:val="22"/>
          <w:szCs w:val="22"/>
        </w:rPr>
        <w:t xml:space="preserve"> </w:t>
      </w:r>
      <w:r w:rsidR="3BAC3260" w:rsidRPr="00573598">
        <w:rPr>
          <w:rFonts w:ascii="Arial" w:hAnsi="Arial" w:cs="Arial"/>
          <w:sz w:val="22"/>
          <w:szCs w:val="22"/>
        </w:rPr>
        <w:t xml:space="preserve">Global Focal Point for Police, Justice and Corrections </w:t>
      </w:r>
      <w:r w:rsidR="3BAC3260">
        <w:rPr>
          <w:rFonts w:ascii="Arial" w:hAnsi="Arial" w:cs="Arial"/>
          <w:sz w:val="22"/>
          <w:szCs w:val="22"/>
        </w:rPr>
        <w:t>(</w:t>
      </w:r>
      <w:r w:rsidR="3BAC3260" w:rsidRPr="00573598">
        <w:rPr>
          <w:rFonts w:ascii="Arial" w:hAnsi="Arial" w:cs="Arial"/>
          <w:color w:val="000000"/>
          <w:sz w:val="22"/>
          <w:szCs w:val="22"/>
        </w:rPr>
        <w:t>GFP</w:t>
      </w:r>
      <w:r w:rsidR="3BAC3260">
        <w:rPr>
          <w:rFonts w:ascii="Arial" w:hAnsi="Arial" w:cs="Arial"/>
          <w:color w:val="000000"/>
          <w:sz w:val="22"/>
          <w:szCs w:val="22"/>
        </w:rPr>
        <w:t>)</w:t>
      </w:r>
      <w:r w:rsidR="3BAC3260" w:rsidRPr="00573598">
        <w:rPr>
          <w:rFonts w:ascii="Arial" w:hAnsi="Arial" w:cs="Arial"/>
          <w:color w:val="000000"/>
          <w:sz w:val="22"/>
          <w:szCs w:val="22"/>
        </w:rPr>
        <w:t xml:space="preserve">, </w:t>
      </w:r>
      <w:r w:rsidRPr="00573598">
        <w:rPr>
          <w:rFonts w:ascii="Arial" w:hAnsi="Arial" w:cs="Arial"/>
          <w:sz w:val="22"/>
          <w:szCs w:val="22"/>
        </w:rPr>
        <w:t xml:space="preserve">which was established in 2012. The objective of the GFP arrangement is to facilitate </w:t>
      </w:r>
      <w:r w:rsidR="3BAC3260">
        <w:rPr>
          <w:rFonts w:ascii="Arial" w:hAnsi="Arial" w:cs="Arial"/>
          <w:sz w:val="22"/>
          <w:szCs w:val="22"/>
        </w:rPr>
        <w:t>UN</w:t>
      </w:r>
      <w:r w:rsidRPr="00573598">
        <w:rPr>
          <w:rFonts w:ascii="Arial" w:hAnsi="Arial" w:cs="Arial"/>
          <w:sz w:val="22"/>
          <w:szCs w:val="22"/>
        </w:rPr>
        <w:t xml:space="preserve"> entities to “deliver as one”</w:t>
      </w:r>
      <w:r w:rsidR="00D36FF0">
        <w:rPr>
          <w:rFonts w:ascii="Arial" w:hAnsi="Arial" w:cs="Arial"/>
          <w:sz w:val="22"/>
          <w:szCs w:val="22"/>
        </w:rPr>
        <w:t xml:space="preserve"> on rule of law, specifically programming related to police, justice and corrections</w:t>
      </w:r>
      <w:r w:rsidRPr="00573598">
        <w:rPr>
          <w:rFonts w:ascii="Arial" w:hAnsi="Arial" w:cs="Arial"/>
          <w:sz w:val="22"/>
          <w:szCs w:val="22"/>
        </w:rPr>
        <w:t xml:space="preserve">, by overcoming systemic fragmentation and working together in the pursuit of shared goals. The </w:t>
      </w:r>
      <w:r w:rsidR="3BAC3260">
        <w:rPr>
          <w:rFonts w:ascii="Arial" w:hAnsi="Arial" w:cs="Arial"/>
          <w:sz w:val="22"/>
          <w:szCs w:val="22"/>
        </w:rPr>
        <w:t>GP</w:t>
      </w:r>
      <w:r w:rsidR="715CDF54" w:rsidRPr="410C252A">
        <w:rPr>
          <w:rFonts w:ascii="Arial" w:hAnsi="Arial" w:cs="Arial"/>
          <w:sz w:val="22"/>
          <w:szCs w:val="22"/>
        </w:rPr>
        <w:t>,</w:t>
      </w:r>
      <w:r w:rsidRPr="00573598">
        <w:rPr>
          <w:rFonts w:ascii="Arial" w:hAnsi="Arial" w:cs="Arial"/>
          <w:sz w:val="22"/>
          <w:szCs w:val="22"/>
        </w:rPr>
        <w:t xml:space="preserve"> </w:t>
      </w:r>
      <w:r w:rsidR="21B4EC95" w:rsidRPr="410C252A">
        <w:rPr>
          <w:rFonts w:ascii="Arial" w:hAnsi="Arial" w:cs="Arial"/>
          <w:sz w:val="22"/>
          <w:szCs w:val="22"/>
        </w:rPr>
        <w:t>from</w:t>
      </w:r>
      <w:r w:rsidR="18D8E44A">
        <w:rPr>
          <w:rFonts w:ascii="Arial" w:hAnsi="Arial" w:cs="Arial"/>
          <w:sz w:val="22"/>
          <w:szCs w:val="22"/>
        </w:rPr>
        <w:t xml:space="preserve"> the outset</w:t>
      </w:r>
      <w:r w:rsidR="21B4EC95" w:rsidRPr="410C252A">
        <w:rPr>
          <w:rFonts w:ascii="Arial" w:hAnsi="Arial" w:cs="Arial"/>
          <w:sz w:val="22"/>
          <w:szCs w:val="22"/>
        </w:rPr>
        <w:t>,</w:t>
      </w:r>
      <w:r w:rsidR="18D8E44A" w:rsidRPr="00573598">
        <w:rPr>
          <w:rFonts w:ascii="Arial" w:hAnsi="Arial" w:cs="Arial"/>
          <w:sz w:val="22"/>
          <w:szCs w:val="22"/>
        </w:rPr>
        <w:t xml:space="preserve"> </w:t>
      </w:r>
      <w:r w:rsidRPr="00573598">
        <w:rPr>
          <w:rFonts w:ascii="Arial" w:hAnsi="Arial" w:cs="Arial"/>
          <w:sz w:val="22"/>
          <w:szCs w:val="22"/>
        </w:rPr>
        <w:t>served as the host entity to operationalize the GFP</w:t>
      </w:r>
      <w:r w:rsidR="374F8B24">
        <w:rPr>
          <w:rFonts w:ascii="Arial" w:hAnsi="Arial" w:cs="Arial"/>
          <w:sz w:val="22"/>
          <w:szCs w:val="22"/>
        </w:rPr>
        <w:t>, which is described in more</w:t>
      </w:r>
      <w:r w:rsidR="3A7FE618">
        <w:rPr>
          <w:rFonts w:ascii="Arial" w:hAnsi="Arial" w:cs="Arial"/>
          <w:sz w:val="22"/>
          <w:szCs w:val="22"/>
        </w:rPr>
        <w:t xml:space="preserve"> detail in the text box below. </w:t>
      </w:r>
    </w:p>
    <w:p w14:paraId="6668FC8E" w14:textId="7A6598CE" w:rsidR="00FB015E" w:rsidRDefault="00C30FEB" w:rsidP="000572F5">
      <w:pPr>
        <w:spacing w:after="240" w:line="240" w:lineRule="auto"/>
        <w:rPr>
          <w:rFonts w:ascii="Arial" w:hAnsi="Arial" w:cs="Arial"/>
          <w:sz w:val="22"/>
          <w:szCs w:val="22"/>
        </w:rPr>
      </w:pPr>
      <w:r>
        <w:rPr>
          <w:rFonts w:ascii="Arial" w:hAnsi="Arial" w:cs="Arial"/>
          <w:sz w:val="22"/>
          <w:szCs w:val="22"/>
        </w:rPr>
        <w:t>Major</w:t>
      </w:r>
      <w:r w:rsidRPr="410C252A">
        <w:rPr>
          <w:rFonts w:ascii="Arial" w:hAnsi="Arial" w:cs="Arial"/>
          <w:sz w:val="22"/>
          <w:szCs w:val="22"/>
        </w:rPr>
        <w:t xml:space="preserve"> </w:t>
      </w:r>
      <w:r w:rsidR="00FB015E" w:rsidRPr="410C252A">
        <w:rPr>
          <w:rFonts w:ascii="Arial" w:hAnsi="Arial" w:cs="Arial"/>
          <w:sz w:val="22"/>
          <w:szCs w:val="22"/>
        </w:rPr>
        <w:t xml:space="preserve">donor partners of the </w:t>
      </w:r>
      <w:r w:rsidR="00647C3E" w:rsidRPr="410C252A">
        <w:rPr>
          <w:rFonts w:ascii="Arial" w:hAnsi="Arial" w:cs="Arial"/>
          <w:sz w:val="22"/>
          <w:szCs w:val="22"/>
        </w:rPr>
        <w:t>GP</w:t>
      </w:r>
      <w:r w:rsidR="00FB015E" w:rsidRPr="410C252A">
        <w:rPr>
          <w:rFonts w:ascii="Arial" w:hAnsi="Arial" w:cs="Arial"/>
          <w:sz w:val="22"/>
          <w:szCs w:val="22"/>
        </w:rPr>
        <w:t xml:space="preserve"> </w:t>
      </w:r>
      <w:r>
        <w:rPr>
          <w:rFonts w:ascii="Arial" w:hAnsi="Arial" w:cs="Arial"/>
          <w:sz w:val="22"/>
          <w:szCs w:val="22"/>
        </w:rPr>
        <w:t xml:space="preserve">during the evaluated period </w:t>
      </w:r>
      <w:r w:rsidR="00FB015E" w:rsidRPr="410C252A">
        <w:rPr>
          <w:rFonts w:ascii="Arial" w:hAnsi="Arial" w:cs="Arial"/>
          <w:sz w:val="22"/>
          <w:szCs w:val="22"/>
        </w:rPr>
        <w:t>include the governments of the Netherlands, Norway, Sweden, Switzerland, the United Kingdom, and the United States</w:t>
      </w:r>
      <w:r w:rsidR="00A54C6C" w:rsidRPr="410C252A">
        <w:rPr>
          <w:rFonts w:ascii="Arial" w:hAnsi="Arial" w:cs="Arial"/>
          <w:sz w:val="22"/>
          <w:szCs w:val="22"/>
        </w:rPr>
        <w:t xml:space="preserve"> (U.S.)</w:t>
      </w:r>
      <w:r w:rsidR="00FB015E" w:rsidRPr="410C252A">
        <w:rPr>
          <w:rFonts w:ascii="Arial" w:hAnsi="Arial" w:cs="Arial"/>
          <w:sz w:val="22"/>
          <w:szCs w:val="22"/>
        </w:rPr>
        <w:t>, among others.</w:t>
      </w:r>
      <w:r>
        <w:rPr>
          <w:rStyle w:val="FootnoteReference"/>
          <w:rFonts w:ascii="Arial" w:hAnsi="Arial" w:cs="Arial"/>
          <w:sz w:val="22"/>
          <w:szCs w:val="22"/>
        </w:rPr>
        <w:footnoteReference w:id="3"/>
      </w:r>
      <w:r w:rsidR="00FB015E" w:rsidRPr="410C252A">
        <w:rPr>
          <w:rFonts w:ascii="Arial" w:hAnsi="Arial" w:cs="Arial"/>
          <w:sz w:val="22"/>
          <w:szCs w:val="22"/>
        </w:rPr>
        <w:t xml:space="preserve"> </w:t>
      </w:r>
      <w:r w:rsidRPr="410C252A">
        <w:rPr>
          <w:rFonts w:ascii="Arial" w:hAnsi="Arial" w:cs="Arial"/>
          <w:sz w:val="22"/>
          <w:szCs w:val="22"/>
        </w:rPr>
        <w:t xml:space="preserve">In addition, the GP has developed partnerships with several international entities to strengthen the technical capacities of the UNDP team and to support the GFP via staffing contributions. </w:t>
      </w:r>
      <w:r w:rsidR="00FB015E" w:rsidRPr="410C252A">
        <w:rPr>
          <w:rFonts w:ascii="Arial" w:hAnsi="Arial" w:cs="Arial"/>
          <w:sz w:val="22"/>
          <w:szCs w:val="22"/>
        </w:rPr>
        <w:t>Total Programme funding has amounted to approximately $1</w:t>
      </w:r>
      <w:r w:rsidR="004D6518">
        <w:rPr>
          <w:rFonts w:ascii="Arial" w:hAnsi="Arial" w:cs="Arial"/>
          <w:sz w:val="22"/>
          <w:szCs w:val="22"/>
        </w:rPr>
        <w:t>67</w:t>
      </w:r>
      <w:r w:rsidR="00FB015E" w:rsidRPr="410C252A">
        <w:rPr>
          <w:rFonts w:ascii="Arial" w:hAnsi="Arial" w:cs="Arial"/>
          <w:sz w:val="22"/>
          <w:szCs w:val="22"/>
        </w:rPr>
        <w:t xml:space="preserve"> million over the four years from 2016 to 2019 (about half earmarked for specific country programming by the U.S. Government</w:t>
      </w:r>
      <w:r w:rsidR="002B7AE6" w:rsidRPr="410C252A">
        <w:rPr>
          <w:rFonts w:ascii="Arial" w:hAnsi="Arial" w:cs="Arial"/>
          <w:sz w:val="22"/>
          <w:szCs w:val="22"/>
        </w:rPr>
        <w:t>, as described in the Sustainability section of this report</w:t>
      </w:r>
      <w:r w:rsidR="00FB015E" w:rsidRPr="410C252A">
        <w:rPr>
          <w:rFonts w:ascii="Arial" w:hAnsi="Arial" w:cs="Arial"/>
          <w:sz w:val="22"/>
          <w:szCs w:val="22"/>
        </w:rPr>
        <w:t xml:space="preserve">.) </w:t>
      </w:r>
    </w:p>
    <w:tbl>
      <w:tblPr>
        <w:tblStyle w:val="TableGrid"/>
        <w:tblW w:w="0" w:type="auto"/>
        <w:tblLook w:val="04A0" w:firstRow="1" w:lastRow="0" w:firstColumn="1" w:lastColumn="0" w:noHBand="0" w:noVBand="1"/>
      </w:tblPr>
      <w:tblGrid>
        <w:gridCol w:w="9350"/>
      </w:tblGrid>
      <w:tr w:rsidR="00EA613B" w:rsidRPr="00EA613B" w14:paraId="79A3AE1B" w14:textId="77777777" w:rsidTr="4F82A3C2">
        <w:trPr>
          <w:trHeight w:val="841"/>
        </w:trPr>
        <w:tc>
          <w:tcPr>
            <w:tcW w:w="9350" w:type="dxa"/>
            <w:shd w:val="clear" w:color="auto" w:fill="C0D7EC" w:themeFill="accent2" w:themeFillTint="66"/>
          </w:tcPr>
          <w:p w14:paraId="7C9AD383" w14:textId="5EE70E69" w:rsidR="002272B6" w:rsidRPr="002272B6" w:rsidRDefault="00EA613B" w:rsidP="002272B6">
            <w:pPr>
              <w:spacing w:after="120"/>
              <w:jc w:val="center"/>
              <w:rPr>
                <w:rFonts w:ascii="Arial" w:hAnsi="Arial" w:cs="Arial"/>
                <w:b/>
                <w:bCs/>
                <w:sz w:val="24"/>
                <w:szCs w:val="24"/>
                <w:lang w:val="en-US"/>
              </w:rPr>
            </w:pPr>
            <w:r w:rsidRPr="002272B6">
              <w:rPr>
                <w:rFonts w:ascii="Arial" w:hAnsi="Arial" w:cs="Arial"/>
                <w:b/>
                <w:bCs/>
                <w:sz w:val="24"/>
                <w:szCs w:val="24"/>
                <w:lang w:val="en-US"/>
              </w:rPr>
              <w:t>The Global Focal Point</w:t>
            </w:r>
          </w:p>
          <w:p w14:paraId="2FD1A9B9" w14:textId="323619C2" w:rsidR="00EA613B" w:rsidRPr="00EA613B" w:rsidRDefault="4935EAF7" w:rsidP="002272B6">
            <w:pPr>
              <w:spacing w:after="120"/>
              <w:rPr>
                <w:rFonts w:ascii="Arial" w:hAnsi="Arial" w:cs="Arial"/>
                <w:b/>
                <w:bCs/>
                <w:sz w:val="22"/>
                <w:szCs w:val="22"/>
                <w:lang w:val="en-US"/>
              </w:rPr>
            </w:pPr>
            <w:r w:rsidRPr="4F82A3C2">
              <w:rPr>
                <w:rFonts w:ascii="Arial" w:hAnsi="Arial" w:cs="Arial"/>
                <w:sz w:val="22"/>
                <w:szCs w:val="22"/>
                <w:lang w:val="en-US"/>
              </w:rPr>
              <w:t xml:space="preserve">The GFP </w:t>
            </w:r>
            <w:r w:rsidR="42211EB6" w:rsidRPr="4F82A3C2">
              <w:rPr>
                <w:rFonts w:ascii="Arial" w:hAnsi="Arial" w:cs="Arial"/>
                <w:sz w:val="22"/>
                <w:szCs w:val="22"/>
              </w:rPr>
              <w:t>for Police, Justice and Corrections</w:t>
            </w:r>
            <w:r w:rsidR="42211EB6" w:rsidRPr="4F82A3C2">
              <w:rPr>
                <w:rFonts w:ascii="Arial" w:hAnsi="Arial" w:cs="Arial"/>
                <w:sz w:val="22"/>
                <w:szCs w:val="22"/>
                <w:lang w:val="en-US"/>
              </w:rPr>
              <w:t xml:space="preserve"> </w:t>
            </w:r>
            <w:r w:rsidR="638EB9CA" w:rsidRPr="4F82A3C2">
              <w:rPr>
                <w:rFonts w:ascii="Arial" w:hAnsi="Arial" w:cs="Arial"/>
                <w:sz w:val="22"/>
                <w:szCs w:val="22"/>
                <w:lang w:val="en-US"/>
              </w:rPr>
              <w:t xml:space="preserve">is a coordinated UN approach to promote joint delivery of support in crisis situations. The GFP mechanism strives to respond effectively to requests for complex and politically nuanced assistance by bringing together </w:t>
            </w:r>
            <w:r w:rsidR="18D8E44A" w:rsidRPr="4F82A3C2">
              <w:rPr>
                <w:rFonts w:ascii="Arial" w:hAnsi="Arial" w:cs="Arial"/>
                <w:sz w:val="22"/>
                <w:szCs w:val="22"/>
                <w:lang w:val="en-US"/>
              </w:rPr>
              <w:t>the</w:t>
            </w:r>
            <w:r w:rsidR="638EB9CA" w:rsidRPr="4F82A3C2">
              <w:rPr>
                <w:rFonts w:ascii="Arial" w:hAnsi="Arial" w:cs="Arial"/>
                <w:sz w:val="22"/>
                <w:szCs w:val="22"/>
                <w:lang w:val="en-US"/>
              </w:rPr>
              <w:t xml:space="preserve"> operational expertise </w:t>
            </w:r>
            <w:r w:rsidR="18D8E44A" w:rsidRPr="4F82A3C2">
              <w:rPr>
                <w:rFonts w:ascii="Arial" w:hAnsi="Arial" w:cs="Arial"/>
                <w:sz w:val="22"/>
                <w:szCs w:val="22"/>
                <w:lang w:val="en-US"/>
              </w:rPr>
              <w:t xml:space="preserve">of the </w:t>
            </w:r>
            <w:r w:rsidR="18D8E44A" w:rsidRPr="4F82A3C2">
              <w:rPr>
                <w:rFonts w:ascii="Arial" w:hAnsi="Arial" w:cs="Arial"/>
                <w:color w:val="000000" w:themeColor="text1"/>
                <w:sz w:val="22"/>
                <w:szCs w:val="22"/>
              </w:rPr>
              <w:t>Department for Peace Operations</w:t>
            </w:r>
            <w:r w:rsidR="18D8E44A" w:rsidRPr="4F82A3C2">
              <w:rPr>
                <w:rFonts w:ascii="Arial" w:hAnsi="Arial" w:cs="Arial"/>
                <w:sz w:val="22"/>
                <w:szCs w:val="22"/>
                <w:lang w:val="en-US"/>
              </w:rPr>
              <w:t xml:space="preserve"> (DPO) </w:t>
            </w:r>
            <w:r w:rsidR="638EB9CA" w:rsidRPr="4F82A3C2">
              <w:rPr>
                <w:rFonts w:ascii="Arial" w:hAnsi="Arial" w:cs="Arial"/>
                <w:sz w:val="22"/>
                <w:szCs w:val="22"/>
                <w:lang w:val="en-US"/>
              </w:rPr>
              <w:t>and UNDP’s programming</w:t>
            </w:r>
            <w:r w:rsidR="0FBFB1B1" w:rsidRPr="4F82A3C2">
              <w:rPr>
                <w:rFonts w:ascii="Arial" w:hAnsi="Arial" w:cs="Arial"/>
                <w:sz w:val="22"/>
                <w:szCs w:val="22"/>
                <w:lang w:val="en-US"/>
              </w:rPr>
              <w:t>, on the ground support</w:t>
            </w:r>
            <w:r w:rsidR="638EB9CA" w:rsidRPr="4F82A3C2">
              <w:rPr>
                <w:rFonts w:ascii="Arial" w:hAnsi="Arial" w:cs="Arial"/>
                <w:sz w:val="22"/>
                <w:szCs w:val="22"/>
                <w:lang w:val="en-US"/>
              </w:rPr>
              <w:t xml:space="preserve"> and institution-building skills</w:t>
            </w:r>
            <w:r w:rsidR="3A72AB3E" w:rsidRPr="4F82A3C2">
              <w:rPr>
                <w:rFonts w:ascii="Arial" w:hAnsi="Arial" w:cs="Arial"/>
                <w:sz w:val="22"/>
                <w:szCs w:val="22"/>
                <w:lang w:val="en-US"/>
              </w:rPr>
              <w:t>. It also draws</w:t>
            </w:r>
            <w:r w:rsidR="638EB9CA" w:rsidRPr="4F82A3C2">
              <w:rPr>
                <w:rFonts w:ascii="Arial" w:hAnsi="Arial" w:cs="Arial"/>
                <w:sz w:val="22"/>
                <w:szCs w:val="22"/>
                <w:lang w:val="en-US"/>
              </w:rPr>
              <w:t xml:space="preserve"> on the expertise of GFP partners such as UN Women, Office of the High Commissioner on Human Rights (OHCHR), UN High Commissioner for Refugees (UNHCR) and UN Office on Drugs and Crime (UNODC). </w:t>
            </w:r>
          </w:p>
          <w:p w14:paraId="33FEC0CF" w14:textId="26894682" w:rsidR="00EA613B" w:rsidRDefault="00EA613B" w:rsidP="00EA613B">
            <w:pPr>
              <w:spacing w:after="120"/>
              <w:jc w:val="both"/>
              <w:rPr>
                <w:rFonts w:ascii="Arial" w:hAnsi="Arial" w:cs="Arial"/>
                <w:sz w:val="22"/>
                <w:szCs w:val="22"/>
                <w:lang w:val="en-US"/>
              </w:rPr>
            </w:pPr>
            <w:r w:rsidRPr="00EA613B">
              <w:rPr>
                <w:rFonts w:ascii="Arial" w:hAnsi="Arial" w:cs="Arial"/>
                <w:sz w:val="22"/>
                <w:szCs w:val="22"/>
              </w:rPr>
              <w:t xml:space="preserve">GFP coordinating platforms and working group arrangements at </w:t>
            </w:r>
            <w:r w:rsidR="00A54C6C">
              <w:rPr>
                <w:rFonts w:ascii="Arial" w:hAnsi="Arial" w:cs="Arial"/>
                <w:sz w:val="22"/>
                <w:szCs w:val="22"/>
              </w:rPr>
              <w:t>headquarters (</w:t>
            </w:r>
            <w:r w:rsidRPr="00EA613B">
              <w:rPr>
                <w:rFonts w:ascii="Arial" w:hAnsi="Arial" w:cs="Arial"/>
                <w:sz w:val="22"/>
                <w:szCs w:val="22"/>
              </w:rPr>
              <w:t>HQ</w:t>
            </w:r>
            <w:r w:rsidR="00A54C6C">
              <w:rPr>
                <w:rFonts w:ascii="Arial" w:hAnsi="Arial" w:cs="Arial"/>
                <w:sz w:val="22"/>
                <w:szCs w:val="22"/>
              </w:rPr>
              <w:t>)</w:t>
            </w:r>
            <w:r w:rsidRPr="00EA613B">
              <w:rPr>
                <w:rFonts w:ascii="Arial" w:hAnsi="Arial" w:cs="Arial"/>
                <w:sz w:val="22"/>
                <w:szCs w:val="22"/>
              </w:rPr>
              <w:t xml:space="preserve"> and in the field actively seek ways to increase UN coherence, align support with national development plans, serve as a single entry-point for host governments, reduce competition and overlap, and </w:t>
            </w:r>
            <w:r w:rsidRPr="00EA613B">
              <w:rPr>
                <w:rFonts w:ascii="Arial" w:hAnsi="Arial" w:cs="Arial"/>
                <w:sz w:val="22"/>
                <w:szCs w:val="22"/>
                <w:lang w:val="en-US"/>
              </w:rPr>
              <w:t>channel increased resources from donors for joint programming</w:t>
            </w:r>
            <w:r w:rsidRPr="00EA613B">
              <w:rPr>
                <w:rFonts w:ascii="Arial" w:hAnsi="Arial" w:cs="Arial"/>
                <w:sz w:val="22"/>
                <w:szCs w:val="22"/>
              </w:rPr>
              <w:t xml:space="preserve">. </w:t>
            </w:r>
            <w:r w:rsidRPr="00EA613B">
              <w:rPr>
                <w:rFonts w:ascii="Arial" w:hAnsi="Arial" w:cs="Arial"/>
                <w:sz w:val="22"/>
                <w:szCs w:val="22"/>
                <w:lang w:val="en-US"/>
              </w:rPr>
              <w:t xml:space="preserve">GFP facilitates joint assessments, planning, and programming; rapid deployment of expertise and joint delivery; joint knowledge and training; and joint fundraising efforts for country programmes. These efforts have been made possible by the institutionalized cooperation of the key GFP partners that have combined their efforts and resources through GFP working procedures. </w:t>
            </w:r>
          </w:p>
          <w:p w14:paraId="5FFB8ADD" w14:textId="0A962C6A" w:rsidR="00EA613B" w:rsidRDefault="00EA613B" w:rsidP="00EA613B">
            <w:pPr>
              <w:jc w:val="both"/>
              <w:rPr>
                <w:rFonts w:ascii="Arial" w:hAnsi="Arial" w:cs="Arial"/>
                <w:sz w:val="22"/>
                <w:szCs w:val="22"/>
                <w:lang w:val="en-US"/>
              </w:rPr>
            </w:pPr>
            <w:r w:rsidRPr="00EA613B">
              <w:rPr>
                <w:rFonts w:ascii="Arial" w:hAnsi="Arial" w:cs="Arial"/>
                <w:sz w:val="22"/>
                <w:szCs w:val="22"/>
                <w:lang w:val="en-US"/>
              </w:rPr>
              <w:t>The GFP operates in different settings including Prevention and/or Sustaining Peace; Conflict and Post-Conflict; and Transitions. As of 2020, the GFP was actively supporting initiatives in 24 countries including 10 high-conflict contexts such as Iraq, Libya, Mali, Somalia, South Sudan, and Yemen, as well as sustaining peace and transiti</w:t>
            </w:r>
            <w:r w:rsidR="004C625D">
              <w:rPr>
                <w:rFonts w:ascii="Arial" w:hAnsi="Arial" w:cs="Arial"/>
                <w:sz w:val="22"/>
                <w:szCs w:val="22"/>
                <w:lang w:val="en-US"/>
              </w:rPr>
              <w:t>on</w:t>
            </w:r>
            <w:r w:rsidRPr="00EA613B">
              <w:rPr>
                <w:rFonts w:ascii="Arial" w:hAnsi="Arial" w:cs="Arial"/>
                <w:sz w:val="22"/>
                <w:szCs w:val="22"/>
                <w:lang w:val="en-US"/>
              </w:rPr>
              <w:t xml:space="preserve"> contexts.</w:t>
            </w:r>
          </w:p>
          <w:p w14:paraId="2F6610EA" w14:textId="500B32B3" w:rsidR="00EA613B" w:rsidRPr="00EA613B" w:rsidRDefault="00EA613B" w:rsidP="00C21975">
            <w:pPr>
              <w:rPr>
                <w:rFonts w:ascii="Arial" w:hAnsi="Arial" w:cs="Arial"/>
                <w:b/>
                <w:bCs/>
                <w:sz w:val="22"/>
                <w:szCs w:val="22"/>
                <w:lang w:val="en-US"/>
              </w:rPr>
            </w:pPr>
          </w:p>
        </w:tc>
      </w:tr>
    </w:tbl>
    <w:p w14:paraId="63A9085E" w14:textId="77777777" w:rsidR="00C14403" w:rsidRDefault="00C14403">
      <w:pPr>
        <w:rPr>
          <w:rFonts w:asciiTheme="majorHAnsi" w:eastAsiaTheme="majorEastAsia" w:hAnsiTheme="majorHAnsi" w:cstheme="majorBidi"/>
          <w:color w:val="374C80" w:themeColor="accent1" w:themeShade="BF"/>
          <w:sz w:val="32"/>
          <w:szCs w:val="32"/>
        </w:rPr>
      </w:pPr>
      <w:r>
        <w:br w:type="page"/>
      </w:r>
    </w:p>
    <w:p w14:paraId="60F93A72" w14:textId="7DD15B50" w:rsidR="00FB015E" w:rsidRPr="006A5CD7" w:rsidRDefault="00FB015E" w:rsidP="00567956">
      <w:pPr>
        <w:pStyle w:val="Heading1"/>
        <w:numPr>
          <w:ilvl w:val="0"/>
          <w:numId w:val="21"/>
        </w:numPr>
      </w:pPr>
      <w:bookmarkStart w:id="2" w:name="_Toc71701876"/>
      <w:r w:rsidRPr="006A5CD7">
        <w:t>Methodology</w:t>
      </w:r>
      <w:bookmarkEnd w:id="2"/>
    </w:p>
    <w:p w14:paraId="54440094" w14:textId="77777777" w:rsidR="00FB015E" w:rsidRPr="009C4C02" w:rsidRDefault="00FB015E" w:rsidP="009C4C02">
      <w:pPr>
        <w:pStyle w:val="Heading2"/>
        <w:rPr>
          <w:rStyle w:val="Strong"/>
          <w:b/>
          <w:bCs w:val="0"/>
        </w:rPr>
      </w:pPr>
      <w:bookmarkStart w:id="3" w:name="_Toc71701877"/>
      <w:r w:rsidRPr="009C4C02">
        <w:rPr>
          <w:rStyle w:val="Strong"/>
          <w:b/>
          <w:bCs w:val="0"/>
        </w:rPr>
        <w:t>Evaluation Purpose and Audience</w:t>
      </w:r>
      <w:bookmarkEnd w:id="3"/>
      <w:r w:rsidRPr="009C4C02">
        <w:rPr>
          <w:rStyle w:val="Strong"/>
          <w:b/>
          <w:bCs w:val="0"/>
        </w:rPr>
        <w:t> </w:t>
      </w:r>
    </w:p>
    <w:p w14:paraId="4FD70D73" w14:textId="465B9C76" w:rsidR="00FB015E" w:rsidRPr="006A5CD7" w:rsidRDefault="00FB015E" w:rsidP="00FB015E">
      <w:pPr>
        <w:pStyle w:val="TableContents"/>
        <w:spacing w:after="120"/>
        <w:rPr>
          <w:rFonts w:ascii="Arial" w:hAnsi="Arial"/>
        </w:rPr>
      </w:pPr>
      <w:r w:rsidRPr="00FB015E">
        <w:rPr>
          <w:rStyle w:val="Strong"/>
          <w:rFonts w:ascii="Arial" w:hAnsi="Arial"/>
          <w:b w:val="0"/>
          <w:bCs w:val="0"/>
          <w:sz w:val="22"/>
          <w:szCs w:val="22"/>
        </w:rPr>
        <w:t xml:space="preserve">As outlined in the </w:t>
      </w:r>
      <w:r w:rsidR="00A54C6C">
        <w:rPr>
          <w:rStyle w:val="Strong"/>
          <w:rFonts w:ascii="Arial" w:hAnsi="Arial"/>
          <w:b w:val="0"/>
          <w:bCs w:val="0"/>
          <w:sz w:val="22"/>
          <w:szCs w:val="22"/>
        </w:rPr>
        <w:t>Evaluation Terms of Reference (</w:t>
      </w:r>
      <w:r w:rsidRPr="00FB015E">
        <w:rPr>
          <w:rStyle w:val="Strong"/>
          <w:rFonts w:ascii="Arial" w:hAnsi="Arial"/>
          <w:b w:val="0"/>
          <w:bCs w:val="0"/>
          <w:sz w:val="22"/>
          <w:szCs w:val="22"/>
        </w:rPr>
        <w:t>TOR</w:t>
      </w:r>
      <w:r w:rsidR="00A54C6C">
        <w:rPr>
          <w:rStyle w:val="Strong"/>
          <w:rFonts w:ascii="Arial" w:hAnsi="Arial"/>
          <w:b w:val="0"/>
          <w:bCs w:val="0"/>
          <w:sz w:val="22"/>
          <w:szCs w:val="22"/>
        </w:rPr>
        <w:t xml:space="preserve">, </w:t>
      </w:r>
      <w:r w:rsidR="006A57E1">
        <w:rPr>
          <w:rStyle w:val="Strong"/>
          <w:rFonts w:ascii="Arial" w:hAnsi="Arial"/>
          <w:b w:val="0"/>
          <w:bCs w:val="0"/>
          <w:sz w:val="22"/>
          <w:szCs w:val="22"/>
        </w:rPr>
        <w:t xml:space="preserve">shown in </w:t>
      </w:r>
      <w:r w:rsidR="00B37446" w:rsidRPr="415DC326">
        <w:rPr>
          <w:rStyle w:val="Strong"/>
          <w:rFonts w:ascii="Arial" w:hAnsi="Arial"/>
          <w:b w:val="0"/>
          <w:bCs w:val="0"/>
          <w:i/>
          <w:iCs/>
          <w:sz w:val="22"/>
          <w:szCs w:val="22"/>
          <w:highlight w:val="yellow"/>
        </w:rPr>
        <w:fldChar w:fldCharType="begin"/>
      </w:r>
      <w:r w:rsidR="00B37446" w:rsidRPr="415DC326">
        <w:rPr>
          <w:rStyle w:val="Strong"/>
          <w:rFonts w:ascii="Arial" w:hAnsi="Arial"/>
          <w:b w:val="0"/>
          <w:bCs w:val="0"/>
          <w:i/>
          <w:iCs/>
          <w:sz w:val="22"/>
          <w:szCs w:val="22"/>
        </w:rPr>
        <w:instrText xml:space="preserve"> REF _Ref70154337 \h </w:instrText>
      </w:r>
      <w:r w:rsidR="002B7AE6" w:rsidRPr="415DC326">
        <w:rPr>
          <w:rStyle w:val="Strong"/>
          <w:rFonts w:ascii="Arial" w:hAnsi="Arial"/>
          <w:b w:val="0"/>
          <w:bCs w:val="0"/>
          <w:i/>
          <w:iCs/>
          <w:sz w:val="22"/>
          <w:szCs w:val="22"/>
          <w:highlight w:val="yellow"/>
        </w:rPr>
        <w:instrText xml:space="preserve"> \* MERGEFORMAT </w:instrText>
      </w:r>
      <w:r w:rsidR="00B37446" w:rsidRPr="415DC326">
        <w:rPr>
          <w:rStyle w:val="Strong"/>
          <w:rFonts w:ascii="Arial" w:hAnsi="Arial"/>
          <w:b w:val="0"/>
          <w:bCs w:val="0"/>
          <w:i/>
          <w:iCs/>
          <w:sz w:val="22"/>
          <w:szCs w:val="22"/>
          <w:highlight w:val="yellow"/>
        </w:rPr>
      </w:r>
      <w:r w:rsidR="00B37446" w:rsidRPr="415DC326">
        <w:rPr>
          <w:rStyle w:val="Strong"/>
          <w:rFonts w:ascii="Arial" w:hAnsi="Arial"/>
          <w:b w:val="0"/>
          <w:bCs w:val="0"/>
          <w:i/>
          <w:iCs/>
          <w:sz w:val="22"/>
          <w:szCs w:val="22"/>
          <w:highlight w:val="yellow"/>
        </w:rPr>
        <w:fldChar w:fldCharType="separate"/>
      </w:r>
      <w:r w:rsidR="00036841" w:rsidRPr="00036841">
        <w:rPr>
          <w:rFonts w:ascii="Arial" w:hAnsi="Arial"/>
          <w:i/>
          <w:iCs/>
          <w:sz w:val="22"/>
          <w:szCs w:val="22"/>
        </w:rPr>
        <w:t>Annex 11</w:t>
      </w:r>
      <w:r w:rsidR="00036841">
        <w:t>: Terms of Reference for Evaluation</w:t>
      </w:r>
      <w:r w:rsidR="00B37446" w:rsidRPr="415DC326">
        <w:rPr>
          <w:rStyle w:val="Strong"/>
          <w:rFonts w:ascii="Arial" w:hAnsi="Arial"/>
          <w:b w:val="0"/>
          <w:bCs w:val="0"/>
          <w:i/>
          <w:iCs/>
          <w:sz w:val="22"/>
          <w:szCs w:val="22"/>
          <w:highlight w:val="yellow"/>
        </w:rPr>
        <w:fldChar w:fldCharType="end"/>
      </w:r>
      <w:r w:rsidR="006A57E1">
        <w:rPr>
          <w:rStyle w:val="Strong"/>
          <w:rFonts w:ascii="Arial" w:hAnsi="Arial"/>
          <w:b w:val="0"/>
          <w:bCs w:val="0"/>
          <w:sz w:val="22"/>
          <w:szCs w:val="22"/>
        </w:rPr>
        <w:t>)</w:t>
      </w:r>
      <w:r w:rsidRPr="00FB015E">
        <w:rPr>
          <w:rStyle w:val="Strong"/>
          <w:rFonts w:ascii="Arial" w:hAnsi="Arial"/>
          <w:b w:val="0"/>
          <w:bCs w:val="0"/>
          <w:sz w:val="22"/>
          <w:szCs w:val="22"/>
        </w:rPr>
        <w:t>,</w:t>
      </w:r>
      <w:r w:rsidR="000D51F6">
        <w:rPr>
          <w:rStyle w:val="Strong"/>
          <w:rFonts w:ascii="Arial" w:hAnsi="Arial"/>
          <w:b w:val="0"/>
          <w:bCs w:val="0"/>
          <w:sz w:val="22"/>
          <w:szCs w:val="22"/>
        </w:rPr>
        <w:t xml:space="preserve"> t</w:t>
      </w:r>
      <w:r w:rsidR="000D51F6" w:rsidRPr="006A5CD7">
        <w:rPr>
          <w:rFonts w:ascii="Arial" w:hAnsi="Arial"/>
          <w:sz w:val="22"/>
          <w:szCs w:val="22"/>
        </w:rPr>
        <w:t>h</w:t>
      </w:r>
      <w:r w:rsidR="000D51F6">
        <w:rPr>
          <w:rFonts w:ascii="Arial" w:hAnsi="Arial"/>
          <w:sz w:val="22"/>
          <w:szCs w:val="22"/>
        </w:rPr>
        <w:t>is</w:t>
      </w:r>
      <w:r w:rsidR="000D51F6" w:rsidRPr="006A5CD7">
        <w:rPr>
          <w:rFonts w:ascii="Arial" w:hAnsi="Arial"/>
          <w:sz w:val="22"/>
          <w:szCs w:val="22"/>
        </w:rPr>
        <w:t xml:space="preserve"> evaluation</w:t>
      </w:r>
      <w:r w:rsidR="000D51F6">
        <w:rPr>
          <w:rFonts w:ascii="Arial" w:hAnsi="Arial"/>
          <w:sz w:val="22"/>
          <w:szCs w:val="22"/>
        </w:rPr>
        <w:t>’s</w:t>
      </w:r>
      <w:r w:rsidR="000D51F6" w:rsidRPr="006A5CD7">
        <w:rPr>
          <w:rFonts w:ascii="Arial" w:hAnsi="Arial"/>
          <w:sz w:val="22"/>
          <w:szCs w:val="22"/>
        </w:rPr>
        <w:t xml:space="preserve"> main purpose is to draw out lessons learned</w:t>
      </w:r>
      <w:r w:rsidR="000D51F6">
        <w:rPr>
          <w:rFonts w:ascii="Arial" w:hAnsi="Arial"/>
          <w:sz w:val="22"/>
          <w:szCs w:val="22"/>
        </w:rPr>
        <w:t>,</w:t>
      </w:r>
      <w:r w:rsidR="000D51F6" w:rsidRPr="006A5CD7">
        <w:rPr>
          <w:rFonts w:ascii="Arial" w:hAnsi="Arial"/>
          <w:sz w:val="22"/>
          <w:szCs w:val="22"/>
        </w:rPr>
        <w:t xml:space="preserve"> results achieved and areas for improvements </w:t>
      </w:r>
      <w:r w:rsidR="000D51F6">
        <w:rPr>
          <w:rFonts w:ascii="Arial" w:hAnsi="Arial"/>
          <w:sz w:val="22"/>
          <w:szCs w:val="22"/>
        </w:rPr>
        <w:t>or</w:t>
      </w:r>
      <w:r w:rsidR="000D51F6" w:rsidRPr="006A5CD7">
        <w:rPr>
          <w:rFonts w:ascii="Arial" w:hAnsi="Arial"/>
          <w:sz w:val="22"/>
          <w:szCs w:val="22"/>
        </w:rPr>
        <w:t xml:space="preserve"> </w:t>
      </w:r>
      <w:r w:rsidR="000D51F6">
        <w:rPr>
          <w:rFonts w:ascii="Arial" w:hAnsi="Arial"/>
          <w:sz w:val="22"/>
          <w:szCs w:val="22"/>
        </w:rPr>
        <w:t xml:space="preserve">required </w:t>
      </w:r>
      <w:r w:rsidR="000D51F6" w:rsidRPr="006A5CD7">
        <w:rPr>
          <w:rFonts w:ascii="Arial" w:hAnsi="Arial"/>
          <w:sz w:val="22"/>
          <w:szCs w:val="22"/>
        </w:rPr>
        <w:t>action</w:t>
      </w:r>
      <w:r w:rsidR="000D51F6">
        <w:rPr>
          <w:rFonts w:ascii="Arial" w:hAnsi="Arial"/>
          <w:sz w:val="22"/>
          <w:szCs w:val="22"/>
        </w:rPr>
        <w:t>s</w:t>
      </w:r>
      <w:r w:rsidR="000D51F6" w:rsidRPr="006A5CD7">
        <w:rPr>
          <w:rFonts w:ascii="Arial" w:hAnsi="Arial"/>
          <w:sz w:val="22"/>
          <w:szCs w:val="22"/>
        </w:rPr>
        <w:t xml:space="preserve"> to ensure proper implementation and performance of the </w:t>
      </w:r>
      <w:r w:rsidR="000D51F6">
        <w:rPr>
          <w:rFonts w:ascii="Arial" w:hAnsi="Arial"/>
          <w:sz w:val="22"/>
          <w:szCs w:val="22"/>
        </w:rPr>
        <w:t>GP</w:t>
      </w:r>
      <w:r w:rsidR="000D51F6" w:rsidRPr="006A5CD7">
        <w:rPr>
          <w:rFonts w:ascii="Arial" w:hAnsi="Arial"/>
          <w:sz w:val="22"/>
          <w:szCs w:val="22"/>
        </w:rPr>
        <w:t xml:space="preserve"> through the end of this phase in December 2021</w:t>
      </w:r>
      <w:r w:rsidR="000D51F6">
        <w:rPr>
          <w:rFonts w:ascii="Arial" w:hAnsi="Arial"/>
          <w:sz w:val="22"/>
          <w:szCs w:val="22"/>
        </w:rPr>
        <w:t>, as well as to</w:t>
      </w:r>
      <w:r w:rsidRPr="006A5CD7">
        <w:rPr>
          <w:rFonts w:ascii="Arial" w:hAnsi="Arial"/>
          <w:sz w:val="22"/>
          <w:szCs w:val="22"/>
        </w:rPr>
        <w:t xml:space="preserve"> inform development of the fourth phase of the Global Programme</w:t>
      </w:r>
      <w:r w:rsidR="3AD3577D" w:rsidRPr="006A5CD7">
        <w:rPr>
          <w:rFonts w:ascii="Arial" w:hAnsi="Arial"/>
          <w:sz w:val="22"/>
          <w:szCs w:val="22"/>
        </w:rPr>
        <w:t xml:space="preserve"> (2022-2026)</w:t>
      </w:r>
      <w:r w:rsidR="000D51F6">
        <w:rPr>
          <w:rFonts w:ascii="Arial" w:hAnsi="Arial"/>
          <w:sz w:val="22"/>
          <w:szCs w:val="22"/>
        </w:rPr>
        <w:t xml:space="preserve">. </w:t>
      </w:r>
    </w:p>
    <w:p w14:paraId="082BCCE6" w14:textId="77777777" w:rsidR="00FB015E" w:rsidRPr="009C4C02" w:rsidRDefault="00FB015E" w:rsidP="009C4C02">
      <w:pPr>
        <w:pStyle w:val="Heading2"/>
        <w:rPr>
          <w:rStyle w:val="Strong"/>
          <w:b/>
          <w:bCs w:val="0"/>
        </w:rPr>
      </w:pPr>
      <w:bookmarkStart w:id="4" w:name="_Toc71701878"/>
      <w:r w:rsidRPr="009C4C02">
        <w:rPr>
          <w:rStyle w:val="Strong"/>
          <w:b/>
          <w:bCs w:val="0"/>
        </w:rPr>
        <w:t>Evaluation Objectives</w:t>
      </w:r>
      <w:bookmarkEnd w:id="4"/>
    </w:p>
    <w:p w14:paraId="1360380C" w14:textId="1B13FE4A" w:rsidR="00FB015E" w:rsidRPr="006A5CD7" w:rsidRDefault="00FB015E" w:rsidP="00FB015E">
      <w:pPr>
        <w:pStyle w:val="TableContents"/>
        <w:tabs>
          <w:tab w:val="left" w:pos="707"/>
        </w:tabs>
        <w:spacing w:after="120"/>
        <w:rPr>
          <w:rFonts w:ascii="Arial" w:hAnsi="Arial"/>
        </w:rPr>
      </w:pPr>
      <w:r w:rsidRPr="006A5CD7">
        <w:rPr>
          <w:rFonts w:ascii="Arial" w:hAnsi="Arial"/>
          <w:sz w:val="22"/>
          <w:szCs w:val="22"/>
        </w:rPr>
        <w:t xml:space="preserve">This evaluation has aimed to assess the performance of the </w:t>
      </w:r>
      <w:r w:rsidR="000D51F6">
        <w:rPr>
          <w:rFonts w:ascii="Arial" w:hAnsi="Arial"/>
          <w:sz w:val="22"/>
          <w:szCs w:val="22"/>
        </w:rPr>
        <w:t>GP</w:t>
      </w:r>
      <w:r w:rsidRPr="006A5CD7">
        <w:rPr>
          <w:rFonts w:ascii="Arial" w:hAnsi="Arial"/>
          <w:sz w:val="22"/>
          <w:szCs w:val="22"/>
        </w:rPr>
        <w:t xml:space="preserve"> in achieving its intended results</w:t>
      </w:r>
      <w:r w:rsidR="000D51F6">
        <w:rPr>
          <w:rFonts w:ascii="Arial" w:hAnsi="Arial"/>
          <w:sz w:val="22"/>
          <w:szCs w:val="22"/>
        </w:rPr>
        <w:t xml:space="preserve"> and</w:t>
      </w:r>
      <w:r w:rsidRPr="006A5CD7">
        <w:rPr>
          <w:rFonts w:ascii="Arial" w:hAnsi="Arial"/>
          <w:sz w:val="22"/>
          <w:szCs w:val="22"/>
        </w:rPr>
        <w:t xml:space="preserve"> meeting its objectives, </w:t>
      </w:r>
      <w:r w:rsidR="000D51F6">
        <w:rPr>
          <w:rFonts w:ascii="Arial" w:hAnsi="Arial"/>
          <w:sz w:val="22"/>
          <w:szCs w:val="22"/>
        </w:rPr>
        <w:t>including</w:t>
      </w:r>
      <w:r w:rsidRPr="006A5CD7">
        <w:rPr>
          <w:rFonts w:ascii="Arial" w:hAnsi="Arial"/>
          <w:sz w:val="22"/>
          <w:szCs w:val="22"/>
        </w:rPr>
        <w:t xml:space="preserve"> at the outcome and impact level</w:t>
      </w:r>
      <w:r w:rsidR="00CE21E6">
        <w:rPr>
          <w:rFonts w:ascii="Arial" w:hAnsi="Arial"/>
          <w:sz w:val="22"/>
          <w:szCs w:val="22"/>
        </w:rPr>
        <w:t xml:space="preserve"> under Phase </w:t>
      </w:r>
      <w:r w:rsidR="00C30FEB">
        <w:rPr>
          <w:rFonts w:ascii="Arial" w:hAnsi="Arial"/>
          <w:sz w:val="22"/>
          <w:szCs w:val="22"/>
        </w:rPr>
        <w:t>3</w:t>
      </w:r>
      <w:r w:rsidRPr="006A5CD7">
        <w:rPr>
          <w:rFonts w:ascii="Arial" w:hAnsi="Arial"/>
          <w:sz w:val="22"/>
          <w:szCs w:val="22"/>
        </w:rPr>
        <w:t>. The evaluation is focused on the period from January 2016 to December 2019, and aims to provide insights on:</w:t>
      </w:r>
    </w:p>
    <w:p w14:paraId="6D52E971" w14:textId="20A6F4A9" w:rsidR="00FB015E" w:rsidRPr="006A5CD7" w:rsidRDefault="00FB015E" w:rsidP="00567956">
      <w:pPr>
        <w:pStyle w:val="TableContents"/>
        <w:numPr>
          <w:ilvl w:val="0"/>
          <w:numId w:val="20"/>
        </w:numPr>
        <w:tabs>
          <w:tab w:val="left" w:pos="707"/>
        </w:tabs>
        <w:spacing w:after="120"/>
        <w:rPr>
          <w:rFonts w:ascii="Arial" w:hAnsi="Arial"/>
        </w:rPr>
      </w:pPr>
      <w:r w:rsidRPr="006A5CD7">
        <w:rPr>
          <w:rFonts w:ascii="Arial" w:hAnsi="Arial"/>
          <w:sz w:val="22"/>
          <w:szCs w:val="22"/>
        </w:rPr>
        <w:t xml:space="preserve">The ability of UNDP to function as an effective provider of </w:t>
      </w:r>
      <w:r w:rsidR="000D51F6">
        <w:rPr>
          <w:rFonts w:ascii="Arial" w:hAnsi="Arial"/>
          <w:sz w:val="22"/>
          <w:szCs w:val="22"/>
        </w:rPr>
        <w:t>ROLSHR</w:t>
      </w:r>
      <w:r w:rsidRPr="006A5CD7">
        <w:rPr>
          <w:rFonts w:ascii="Arial" w:hAnsi="Arial"/>
          <w:sz w:val="22"/>
          <w:szCs w:val="22"/>
        </w:rPr>
        <w:t xml:space="preserve"> programming support; in particular, the extent to which the </w:t>
      </w:r>
      <w:r w:rsidR="000D51F6">
        <w:rPr>
          <w:rFonts w:ascii="Arial" w:hAnsi="Arial"/>
          <w:sz w:val="22"/>
          <w:szCs w:val="22"/>
        </w:rPr>
        <w:t>GP</w:t>
      </w:r>
      <w:r w:rsidRPr="006A5CD7">
        <w:rPr>
          <w:rFonts w:ascii="Arial" w:hAnsi="Arial"/>
          <w:sz w:val="22"/>
          <w:szCs w:val="22"/>
        </w:rPr>
        <w:t xml:space="preserve"> is able to respond to the needs of UNDP Country Offices; UN Resident Coordinator Offices; UN</w:t>
      </w:r>
      <w:r w:rsidR="00A01D7F">
        <w:rPr>
          <w:rFonts w:ascii="Arial" w:hAnsi="Arial"/>
          <w:sz w:val="22"/>
          <w:szCs w:val="22"/>
        </w:rPr>
        <w:t xml:space="preserve"> </w:t>
      </w:r>
      <w:r w:rsidRPr="006A5CD7">
        <w:rPr>
          <w:rFonts w:ascii="Arial" w:hAnsi="Arial"/>
          <w:sz w:val="22"/>
          <w:szCs w:val="22"/>
        </w:rPr>
        <w:t>C</w:t>
      </w:r>
      <w:r w:rsidR="00A01D7F">
        <w:rPr>
          <w:rFonts w:ascii="Arial" w:hAnsi="Arial"/>
          <w:sz w:val="22"/>
          <w:szCs w:val="22"/>
        </w:rPr>
        <w:t xml:space="preserve">ountry </w:t>
      </w:r>
      <w:r w:rsidRPr="006A5CD7">
        <w:rPr>
          <w:rFonts w:ascii="Arial" w:hAnsi="Arial"/>
          <w:sz w:val="22"/>
          <w:szCs w:val="22"/>
        </w:rPr>
        <w:t>T</w:t>
      </w:r>
      <w:r w:rsidR="00A01D7F">
        <w:rPr>
          <w:rFonts w:ascii="Arial" w:hAnsi="Arial"/>
          <w:sz w:val="22"/>
          <w:szCs w:val="22"/>
        </w:rPr>
        <w:t>eam</w:t>
      </w:r>
      <w:r w:rsidRPr="006A5CD7">
        <w:rPr>
          <w:rFonts w:ascii="Arial" w:hAnsi="Arial"/>
          <w:sz w:val="22"/>
          <w:szCs w:val="22"/>
        </w:rPr>
        <w:t>s; and peacekeeping missions as relevant.</w:t>
      </w:r>
    </w:p>
    <w:p w14:paraId="20D28006" w14:textId="70569568" w:rsidR="00FB015E" w:rsidRPr="006A5CD7" w:rsidRDefault="00FB015E" w:rsidP="00567956">
      <w:pPr>
        <w:pStyle w:val="TableContents"/>
        <w:numPr>
          <w:ilvl w:val="0"/>
          <w:numId w:val="20"/>
        </w:numPr>
        <w:tabs>
          <w:tab w:val="left" w:pos="707"/>
        </w:tabs>
        <w:spacing w:after="120"/>
        <w:rPr>
          <w:rFonts w:ascii="Arial" w:hAnsi="Arial"/>
        </w:rPr>
      </w:pPr>
      <w:r w:rsidRPr="006A5CD7">
        <w:rPr>
          <w:rFonts w:ascii="Arial" w:hAnsi="Arial"/>
          <w:sz w:val="22"/>
          <w:szCs w:val="22"/>
        </w:rPr>
        <w:t xml:space="preserve">The ability of the </w:t>
      </w:r>
      <w:r w:rsidR="000D51F6">
        <w:rPr>
          <w:rFonts w:ascii="Arial" w:hAnsi="Arial"/>
          <w:sz w:val="22"/>
          <w:szCs w:val="22"/>
        </w:rPr>
        <w:t>GP</w:t>
      </w:r>
      <w:r w:rsidRPr="006A5CD7">
        <w:rPr>
          <w:rFonts w:ascii="Arial" w:hAnsi="Arial"/>
          <w:sz w:val="22"/>
          <w:szCs w:val="22"/>
        </w:rPr>
        <w:t xml:space="preserve"> to leverage UNDP’s role as an international policy maker and thought leader on rule of law, security and human rights.</w:t>
      </w:r>
    </w:p>
    <w:p w14:paraId="46863647" w14:textId="59650F18" w:rsidR="00FB015E" w:rsidRPr="006A5CD7" w:rsidRDefault="00FB015E" w:rsidP="00567956">
      <w:pPr>
        <w:pStyle w:val="TableContents"/>
        <w:numPr>
          <w:ilvl w:val="0"/>
          <w:numId w:val="20"/>
        </w:numPr>
        <w:tabs>
          <w:tab w:val="left" w:pos="707"/>
        </w:tabs>
        <w:spacing w:after="120"/>
        <w:rPr>
          <w:rFonts w:ascii="Arial" w:hAnsi="Arial"/>
        </w:rPr>
      </w:pPr>
      <w:r w:rsidRPr="006A5CD7">
        <w:rPr>
          <w:rFonts w:ascii="Arial" w:hAnsi="Arial"/>
          <w:sz w:val="22"/>
          <w:szCs w:val="22"/>
        </w:rPr>
        <w:t xml:space="preserve">The effectiveness and achievements of UNDP in forging interagency cooperation and implementation across the UN system vis a vis the </w:t>
      </w:r>
      <w:r w:rsidR="000D51F6">
        <w:rPr>
          <w:rFonts w:ascii="Arial" w:hAnsi="Arial"/>
          <w:sz w:val="22"/>
          <w:szCs w:val="22"/>
        </w:rPr>
        <w:t>GFP</w:t>
      </w:r>
      <w:r w:rsidRPr="006A5CD7">
        <w:rPr>
          <w:rFonts w:ascii="Arial" w:hAnsi="Arial"/>
          <w:sz w:val="22"/>
          <w:szCs w:val="22"/>
        </w:rPr>
        <w:t>, the Tripartite Partnership to Support NHRIs, and other important initiatives, including with UN Women, UNODC, etc.</w:t>
      </w:r>
    </w:p>
    <w:p w14:paraId="25DD224D" w14:textId="2EA513C6" w:rsidR="00FB015E" w:rsidRPr="006A5CD7" w:rsidRDefault="00FB015E" w:rsidP="00567956">
      <w:pPr>
        <w:pStyle w:val="TableContents"/>
        <w:numPr>
          <w:ilvl w:val="0"/>
          <w:numId w:val="20"/>
        </w:numPr>
        <w:tabs>
          <w:tab w:val="left" w:pos="707"/>
        </w:tabs>
        <w:spacing w:after="120"/>
        <w:rPr>
          <w:rFonts w:ascii="Arial" w:hAnsi="Arial"/>
        </w:rPr>
      </w:pPr>
      <w:r w:rsidRPr="006A5CD7">
        <w:rPr>
          <w:rFonts w:ascii="Arial" w:hAnsi="Arial"/>
          <w:sz w:val="22"/>
          <w:szCs w:val="22"/>
        </w:rPr>
        <w:t xml:space="preserve">The </w:t>
      </w:r>
      <w:r w:rsidR="000D51F6">
        <w:rPr>
          <w:rFonts w:ascii="Arial" w:hAnsi="Arial"/>
          <w:sz w:val="22"/>
          <w:szCs w:val="22"/>
        </w:rPr>
        <w:t>GP</w:t>
      </w:r>
      <w:r w:rsidRPr="006A5CD7">
        <w:rPr>
          <w:rFonts w:ascii="Arial" w:hAnsi="Arial"/>
          <w:sz w:val="22"/>
          <w:szCs w:val="22"/>
        </w:rPr>
        <w:t>’s contributions to UNDP’s Integrated Results and Resources Framework for the 2014-2017 and the 2018-2021 UNDP Strategic Plan. </w:t>
      </w:r>
    </w:p>
    <w:p w14:paraId="2F79BC04" w14:textId="707325EC" w:rsidR="00FB015E" w:rsidRPr="006A5CD7" w:rsidRDefault="00FB015E" w:rsidP="00567956">
      <w:pPr>
        <w:pStyle w:val="TableContents"/>
        <w:numPr>
          <w:ilvl w:val="0"/>
          <w:numId w:val="20"/>
        </w:numPr>
        <w:tabs>
          <w:tab w:val="left" w:pos="707"/>
        </w:tabs>
        <w:spacing w:after="120"/>
        <w:rPr>
          <w:rFonts w:ascii="Arial" w:hAnsi="Arial"/>
        </w:rPr>
      </w:pPr>
      <w:r w:rsidRPr="006A5CD7">
        <w:rPr>
          <w:rFonts w:ascii="Arial" w:hAnsi="Arial"/>
          <w:sz w:val="22"/>
          <w:szCs w:val="22"/>
        </w:rPr>
        <w:t xml:space="preserve">The ability of the current </w:t>
      </w:r>
      <w:r w:rsidR="000D51F6">
        <w:rPr>
          <w:rFonts w:ascii="Arial" w:hAnsi="Arial"/>
          <w:sz w:val="22"/>
          <w:szCs w:val="22"/>
        </w:rPr>
        <w:t xml:space="preserve">GP </w:t>
      </w:r>
      <w:r w:rsidRPr="006A5CD7">
        <w:rPr>
          <w:rFonts w:ascii="Arial" w:hAnsi="Arial"/>
          <w:sz w:val="22"/>
          <w:szCs w:val="22"/>
        </w:rPr>
        <w:t>structure to manage finances and operations, meet partner expectations, and respond to the needs of priority countries.</w:t>
      </w:r>
    </w:p>
    <w:p w14:paraId="6C2EA956" w14:textId="135E21D1" w:rsidR="00FB015E" w:rsidRPr="006A5CD7" w:rsidRDefault="00FB015E" w:rsidP="00FB015E">
      <w:pPr>
        <w:pStyle w:val="TableContents"/>
        <w:spacing w:after="120"/>
        <w:rPr>
          <w:rFonts w:ascii="Arial" w:hAnsi="Arial"/>
        </w:rPr>
      </w:pPr>
      <w:r w:rsidRPr="006A5CD7">
        <w:rPr>
          <w:rFonts w:ascii="Arial" w:hAnsi="Arial"/>
          <w:sz w:val="22"/>
          <w:szCs w:val="22"/>
        </w:rPr>
        <w:t xml:space="preserve">Although 2020 and early 2021 have not been specifically analyzed by the evaluation, and therefore the </w:t>
      </w:r>
      <w:r w:rsidR="000D51F6">
        <w:rPr>
          <w:rFonts w:ascii="Arial" w:hAnsi="Arial"/>
          <w:sz w:val="22"/>
          <w:szCs w:val="22"/>
        </w:rPr>
        <w:t>GP’s</w:t>
      </w:r>
      <w:r w:rsidRPr="006A5CD7">
        <w:rPr>
          <w:rFonts w:ascii="Arial" w:hAnsi="Arial"/>
          <w:sz w:val="22"/>
          <w:szCs w:val="22"/>
        </w:rPr>
        <w:t xml:space="preserve"> response to the Covid-19 pandemic was not studied</w:t>
      </w:r>
      <w:r w:rsidR="000D51F6">
        <w:rPr>
          <w:rFonts w:ascii="Arial" w:hAnsi="Arial"/>
          <w:sz w:val="22"/>
          <w:szCs w:val="22"/>
        </w:rPr>
        <w:t xml:space="preserve"> in any detail</w:t>
      </w:r>
      <w:r w:rsidRPr="006A5CD7">
        <w:rPr>
          <w:rFonts w:ascii="Arial" w:hAnsi="Arial"/>
          <w:sz w:val="22"/>
          <w:szCs w:val="22"/>
        </w:rPr>
        <w:t xml:space="preserve">, for certain purposes the evaluation has </w:t>
      </w:r>
      <w:r w:rsidR="000D51F6">
        <w:rPr>
          <w:rFonts w:ascii="Arial" w:hAnsi="Arial"/>
          <w:sz w:val="22"/>
          <w:szCs w:val="22"/>
        </w:rPr>
        <w:t xml:space="preserve">of necessity </w:t>
      </w:r>
      <w:r w:rsidRPr="006A5CD7">
        <w:rPr>
          <w:rFonts w:ascii="Arial" w:hAnsi="Arial"/>
          <w:sz w:val="22"/>
          <w:szCs w:val="22"/>
        </w:rPr>
        <w:t xml:space="preserve">taken that period into account. </w:t>
      </w:r>
    </w:p>
    <w:p w14:paraId="552337CF" w14:textId="68726D50" w:rsidR="00FB015E" w:rsidRPr="007B6B11" w:rsidRDefault="00FB015E" w:rsidP="009C4C02">
      <w:pPr>
        <w:pStyle w:val="Heading2"/>
        <w:rPr>
          <w:sz w:val="36"/>
          <w:szCs w:val="36"/>
          <w:lang w:val="en-US"/>
        </w:rPr>
      </w:pPr>
      <w:bookmarkStart w:id="5" w:name="_Toc71701879"/>
      <w:r w:rsidRPr="007B6B11">
        <w:rPr>
          <w:lang w:val="en-US"/>
        </w:rPr>
        <w:t>Evaluation Criteria and Standards</w:t>
      </w:r>
      <w:bookmarkEnd w:id="5"/>
    </w:p>
    <w:p w14:paraId="4320EBDF" w14:textId="72C7CED2" w:rsidR="00FB015E" w:rsidRPr="008E530C" w:rsidRDefault="00FB015E" w:rsidP="00E80114">
      <w:pPr>
        <w:spacing w:line="240" w:lineRule="auto"/>
        <w:ind w:hanging="2"/>
        <w:rPr>
          <w:rFonts w:ascii="Arial" w:eastAsia="Times New Roman" w:hAnsi="Arial" w:cs="Arial"/>
          <w:sz w:val="22"/>
          <w:szCs w:val="22"/>
        </w:rPr>
      </w:pPr>
      <w:r w:rsidRPr="008E530C">
        <w:rPr>
          <w:rFonts w:ascii="Arial" w:hAnsi="Arial" w:cs="Arial"/>
          <w:color w:val="000000"/>
          <w:sz w:val="22"/>
          <w:szCs w:val="22"/>
        </w:rPr>
        <w:t xml:space="preserve">The evaluation team </w:t>
      </w:r>
      <w:r w:rsidR="00C14403">
        <w:rPr>
          <w:rFonts w:ascii="Arial" w:hAnsi="Arial" w:cs="Arial"/>
          <w:color w:val="000000"/>
          <w:sz w:val="22"/>
          <w:szCs w:val="22"/>
        </w:rPr>
        <w:t>based the evaluation on</w:t>
      </w:r>
      <w:r w:rsidRPr="008E530C">
        <w:rPr>
          <w:rFonts w:ascii="Arial" w:hAnsi="Arial" w:cs="Arial"/>
          <w:color w:val="000000"/>
          <w:sz w:val="22"/>
          <w:szCs w:val="22"/>
        </w:rPr>
        <w:t xml:space="preserve"> the six evaluation criteria</w:t>
      </w:r>
      <w:r w:rsidRPr="008E530C">
        <w:rPr>
          <w:rFonts w:ascii="Arial" w:hAnsi="Arial" w:cs="Arial"/>
          <w:sz w:val="22"/>
          <w:szCs w:val="22"/>
        </w:rPr>
        <w:t xml:space="preserve"> recommended by the </w:t>
      </w:r>
      <w:r w:rsidR="00A01D7F" w:rsidRPr="008E530C">
        <w:rPr>
          <w:rFonts w:ascii="Arial" w:hAnsi="Arial" w:cs="Arial"/>
          <w:sz w:val="22"/>
          <w:szCs w:val="22"/>
        </w:rPr>
        <w:t xml:space="preserve">Development Assistance Committee </w:t>
      </w:r>
      <w:r w:rsidR="00A01D7F">
        <w:rPr>
          <w:rFonts w:ascii="Arial" w:hAnsi="Arial" w:cs="Arial"/>
          <w:sz w:val="22"/>
          <w:szCs w:val="22"/>
        </w:rPr>
        <w:t xml:space="preserve">of the </w:t>
      </w:r>
      <w:r w:rsidRPr="008E530C">
        <w:rPr>
          <w:rFonts w:ascii="Arial" w:hAnsi="Arial" w:cs="Arial"/>
          <w:sz w:val="22"/>
          <w:szCs w:val="22"/>
        </w:rPr>
        <w:t xml:space="preserve">Organization for Economic Cooperation and Development </w:t>
      </w:r>
      <w:r w:rsidR="00A01D7F" w:rsidRPr="008E530C">
        <w:rPr>
          <w:rFonts w:ascii="Arial" w:hAnsi="Arial" w:cs="Arial"/>
          <w:sz w:val="22"/>
          <w:szCs w:val="22"/>
        </w:rPr>
        <w:t>(</w:t>
      </w:r>
      <w:r w:rsidR="00A01D7F" w:rsidRPr="008E530C">
        <w:rPr>
          <w:rFonts w:ascii="Arial" w:hAnsi="Arial" w:cs="Arial"/>
          <w:color w:val="000000"/>
          <w:sz w:val="22"/>
          <w:szCs w:val="22"/>
        </w:rPr>
        <w:t>OECD)</w:t>
      </w:r>
      <w:r w:rsidRPr="008E530C">
        <w:rPr>
          <w:rFonts w:ascii="Arial" w:hAnsi="Arial" w:cs="Arial"/>
          <w:color w:val="000000"/>
          <w:sz w:val="22"/>
          <w:szCs w:val="22"/>
        </w:rPr>
        <w:t xml:space="preserve">: relevance, coherence, efficiency, effectiveness, impact and sustainability, as well as recent guidance on the application of those criteria. The evaluators reviewed the key evaluation questions and objectives in the TOR </w:t>
      </w:r>
      <w:r w:rsidRPr="008E530C">
        <w:rPr>
          <w:rFonts w:ascii="Arial" w:hAnsi="Arial" w:cs="Arial"/>
          <w:color w:val="000000"/>
          <w:sz w:val="22"/>
          <w:szCs w:val="22"/>
          <w:highlight w:val="white"/>
        </w:rPr>
        <w:t>with this in mind and allocated them among the criteria. Certain evaluation questions were re-phrased and several a</w:t>
      </w:r>
      <w:r w:rsidRPr="008E530C">
        <w:rPr>
          <w:rFonts w:ascii="Arial" w:hAnsi="Arial" w:cs="Arial"/>
          <w:color w:val="000000"/>
          <w:sz w:val="22"/>
          <w:szCs w:val="22"/>
        </w:rPr>
        <w:t xml:space="preserve">dded to ensure adequate attention to all six criteria. The final set of questions was used to develop the Evaluation </w:t>
      </w:r>
      <w:r w:rsidRPr="006A57E1">
        <w:rPr>
          <w:rFonts w:ascii="Arial" w:hAnsi="Arial" w:cs="Arial"/>
          <w:color w:val="000000"/>
          <w:sz w:val="22"/>
          <w:szCs w:val="22"/>
        </w:rPr>
        <w:t>Matrix (</w:t>
      </w:r>
      <w:r w:rsidR="00B37446" w:rsidRPr="00C14403">
        <w:rPr>
          <w:rFonts w:ascii="Arial" w:hAnsi="Arial" w:cs="Arial"/>
          <w:i/>
          <w:iCs/>
          <w:color w:val="000000"/>
          <w:sz w:val="22"/>
          <w:szCs w:val="22"/>
          <w:highlight w:val="yellow"/>
          <w:shd w:val="clear" w:color="auto" w:fill="E6E6E6"/>
        </w:rPr>
        <w:fldChar w:fldCharType="begin"/>
      </w:r>
      <w:r w:rsidR="00B37446" w:rsidRPr="00C14403">
        <w:rPr>
          <w:rFonts w:ascii="Arial" w:hAnsi="Arial" w:cs="Arial"/>
          <w:i/>
          <w:iCs/>
          <w:color w:val="000000"/>
          <w:sz w:val="22"/>
          <w:szCs w:val="22"/>
        </w:rPr>
        <w:instrText xml:space="preserve"> REF _Ref70154363 \h </w:instrText>
      </w:r>
      <w:r w:rsidR="00C14403" w:rsidRPr="00C14403">
        <w:rPr>
          <w:rFonts w:ascii="Arial" w:hAnsi="Arial" w:cs="Arial"/>
          <w:i/>
          <w:iCs/>
          <w:color w:val="000000"/>
          <w:sz w:val="22"/>
          <w:szCs w:val="22"/>
          <w:highlight w:val="yellow"/>
        </w:rPr>
        <w:instrText xml:space="preserve"> \* MERGEFORMAT </w:instrText>
      </w:r>
      <w:r w:rsidR="00B37446" w:rsidRPr="00C14403">
        <w:rPr>
          <w:rFonts w:ascii="Arial" w:hAnsi="Arial" w:cs="Arial"/>
          <w:i/>
          <w:iCs/>
          <w:color w:val="000000"/>
          <w:sz w:val="22"/>
          <w:szCs w:val="22"/>
          <w:highlight w:val="yellow"/>
          <w:shd w:val="clear" w:color="auto" w:fill="E6E6E6"/>
        </w:rPr>
      </w:r>
      <w:r w:rsidR="00B37446" w:rsidRPr="00C14403">
        <w:rPr>
          <w:rFonts w:ascii="Arial" w:hAnsi="Arial" w:cs="Arial"/>
          <w:i/>
          <w:iCs/>
          <w:color w:val="000000"/>
          <w:sz w:val="22"/>
          <w:szCs w:val="22"/>
          <w:highlight w:val="yellow"/>
          <w:shd w:val="clear" w:color="auto" w:fill="E6E6E6"/>
        </w:rPr>
        <w:fldChar w:fldCharType="separate"/>
      </w:r>
      <w:r w:rsidR="00036841" w:rsidRPr="00036841">
        <w:rPr>
          <w:rFonts w:ascii="Arial" w:hAnsi="Arial" w:cs="Arial"/>
          <w:i/>
          <w:iCs/>
          <w:sz w:val="22"/>
          <w:szCs w:val="22"/>
          <w:lang w:val="en-US" w:eastAsia="de-DE"/>
        </w:rPr>
        <w:t>Annex 1</w:t>
      </w:r>
      <w:r w:rsidR="00036841">
        <w:rPr>
          <w:lang w:val="en-US" w:eastAsia="de-DE"/>
        </w:rPr>
        <w:t>: Evaluation Matrix</w:t>
      </w:r>
      <w:r w:rsidR="00B37446" w:rsidRPr="00C14403">
        <w:rPr>
          <w:rFonts w:ascii="Arial" w:hAnsi="Arial" w:cs="Arial"/>
          <w:i/>
          <w:iCs/>
          <w:color w:val="000000"/>
          <w:sz w:val="22"/>
          <w:szCs w:val="22"/>
          <w:highlight w:val="yellow"/>
          <w:shd w:val="clear" w:color="auto" w:fill="E6E6E6"/>
        </w:rPr>
        <w:fldChar w:fldCharType="end"/>
      </w:r>
      <w:r w:rsidRPr="006A57E1">
        <w:rPr>
          <w:rFonts w:ascii="Arial" w:hAnsi="Arial" w:cs="Arial"/>
          <w:color w:val="000000"/>
          <w:sz w:val="22"/>
          <w:szCs w:val="22"/>
        </w:rPr>
        <w:t>),</w:t>
      </w:r>
      <w:r w:rsidRPr="008E530C">
        <w:rPr>
          <w:rFonts w:ascii="Arial" w:hAnsi="Arial" w:cs="Arial"/>
          <w:color w:val="000000"/>
          <w:sz w:val="22"/>
          <w:szCs w:val="22"/>
        </w:rPr>
        <w:t xml:space="preserve"> including key sources and methods for each sub-set of questions. </w:t>
      </w:r>
      <w:r w:rsidRPr="008E530C">
        <w:rPr>
          <w:rFonts w:ascii="Arial" w:eastAsia="Times New Roman" w:hAnsi="Arial" w:cs="Arial"/>
          <w:sz w:val="22"/>
          <w:szCs w:val="22"/>
        </w:rPr>
        <w:t xml:space="preserve"> </w:t>
      </w:r>
      <w:r w:rsidRPr="008E530C">
        <w:rPr>
          <w:rFonts w:ascii="Arial" w:hAnsi="Arial" w:cs="Arial"/>
          <w:color w:val="000000"/>
          <w:sz w:val="22"/>
          <w:szCs w:val="22"/>
        </w:rPr>
        <w:t xml:space="preserve">The methodology was designed </w:t>
      </w:r>
      <w:r w:rsidR="00E80114">
        <w:rPr>
          <w:rFonts w:ascii="Arial" w:hAnsi="Arial" w:cs="Arial"/>
          <w:color w:val="000000"/>
          <w:sz w:val="22"/>
          <w:szCs w:val="22"/>
        </w:rPr>
        <w:t>in line with</w:t>
      </w:r>
      <w:r w:rsidRPr="008E530C">
        <w:rPr>
          <w:rFonts w:ascii="Arial" w:hAnsi="Arial" w:cs="Arial"/>
          <w:color w:val="000000"/>
          <w:sz w:val="22"/>
          <w:szCs w:val="22"/>
        </w:rPr>
        <w:t xml:space="preserve"> the Norms and Standards for Evaluation in the United Nations System (2016) </w:t>
      </w:r>
      <w:r w:rsidR="00E80114">
        <w:rPr>
          <w:rFonts w:ascii="Arial" w:hAnsi="Arial" w:cs="Arial"/>
          <w:color w:val="000000"/>
          <w:sz w:val="22"/>
          <w:szCs w:val="22"/>
        </w:rPr>
        <w:t>and</w:t>
      </w:r>
      <w:r w:rsidRPr="008E530C">
        <w:rPr>
          <w:rFonts w:ascii="Arial" w:hAnsi="Arial" w:cs="Arial"/>
          <w:color w:val="000000"/>
          <w:sz w:val="22"/>
          <w:szCs w:val="22"/>
        </w:rPr>
        <w:t xml:space="preserve"> UNDP Evaluation Guidelines (2019 update).</w:t>
      </w:r>
      <w:r w:rsidRPr="008E530C">
        <w:rPr>
          <w:rFonts w:ascii="Arial" w:eastAsia="Arial" w:hAnsi="Arial" w:cs="Arial"/>
          <w:color w:val="000000"/>
          <w:sz w:val="22"/>
          <w:szCs w:val="22"/>
        </w:rPr>
        <w:t xml:space="preserve"> </w:t>
      </w:r>
    </w:p>
    <w:p w14:paraId="780EBFD1" w14:textId="77777777" w:rsidR="00C14403" w:rsidRDefault="00C14403">
      <w:pPr>
        <w:rPr>
          <w:rFonts w:asciiTheme="majorHAnsi" w:eastAsiaTheme="majorEastAsia" w:hAnsiTheme="majorHAnsi" w:cstheme="majorBidi"/>
          <w:b/>
          <w:color w:val="404040" w:themeColor="text1" w:themeTint="BF"/>
          <w:sz w:val="28"/>
          <w:szCs w:val="28"/>
          <w:lang w:val="en-US"/>
        </w:rPr>
      </w:pPr>
      <w:r>
        <w:rPr>
          <w:lang w:val="en-US"/>
        </w:rPr>
        <w:br w:type="page"/>
      </w:r>
    </w:p>
    <w:p w14:paraId="6105A486" w14:textId="66B2E52C" w:rsidR="00FB015E" w:rsidRPr="007B6B11" w:rsidRDefault="00FB015E" w:rsidP="009C4C02">
      <w:pPr>
        <w:pStyle w:val="Heading2"/>
        <w:rPr>
          <w:sz w:val="36"/>
          <w:szCs w:val="36"/>
          <w:lang w:val="en-US"/>
        </w:rPr>
      </w:pPr>
      <w:bookmarkStart w:id="6" w:name="_Toc71701880"/>
      <w:r w:rsidRPr="007B6B11">
        <w:rPr>
          <w:lang w:val="en-US"/>
        </w:rPr>
        <w:t>Data Collection Methods and Sources</w:t>
      </w:r>
      <w:bookmarkEnd w:id="6"/>
    </w:p>
    <w:p w14:paraId="308592B4" w14:textId="5234DCB7" w:rsidR="00FB015E" w:rsidRPr="008E530C" w:rsidRDefault="00FB015E" w:rsidP="00FB015E">
      <w:pPr>
        <w:spacing w:line="240" w:lineRule="auto"/>
        <w:ind w:hanging="2"/>
        <w:rPr>
          <w:rFonts w:ascii="Arial" w:eastAsia="Times New Roman" w:hAnsi="Arial" w:cs="Arial"/>
          <w:sz w:val="22"/>
          <w:szCs w:val="22"/>
        </w:rPr>
      </w:pPr>
      <w:r w:rsidRPr="008E530C">
        <w:rPr>
          <w:rFonts w:ascii="Arial" w:hAnsi="Arial" w:cs="Arial"/>
          <w:b/>
          <w:color w:val="000000"/>
          <w:sz w:val="22"/>
          <w:szCs w:val="22"/>
        </w:rPr>
        <w:t>Data types</w:t>
      </w:r>
    </w:p>
    <w:p w14:paraId="0F59DE0F" w14:textId="276E877C" w:rsidR="00FB015E" w:rsidRPr="008E530C" w:rsidRDefault="00FB015E" w:rsidP="00E80114">
      <w:pPr>
        <w:spacing w:line="240" w:lineRule="auto"/>
        <w:ind w:right="20" w:hanging="2"/>
        <w:rPr>
          <w:rFonts w:ascii="Arial" w:eastAsia="Times New Roman" w:hAnsi="Arial" w:cs="Arial"/>
          <w:sz w:val="22"/>
          <w:szCs w:val="22"/>
        </w:rPr>
      </w:pPr>
      <w:r w:rsidRPr="008E530C">
        <w:rPr>
          <w:rFonts w:ascii="Arial" w:hAnsi="Arial" w:cs="Arial"/>
          <w:color w:val="000000"/>
          <w:sz w:val="22"/>
          <w:szCs w:val="22"/>
        </w:rPr>
        <w:t xml:space="preserve">The evaluation team captured and analyzed both qualitative and quantitative data. To take advantage of existing information, </w:t>
      </w:r>
      <w:r w:rsidRPr="008E530C">
        <w:rPr>
          <w:rFonts w:ascii="Arial" w:hAnsi="Arial" w:cs="Arial"/>
          <w:b/>
          <w:bCs/>
          <w:color w:val="000000"/>
          <w:sz w:val="22"/>
          <w:szCs w:val="22"/>
        </w:rPr>
        <w:t>secondary data</w:t>
      </w:r>
      <w:r w:rsidRPr="008E530C">
        <w:rPr>
          <w:rFonts w:ascii="Arial" w:hAnsi="Arial" w:cs="Arial"/>
          <w:color w:val="000000"/>
          <w:sz w:val="22"/>
          <w:szCs w:val="22"/>
        </w:rPr>
        <w:t xml:space="preserve"> was collected from various sources through a continuous comprehensive desk review process, including analysis of relevant global and country level documents, data/statistics, previous evaluations </w:t>
      </w:r>
      <w:r w:rsidR="00C14403">
        <w:rPr>
          <w:rFonts w:ascii="Arial" w:hAnsi="Arial" w:cs="Arial"/>
          <w:color w:val="000000"/>
          <w:sz w:val="22"/>
          <w:szCs w:val="22"/>
        </w:rPr>
        <w:t>and</w:t>
      </w:r>
      <w:r w:rsidRPr="008E530C">
        <w:rPr>
          <w:rFonts w:ascii="Arial" w:hAnsi="Arial" w:cs="Arial"/>
          <w:color w:val="000000"/>
          <w:sz w:val="22"/>
          <w:szCs w:val="22"/>
        </w:rPr>
        <w:t xml:space="preserve"> reviews, etc. The desk review included documentation identified by the GP management team as well as other sources pinpointed by the evaluation team. A list of key documents reviewed </w:t>
      </w:r>
      <w:r w:rsidR="00C14403">
        <w:rPr>
          <w:rFonts w:ascii="Arial" w:hAnsi="Arial" w:cs="Arial"/>
          <w:color w:val="000000"/>
          <w:sz w:val="22"/>
          <w:szCs w:val="22"/>
        </w:rPr>
        <w:t xml:space="preserve">for the evaluation </w:t>
      </w:r>
      <w:r w:rsidRPr="008E530C">
        <w:rPr>
          <w:rFonts w:ascii="Arial" w:hAnsi="Arial" w:cs="Arial"/>
          <w:color w:val="000000"/>
          <w:sz w:val="22"/>
          <w:szCs w:val="22"/>
        </w:rPr>
        <w:t xml:space="preserve">is included in </w:t>
      </w:r>
      <w:r w:rsidR="00B37446" w:rsidRPr="00C14403">
        <w:rPr>
          <w:rFonts w:ascii="Arial" w:hAnsi="Arial" w:cs="Arial"/>
          <w:i/>
          <w:iCs/>
          <w:color w:val="000000"/>
          <w:sz w:val="22"/>
          <w:szCs w:val="22"/>
          <w:highlight w:val="yellow"/>
          <w:shd w:val="clear" w:color="auto" w:fill="E6E6E6"/>
        </w:rPr>
        <w:fldChar w:fldCharType="begin"/>
      </w:r>
      <w:r w:rsidR="00B37446" w:rsidRPr="00C14403">
        <w:rPr>
          <w:rFonts w:ascii="Arial" w:hAnsi="Arial" w:cs="Arial"/>
          <w:i/>
          <w:iCs/>
          <w:color w:val="000000"/>
          <w:sz w:val="22"/>
          <w:szCs w:val="22"/>
        </w:rPr>
        <w:instrText xml:space="preserve"> REF _Ref70154382 \h </w:instrText>
      </w:r>
      <w:r w:rsidR="00C14403" w:rsidRPr="00C14403">
        <w:rPr>
          <w:rFonts w:ascii="Arial" w:hAnsi="Arial" w:cs="Arial"/>
          <w:i/>
          <w:iCs/>
          <w:color w:val="000000"/>
          <w:sz w:val="22"/>
          <w:szCs w:val="22"/>
          <w:highlight w:val="yellow"/>
        </w:rPr>
        <w:instrText xml:space="preserve"> \* MERGEFORMAT </w:instrText>
      </w:r>
      <w:r w:rsidR="00B37446" w:rsidRPr="00C14403">
        <w:rPr>
          <w:rFonts w:ascii="Arial" w:hAnsi="Arial" w:cs="Arial"/>
          <w:i/>
          <w:iCs/>
          <w:color w:val="000000"/>
          <w:sz w:val="22"/>
          <w:szCs w:val="22"/>
          <w:highlight w:val="yellow"/>
          <w:shd w:val="clear" w:color="auto" w:fill="E6E6E6"/>
        </w:rPr>
      </w:r>
      <w:r w:rsidR="00B37446" w:rsidRPr="00C14403">
        <w:rPr>
          <w:rFonts w:ascii="Arial" w:hAnsi="Arial" w:cs="Arial"/>
          <w:i/>
          <w:iCs/>
          <w:color w:val="000000"/>
          <w:sz w:val="22"/>
          <w:szCs w:val="22"/>
          <w:highlight w:val="yellow"/>
          <w:shd w:val="clear" w:color="auto" w:fill="E6E6E6"/>
        </w:rPr>
        <w:fldChar w:fldCharType="separate"/>
      </w:r>
      <w:r w:rsidR="00036841" w:rsidRPr="00036841">
        <w:rPr>
          <w:rFonts w:ascii="Arial" w:hAnsi="Arial" w:cs="Arial"/>
          <w:i/>
          <w:iCs/>
          <w:sz w:val="22"/>
          <w:szCs w:val="22"/>
        </w:rPr>
        <w:t>Annex 10</w:t>
      </w:r>
      <w:r w:rsidR="00036841">
        <w:t xml:space="preserve">: </w:t>
      </w:r>
      <w:r w:rsidR="00036841" w:rsidRPr="00851AAA">
        <w:t>Documents Reviewed for Evaluation</w:t>
      </w:r>
      <w:r w:rsidR="00B37446" w:rsidRPr="00C14403">
        <w:rPr>
          <w:rFonts w:ascii="Arial" w:hAnsi="Arial" w:cs="Arial"/>
          <w:i/>
          <w:iCs/>
          <w:color w:val="000000"/>
          <w:sz w:val="22"/>
          <w:szCs w:val="22"/>
          <w:highlight w:val="yellow"/>
          <w:shd w:val="clear" w:color="auto" w:fill="E6E6E6"/>
        </w:rPr>
        <w:fldChar w:fldCharType="end"/>
      </w:r>
      <w:r w:rsidRPr="008E530C">
        <w:rPr>
          <w:rFonts w:ascii="Arial" w:hAnsi="Arial" w:cs="Arial"/>
          <w:color w:val="000000"/>
          <w:sz w:val="22"/>
          <w:szCs w:val="22"/>
        </w:rPr>
        <w:t xml:space="preserve">. </w:t>
      </w:r>
    </w:p>
    <w:p w14:paraId="667DE9EC" w14:textId="4D4F7B69" w:rsidR="00FB015E" w:rsidRPr="008E530C" w:rsidRDefault="00FB015E" w:rsidP="00E80114">
      <w:pPr>
        <w:spacing w:line="240" w:lineRule="auto"/>
        <w:ind w:right="20" w:hanging="2"/>
        <w:rPr>
          <w:rFonts w:ascii="Arial" w:hAnsi="Arial" w:cs="Arial"/>
          <w:color w:val="000000"/>
          <w:sz w:val="22"/>
          <w:szCs w:val="22"/>
        </w:rPr>
      </w:pPr>
      <w:r w:rsidRPr="008E530C">
        <w:rPr>
          <w:rFonts w:ascii="Arial" w:hAnsi="Arial" w:cs="Arial"/>
          <w:color w:val="000000"/>
          <w:sz w:val="22"/>
          <w:szCs w:val="22"/>
        </w:rPr>
        <w:t xml:space="preserve">The evaluators gathered </w:t>
      </w:r>
      <w:r w:rsidRPr="008E530C">
        <w:rPr>
          <w:rFonts w:ascii="Arial" w:hAnsi="Arial" w:cs="Arial"/>
          <w:b/>
          <w:bCs/>
          <w:color w:val="000000"/>
          <w:sz w:val="22"/>
          <w:szCs w:val="22"/>
        </w:rPr>
        <w:t>primary data</w:t>
      </w:r>
      <w:r w:rsidRPr="008E530C">
        <w:rPr>
          <w:rFonts w:ascii="Arial" w:hAnsi="Arial" w:cs="Arial"/>
          <w:color w:val="000000"/>
          <w:sz w:val="22"/>
          <w:szCs w:val="22"/>
        </w:rPr>
        <w:t xml:space="preserve"> through engagement of a wide range of relevant stakeholders both within and beyond the UN system. The team used individual interviews and small group discussions for this purpose, as outlined below. In line with the TOR, informants included staff of UNDP at global, regional and country levels (including but not limited to GP and GFP teams), other UN entities, government and non-government counterparts in targeted countries, and key GP bilateral donors. A full list of informants is included in </w:t>
      </w:r>
      <w:r w:rsidR="00B37446" w:rsidRPr="00C14403">
        <w:rPr>
          <w:rFonts w:ascii="Arial" w:hAnsi="Arial" w:cs="Arial"/>
          <w:i/>
          <w:iCs/>
          <w:color w:val="000000"/>
          <w:sz w:val="22"/>
          <w:szCs w:val="22"/>
          <w:highlight w:val="yellow"/>
          <w:shd w:val="clear" w:color="auto" w:fill="E6E6E6"/>
        </w:rPr>
        <w:fldChar w:fldCharType="begin"/>
      </w:r>
      <w:r w:rsidR="00B37446" w:rsidRPr="00C14403">
        <w:rPr>
          <w:rFonts w:ascii="Arial" w:hAnsi="Arial" w:cs="Arial"/>
          <w:i/>
          <w:iCs/>
          <w:color w:val="000000"/>
          <w:sz w:val="22"/>
          <w:szCs w:val="22"/>
        </w:rPr>
        <w:instrText xml:space="preserve"> REF _Ref70154400 \h </w:instrText>
      </w:r>
      <w:r w:rsidR="00C14403" w:rsidRPr="00C14403">
        <w:rPr>
          <w:rFonts w:ascii="Arial" w:hAnsi="Arial" w:cs="Arial"/>
          <w:i/>
          <w:iCs/>
          <w:color w:val="000000"/>
          <w:sz w:val="22"/>
          <w:szCs w:val="22"/>
          <w:highlight w:val="yellow"/>
        </w:rPr>
        <w:instrText xml:space="preserve"> \* MERGEFORMAT </w:instrText>
      </w:r>
      <w:r w:rsidR="00B37446" w:rsidRPr="00C14403">
        <w:rPr>
          <w:rFonts w:ascii="Arial" w:hAnsi="Arial" w:cs="Arial"/>
          <w:i/>
          <w:iCs/>
          <w:color w:val="000000"/>
          <w:sz w:val="22"/>
          <w:szCs w:val="22"/>
          <w:highlight w:val="yellow"/>
          <w:shd w:val="clear" w:color="auto" w:fill="E6E6E6"/>
        </w:rPr>
      </w:r>
      <w:r w:rsidR="00B37446" w:rsidRPr="00C14403">
        <w:rPr>
          <w:rFonts w:ascii="Arial" w:hAnsi="Arial" w:cs="Arial"/>
          <w:i/>
          <w:iCs/>
          <w:color w:val="000000"/>
          <w:sz w:val="22"/>
          <w:szCs w:val="22"/>
          <w:highlight w:val="yellow"/>
          <w:shd w:val="clear" w:color="auto" w:fill="E6E6E6"/>
        </w:rPr>
        <w:fldChar w:fldCharType="separate"/>
      </w:r>
      <w:r w:rsidR="00036841" w:rsidRPr="00036841">
        <w:rPr>
          <w:rFonts w:ascii="Arial" w:hAnsi="Arial" w:cs="Arial"/>
          <w:i/>
          <w:iCs/>
          <w:sz w:val="22"/>
          <w:szCs w:val="22"/>
        </w:rPr>
        <w:t>Annex 8: Report on Interviews for</w:t>
      </w:r>
      <w:r w:rsidR="00036841">
        <w:t xml:space="preserve"> Evaluation</w:t>
      </w:r>
      <w:r w:rsidR="00B37446" w:rsidRPr="00C14403">
        <w:rPr>
          <w:rFonts w:ascii="Arial" w:hAnsi="Arial" w:cs="Arial"/>
          <w:i/>
          <w:iCs/>
          <w:color w:val="000000"/>
          <w:sz w:val="22"/>
          <w:szCs w:val="22"/>
          <w:highlight w:val="yellow"/>
          <w:shd w:val="clear" w:color="auto" w:fill="E6E6E6"/>
        </w:rPr>
        <w:fldChar w:fldCharType="end"/>
      </w:r>
      <w:r w:rsidRPr="00C14403">
        <w:rPr>
          <w:rFonts w:ascii="Arial" w:hAnsi="Arial" w:cs="Arial"/>
          <w:i/>
          <w:iCs/>
          <w:color w:val="000000"/>
          <w:sz w:val="22"/>
          <w:szCs w:val="22"/>
        </w:rPr>
        <w:t xml:space="preserve"> </w:t>
      </w:r>
      <w:r w:rsidRPr="008E530C">
        <w:rPr>
          <w:rFonts w:ascii="Arial" w:hAnsi="Arial" w:cs="Arial"/>
          <w:color w:val="000000"/>
          <w:sz w:val="22"/>
          <w:szCs w:val="22"/>
        </w:rPr>
        <w:t xml:space="preserve">Overall, </w:t>
      </w:r>
      <w:r w:rsidR="00C14403">
        <w:rPr>
          <w:rFonts w:ascii="Arial" w:hAnsi="Arial" w:cs="Arial"/>
          <w:color w:val="000000"/>
          <w:sz w:val="22"/>
          <w:szCs w:val="22"/>
        </w:rPr>
        <w:t>the evaluators met</w:t>
      </w:r>
      <w:r w:rsidRPr="008E530C">
        <w:rPr>
          <w:rFonts w:ascii="Arial" w:hAnsi="Arial" w:cs="Arial"/>
          <w:color w:val="000000"/>
          <w:sz w:val="22"/>
          <w:szCs w:val="22"/>
        </w:rPr>
        <w:t xml:space="preserve"> with 158 persons in total (84 male, 74 female), including:</w:t>
      </w:r>
      <w:r w:rsidR="007C1117">
        <w:rPr>
          <w:rFonts w:ascii="Arial" w:hAnsi="Arial" w:cs="Arial"/>
          <w:color w:val="000000"/>
          <w:sz w:val="22"/>
          <w:szCs w:val="22"/>
        </w:rPr>
        <w:t xml:space="preserve"> </w:t>
      </w:r>
      <w:r w:rsidRPr="008E530C">
        <w:rPr>
          <w:rFonts w:ascii="Arial" w:hAnsi="Arial" w:cs="Arial"/>
          <w:color w:val="000000"/>
          <w:sz w:val="22"/>
          <w:szCs w:val="22"/>
        </w:rPr>
        <w:t>41 informants at global</w:t>
      </w:r>
      <w:r w:rsidR="00C14403">
        <w:rPr>
          <w:rFonts w:ascii="Arial" w:hAnsi="Arial" w:cs="Arial"/>
          <w:color w:val="000000"/>
          <w:sz w:val="22"/>
          <w:szCs w:val="22"/>
        </w:rPr>
        <w:t>/programme</w:t>
      </w:r>
      <w:r w:rsidRPr="008E530C">
        <w:rPr>
          <w:rFonts w:ascii="Arial" w:hAnsi="Arial" w:cs="Arial"/>
          <w:color w:val="000000"/>
          <w:sz w:val="22"/>
          <w:szCs w:val="22"/>
        </w:rPr>
        <w:t xml:space="preserve"> level (11 male, 30 female);</w:t>
      </w:r>
      <w:r w:rsidR="007C1117">
        <w:rPr>
          <w:rFonts w:ascii="Arial" w:hAnsi="Arial" w:cs="Arial"/>
          <w:color w:val="000000"/>
          <w:sz w:val="22"/>
          <w:szCs w:val="22"/>
        </w:rPr>
        <w:t xml:space="preserve"> </w:t>
      </w:r>
      <w:r w:rsidR="00C14403">
        <w:rPr>
          <w:rFonts w:ascii="Arial" w:hAnsi="Arial" w:cs="Arial"/>
          <w:color w:val="000000"/>
          <w:sz w:val="22"/>
          <w:szCs w:val="22"/>
        </w:rPr>
        <w:t xml:space="preserve">and </w:t>
      </w:r>
      <w:r w:rsidRPr="008E530C">
        <w:rPr>
          <w:rFonts w:ascii="Arial" w:hAnsi="Arial" w:cs="Arial"/>
          <w:color w:val="000000"/>
          <w:sz w:val="22"/>
          <w:szCs w:val="22"/>
        </w:rPr>
        <w:t>117 persons related to country level case studies (73 male, 44 female).</w:t>
      </w:r>
    </w:p>
    <w:p w14:paraId="09835AE6" w14:textId="2F64DB2A" w:rsidR="008E530C" w:rsidRPr="008E530C" w:rsidRDefault="008E530C" w:rsidP="008E530C">
      <w:pPr>
        <w:spacing w:line="240" w:lineRule="auto"/>
        <w:ind w:right="20"/>
        <w:jc w:val="both"/>
        <w:rPr>
          <w:rFonts w:ascii="Arial" w:hAnsi="Arial" w:cs="Arial"/>
          <w:b/>
          <w:bCs/>
          <w:color w:val="000000"/>
        </w:rPr>
      </w:pPr>
      <w:r w:rsidRPr="008E530C">
        <w:rPr>
          <w:rFonts w:ascii="Arial" w:hAnsi="Arial" w:cs="Arial"/>
          <w:b/>
          <w:bCs/>
          <w:color w:val="000000"/>
        </w:rPr>
        <w:t>Figure 1. Map of Informant Locations and Case Study Countries</w:t>
      </w:r>
    </w:p>
    <w:p w14:paraId="23E0F292" w14:textId="0A28C477" w:rsidR="008E530C" w:rsidRPr="008E530C" w:rsidRDefault="3064B689" w:rsidP="008E530C">
      <w:pPr>
        <w:spacing w:line="240" w:lineRule="auto"/>
        <w:ind w:right="20"/>
        <w:jc w:val="both"/>
        <w:rPr>
          <w:rFonts w:ascii="Arial" w:hAnsi="Arial" w:cs="Arial"/>
          <w:color w:val="000000"/>
        </w:rPr>
      </w:pPr>
      <w:r>
        <w:rPr>
          <w:noProof/>
        </w:rPr>
        <w:drawing>
          <wp:inline distT="0" distB="0" distL="0" distR="0" wp14:anchorId="60171097" wp14:editId="05DF82B9">
            <wp:extent cx="5752554" cy="38671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2554" cy="3867150"/>
                    </a:xfrm>
                    <a:prstGeom prst="rect">
                      <a:avLst/>
                    </a:prstGeom>
                  </pic:spPr>
                </pic:pic>
              </a:graphicData>
            </a:graphic>
          </wp:inline>
        </w:drawing>
      </w:r>
    </w:p>
    <w:p w14:paraId="533D6F86" w14:textId="77777777" w:rsidR="008E530C" w:rsidRDefault="008E530C" w:rsidP="00FB015E">
      <w:pPr>
        <w:spacing w:line="240" w:lineRule="auto"/>
        <w:ind w:right="20" w:hanging="2"/>
        <w:jc w:val="both"/>
        <w:rPr>
          <w:rFonts w:ascii="Arial" w:hAnsi="Arial" w:cs="Arial"/>
          <w:b/>
          <w:color w:val="000000"/>
        </w:rPr>
      </w:pPr>
    </w:p>
    <w:p w14:paraId="6CE4D4B4" w14:textId="35F6AC51" w:rsidR="00FB015E" w:rsidRPr="008E530C" w:rsidRDefault="00FB015E" w:rsidP="00FB015E">
      <w:pPr>
        <w:spacing w:line="240" w:lineRule="auto"/>
        <w:ind w:right="20" w:hanging="2"/>
        <w:jc w:val="both"/>
        <w:rPr>
          <w:rFonts w:ascii="Arial" w:eastAsia="Times New Roman" w:hAnsi="Arial" w:cs="Arial"/>
          <w:sz w:val="22"/>
          <w:szCs w:val="22"/>
        </w:rPr>
      </w:pPr>
      <w:r w:rsidRPr="008E530C">
        <w:rPr>
          <w:rFonts w:ascii="Arial" w:hAnsi="Arial" w:cs="Arial"/>
          <w:b/>
          <w:color w:val="000000"/>
          <w:sz w:val="22"/>
          <w:szCs w:val="22"/>
        </w:rPr>
        <w:t>Methods for Collecting Primary Data</w:t>
      </w:r>
    </w:p>
    <w:p w14:paraId="21C0F667" w14:textId="4B0F7831" w:rsidR="00FB015E" w:rsidRPr="008E530C" w:rsidRDefault="00FB015E" w:rsidP="00E80114">
      <w:pPr>
        <w:spacing w:line="240" w:lineRule="auto"/>
        <w:ind w:hanging="2"/>
        <w:rPr>
          <w:rFonts w:ascii="Arial" w:eastAsia="Times New Roman" w:hAnsi="Arial" w:cs="Arial"/>
          <w:sz w:val="22"/>
          <w:szCs w:val="22"/>
        </w:rPr>
      </w:pPr>
      <w:r w:rsidRPr="008E530C">
        <w:rPr>
          <w:rFonts w:ascii="Arial" w:hAnsi="Arial" w:cs="Arial"/>
          <w:color w:val="000000"/>
          <w:sz w:val="22"/>
          <w:szCs w:val="22"/>
        </w:rPr>
        <w:t xml:space="preserve">The </w:t>
      </w:r>
      <w:r w:rsidR="00C14403">
        <w:rPr>
          <w:rFonts w:ascii="Arial" w:hAnsi="Arial" w:cs="Arial"/>
          <w:color w:val="000000"/>
          <w:sz w:val="22"/>
          <w:szCs w:val="22"/>
        </w:rPr>
        <w:t>principal</w:t>
      </w:r>
      <w:r w:rsidRPr="008E530C">
        <w:rPr>
          <w:rFonts w:ascii="Arial" w:hAnsi="Arial" w:cs="Arial"/>
          <w:color w:val="000000"/>
          <w:sz w:val="22"/>
          <w:szCs w:val="22"/>
        </w:rPr>
        <w:t xml:space="preserve"> method for gathering primary data </w:t>
      </w:r>
      <w:r w:rsidR="00C14403">
        <w:rPr>
          <w:rFonts w:ascii="Arial" w:hAnsi="Arial" w:cs="Arial"/>
          <w:color w:val="000000"/>
          <w:sz w:val="22"/>
          <w:szCs w:val="22"/>
        </w:rPr>
        <w:t>was</w:t>
      </w:r>
      <w:r w:rsidRPr="008E530C">
        <w:rPr>
          <w:rFonts w:ascii="Arial" w:hAnsi="Arial" w:cs="Arial"/>
          <w:color w:val="000000"/>
          <w:sz w:val="22"/>
          <w:szCs w:val="22"/>
        </w:rPr>
        <w:t xml:space="preserve"> semi-structured interviews conducted by one or both evaluators. Remote data collection was used </w:t>
      </w:r>
      <w:r w:rsidR="00C14403">
        <w:rPr>
          <w:rFonts w:ascii="Arial" w:hAnsi="Arial" w:cs="Arial"/>
          <w:color w:val="000000"/>
          <w:sz w:val="22"/>
          <w:szCs w:val="22"/>
        </w:rPr>
        <w:t xml:space="preserve">exclusively </w:t>
      </w:r>
      <w:r w:rsidRPr="008E530C">
        <w:rPr>
          <w:rFonts w:ascii="Arial" w:hAnsi="Arial" w:cs="Arial"/>
          <w:color w:val="000000"/>
          <w:sz w:val="22"/>
          <w:szCs w:val="22"/>
        </w:rPr>
        <w:t>by the evaluation team due to restrictions on travel related to the Coronavirus pandemic</w:t>
      </w:r>
      <w:r w:rsidR="00C14403">
        <w:rPr>
          <w:rFonts w:ascii="Arial" w:hAnsi="Arial" w:cs="Arial"/>
          <w:color w:val="000000"/>
          <w:sz w:val="22"/>
          <w:szCs w:val="22"/>
        </w:rPr>
        <w:t xml:space="preserve"> (Covid-19)</w:t>
      </w:r>
      <w:r w:rsidRPr="008E530C">
        <w:rPr>
          <w:rFonts w:ascii="Arial" w:hAnsi="Arial" w:cs="Arial"/>
          <w:color w:val="000000"/>
          <w:sz w:val="22"/>
          <w:szCs w:val="22"/>
        </w:rPr>
        <w:t>. The evaluat</w:t>
      </w:r>
      <w:r w:rsidR="00C14403">
        <w:rPr>
          <w:rFonts w:ascii="Arial" w:hAnsi="Arial" w:cs="Arial"/>
          <w:color w:val="000000"/>
          <w:sz w:val="22"/>
          <w:szCs w:val="22"/>
        </w:rPr>
        <w:t>ors</w:t>
      </w:r>
      <w:r w:rsidRPr="008E530C">
        <w:rPr>
          <w:rFonts w:ascii="Arial" w:hAnsi="Arial" w:cs="Arial"/>
          <w:color w:val="000000"/>
          <w:sz w:val="22"/>
          <w:szCs w:val="22"/>
        </w:rPr>
        <w:t xml:space="preserve"> assured informants of the confidentiality of all communications, to ensure frank discussion and open sharing of perspectives. Recording of interviews was used in certain cases with permission of participating informants. That data was supplemented by written inputs from stakeholders who were not able to participate in those meetings, or who wished to share additional information after their interviews. In the case of the Central African Republic (CAR), </w:t>
      </w:r>
      <w:r w:rsidR="00A01D7F">
        <w:rPr>
          <w:rFonts w:ascii="Arial" w:hAnsi="Arial" w:cs="Arial"/>
          <w:color w:val="000000"/>
          <w:sz w:val="22"/>
          <w:szCs w:val="22"/>
        </w:rPr>
        <w:t>the International Security Sector Advisory Team (</w:t>
      </w:r>
      <w:r w:rsidRPr="008E530C">
        <w:rPr>
          <w:rFonts w:ascii="Arial" w:hAnsi="Arial" w:cs="Arial"/>
          <w:color w:val="000000"/>
          <w:sz w:val="22"/>
          <w:szCs w:val="22"/>
        </w:rPr>
        <w:t>ISSAT</w:t>
      </w:r>
      <w:r w:rsidR="00A01D7F">
        <w:rPr>
          <w:rFonts w:ascii="Arial" w:hAnsi="Arial" w:cs="Arial"/>
          <w:color w:val="000000"/>
          <w:sz w:val="22"/>
          <w:szCs w:val="22"/>
        </w:rPr>
        <w:t>)</w:t>
      </w:r>
      <w:r w:rsidRPr="008E530C">
        <w:rPr>
          <w:rFonts w:ascii="Arial" w:hAnsi="Arial" w:cs="Arial"/>
          <w:color w:val="000000"/>
          <w:sz w:val="22"/>
          <w:szCs w:val="22"/>
        </w:rPr>
        <w:t xml:space="preserve"> was simultaneously conducting an evaluation for the GP that would </w:t>
      </w:r>
      <w:r w:rsidR="001C1694">
        <w:rPr>
          <w:rFonts w:ascii="Arial" w:hAnsi="Arial" w:cs="Arial"/>
          <w:color w:val="000000"/>
          <w:sz w:val="22"/>
          <w:szCs w:val="22"/>
        </w:rPr>
        <w:t xml:space="preserve">interview </w:t>
      </w:r>
      <w:r w:rsidRPr="008E530C">
        <w:rPr>
          <w:rFonts w:ascii="Arial" w:hAnsi="Arial" w:cs="Arial"/>
          <w:color w:val="000000"/>
          <w:sz w:val="22"/>
          <w:szCs w:val="22"/>
        </w:rPr>
        <w:t xml:space="preserve">a similar set of national stakeholders, a </w:t>
      </w:r>
      <w:r w:rsidR="00BF38F9">
        <w:rPr>
          <w:rFonts w:ascii="Arial" w:hAnsi="Arial" w:cs="Arial"/>
          <w:color w:val="000000"/>
          <w:sz w:val="22"/>
          <w:szCs w:val="22"/>
        </w:rPr>
        <w:t>collaborative data collection strategy was adopted</w:t>
      </w:r>
      <w:r w:rsidRPr="008E530C">
        <w:rPr>
          <w:rFonts w:ascii="Arial" w:hAnsi="Arial" w:cs="Arial"/>
          <w:color w:val="000000"/>
          <w:sz w:val="22"/>
          <w:szCs w:val="22"/>
        </w:rPr>
        <w:t xml:space="preserve"> to avoid overburdening informants and duplicating efforts.</w:t>
      </w:r>
      <w:r w:rsidRPr="008E530C">
        <w:rPr>
          <w:rStyle w:val="FootnoteReference"/>
          <w:rFonts w:ascii="Arial" w:hAnsi="Arial" w:cs="Arial"/>
          <w:color w:val="000000"/>
          <w:sz w:val="22"/>
          <w:szCs w:val="22"/>
        </w:rPr>
        <w:footnoteReference w:id="4"/>
      </w:r>
    </w:p>
    <w:p w14:paraId="23980B96" w14:textId="7E350A29" w:rsidR="00FB015E" w:rsidRPr="008E530C" w:rsidRDefault="00FB015E" w:rsidP="00E80114">
      <w:pPr>
        <w:spacing w:line="240" w:lineRule="auto"/>
        <w:ind w:hanging="2"/>
        <w:rPr>
          <w:rFonts w:ascii="Arial" w:eastAsia="Times New Roman" w:hAnsi="Arial" w:cs="Arial"/>
          <w:sz w:val="22"/>
          <w:szCs w:val="22"/>
        </w:rPr>
      </w:pPr>
      <w:r w:rsidRPr="008E530C">
        <w:rPr>
          <w:rFonts w:ascii="Arial" w:hAnsi="Arial" w:cs="Arial"/>
          <w:color w:val="000000"/>
          <w:sz w:val="22"/>
          <w:szCs w:val="22"/>
        </w:rPr>
        <w:t>Interview questions were based on detailed protocols or guides based on the Evaluation Matrix and tailored for different categories of respondents. Interviews for country case studies were conducted by the evaluator taking the lead on each respective country, while most interviews at global level involved both evaluators to ensure complete capture of data and promote shared understanding of data for later analysis. The evaluation team conducted interviews in English, French and Spanish</w:t>
      </w:r>
      <w:r w:rsidR="00A01D7F">
        <w:rPr>
          <w:rFonts w:ascii="Arial" w:hAnsi="Arial" w:cs="Arial"/>
          <w:color w:val="000000"/>
          <w:sz w:val="22"/>
          <w:szCs w:val="22"/>
        </w:rPr>
        <w:t xml:space="preserve"> languages</w:t>
      </w:r>
      <w:r w:rsidRPr="008E530C">
        <w:rPr>
          <w:rFonts w:ascii="Arial" w:hAnsi="Arial" w:cs="Arial"/>
          <w:color w:val="000000"/>
          <w:sz w:val="22"/>
          <w:szCs w:val="22"/>
        </w:rPr>
        <w:t xml:space="preserve">, and used translation support to carry out several interviews in Russian. A sample of interview protocols is included in </w:t>
      </w:r>
      <w:r w:rsidR="00B37446" w:rsidRPr="00BF38F9">
        <w:rPr>
          <w:rFonts w:ascii="Arial" w:hAnsi="Arial" w:cs="Arial"/>
          <w:i/>
          <w:iCs/>
          <w:color w:val="000000"/>
          <w:sz w:val="22"/>
          <w:szCs w:val="22"/>
          <w:highlight w:val="yellow"/>
          <w:shd w:val="clear" w:color="auto" w:fill="E6E6E6"/>
        </w:rPr>
        <w:fldChar w:fldCharType="begin"/>
      </w:r>
      <w:r w:rsidR="00B37446" w:rsidRPr="00BF38F9">
        <w:rPr>
          <w:rFonts w:ascii="Arial" w:hAnsi="Arial" w:cs="Arial"/>
          <w:i/>
          <w:iCs/>
          <w:color w:val="000000"/>
          <w:sz w:val="22"/>
          <w:szCs w:val="22"/>
        </w:rPr>
        <w:instrText xml:space="preserve"> REF _Ref70154446 \h </w:instrText>
      </w:r>
      <w:r w:rsidR="00BF38F9" w:rsidRPr="00BF38F9">
        <w:rPr>
          <w:rFonts w:ascii="Arial" w:hAnsi="Arial" w:cs="Arial"/>
          <w:i/>
          <w:iCs/>
          <w:color w:val="000000"/>
          <w:sz w:val="22"/>
          <w:szCs w:val="22"/>
          <w:highlight w:val="yellow"/>
        </w:rPr>
        <w:instrText xml:space="preserve"> \* MERGEFORMAT </w:instrText>
      </w:r>
      <w:r w:rsidR="00B37446" w:rsidRPr="00BF38F9">
        <w:rPr>
          <w:rFonts w:ascii="Arial" w:hAnsi="Arial" w:cs="Arial"/>
          <w:i/>
          <w:iCs/>
          <w:color w:val="000000"/>
          <w:sz w:val="22"/>
          <w:szCs w:val="22"/>
          <w:highlight w:val="yellow"/>
          <w:shd w:val="clear" w:color="auto" w:fill="E6E6E6"/>
        </w:rPr>
      </w:r>
      <w:r w:rsidR="00B37446" w:rsidRPr="00BF38F9">
        <w:rPr>
          <w:rFonts w:ascii="Arial" w:hAnsi="Arial" w:cs="Arial"/>
          <w:i/>
          <w:iCs/>
          <w:color w:val="000000"/>
          <w:sz w:val="22"/>
          <w:szCs w:val="22"/>
          <w:highlight w:val="yellow"/>
          <w:shd w:val="clear" w:color="auto" w:fill="E6E6E6"/>
        </w:rPr>
        <w:fldChar w:fldCharType="separate"/>
      </w:r>
      <w:r w:rsidR="00036841" w:rsidRPr="00036841">
        <w:rPr>
          <w:rFonts w:ascii="Arial" w:hAnsi="Arial" w:cs="Arial"/>
          <w:i/>
          <w:iCs/>
          <w:sz w:val="22"/>
          <w:szCs w:val="22"/>
        </w:rPr>
        <w:t>Annex 9</w:t>
      </w:r>
      <w:r w:rsidR="00036841" w:rsidRPr="00771DD2">
        <w:t>: Sample of Interview Guides</w:t>
      </w:r>
      <w:r w:rsidR="00B37446" w:rsidRPr="00BF38F9">
        <w:rPr>
          <w:rFonts w:ascii="Arial" w:hAnsi="Arial" w:cs="Arial"/>
          <w:i/>
          <w:iCs/>
          <w:color w:val="000000"/>
          <w:sz w:val="22"/>
          <w:szCs w:val="22"/>
          <w:highlight w:val="yellow"/>
          <w:shd w:val="clear" w:color="auto" w:fill="E6E6E6"/>
        </w:rPr>
        <w:fldChar w:fldCharType="end"/>
      </w:r>
      <w:r w:rsidRPr="008E530C">
        <w:rPr>
          <w:rFonts w:ascii="Arial" w:hAnsi="Arial" w:cs="Arial"/>
          <w:color w:val="000000"/>
          <w:sz w:val="22"/>
          <w:szCs w:val="22"/>
        </w:rPr>
        <w:t xml:space="preserve">. </w:t>
      </w:r>
    </w:p>
    <w:p w14:paraId="1AE72394" w14:textId="337955E6" w:rsidR="00FB015E" w:rsidRPr="008E530C" w:rsidRDefault="00FB015E" w:rsidP="00FB015E">
      <w:pPr>
        <w:spacing w:line="240" w:lineRule="auto"/>
        <w:ind w:hanging="2"/>
        <w:jc w:val="both"/>
        <w:rPr>
          <w:rFonts w:ascii="Arial" w:eastAsia="Times New Roman" w:hAnsi="Arial" w:cs="Arial"/>
          <w:sz w:val="22"/>
          <w:szCs w:val="22"/>
        </w:rPr>
      </w:pPr>
      <w:r w:rsidRPr="008E530C">
        <w:rPr>
          <w:rFonts w:ascii="Arial" w:hAnsi="Arial" w:cs="Arial"/>
          <w:b/>
          <w:color w:val="000000"/>
          <w:sz w:val="22"/>
          <w:szCs w:val="22"/>
        </w:rPr>
        <w:t>Selection of Informants</w:t>
      </w:r>
    </w:p>
    <w:p w14:paraId="304C935F" w14:textId="3CE0C7C3" w:rsidR="00FB015E" w:rsidRPr="008E530C" w:rsidRDefault="00FB015E" w:rsidP="00E80114">
      <w:pPr>
        <w:spacing w:line="240" w:lineRule="auto"/>
        <w:ind w:hanging="2"/>
        <w:rPr>
          <w:rFonts w:ascii="Arial" w:hAnsi="Arial" w:cs="Arial"/>
          <w:color w:val="000000"/>
          <w:sz w:val="22"/>
          <w:szCs w:val="22"/>
        </w:rPr>
      </w:pPr>
      <w:r w:rsidRPr="008E530C">
        <w:rPr>
          <w:rFonts w:ascii="Arial" w:hAnsi="Arial" w:cs="Arial"/>
          <w:color w:val="000000"/>
          <w:sz w:val="22"/>
          <w:szCs w:val="22"/>
        </w:rPr>
        <w:t xml:space="preserve">Selection of informants for interviews and group discussions at global/regional level was largely guided by the GP management team, who identified a list of 27 entities and associated individuals to be prioritized by the evaluators. From that list, the evaluators carried out 25 interviews; nine other interviews were added </w:t>
      </w:r>
      <w:r w:rsidR="00BF38F9">
        <w:rPr>
          <w:rFonts w:ascii="Arial" w:hAnsi="Arial" w:cs="Arial"/>
          <w:color w:val="000000"/>
          <w:sz w:val="22"/>
          <w:szCs w:val="22"/>
        </w:rPr>
        <w:t>by</w:t>
      </w:r>
      <w:r w:rsidRPr="008E530C">
        <w:rPr>
          <w:rFonts w:ascii="Arial" w:hAnsi="Arial" w:cs="Arial"/>
          <w:color w:val="000000"/>
          <w:sz w:val="22"/>
          <w:szCs w:val="22"/>
        </w:rPr>
        <w:t xml:space="preserve"> the evaluation team to provide supplementary information at this level. </w:t>
      </w:r>
    </w:p>
    <w:p w14:paraId="1ABEF8AA" w14:textId="0FEDB4B6" w:rsidR="00FB015E" w:rsidRPr="008E530C" w:rsidRDefault="00FB015E" w:rsidP="00E80114">
      <w:pPr>
        <w:spacing w:line="240" w:lineRule="auto"/>
        <w:ind w:hanging="2"/>
        <w:rPr>
          <w:rFonts w:ascii="Arial" w:hAnsi="Arial" w:cs="Arial"/>
          <w:color w:val="000000"/>
          <w:sz w:val="22"/>
          <w:szCs w:val="22"/>
        </w:rPr>
      </w:pPr>
      <w:r w:rsidRPr="008E530C">
        <w:rPr>
          <w:rFonts w:ascii="Arial" w:hAnsi="Arial" w:cs="Arial"/>
          <w:color w:val="000000"/>
          <w:sz w:val="22"/>
          <w:szCs w:val="22"/>
        </w:rPr>
        <w:t xml:space="preserve">For country case studies, the selection process started with initial suggestions from the GP </w:t>
      </w:r>
      <w:r w:rsidR="00BF38F9">
        <w:rPr>
          <w:rFonts w:ascii="Arial" w:hAnsi="Arial" w:cs="Arial"/>
          <w:color w:val="000000"/>
          <w:sz w:val="22"/>
          <w:szCs w:val="22"/>
        </w:rPr>
        <w:t>F</w:t>
      </w:r>
      <w:r w:rsidRPr="008E530C">
        <w:rPr>
          <w:rFonts w:ascii="Arial" w:hAnsi="Arial" w:cs="Arial"/>
          <w:color w:val="000000"/>
          <w:sz w:val="22"/>
          <w:szCs w:val="22"/>
        </w:rPr>
        <w:t xml:space="preserve">ocal </w:t>
      </w:r>
      <w:r w:rsidR="00BF38F9">
        <w:rPr>
          <w:rFonts w:ascii="Arial" w:hAnsi="Arial" w:cs="Arial"/>
          <w:color w:val="000000"/>
          <w:sz w:val="22"/>
          <w:szCs w:val="22"/>
        </w:rPr>
        <w:t>P</w:t>
      </w:r>
      <w:r w:rsidRPr="008E530C">
        <w:rPr>
          <w:rFonts w:ascii="Arial" w:hAnsi="Arial" w:cs="Arial"/>
          <w:color w:val="000000"/>
          <w:sz w:val="22"/>
          <w:szCs w:val="22"/>
        </w:rPr>
        <w:t xml:space="preserve">oints responsible for those countries (usually based in regional hubs), </w:t>
      </w:r>
      <w:r w:rsidR="00BF38F9">
        <w:rPr>
          <w:rFonts w:ascii="Arial" w:hAnsi="Arial" w:cs="Arial"/>
          <w:color w:val="000000"/>
          <w:sz w:val="22"/>
          <w:szCs w:val="22"/>
        </w:rPr>
        <w:t xml:space="preserve">which was </w:t>
      </w:r>
      <w:r w:rsidRPr="008E530C">
        <w:rPr>
          <w:rFonts w:ascii="Arial" w:hAnsi="Arial" w:cs="Arial"/>
          <w:color w:val="000000"/>
          <w:sz w:val="22"/>
          <w:szCs w:val="22"/>
        </w:rPr>
        <w:t xml:space="preserve">fleshed out </w:t>
      </w:r>
      <w:r w:rsidR="00BF38F9">
        <w:rPr>
          <w:rFonts w:ascii="Arial" w:hAnsi="Arial" w:cs="Arial"/>
          <w:color w:val="000000"/>
          <w:sz w:val="22"/>
          <w:szCs w:val="22"/>
        </w:rPr>
        <w:t>via</w:t>
      </w:r>
      <w:r w:rsidRPr="008E530C">
        <w:rPr>
          <w:rFonts w:ascii="Arial" w:hAnsi="Arial" w:cs="Arial"/>
          <w:color w:val="000000"/>
          <w:sz w:val="22"/>
          <w:szCs w:val="22"/>
        </w:rPr>
        <w:t xml:space="preserve"> consultations with in-country UNDP staff. The objective was to engage a broad spectrum of entities/persons capable of providing </w:t>
      </w:r>
      <w:r w:rsidR="00BF38F9">
        <w:rPr>
          <w:rFonts w:ascii="Arial" w:hAnsi="Arial" w:cs="Arial"/>
          <w:color w:val="000000"/>
          <w:sz w:val="22"/>
          <w:szCs w:val="22"/>
        </w:rPr>
        <w:t>informed perspectives</w:t>
      </w:r>
      <w:r w:rsidRPr="008E530C">
        <w:rPr>
          <w:rFonts w:ascii="Arial" w:hAnsi="Arial" w:cs="Arial"/>
          <w:color w:val="000000"/>
          <w:sz w:val="22"/>
          <w:szCs w:val="22"/>
        </w:rPr>
        <w:t xml:space="preserve"> across the evaluative areas of interest, while also paying attention to gender balance and social inclusion. Although the plan (as outlined in the </w:t>
      </w:r>
      <w:r w:rsidR="00BF38F9">
        <w:rPr>
          <w:rFonts w:ascii="Arial" w:hAnsi="Arial" w:cs="Arial"/>
          <w:color w:val="000000"/>
          <w:sz w:val="22"/>
          <w:szCs w:val="22"/>
        </w:rPr>
        <w:t>I</w:t>
      </w:r>
      <w:r w:rsidRPr="008E530C">
        <w:rPr>
          <w:rFonts w:ascii="Arial" w:hAnsi="Arial" w:cs="Arial"/>
          <w:color w:val="000000"/>
          <w:sz w:val="22"/>
          <w:szCs w:val="22"/>
        </w:rPr>
        <w:t xml:space="preserve">nception </w:t>
      </w:r>
      <w:r w:rsidR="00BF38F9">
        <w:rPr>
          <w:rFonts w:ascii="Arial" w:hAnsi="Arial" w:cs="Arial"/>
          <w:color w:val="000000"/>
          <w:sz w:val="22"/>
          <w:szCs w:val="22"/>
        </w:rPr>
        <w:t>R</w:t>
      </w:r>
      <w:r w:rsidRPr="008E530C">
        <w:rPr>
          <w:rFonts w:ascii="Arial" w:hAnsi="Arial" w:cs="Arial"/>
          <w:color w:val="000000"/>
          <w:sz w:val="22"/>
          <w:szCs w:val="22"/>
        </w:rPr>
        <w:t xml:space="preserve">eport) was for the evaluators to choose their preferred informants from a longer list of potential informants for each country, that was not feasible in all cases due to time pressures and the remote process; </w:t>
      </w:r>
      <w:r w:rsidR="00BF38F9">
        <w:rPr>
          <w:rFonts w:ascii="Arial" w:hAnsi="Arial" w:cs="Arial"/>
          <w:color w:val="000000"/>
          <w:sz w:val="22"/>
          <w:szCs w:val="22"/>
        </w:rPr>
        <w:t>this</w:t>
      </w:r>
      <w:r w:rsidRPr="008E530C">
        <w:rPr>
          <w:rFonts w:ascii="Arial" w:hAnsi="Arial" w:cs="Arial"/>
          <w:color w:val="000000"/>
          <w:sz w:val="22"/>
          <w:szCs w:val="22"/>
        </w:rPr>
        <w:t xml:space="preserve"> entailed a heavier reliance on the </w:t>
      </w:r>
      <w:r w:rsidR="00BF38F9">
        <w:rPr>
          <w:rFonts w:ascii="Arial" w:hAnsi="Arial" w:cs="Arial"/>
          <w:color w:val="000000"/>
          <w:sz w:val="22"/>
          <w:szCs w:val="22"/>
        </w:rPr>
        <w:t>Country Office</w:t>
      </w:r>
      <w:r w:rsidRPr="008E530C">
        <w:rPr>
          <w:rFonts w:ascii="Arial" w:hAnsi="Arial" w:cs="Arial"/>
          <w:color w:val="000000"/>
          <w:sz w:val="22"/>
          <w:szCs w:val="22"/>
        </w:rPr>
        <w:t xml:space="preserve"> recommendations. </w:t>
      </w:r>
    </w:p>
    <w:p w14:paraId="2806DC55" w14:textId="2477F793" w:rsidR="00FB015E" w:rsidRPr="008E530C" w:rsidRDefault="00FB015E" w:rsidP="00FB015E">
      <w:pPr>
        <w:spacing w:line="240" w:lineRule="auto"/>
        <w:ind w:hanging="2"/>
        <w:rPr>
          <w:rFonts w:ascii="Arial" w:eastAsia="Times New Roman" w:hAnsi="Arial" w:cs="Arial"/>
          <w:sz w:val="22"/>
          <w:szCs w:val="22"/>
        </w:rPr>
      </w:pPr>
      <w:r w:rsidRPr="008E530C">
        <w:rPr>
          <w:rFonts w:ascii="Arial" w:hAnsi="Arial" w:cs="Arial"/>
          <w:b/>
          <w:color w:val="000000"/>
          <w:sz w:val="22"/>
          <w:szCs w:val="22"/>
        </w:rPr>
        <w:t>Case studies of six countries: sampling method and approach</w:t>
      </w:r>
    </w:p>
    <w:p w14:paraId="2A3F717C" w14:textId="1A457EF1" w:rsidR="00FB015E" w:rsidRPr="008E530C" w:rsidRDefault="00FB015E" w:rsidP="00E80114">
      <w:pPr>
        <w:spacing w:line="240" w:lineRule="auto"/>
        <w:ind w:hanging="2"/>
        <w:rPr>
          <w:rFonts w:ascii="Arial" w:eastAsia="Times New Roman" w:hAnsi="Arial" w:cs="Arial"/>
          <w:sz w:val="22"/>
          <w:szCs w:val="22"/>
        </w:rPr>
      </w:pPr>
      <w:r w:rsidRPr="008E530C">
        <w:rPr>
          <w:rFonts w:ascii="Arial" w:hAnsi="Arial" w:cs="Arial"/>
          <w:color w:val="000000"/>
          <w:sz w:val="22"/>
          <w:szCs w:val="22"/>
        </w:rPr>
        <w:t xml:space="preserve">The evaluation TOR specified that six </w:t>
      </w:r>
      <w:r w:rsidR="00F501B8">
        <w:rPr>
          <w:rFonts w:ascii="Arial" w:hAnsi="Arial" w:cs="Arial"/>
          <w:color w:val="000000"/>
          <w:sz w:val="22"/>
          <w:szCs w:val="22"/>
        </w:rPr>
        <w:t xml:space="preserve">unspecified </w:t>
      </w:r>
      <w:r w:rsidRPr="008E530C">
        <w:rPr>
          <w:rFonts w:ascii="Arial" w:hAnsi="Arial" w:cs="Arial"/>
          <w:color w:val="000000"/>
          <w:sz w:val="22"/>
          <w:szCs w:val="22"/>
        </w:rPr>
        <w:t xml:space="preserve">countries would be the subject of “case studies”. The evaluation team initially designed a basic sampling process and proposed a list of countries for consideration. However, the final set of case study countries was ultimately determined by the GP management team in consultation with </w:t>
      </w:r>
      <w:r w:rsidR="00F501B8">
        <w:rPr>
          <w:rFonts w:ascii="Arial" w:hAnsi="Arial" w:cs="Arial"/>
          <w:color w:val="000000"/>
          <w:sz w:val="22"/>
          <w:szCs w:val="22"/>
        </w:rPr>
        <w:t>ROLSHR F</w:t>
      </w:r>
      <w:r w:rsidRPr="008E530C">
        <w:rPr>
          <w:rFonts w:ascii="Arial" w:hAnsi="Arial" w:cs="Arial"/>
          <w:color w:val="000000"/>
          <w:sz w:val="22"/>
          <w:szCs w:val="22"/>
        </w:rPr>
        <w:t xml:space="preserve">ocal </w:t>
      </w:r>
      <w:r w:rsidR="00F501B8">
        <w:rPr>
          <w:rFonts w:ascii="Arial" w:hAnsi="Arial" w:cs="Arial"/>
          <w:color w:val="000000"/>
          <w:sz w:val="22"/>
          <w:szCs w:val="22"/>
        </w:rPr>
        <w:t>P</w:t>
      </w:r>
      <w:r w:rsidRPr="008E530C">
        <w:rPr>
          <w:rFonts w:ascii="Arial" w:hAnsi="Arial" w:cs="Arial"/>
          <w:color w:val="000000"/>
          <w:sz w:val="22"/>
          <w:szCs w:val="22"/>
        </w:rPr>
        <w:t>oints and regional hub colleagues with final approval from the GP Project Board. The countries selected were: Kyrgyzstan, Somalia, CAR</w:t>
      </w:r>
      <w:r w:rsidR="00F501B8">
        <w:rPr>
          <w:rFonts w:ascii="Arial" w:hAnsi="Arial" w:cs="Arial"/>
          <w:color w:val="000000"/>
          <w:sz w:val="22"/>
          <w:szCs w:val="22"/>
        </w:rPr>
        <w:t>,</w:t>
      </w:r>
      <w:r w:rsidRPr="008E530C">
        <w:rPr>
          <w:rFonts w:ascii="Arial" w:hAnsi="Arial" w:cs="Arial"/>
          <w:color w:val="000000"/>
          <w:sz w:val="22"/>
          <w:szCs w:val="22"/>
        </w:rPr>
        <w:t xml:space="preserve"> Burkina Faso, Colombia, and Pakistan. </w:t>
      </w:r>
    </w:p>
    <w:p w14:paraId="7138E47D" w14:textId="5B057D7A" w:rsidR="00FB015E" w:rsidRPr="008E530C" w:rsidRDefault="00FB015E" w:rsidP="00E80114">
      <w:pPr>
        <w:spacing w:line="240" w:lineRule="auto"/>
        <w:ind w:hanging="2"/>
        <w:rPr>
          <w:rFonts w:ascii="Arial" w:eastAsia="Arial" w:hAnsi="Arial" w:cs="Arial"/>
          <w:color w:val="000000"/>
          <w:sz w:val="22"/>
          <w:szCs w:val="22"/>
        </w:rPr>
      </w:pPr>
      <w:r w:rsidRPr="008E530C">
        <w:rPr>
          <w:rFonts w:ascii="Arial" w:hAnsi="Arial" w:cs="Arial"/>
          <w:color w:val="000000"/>
          <w:sz w:val="22"/>
          <w:szCs w:val="22"/>
        </w:rPr>
        <w:t xml:space="preserve">With the limited time available, it was not feasible to conduct in-depth or comprehensive case studies, therefore these were designed as “instrumental” case studies to obtain insights into broader issues. The case studies aimed to identify similarities and differences among countries, leading to conclusions about potential applicability of experiences to other countries as well as significance for the GP as a whole. If several initiatives were funded between 2016-19 in a case study country, one or two specific projects was selected for closer examination and additional interviews. </w:t>
      </w:r>
      <w:r w:rsidR="00CA62AB" w:rsidRPr="008E530C">
        <w:rPr>
          <w:rFonts w:ascii="Arial" w:hAnsi="Arial" w:cs="Arial"/>
          <w:color w:val="000000"/>
          <w:sz w:val="22"/>
          <w:szCs w:val="22"/>
        </w:rPr>
        <w:t>Several country-level evaluations had already been carried out by ISSAT for the GP, producing reports that were valuable sources of secondary data</w:t>
      </w:r>
      <w:r w:rsidR="00F501B8">
        <w:rPr>
          <w:rFonts w:ascii="Arial" w:hAnsi="Arial" w:cs="Arial"/>
          <w:color w:val="000000"/>
          <w:sz w:val="22"/>
          <w:szCs w:val="22"/>
        </w:rPr>
        <w:t>; a</w:t>
      </w:r>
      <w:r w:rsidR="00CA62AB">
        <w:rPr>
          <w:rFonts w:ascii="Arial" w:hAnsi="Arial" w:cs="Arial"/>
          <w:color w:val="000000"/>
          <w:sz w:val="22"/>
          <w:szCs w:val="22"/>
        </w:rPr>
        <w:t xml:space="preserve"> summary </w:t>
      </w:r>
      <w:r w:rsidR="00CA62AB" w:rsidRPr="00B37446">
        <w:rPr>
          <w:rFonts w:ascii="Arial" w:hAnsi="Arial" w:cs="Arial"/>
          <w:color w:val="000000"/>
          <w:sz w:val="22"/>
          <w:szCs w:val="22"/>
        </w:rPr>
        <w:t xml:space="preserve">of the relevant findings and recommendations of </w:t>
      </w:r>
      <w:r w:rsidR="00F501B8">
        <w:rPr>
          <w:rFonts w:ascii="Arial" w:hAnsi="Arial" w:cs="Arial"/>
          <w:color w:val="000000"/>
          <w:sz w:val="22"/>
          <w:szCs w:val="22"/>
        </w:rPr>
        <w:t>ISSAT’s</w:t>
      </w:r>
      <w:r w:rsidR="00CA62AB" w:rsidRPr="00B37446">
        <w:rPr>
          <w:rFonts w:ascii="Arial" w:hAnsi="Arial" w:cs="Arial"/>
          <w:color w:val="000000"/>
          <w:sz w:val="22"/>
          <w:szCs w:val="22"/>
        </w:rPr>
        <w:t xml:space="preserve"> evaluation reports is presented in </w:t>
      </w:r>
      <w:r w:rsidR="00B37446" w:rsidRPr="00F501B8">
        <w:rPr>
          <w:rFonts w:ascii="Arial" w:hAnsi="Arial" w:cs="Arial"/>
          <w:i/>
          <w:iCs/>
          <w:color w:val="000000"/>
          <w:sz w:val="22"/>
          <w:szCs w:val="22"/>
          <w:shd w:val="clear" w:color="auto" w:fill="E6E6E6"/>
        </w:rPr>
        <w:fldChar w:fldCharType="begin"/>
      </w:r>
      <w:r w:rsidR="00B37446" w:rsidRPr="00F501B8">
        <w:rPr>
          <w:rFonts w:ascii="Arial" w:hAnsi="Arial" w:cs="Arial"/>
          <w:i/>
          <w:iCs/>
          <w:color w:val="000000"/>
          <w:sz w:val="22"/>
          <w:szCs w:val="22"/>
        </w:rPr>
        <w:instrText xml:space="preserve"> REF _Ref70154474 \h  \* MERGEFORMAT </w:instrText>
      </w:r>
      <w:r w:rsidR="00B37446" w:rsidRPr="00F501B8">
        <w:rPr>
          <w:rFonts w:ascii="Arial" w:hAnsi="Arial" w:cs="Arial"/>
          <w:i/>
          <w:iCs/>
          <w:color w:val="000000"/>
          <w:sz w:val="22"/>
          <w:szCs w:val="22"/>
          <w:shd w:val="clear" w:color="auto" w:fill="E6E6E6"/>
        </w:rPr>
      </w:r>
      <w:r w:rsidR="00B37446" w:rsidRPr="00F501B8">
        <w:rPr>
          <w:rFonts w:ascii="Arial" w:hAnsi="Arial" w:cs="Arial"/>
          <w:i/>
          <w:iCs/>
          <w:color w:val="000000"/>
          <w:sz w:val="22"/>
          <w:szCs w:val="22"/>
          <w:shd w:val="clear" w:color="auto" w:fill="E6E6E6"/>
        </w:rPr>
        <w:fldChar w:fldCharType="separate"/>
      </w:r>
      <w:r w:rsidR="00036841" w:rsidRPr="00036841">
        <w:rPr>
          <w:rFonts w:ascii="Arial" w:hAnsi="Arial" w:cs="Arial"/>
          <w:i/>
          <w:iCs/>
          <w:sz w:val="22"/>
          <w:szCs w:val="22"/>
          <w:lang w:eastAsia="de-DE"/>
        </w:rPr>
        <w:t>Annex 5</w:t>
      </w:r>
      <w:r w:rsidR="00036841">
        <w:rPr>
          <w:lang w:eastAsia="de-DE"/>
        </w:rPr>
        <w:t>: Summary of ISSAT Evaluations</w:t>
      </w:r>
      <w:r w:rsidR="00B37446" w:rsidRPr="00F501B8">
        <w:rPr>
          <w:rFonts w:ascii="Arial" w:hAnsi="Arial" w:cs="Arial"/>
          <w:i/>
          <w:iCs/>
          <w:color w:val="000000"/>
          <w:sz w:val="22"/>
          <w:szCs w:val="22"/>
          <w:shd w:val="clear" w:color="auto" w:fill="E6E6E6"/>
        </w:rPr>
        <w:fldChar w:fldCharType="end"/>
      </w:r>
      <w:r w:rsidR="00CA62AB" w:rsidRPr="00B37446">
        <w:rPr>
          <w:rFonts w:ascii="Arial" w:hAnsi="Arial" w:cs="Arial"/>
          <w:color w:val="000000"/>
          <w:sz w:val="22"/>
          <w:szCs w:val="22"/>
        </w:rPr>
        <w:t>.</w:t>
      </w:r>
    </w:p>
    <w:p w14:paraId="2A449033" w14:textId="23CA4704" w:rsidR="00FB015E" w:rsidRPr="008E530C" w:rsidRDefault="00FB015E" w:rsidP="00E80114">
      <w:pPr>
        <w:spacing w:line="240" w:lineRule="auto"/>
        <w:ind w:hanging="2"/>
        <w:rPr>
          <w:rFonts w:ascii="Arial" w:hAnsi="Arial" w:cs="Arial"/>
          <w:sz w:val="22"/>
          <w:szCs w:val="22"/>
        </w:rPr>
      </w:pPr>
      <w:bookmarkStart w:id="7" w:name="_Hlk64269433"/>
      <w:bookmarkStart w:id="8" w:name="_Hlk64269470"/>
      <w:r w:rsidRPr="008E530C">
        <w:rPr>
          <w:rFonts w:ascii="Arial" w:hAnsi="Arial" w:cs="Arial"/>
          <w:color w:val="000000"/>
          <w:sz w:val="22"/>
          <w:szCs w:val="22"/>
        </w:rPr>
        <w:t xml:space="preserve">In addition to the case studies, Niger and Albania were selected by GP management as sample countries where the </w:t>
      </w:r>
      <w:r w:rsidR="00F501B8">
        <w:rPr>
          <w:rFonts w:ascii="Arial" w:hAnsi="Arial" w:cs="Arial"/>
          <w:color w:val="000000"/>
          <w:sz w:val="22"/>
          <w:szCs w:val="22"/>
        </w:rPr>
        <w:t>GP</w:t>
      </w:r>
      <w:r w:rsidRPr="008E530C">
        <w:rPr>
          <w:rFonts w:ascii="Arial" w:hAnsi="Arial" w:cs="Arial"/>
          <w:color w:val="000000"/>
          <w:sz w:val="22"/>
          <w:szCs w:val="22"/>
        </w:rPr>
        <w:t xml:space="preserve"> had not actively provided support in Phase 3. The evaluators liaised with the relevant GP Focal Points to discuss the situation of each country and identify potential informants. Interviews focused on current and former UNDP and other Country Office staff responsible for ROLSHR or related thematic areas, and/or overall strategic decision-making. </w:t>
      </w:r>
      <w:bookmarkEnd w:id="7"/>
      <w:r w:rsidRPr="008E530C">
        <w:rPr>
          <w:rFonts w:ascii="Arial" w:eastAsia="Times New Roman" w:hAnsi="Arial" w:cs="Arial"/>
          <w:sz w:val="22"/>
          <w:szCs w:val="22"/>
        </w:rPr>
        <w:t xml:space="preserve">The evaluators designed and posed a limited set of questions to elucidate the recent engagement of UNDP and other UN entities in ROLSHR, to gauge the knowledge among key Country Office staff about the GP and GFP, to verify any technical or financial support provided by GP, and to explore </w:t>
      </w:r>
      <w:r w:rsidRPr="008E530C">
        <w:rPr>
          <w:rFonts w:ascii="Arial" w:hAnsi="Arial" w:cs="Arial"/>
          <w:sz w:val="22"/>
          <w:szCs w:val="22"/>
        </w:rPr>
        <w:t xml:space="preserve">the potential for future collaboration. </w:t>
      </w:r>
      <w:r w:rsidR="00A01D7F">
        <w:rPr>
          <w:rFonts w:ascii="Arial" w:hAnsi="Arial" w:cs="Arial"/>
          <w:sz w:val="22"/>
          <w:szCs w:val="22"/>
        </w:rPr>
        <w:t>The findings are presented in a separate</w:t>
      </w:r>
      <w:r w:rsidR="00F501B8">
        <w:rPr>
          <w:rFonts w:ascii="Arial" w:hAnsi="Arial" w:cs="Arial"/>
          <w:sz w:val="22"/>
          <w:szCs w:val="22"/>
        </w:rPr>
        <w:t xml:space="preserve"> text box in the</w:t>
      </w:r>
      <w:r w:rsidR="00A01D7F">
        <w:rPr>
          <w:rFonts w:ascii="Arial" w:hAnsi="Arial" w:cs="Arial"/>
          <w:sz w:val="22"/>
          <w:szCs w:val="22"/>
        </w:rPr>
        <w:t xml:space="preserve"> </w:t>
      </w:r>
      <w:r w:rsidR="00F501B8" w:rsidRPr="00F501B8">
        <w:rPr>
          <w:rFonts w:ascii="Arial" w:hAnsi="Arial" w:cs="Arial"/>
          <w:i/>
          <w:iCs/>
          <w:color w:val="2B579A"/>
          <w:sz w:val="22"/>
          <w:szCs w:val="22"/>
          <w:shd w:val="clear" w:color="auto" w:fill="E6E6E6"/>
        </w:rPr>
        <w:fldChar w:fldCharType="begin"/>
      </w:r>
      <w:r w:rsidR="00F501B8" w:rsidRPr="00F501B8">
        <w:rPr>
          <w:rFonts w:ascii="Arial" w:hAnsi="Arial" w:cs="Arial"/>
          <w:i/>
          <w:iCs/>
          <w:sz w:val="22"/>
          <w:szCs w:val="22"/>
        </w:rPr>
        <w:instrText xml:space="preserve"> REF _Ref70156470 \h  \* MERGEFORMAT </w:instrText>
      </w:r>
      <w:r w:rsidR="00F501B8" w:rsidRPr="00F501B8">
        <w:rPr>
          <w:rFonts w:ascii="Arial" w:hAnsi="Arial" w:cs="Arial"/>
          <w:i/>
          <w:iCs/>
          <w:color w:val="2B579A"/>
          <w:sz w:val="22"/>
          <w:szCs w:val="22"/>
          <w:shd w:val="clear" w:color="auto" w:fill="E6E6E6"/>
        </w:rPr>
      </w:r>
      <w:r w:rsidR="00F501B8" w:rsidRPr="00F501B8">
        <w:rPr>
          <w:rFonts w:ascii="Arial" w:hAnsi="Arial" w:cs="Arial"/>
          <w:i/>
          <w:iCs/>
          <w:color w:val="2B579A"/>
          <w:sz w:val="22"/>
          <w:szCs w:val="22"/>
          <w:shd w:val="clear" w:color="auto" w:fill="E6E6E6"/>
        </w:rPr>
        <w:fldChar w:fldCharType="separate"/>
      </w:r>
      <w:r w:rsidR="00036841" w:rsidRPr="00036841">
        <w:rPr>
          <w:rFonts w:ascii="Arial" w:hAnsi="Arial" w:cs="Arial"/>
          <w:i/>
          <w:iCs/>
          <w:sz w:val="22"/>
          <w:szCs w:val="22"/>
        </w:rPr>
        <w:t>Country Level Findings on Effectiveness and Impact</w:t>
      </w:r>
      <w:r w:rsidR="00F501B8" w:rsidRPr="00F501B8">
        <w:rPr>
          <w:rFonts w:ascii="Arial" w:hAnsi="Arial" w:cs="Arial"/>
          <w:i/>
          <w:iCs/>
          <w:color w:val="2B579A"/>
          <w:sz w:val="22"/>
          <w:szCs w:val="22"/>
          <w:shd w:val="clear" w:color="auto" w:fill="E6E6E6"/>
        </w:rPr>
        <w:fldChar w:fldCharType="end"/>
      </w:r>
      <w:r w:rsidR="00A01D7F">
        <w:rPr>
          <w:rFonts w:ascii="Arial" w:hAnsi="Arial" w:cs="Arial"/>
          <w:sz w:val="22"/>
          <w:szCs w:val="22"/>
        </w:rPr>
        <w:t xml:space="preserve">. </w:t>
      </w:r>
    </w:p>
    <w:p w14:paraId="37BC7C79" w14:textId="18237FED" w:rsidR="00FB015E" w:rsidRPr="007B6B11" w:rsidRDefault="00FB015E" w:rsidP="009C4C02">
      <w:pPr>
        <w:pStyle w:val="Heading2"/>
        <w:rPr>
          <w:sz w:val="36"/>
          <w:szCs w:val="36"/>
          <w:lang w:val="en-US"/>
        </w:rPr>
      </w:pPr>
      <w:bookmarkStart w:id="9" w:name="_Toc71701881"/>
      <w:bookmarkEnd w:id="8"/>
      <w:r w:rsidRPr="007B6B11">
        <w:rPr>
          <w:lang w:val="en-US"/>
        </w:rPr>
        <w:t>Data Analysis Methods</w:t>
      </w:r>
      <w:bookmarkEnd w:id="9"/>
    </w:p>
    <w:p w14:paraId="54FFF297" w14:textId="24EF6285" w:rsidR="00FB015E" w:rsidRPr="008E530C" w:rsidRDefault="00FB015E" w:rsidP="00FB015E">
      <w:pPr>
        <w:spacing w:line="240" w:lineRule="auto"/>
        <w:ind w:hanging="2"/>
        <w:rPr>
          <w:rFonts w:ascii="Arial" w:eastAsia="Times New Roman" w:hAnsi="Arial" w:cs="Arial"/>
          <w:sz w:val="22"/>
          <w:szCs w:val="22"/>
        </w:rPr>
      </w:pPr>
      <w:r w:rsidRPr="008E530C">
        <w:rPr>
          <w:rFonts w:ascii="Arial" w:hAnsi="Arial" w:cs="Arial"/>
          <w:b/>
          <w:color w:val="000000"/>
          <w:sz w:val="22"/>
          <w:szCs w:val="22"/>
        </w:rPr>
        <w:t>Qualitative Data Analysis </w:t>
      </w:r>
    </w:p>
    <w:p w14:paraId="7A0A7361" w14:textId="0F839135" w:rsidR="00FB015E" w:rsidRPr="008E530C" w:rsidRDefault="00FB015E" w:rsidP="00E80114">
      <w:pPr>
        <w:spacing w:line="240" w:lineRule="auto"/>
        <w:ind w:hanging="2"/>
        <w:rPr>
          <w:rFonts w:ascii="Arial" w:hAnsi="Arial" w:cs="Arial"/>
          <w:color w:val="000000"/>
          <w:sz w:val="22"/>
          <w:szCs w:val="22"/>
        </w:rPr>
      </w:pPr>
      <w:r w:rsidRPr="008E530C">
        <w:rPr>
          <w:rFonts w:ascii="Arial" w:hAnsi="Arial" w:cs="Arial"/>
          <w:color w:val="000000"/>
          <w:sz w:val="22"/>
          <w:szCs w:val="22"/>
        </w:rPr>
        <w:t xml:space="preserve">The significant amount of data generated via the above-described interviews and meetings was summarized and analyzed using a matrix organized by the six core </w:t>
      </w:r>
      <w:r w:rsidR="009950C8">
        <w:rPr>
          <w:rFonts w:ascii="Arial" w:hAnsi="Arial" w:cs="Arial"/>
          <w:color w:val="000000"/>
          <w:sz w:val="22"/>
          <w:szCs w:val="22"/>
        </w:rPr>
        <w:t xml:space="preserve">OECD </w:t>
      </w:r>
      <w:r w:rsidRPr="008E530C">
        <w:rPr>
          <w:rFonts w:ascii="Arial" w:hAnsi="Arial" w:cs="Arial"/>
          <w:color w:val="000000"/>
          <w:sz w:val="22"/>
          <w:szCs w:val="22"/>
        </w:rPr>
        <w:t xml:space="preserve">evaluation criteria. This matrix captured the most significant information from each data collection event, noting the source and coding data based on important themes emerging from interview notes. Triangulation enabled the evaluation team to gain a deeper understanding of the perspectives of diverse respondents, and to cross-check findings emerging from different data collection methods and sources to identify correlations and differences. </w:t>
      </w:r>
    </w:p>
    <w:p w14:paraId="5D0C195A" w14:textId="0EA33D5E" w:rsidR="00FB015E" w:rsidRPr="008E530C" w:rsidRDefault="00FB015E" w:rsidP="00FB015E">
      <w:pPr>
        <w:spacing w:line="240" w:lineRule="auto"/>
        <w:rPr>
          <w:rFonts w:ascii="Arial" w:eastAsia="Times New Roman" w:hAnsi="Arial" w:cs="Arial"/>
          <w:sz w:val="22"/>
          <w:szCs w:val="22"/>
        </w:rPr>
      </w:pPr>
      <w:r w:rsidRPr="008E530C">
        <w:rPr>
          <w:rFonts w:ascii="Arial" w:hAnsi="Arial" w:cs="Arial"/>
          <w:b/>
          <w:color w:val="000000"/>
          <w:sz w:val="22"/>
          <w:szCs w:val="22"/>
        </w:rPr>
        <w:t>Analysis of Indicator and Financial Data </w:t>
      </w:r>
    </w:p>
    <w:p w14:paraId="34356AA3" w14:textId="4991524A" w:rsidR="00FB015E" w:rsidRPr="008E530C" w:rsidRDefault="00FB015E" w:rsidP="00E80114">
      <w:pPr>
        <w:spacing w:line="240" w:lineRule="auto"/>
        <w:ind w:hanging="2"/>
        <w:rPr>
          <w:rFonts w:ascii="Arial" w:hAnsi="Arial" w:cs="Arial"/>
          <w:color w:val="000000"/>
          <w:sz w:val="22"/>
          <w:szCs w:val="22"/>
        </w:rPr>
      </w:pPr>
      <w:r w:rsidRPr="008E530C">
        <w:rPr>
          <w:rFonts w:ascii="Arial" w:hAnsi="Arial" w:cs="Arial"/>
          <w:color w:val="000000"/>
          <w:sz w:val="22"/>
          <w:szCs w:val="22"/>
        </w:rPr>
        <w:t>The evaluation team attempted to analyze progress to date towards achieving targets for GP output indicators (17 reported on by the GP as of 2019) and change in the five outcome level indicators defined in the Prodoc, which rely on internationally recognized ranking and scoring system</w:t>
      </w:r>
      <w:r w:rsidRPr="00C30FEB">
        <w:rPr>
          <w:rFonts w:ascii="Arial" w:hAnsi="Arial" w:cs="Arial"/>
          <w:color w:val="000000"/>
          <w:sz w:val="22"/>
          <w:szCs w:val="22"/>
        </w:rPr>
        <w:t xml:space="preserve">s. However, </w:t>
      </w:r>
      <w:r w:rsidR="009950C8" w:rsidRPr="00C30FEB">
        <w:rPr>
          <w:rFonts w:ascii="Arial" w:hAnsi="Arial" w:cs="Arial"/>
          <w:color w:val="000000"/>
          <w:sz w:val="22"/>
          <w:szCs w:val="22"/>
        </w:rPr>
        <w:t xml:space="preserve">analysis quickly gave rise to reservations </w:t>
      </w:r>
      <w:r w:rsidRPr="00C30FEB">
        <w:rPr>
          <w:rFonts w:ascii="Arial" w:hAnsi="Arial" w:cs="Arial"/>
          <w:color w:val="000000"/>
          <w:sz w:val="22"/>
          <w:szCs w:val="22"/>
        </w:rPr>
        <w:t>about the quality of data and meaningfulness of the output indicators as a measure of GP results</w:t>
      </w:r>
      <w:r w:rsidR="009950C8" w:rsidRPr="00C30FEB">
        <w:rPr>
          <w:rFonts w:ascii="Arial" w:hAnsi="Arial" w:cs="Arial"/>
          <w:color w:val="000000"/>
          <w:sz w:val="22"/>
          <w:szCs w:val="22"/>
        </w:rPr>
        <w:t xml:space="preserve"> (further described in</w:t>
      </w:r>
      <w:r w:rsidR="009950C8" w:rsidRPr="00C30FEB">
        <w:rPr>
          <w:rFonts w:ascii="Arial" w:hAnsi="Arial" w:cs="Arial"/>
          <w:color w:val="000000"/>
          <w:sz w:val="22"/>
          <w:szCs w:val="22"/>
          <w:shd w:val="clear" w:color="auto" w:fill="E6E6E6"/>
        </w:rPr>
        <w:t xml:space="preserve"> </w:t>
      </w:r>
      <w:r w:rsidR="009950C8" w:rsidRPr="00980AEC">
        <w:rPr>
          <w:rFonts w:ascii="Arial" w:hAnsi="Arial" w:cs="Arial"/>
          <w:i/>
          <w:iCs/>
          <w:color w:val="000000"/>
          <w:sz w:val="22"/>
          <w:szCs w:val="22"/>
        </w:rPr>
        <w:fldChar w:fldCharType="begin"/>
      </w:r>
      <w:r w:rsidR="009950C8" w:rsidRPr="00980AEC">
        <w:rPr>
          <w:rFonts w:ascii="Arial" w:hAnsi="Arial" w:cs="Arial"/>
          <w:i/>
          <w:iCs/>
          <w:color w:val="000000"/>
          <w:sz w:val="22"/>
          <w:szCs w:val="22"/>
        </w:rPr>
        <w:instrText xml:space="preserve"> REF _Ref70154084 \h  \* MERGEFORMAT </w:instrText>
      </w:r>
      <w:r w:rsidR="009950C8" w:rsidRPr="00980AEC">
        <w:rPr>
          <w:rFonts w:ascii="Arial" w:hAnsi="Arial" w:cs="Arial"/>
          <w:i/>
          <w:iCs/>
          <w:color w:val="000000"/>
          <w:sz w:val="22"/>
          <w:szCs w:val="22"/>
        </w:rPr>
      </w:r>
      <w:r w:rsidR="009950C8" w:rsidRPr="00980AEC">
        <w:rPr>
          <w:rFonts w:ascii="Arial" w:hAnsi="Arial" w:cs="Arial"/>
          <w:i/>
          <w:iCs/>
          <w:color w:val="000000"/>
          <w:sz w:val="22"/>
          <w:szCs w:val="22"/>
        </w:rPr>
        <w:fldChar w:fldCharType="separate"/>
      </w:r>
      <w:r w:rsidR="00036841" w:rsidRPr="00036841">
        <w:rPr>
          <w:rFonts w:ascii="Arial" w:hAnsi="Arial" w:cs="Arial"/>
          <w:i/>
          <w:iCs/>
          <w:sz w:val="22"/>
          <w:szCs w:val="22"/>
          <w:lang w:val="en-US" w:eastAsia="de-DE"/>
        </w:rPr>
        <w:t>Annex 3: Analysis of Results-Based Management</w:t>
      </w:r>
      <w:r w:rsidR="009950C8" w:rsidRPr="00980AEC">
        <w:rPr>
          <w:rFonts w:ascii="Arial" w:hAnsi="Arial" w:cs="Arial"/>
          <w:i/>
          <w:iCs/>
          <w:color w:val="000000"/>
          <w:sz w:val="22"/>
          <w:szCs w:val="22"/>
        </w:rPr>
        <w:fldChar w:fldCharType="end"/>
      </w:r>
      <w:r w:rsidR="009950C8" w:rsidRPr="00980AEC">
        <w:rPr>
          <w:rFonts w:ascii="Arial" w:hAnsi="Arial" w:cs="Arial"/>
          <w:color w:val="000000"/>
          <w:sz w:val="22"/>
          <w:szCs w:val="22"/>
        </w:rPr>
        <w:t>)</w:t>
      </w:r>
      <w:r w:rsidRPr="00980AEC">
        <w:rPr>
          <w:rFonts w:ascii="Arial" w:hAnsi="Arial" w:cs="Arial"/>
          <w:color w:val="000000"/>
          <w:sz w:val="22"/>
          <w:szCs w:val="22"/>
        </w:rPr>
        <w:t xml:space="preserve">. Moreover, it was found that the outcome </w:t>
      </w:r>
      <w:r w:rsidR="009950C8" w:rsidRPr="00980AEC">
        <w:rPr>
          <w:rFonts w:ascii="Arial" w:hAnsi="Arial" w:cs="Arial"/>
          <w:color w:val="000000"/>
          <w:sz w:val="22"/>
          <w:szCs w:val="22"/>
        </w:rPr>
        <w:t xml:space="preserve">level </w:t>
      </w:r>
      <w:r w:rsidRPr="00980AEC">
        <w:rPr>
          <w:rFonts w:ascii="Arial" w:hAnsi="Arial" w:cs="Arial"/>
          <w:color w:val="000000"/>
          <w:sz w:val="22"/>
          <w:szCs w:val="22"/>
        </w:rPr>
        <w:t xml:space="preserve">indicators </w:t>
      </w:r>
      <w:r w:rsidR="00C30FEB" w:rsidRPr="00980AEC">
        <w:rPr>
          <w:rFonts w:ascii="Arial" w:hAnsi="Arial" w:cs="Arial"/>
          <w:color w:val="000000"/>
          <w:sz w:val="22"/>
          <w:szCs w:val="22"/>
        </w:rPr>
        <w:t>have not to date been</w:t>
      </w:r>
      <w:r w:rsidRPr="00980AEC">
        <w:rPr>
          <w:rFonts w:ascii="Arial" w:hAnsi="Arial" w:cs="Arial"/>
          <w:color w:val="000000"/>
          <w:sz w:val="22"/>
          <w:szCs w:val="22"/>
        </w:rPr>
        <w:t xml:space="preserve"> tracked or reported on by the GP. The evaluators managed to source some data for these indicators directly from the international</w:t>
      </w:r>
      <w:r w:rsidRPr="008E530C">
        <w:rPr>
          <w:rFonts w:ascii="Arial" w:hAnsi="Arial" w:cs="Arial"/>
          <w:color w:val="000000"/>
          <w:sz w:val="22"/>
          <w:szCs w:val="22"/>
        </w:rPr>
        <w:t xml:space="preserve"> bodies produc</w:t>
      </w:r>
      <w:r w:rsidR="009950C8">
        <w:rPr>
          <w:rFonts w:ascii="Arial" w:hAnsi="Arial" w:cs="Arial"/>
          <w:color w:val="000000"/>
          <w:sz w:val="22"/>
          <w:szCs w:val="22"/>
        </w:rPr>
        <w:t>ing</w:t>
      </w:r>
      <w:r w:rsidRPr="008E530C">
        <w:rPr>
          <w:rFonts w:ascii="Arial" w:hAnsi="Arial" w:cs="Arial"/>
          <w:color w:val="000000"/>
          <w:sz w:val="22"/>
          <w:szCs w:val="22"/>
        </w:rPr>
        <w:t xml:space="preserve"> those scores, but it was found that in many cases values were non-existent or not updated.</w:t>
      </w:r>
    </w:p>
    <w:p w14:paraId="011429C2" w14:textId="6D90D8C9" w:rsidR="00FB015E" w:rsidRPr="008E530C" w:rsidRDefault="00FB015E" w:rsidP="00E80114">
      <w:pPr>
        <w:spacing w:line="240" w:lineRule="auto"/>
        <w:ind w:hanging="2"/>
        <w:rPr>
          <w:rFonts w:ascii="Arial" w:eastAsia="Times New Roman" w:hAnsi="Arial" w:cs="Arial"/>
          <w:color w:val="FF0000"/>
          <w:sz w:val="22"/>
          <w:szCs w:val="22"/>
        </w:rPr>
      </w:pPr>
      <w:r w:rsidRPr="008E530C">
        <w:rPr>
          <w:rFonts w:ascii="Arial" w:hAnsi="Arial" w:cs="Arial"/>
          <w:color w:val="000000"/>
          <w:sz w:val="22"/>
          <w:szCs w:val="22"/>
        </w:rPr>
        <w:t xml:space="preserve">Regarding financial analyses, some </w:t>
      </w:r>
      <w:r w:rsidR="009950C8">
        <w:rPr>
          <w:rFonts w:ascii="Arial" w:hAnsi="Arial" w:cs="Arial"/>
          <w:color w:val="000000"/>
          <w:sz w:val="22"/>
          <w:szCs w:val="22"/>
        </w:rPr>
        <w:t>planned</w:t>
      </w:r>
      <w:r w:rsidRPr="008E530C">
        <w:rPr>
          <w:rFonts w:ascii="Arial" w:hAnsi="Arial" w:cs="Arial"/>
          <w:color w:val="000000"/>
          <w:sz w:val="22"/>
          <w:szCs w:val="22"/>
        </w:rPr>
        <w:t xml:space="preserve"> analyses (such as comparing average fund absorption rates against average progress against set indicator targets) could not be carried out</w:t>
      </w:r>
      <w:r w:rsidR="009950C8">
        <w:rPr>
          <w:rFonts w:ascii="Arial" w:hAnsi="Arial" w:cs="Arial"/>
          <w:color w:val="000000"/>
          <w:sz w:val="22"/>
          <w:szCs w:val="22"/>
        </w:rPr>
        <w:t>,</w:t>
      </w:r>
      <w:r w:rsidRPr="008E530C">
        <w:rPr>
          <w:rFonts w:ascii="Arial" w:hAnsi="Arial" w:cs="Arial"/>
          <w:color w:val="000000"/>
          <w:sz w:val="22"/>
          <w:szCs w:val="22"/>
        </w:rPr>
        <w:t xml:space="preserve"> mainly due to </w:t>
      </w:r>
      <w:r w:rsidR="009950C8">
        <w:rPr>
          <w:rFonts w:ascii="Arial" w:hAnsi="Arial" w:cs="Arial"/>
          <w:color w:val="000000"/>
          <w:sz w:val="22"/>
          <w:szCs w:val="22"/>
        </w:rPr>
        <w:t xml:space="preserve">the </w:t>
      </w:r>
      <w:r w:rsidRPr="008E530C">
        <w:rPr>
          <w:rFonts w:ascii="Arial" w:hAnsi="Arial" w:cs="Arial"/>
          <w:color w:val="000000"/>
          <w:sz w:val="22"/>
          <w:szCs w:val="22"/>
        </w:rPr>
        <w:t>technical issues related to Outcome/Output indicators described above</w:t>
      </w:r>
      <w:r w:rsidR="009950C8">
        <w:rPr>
          <w:rFonts w:ascii="Arial" w:hAnsi="Arial" w:cs="Arial"/>
          <w:color w:val="000000"/>
          <w:sz w:val="22"/>
          <w:szCs w:val="22"/>
        </w:rPr>
        <w:t xml:space="preserve"> and in Annex 3</w:t>
      </w:r>
      <w:r w:rsidRPr="008E530C">
        <w:rPr>
          <w:rFonts w:ascii="Arial" w:hAnsi="Arial" w:cs="Arial"/>
          <w:color w:val="000000"/>
          <w:sz w:val="22"/>
          <w:szCs w:val="22"/>
        </w:rPr>
        <w:t xml:space="preserve">. </w:t>
      </w:r>
      <w:r w:rsidRPr="008E530C">
        <w:rPr>
          <w:rFonts w:ascii="Arial" w:hAnsi="Arial" w:cs="Arial"/>
          <w:sz w:val="22"/>
          <w:szCs w:val="22"/>
        </w:rPr>
        <w:t xml:space="preserve">  </w:t>
      </w:r>
    </w:p>
    <w:p w14:paraId="7C4B2E7D" w14:textId="717C5FE4" w:rsidR="00FB015E" w:rsidRDefault="00FB015E" w:rsidP="009C4C02">
      <w:pPr>
        <w:pStyle w:val="Heading2"/>
        <w:rPr>
          <w:lang w:val="en-US"/>
        </w:rPr>
      </w:pPr>
      <w:bookmarkStart w:id="10" w:name="_heading=h.tyjcwt" w:colFirst="0" w:colLast="0"/>
      <w:bookmarkStart w:id="11" w:name="_Toc71701882"/>
      <w:bookmarkEnd w:id="10"/>
      <w:r w:rsidRPr="009C4C02">
        <w:t>Limitations</w:t>
      </w:r>
      <w:r w:rsidRPr="007B6B11">
        <w:rPr>
          <w:lang w:val="en-US"/>
        </w:rPr>
        <w:t xml:space="preserve"> and Mitigation</w:t>
      </w:r>
      <w:bookmarkEnd w:id="11"/>
      <w:r w:rsidRPr="007B6B11">
        <w:rPr>
          <w:lang w:val="en-US"/>
        </w:rPr>
        <w:t xml:space="preserve"> </w:t>
      </w:r>
    </w:p>
    <w:p w14:paraId="6B4364B9" w14:textId="68D99665" w:rsidR="00FB015E" w:rsidRPr="00A01D7F" w:rsidRDefault="00FB015E" w:rsidP="00A01D7F">
      <w:pPr>
        <w:spacing w:line="240" w:lineRule="auto"/>
        <w:rPr>
          <w:rFonts w:ascii="Arial" w:hAnsi="Arial" w:cs="Arial"/>
          <w:sz w:val="22"/>
          <w:szCs w:val="22"/>
        </w:rPr>
      </w:pPr>
      <w:r w:rsidRPr="00A01D7F">
        <w:rPr>
          <w:rFonts w:ascii="Arial" w:hAnsi="Arial" w:cs="Arial"/>
          <w:sz w:val="22"/>
          <w:szCs w:val="22"/>
        </w:rPr>
        <w:t>The evaluation team encountered various challenges and limitations during the evaluation process, both expected and unexpected. The most significant limitations are outlined below. </w:t>
      </w:r>
    </w:p>
    <w:p w14:paraId="168064E6" w14:textId="39D0C622" w:rsidR="00FB015E" w:rsidRPr="00FB27EA" w:rsidRDefault="00FB015E" w:rsidP="00567956">
      <w:pPr>
        <w:pStyle w:val="ListParagraph"/>
        <w:numPr>
          <w:ilvl w:val="0"/>
          <w:numId w:val="22"/>
        </w:numPr>
        <w:spacing w:line="240" w:lineRule="auto"/>
        <w:ind w:left="426"/>
        <w:rPr>
          <w:rFonts w:ascii="Arial" w:hAnsi="Arial" w:cs="Arial"/>
          <w:sz w:val="22"/>
          <w:szCs w:val="22"/>
        </w:rPr>
      </w:pPr>
      <w:r w:rsidRPr="00FB27EA">
        <w:rPr>
          <w:rFonts w:ascii="Arial" w:hAnsi="Arial" w:cs="Arial"/>
          <w:sz w:val="22"/>
          <w:szCs w:val="22"/>
        </w:rPr>
        <w:t xml:space="preserve">The global scope and thematic complexity of the GP represented a challenge to comprehensive evaluation of four years of implementation, especially with an evaluation team of only two members with limited contract days (100 in total). The list of evaluation questions was very long and ambitious, with 36 separate questions and sub-questions in the final Evaluation Matrix covering issues at global/programme level as well as country level. The evaluators strove to manage this challenge by clearly dividing responsibilities, defining a limited scope for the country case studies, and </w:t>
      </w:r>
      <w:r w:rsidR="009950C8">
        <w:rPr>
          <w:rFonts w:ascii="Arial" w:hAnsi="Arial" w:cs="Arial"/>
          <w:sz w:val="22"/>
          <w:szCs w:val="22"/>
        </w:rPr>
        <w:t>organizing the</w:t>
      </w:r>
      <w:r w:rsidRPr="00FB27EA">
        <w:rPr>
          <w:rFonts w:ascii="Arial" w:hAnsi="Arial" w:cs="Arial"/>
          <w:sz w:val="22"/>
          <w:szCs w:val="22"/>
        </w:rPr>
        <w:t xml:space="preserve"> questions under the OECD criteria. </w:t>
      </w:r>
    </w:p>
    <w:p w14:paraId="56AB828D" w14:textId="125824AD" w:rsidR="00FB015E" w:rsidRPr="00FB27EA" w:rsidRDefault="00FB015E" w:rsidP="00567956">
      <w:pPr>
        <w:pStyle w:val="ListParagraph"/>
        <w:numPr>
          <w:ilvl w:val="0"/>
          <w:numId w:val="22"/>
        </w:numPr>
        <w:spacing w:line="240" w:lineRule="auto"/>
        <w:ind w:left="426"/>
        <w:rPr>
          <w:rFonts w:ascii="Arial" w:hAnsi="Arial" w:cs="Arial"/>
          <w:sz w:val="22"/>
          <w:szCs w:val="22"/>
        </w:rPr>
      </w:pPr>
      <w:r w:rsidRPr="00FB27EA">
        <w:rPr>
          <w:rFonts w:ascii="Arial" w:hAnsi="Arial" w:cs="Arial"/>
          <w:sz w:val="22"/>
          <w:szCs w:val="22"/>
        </w:rPr>
        <w:t xml:space="preserve">The four-year period under evaluation started in January 2016 and ended in December 2019, about one year prior to commencement of this evaluation. Some relevant informants were no longer available, and some found it hard to recall the situation and events early in that period, and/or to distinguish between pre-2020 and thereafter. However, it was </w:t>
      </w:r>
      <w:r w:rsidR="009950C8">
        <w:rPr>
          <w:rFonts w:ascii="Arial" w:hAnsi="Arial" w:cs="Arial"/>
          <w:sz w:val="22"/>
          <w:szCs w:val="22"/>
        </w:rPr>
        <w:t xml:space="preserve">soon </w:t>
      </w:r>
      <w:r w:rsidRPr="00FB27EA">
        <w:rPr>
          <w:rFonts w:ascii="Arial" w:hAnsi="Arial" w:cs="Arial"/>
          <w:sz w:val="22"/>
          <w:szCs w:val="22"/>
        </w:rPr>
        <w:t>realized that developments after 2019 were relevant in relation to longer term impact and sustainability, and moreover, examination of business processes and other elements of the GP required consideration of the current situation.</w:t>
      </w:r>
      <w:r w:rsidR="009950C8">
        <w:rPr>
          <w:rFonts w:ascii="Arial" w:hAnsi="Arial" w:cs="Arial"/>
          <w:sz w:val="22"/>
          <w:szCs w:val="22"/>
        </w:rPr>
        <w:t xml:space="preserve"> This entailed discussion and review of data related to 2020 to ensure a complete response to the TOR. </w:t>
      </w:r>
    </w:p>
    <w:p w14:paraId="0CBC4181" w14:textId="02EBE545" w:rsidR="00FB015E" w:rsidRPr="00FB27EA" w:rsidRDefault="00FB015E" w:rsidP="00567956">
      <w:pPr>
        <w:pStyle w:val="ListParagraph"/>
        <w:numPr>
          <w:ilvl w:val="0"/>
          <w:numId w:val="22"/>
        </w:numPr>
        <w:spacing w:line="240" w:lineRule="auto"/>
        <w:ind w:left="426"/>
        <w:rPr>
          <w:rFonts w:ascii="Arial" w:hAnsi="Arial" w:cs="Arial"/>
          <w:sz w:val="22"/>
          <w:szCs w:val="22"/>
        </w:rPr>
      </w:pPr>
      <w:r w:rsidRPr="00FB27EA">
        <w:rPr>
          <w:rFonts w:ascii="Arial" w:hAnsi="Arial" w:cs="Arial"/>
          <w:sz w:val="22"/>
          <w:szCs w:val="22"/>
        </w:rPr>
        <w:t>Due to Covid-19 travel constraints, the evaluators could not visit any programme contexts or meet in person with interlocutors at field or headquarters level. This made it more difficult to obtain a clear understanding of each context and to establish rapport with informants,</w:t>
      </w:r>
      <w:r w:rsidR="00980AEC">
        <w:rPr>
          <w:rFonts w:ascii="Arial" w:hAnsi="Arial" w:cs="Arial"/>
          <w:sz w:val="22"/>
          <w:szCs w:val="22"/>
        </w:rPr>
        <w:t xml:space="preserve"> </w:t>
      </w:r>
      <w:r w:rsidRPr="00FB27EA">
        <w:rPr>
          <w:rFonts w:ascii="Arial" w:hAnsi="Arial" w:cs="Arial"/>
          <w:sz w:val="22"/>
          <w:szCs w:val="22"/>
        </w:rPr>
        <w:t xml:space="preserve">and posed challenges in terms of interview timing due to time zone differences. As well, the need to use virtual data collection methods combined with time constraints were an obstacle to engaging with end beneficiaries of GP-supported programming at community level. This was offset by taking an extremely flexible approach to interview scheduling and accepting written responses to questions in certain circumstances. </w:t>
      </w:r>
    </w:p>
    <w:p w14:paraId="2D29A305" w14:textId="1A1DE670" w:rsidR="00FB015E" w:rsidRPr="00FB27EA" w:rsidRDefault="00FB015E" w:rsidP="00567956">
      <w:pPr>
        <w:pStyle w:val="ListParagraph"/>
        <w:numPr>
          <w:ilvl w:val="0"/>
          <w:numId w:val="22"/>
        </w:numPr>
        <w:spacing w:line="240" w:lineRule="auto"/>
        <w:ind w:left="426"/>
        <w:rPr>
          <w:rFonts w:ascii="Arial" w:hAnsi="Arial" w:cs="Arial"/>
          <w:sz w:val="22"/>
          <w:szCs w:val="22"/>
        </w:rPr>
      </w:pPr>
      <w:r w:rsidRPr="415DC326">
        <w:rPr>
          <w:rFonts w:ascii="Arial" w:hAnsi="Arial" w:cs="Arial"/>
          <w:sz w:val="22"/>
          <w:szCs w:val="22"/>
        </w:rPr>
        <w:t xml:space="preserve">The selection of case study countries for the evaluation was determined by the </w:t>
      </w:r>
      <w:r w:rsidR="00980AEC">
        <w:rPr>
          <w:rFonts w:ascii="Arial" w:hAnsi="Arial" w:cs="Arial"/>
          <w:sz w:val="22"/>
          <w:szCs w:val="22"/>
        </w:rPr>
        <w:t>GP</w:t>
      </w:r>
      <w:r w:rsidRPr="415DC326">
        <w:rPr>
          <w:rFonts w:ascii="Arial" w:hAnsi="Arial" w:cs="Arial"/>
          <w:sz w:val="22"/>
          <w:szCs w:val="22"/>
        </w:rPr>
        <w:t xml:space="preserve"> </w:t>
      </w:r>
      <w:r w:rsidR="07A2C0C4" w:rsidRPr="415DC326">
        <w:rPr>
          <w:rFonts w:ascii="Arial" w:hAnsi="Arial" w:cs="Arial"/>
          <w:sz w:val="22"/>
          <w:szCs w:val="22"/>
        </w:rPr>
        <w:t xml:space="preserve">Project Board, who are members of each UNDP Regional Bureau, in consultation with </w:t>
      </w:r>
      <w:r w:rsidR="00980AEC">
        <w:rPr>
          <w:rFonts w:ascii="Arial" w:hAnsi="Arial" w:cs="Arial"/>
          <w:sz w:val="22"/>
          <w:szCs w:val="22"/>
        </w:rPr>
        <w:t>GP</w:t>
      </w:r>
      <w:r w:rsidR="58CD737C" w:rsidRPr="415DC326">
        <w:rPr>
          <w:rFonts w:ascii="Arial" w:hAnsi="Arial" w:cs="Arial"/>
          <w:sz w:val="22"/>
          <w:szCs w:val="22"/>
        </w:rPr>
        <w:t xml:space="preserve"> management.</w:t>
      </w:r>
      <w:r w:rsidR="00C30FEB">
        <w:rPr>
          <w:rFonts w:ascii="Arial" w:hAnsi="Arial" w:cs="Arial"/>
          <w:sz w:val="22"/>
          <w:szCs w:val="22"/>
        </w:rPr>
        <w:t xml:space="preserve"> </w:t>
      </w:r>
      <w:r w:rsidRPr="415DC326">
        <w:rPr>
          <w:rFonts w:ascii="Arial" w:hAnsi="Arial" w:cs="Arial"/>
          <w:sz w:val="22"/>
          <w:szCs w:val="22"/>
        </w:rPr>
        <w:t xml:space="preserve">It is therefore possible that these selection processes were subject to some bias, which may have affected the resulting </w:t>
      </w:r>
      <w:r w:rsidR="00B1028A" w:rsidRPr="415DC326">
        <w:rPr>
          <w:rFonts w:ascii="Arial" w:hAnsi="Arial" w:cs="Arial"/>
          <w:sz w:val="22"/>
          <w:szCs w:val="22"/>
        </w:rPr>
        <w:t xml:space="preserve">country level </w:t>
      </w:r>
      <w:r w:rsidRPr="415DC326">
        <w:rPr>
          <w:rFonts w:ascii="Arial" w:hAnsi="Arial" w:cs="Arial"/>
          <w:sz w:val="22"/>
          <w:szCs w:val="22"/>
        </w:rPr>
        <w:t xml:space="preserve">data.  </w:t>
      </w:r>
    </w:p>
    <w:p w14:paraId="3EFAC692" w14:textId="25184C17" w:rsidR="00FB015E" w:rsidRPr="00FB27EA" w:rsidRDefault="00FB015E" w:rsidP="00567956">
      <w:pPr>
        <w:pStyle w:val="ListParagraph"/>
        <w:numPr>
          <w:ilvl w:val="0"/>
          <w:numId w:val="22"/>
        </w:numPr>
        <w:spacing w:line="240" w:lineRule="auto"/>
        <w:ind w:left="426"/>
        <w:rPr>
          <w:rFonts w:ascii="Arial" w:hAnsi="Arial" w:cs="Arial"/>
          <w:sz w:val="22"/>
          <w:szCs w:val="22"/>
        </w:rPr>
      </w:pPr>
      <w:r w:rsidRPr="00FB27EA">
        <w:rPr>
          <w:rFonts w:ascii="Arial" w:hAnsi="Arial" w:cs="Arial"/>
          <w:sz w:val="22"/>
          <w:szCs w:val="22"/>
        </w:rPr>
        <w:t xml:space="preserve">The GP’s Theory of Change was only briefly diagrammed </w:t>
      </w:r>
      <w:r w:rsidR="00540FE7">
        <w:rPr>
          <w:rFonts w:ascii="Arial" w:hAnsi="Arial" w:cs="Arial"/>
          <w:sz w:val="22"/>
          <w:szCs w:val="22"/>
        </w:rPr>
        <w:t>(</w:t>
      </w:r>
      <w:r w:rsidR="006A57E1" w:rsidRPr="00A01D7F">
        <w:rPr>
          <w:rFonts w:ascii="Arial" w:hAnsi="Arial" w:cs="Arial"/>
          <w:sz w:val="22"/>
          <w:szCs w:val="22"/>
        </w:rPr>
        <w:t>as shown in</w:t>
      </w:r>
      <w:r w:rsidR="00540FE7" w:rsidRPr="00A01D7F">
        <w:rPr>
          <w:rFonts w:ascii="Arial" w:hAnsi="Arial" w:cs="Arial"/>
          <w:sz w:val="22"/>
          <w:szCs w:val="22"/>
        </w:rPr>
        <w:t xml:space="preserve"> </w:t>
      </w:r>
      <w:r w:rsidR="00B37446" w:rsidRPr="009950C8">
        <w:rPr>
          <w:rFonts w:ascii="Arial" w:hAnsi="Arial" w:cs="Arial"/>
          <w:i/>
          <w:iCs/>
          <w:color w:val="2B579A"/>
          <w:sz w:val="22"/>
          <w:szCs w:val="22"/>
          <w:highlight w:val="yellow"/>
          <w:shd w:val="clear" w:color="auto" w:fill="E6E6E6"/>
        </w:rPr>
        <w:fldChar w:fldCharType="begin"/>
      </w:r>
      <w:r w:rsidR="00B37446" w:rsidRPr="009950C8">
        <w:rPr>
          <w:rFonts w:ascii="Arial" w:hAnsi="Arial" w:cs="Arial"/>
          <w:i/>
          <w:iCs/>
          <w:sz w:val="22"/>
          <w:szCs w:val="22"/>
        </w:rPr>
        <w:instrText xml:space="preserve"> REF _Ref70154496 \h </w:instrText>
      </w:r>
      <w:r w:rsidR="009950C8" w:rsidRPr="009950C8">
        <w:rPr>
          <w:rFonts w:ascii="Arial" w:hAnsi="Arial" w:cs="Arial"/>
          <w:i/>
          <w:iCs/>
          <w:sz w:val="22"/>
          <w:szCs w:val="22"/>
          <w:highlight w:val="yellow"/>
        </w:rPr>
        <w:instrText xml:space="preserve"> \* MERGEFORMAT </w:instrText>
      </w:r>
      <w:r w:rsidR="00B37446" w:rsidRPr="009950C8">
        <w:rPr>
          <w:rFonts w:ascii="Arial" w:hAnsi="Arial" w:cs="Arial"/>
          <w:i/>
          <w:iCs/>
          <w:color w:val="2B579A"/>
          <w:sz w:val="22"/>
          <w:szCs w:val="22"/>
          <w:highlight w:val="yellow"/>
          <w:shd w:val="clear" w:color="auto" w:fill="E6E6E6"/>
        </w:rPr>
      </w:r>
      <w:r w:rsidR="00B37446" w:rsidRPr="009950C8">
        <w:rPr>
          <w:rFonts w:ascii="Arial" w:hAnsi="Arial" w:cs="Arial"/>
          <w:i/>
          <w:iCs/>
          <w:color w:val="2B579A"/>
          <w:sz w:val="22"/>
          <w:szCs w:val="22"/>
          <w:highlight w:val="yellow"/>
          <w:shd w:val="clear" w:color="auto" w:fill="E6E6E6"/>
        </w:rPr>
        <w:fldChar w:fldCharType="separate"/>
      </w:r>
      <w:r w:rsidR="00036841" w:rsidRPr="00036841">
        <w:rPr>
          <w:rFonts w:ascii="Arial" w:hAnsi="Arial" w:cs="Arial"/>
          <w:i/>
          <w:iCs/>
          <w:sz w:val="22"/>
          <w:szCs w:val="22"/>
          <w:lang w:val="en-US" w:eastAsia="de-DE"/>
        </w:rPr>
        <w:t>Annex 2</w:t>
      </w:r>
      <w:r w:rsidR="00036841">
        <w:rPr>
          <w:lang w:val="en-US" w:eastAsia="de-DE"/>
        </w:rPr>
        <w:t xml:space="preserve">: </w:t>
      </w:r>
      <w:r w:rsidR="00036841">
        <w:rPr>
          <w:color w:val="000000"/>
        </w:rPr>
        <w:t>Global Programme Phase III Theory of Change</w:t>
      </w:r>
      <w:r w:rsidR="00B37446" w:rsidRPr="009950C8">
        <w:rPr>
          <w:rFonts w:ascii="Arial" w:hAnsi="Arial" w:cs="Arial"/>
          <w:i/>
          <w:iCs/>
          <w:color w:val="2B579A"/>
          <w:sz w:val="22"/>
          <w:szCs w:val="22"/>
          <w:highlight w:val="yellow"/>
          <w:shd w:val="clear" w:color="auto" w:fill="E6E6E6"/>
        </w:rPr>
        <w:fldChar w:fldCharType="end"/>
      </w:r>
      <w:r w:rsidR="00540FE7">
        <w:rPr>
          <w:rFonts w:ascii="Arial" w:hAnsi="Arial" w:cs="Arial"/>
          <w:sz w:val="22"/>
          <w:szCs w:val="22"/>
        </w:rPr>
        <w:t xml:space="preserve">) </w:t>
      </w:r>
      <w:r w:rsidRPr="00FB27EA">
        <w:rPr>
          <w:rFonts w:ascii="Arial" w:hAnsi="Arial" w:cs="Arial"/>
          <w:sz w:val="22"/>
          <w:szCs w:val="22"/>
        </w:rPr>
        <w:t>in the 2015 Prodoc</w:t>
      </w:r>
      <w:r w:rsidRPr="00FB27EA">
        <w:rPr>
          <w:rStyle w:val="FootnoteReference"/>
          <w:rFonts w:ascii="Arial" w:hAnsi="Arial" w:cs="Arial"/>
          <w:sz w:val="22"/>
          <w:szCs w:val="22"/>
        </w:rPr>
        <w:footnoteReference w:id="5"/>
      </w:r>
      <w:r w:rsidRPr="00FB27EA">
        <w:rPr>
          <w:rFonts w:ascii="Arial" w:hAnsi="Arial" w:cs="Arial"/>
          <w:sz w:val="22"/>
          <w:szCs w:val="22"/>
        </w:rPr>
        <w:t xml:space="preserve">, and subsequent efforts </w:t>
      </w:r>
      <w:r w:rsidR="009950C8">
        <w:rPr>
          <w:rFonts w:ascii="Arial" w:hAnsi="Arial" w:cs="Arial"/>
          <w:sz w:val="22"/>
          <w:szCs w:val="22"/>
        </w:rPr>
        <w:t>at</w:t>
      </w:r>
      <w:r w:rsidRPr="00FB27EA">
        <w:rPr>
          <w:rFonts w:ascii="Arial" w:hAnsi="Arial" w:cs="Arial"/>
          <w:sz w:val="22"/>
          <w:szCs w:val="22"/>
        </w:rPr>
        <w:t xml:space="preserve"> </w:t>
      </w:r>
      <w:r w:rsidR="009950C8">
        <w:rPr>
          <w:rFonts w:ascii="Arial" w:hAnsi="Arial" w:cs="Arial"/>
          <w:sz w:val="22"/>
          <w:szCs w:val="22"/>
        </w:rPr>
        <w:t xml:space="preserve">elaboration </w:t>
      </w:r>
      <w:r w:rsidRPr="00FB27EA">
        <w:rPr>
          <w:rFonts w:ascii="Arial" w:hAnsi="Arial" w:cs="Arial"/>
          <w:sz w:val="22"/>
          <w:szCs w:val="22"/>
        </w:rPr>
        <w:t xml:space="preserve">with external support did not ultimately produce a comprehensive Theory of Change. This meant that the results chain was never defined in a detailed manner to show causal linkages and underlying assumptions. This constrained the evaluators’ ability to thoroughly assess programme results, and especially limited the analysis of effectiveness and impact. </w:t>
      </w:r>
    </w:p>
    <w:p w14:paraId="35A0B804" w14:textId="45CCC45B" w:rsidR="00FB015E" w:rsidRPr="00FB27EA" w:rsidRDefault="00FB015E" w:rsidP="00567956">
      <w:pPr>
        <w:pStyle w:val="ListParagraph"/>
        <w:numPr>
          <w:ilvl w:val="0"/>
          <w:numId w:val="22"/>
        </w:numPr>
        <w:spacing w:line="240" w:lineRule="auto"/>
        <w:ind w:left="426"/>
        <w:rPr>
          <w:rFonts w:ascii="Arial" w:eastAsia="Times New Roman" w:hAnsi="Arial" w:cs="Arial"/>
          <w:sz w:val="22"/>
          <w:szCs w:val="22"/>
        </w:rPr>
      </w:pPr>
      <w:r w:rsidRPr="00FB27EA">
        <w:rPr>
          <w:rFonts w:ascii="Arial" w:hAnsi="Arial" w:cs="Arial"/>
          <w:sz w:val="22"/>
          <w:szCs w:val="22"/>
        </w:rPr>
        <w:t xml:space="preserve">The five outcome indicators defined in the Prodoc, all linked to international scoring country mechanisms, have not been tracked and reported on by the GP to date. Moreover, the output indicators were found to have limited value in terms of measuring GP results at global level (as explained further in </w:t>
      </w:r>
      <w:r w:rsidR="00B37446" w:rsidRPr="009950C8">
        <w:rPr>
          <w:rFonts w:ascii="Arial" w:hAnsi="Arial" w:cs="Arial"/>
          <w:i/>
          <w:iCs/>
          <w:color w:val="2B579A"/>
          <w:sz w:val="22"/>
          <w:szCs w:val="22"/>
          <w:highlight w:val="yellow"/>
          <w:shd w:val="clear" w:color="auto" w:fill="E6E6E6"/>
        </w:rPr>
        <w:fldChar w:fldCharType="begin"/>
      </w:r>
      <w:r w:rsidR="00B37446" w:rsidRPr="009950C8">
        <w:rPr>
          <w:rFonts w:ascii="Arial" w:hAnsi="Arial" w:cs="Arial"/>
          <w:i/>
          <w:iCs/>
          <w:sz w:val="22"/>
          <w:szCs w:val="22"/>
        </w:rPr>
        <w:instrText xml:space="preserve"> REF _Ref70154514 \h </w:instrText>
      </w:r>
      <w:r w:rsidR="009950C8" w:rsidRPr="009950C8">
        <w:rPr>
          <w:rFonts w:ascii="Arial" w:hAnsi="Arial" w:cs="Arial"/>
          <w:i/>
          <w:iCs/>
          <w:sz w:val="22"/>
          <w:szCs w:val="22"/>
          <w:highlight w:val="yellow"/>
        </w:rPr>
        <w:instrText xml:space="preserve"> \* MERGEFORMAT </w:instrText>
      </w:r>
      <w:r w:rsidR="00B37446" w:rsidRPr="009950C8">
        <w:rPr>
          <w:rFonts w:ascii="Arial" w:hAnsi="Arial" w:cs="Arial"/>
          <w:i/>
          <w:iCs/>
          <w:color w:val="2B579A"/>
          <w:sz w:val="22"/>
          <w:szCs w:val="22"/>
          <w:highlight w:val="yellow"/>
          <w:shd w:val="clear" w:color="auto" w:fill="E6E6E6"/>
        </w:rPr>
      </w:r>
      <w:r w:rsidR="00B37446" w:rsidRPr="009950C8">
        <w:rPr>
          <w:rFonts w:ascii="Arial" w:hAnsi="Arial" w:cs="Arial"/>
          <w:i/>
          <w:iCs/>
          <w:color w:val="2B579A"/>
          <w:sz w:val="22"/>
          <w:szCs w:val="22"/>
          <w:highlight w:val="yellow"/>
          <w:shd w:val="clear" w:color="auto" w:fill="E6E6E6"/>
        </w:rPr>
        <w:fldChar w:fldCharType="separate"/>
      </w:r>
      <w:r w:rsidR="00036841" w:rsidRPr="00036841">
        <w:rPr>
          <w:rFonts w:ascii="Arial" w:hAnsi="Arial" w:cs="Arial"/>
          <w:i/>
          <w:iCs/>
          <w:sz w:val="22"/>
          <w:szCs w:val="22"/>
          <w:lang w:val="en-US" w:eastAsia="de-DE"/>
        </w:rPr>
        <w:t>Annex 3: Analysis of Results-Based Management</w:t>
      </w:r>
      <w:r w:rsidR="00B37446" w:rsidRPr="009950C8">
        <w:rPr>
          <w:rFonts w:ascii="Arial" w:hAnsi="Arial" w:cs="Arial"/>
          <w:i/>
          <w:iCs/>
          <w:color w:val="2B579A"/>
          <w:sz w:val="22"/>
          <w:szCs w:val="22"/>
          <w:highlight w:val="yellow"/>
          <w:shd w:val="clear" w:color="auto" w:fill="E6E6E6"/>
        </w:rPr>
        <w:fldChar w:fldCharType="end"/>
      </w:r>
      <w:r w:rsidR="00B37446">
        <w:rPr>
          <w:rFonts w:ascii="Arial" w:hAnsi="Arial" w:cs="Arial"/>
          <w:sz w:val="22"/>
          <w:szCs w:val="22"/>
        </w:rPr>
        <w:t>)</w:t>
      </w:r>
      <w:r w:rsidR="009950C8">
        <w:rPr>
          <w:rFonts w:ascii="Arial" w:hAnsi="Arial" w:cs="Arial"/>
          <w:sz w:val="22"/>
          <w:szCs w:val="22"/>
        </w:rPr>
        <w:t>.</w:t>
      </w:r>
      <w:r w:rsidR="00B37446">
        <w:rPr>
          <w:rFonts w:ascii="Arial" w:hAnsi="Arial" w:cs="Arial"/>
          <w:sz w:val="22"/>
          <w:szCs w:val="22"/>
        </w:rPr>
        <w:t xml:space="preserve"> </w:t>
      </w:r>
      <w:r w:rsidRPr="00FB27EA">
        <w:rPr>
          <w:rFonts w:ascii="Arial" w:hAnsi="Arial" w:cs="Arial"/>
          <w:sz w:val="22"/>
          <w:szCs w:val="22"/>
        </w:rPr>
        <w:t xml:space="preserve">This </w:t>
      </w:r>
      <w:r w:rsidR="009950C8">
        <w:rPr>
          <w:rFonts w:ascii="Arial" w:hAnsi="Arial" w:cs="Arial"/>
          <w:sz w:val="22"/>
          <w:szCs w:val="22"/>
        </w:rPr>
        <w:t xml:space="preserve">also </w:t>
      </w:r>
      <w:r w:rsidRPr="00FB27EA">
        <w:rPr>
          <w:rFonts w:ascii="Arial" w:hAnsi="Arial" w:cs="Arial"/>
          <w:sz w:val="22"/>
          <w:szCs w:val="22"/>
        </w:rPr>
        <w:t>hampered the evaluation’s assessment of effectiveness and</w:t>
      </w:r>
      <w:r w:rsidRPr="00FB27EA">
        <w:rPr>
          <w:rFonts w:ascii="Arial" w:eastAsia="Times New Roman" w:hAnsi="Arial" w:cs="Arial"/>
          <w:sz w:val="22"/>
          <w:szCs w:val="22"/>
        </w:rPr>
        <w:t xml:space="preserve"> impact</w:t>
      </w:r>
      <w:r w:rsidRPr="00FB27EA">
        <w:rPr>
          <w:rFonts w:ascii="Arial" w:hAnsi="Arial" w:cs="Arial"/>
          <w:sz w:val="22"/>
          <w:szCs w:val="22"/>
        </w:rPr>
        <w:t xml:space="preserve">. </w:t>
      </w:r>
    </w:p>
    <w:p w14:paraId="024C4AF5" w14:textId="77777777" w:rsidR="00F07B62" w:rsidRPr="00FB27EA" w:rsidRDefault="00F07B62" w:rsidP="00F07B62">
      <w:pPr>
        <w:pStyle w:val="ListParagraph"/>
        <w:numPr>
          <w:ilvl w:val="0"/>
          <w:numId w:val="22"/>
        </w:numPr>
        <w:spacing w:line="240" w:lineRule="auto"/>
        <w:ind w:left="426"/>
        <w:rPr>
          <w:rFonts w:ascii="Arial" w:hAnsi="Arial" w:cs="Arial"/>
          <w:sz w:val="22"/>
          <w:szCs w:val="22"/>
        </w:rPr>
      </w:pPr>
      <w:r w:rsidRPr="00FB27EA">
        <w:rPr>
          <w:rFonts w:ascii="Arial" w:eastAsia="Times New Roman" w:hAnsi="Arial" w:cs="Arial"/>
          <w:sz w:val="22"/>
          <w:szCs w:val="22"/>
        </w:rPr>
        <w:t xml:space="preserve">In the absence of any clear definition of </w:t>
      </w:r>
      <w:r>
        <w:rPr>
          <w:rFonts w:ascii="Arial" w:eastAsia="Times New Roman" w:hAnsi="Arial" w:cs="Arial"/>
          <w:sz w:val="22"/>
          <w:szCs w:val="22"/>
        </w:rPr>
        <w:t xml:space="preserve">“catalytic effect” </w:t>
      </w:r>
      <w:r w:rsidRPr="00FB27EA">
        <w:rPr>
          <w:rFonts w:ascii="Arial" w:eastAsia="Times New Roman" w:hAnsi="Arial" w:cs="Arial"/>
          <w:sz w:val="22"/>
          <w:szCs w:val="22"/>
        </w:rPr>
        <w:t xml:space="preserve">and related processes and tools to assess or calculate the catalytic effects of GP support, the evaluators concentrated on collecting and verifying qualitative, anecdotal evidence of positive financial and non-financial effects that followed </w:t>
      </w:r>
      <w:r>
        <w:rPr>
          <w:rFonts w:ascii="Arial" w:eastAsia="Times New Roman" w:hAnsi="Arial" w:cs="Arial"/>
          <w:sz w:val="22"/>
          <w:szCs w:val="22"/>
        </w:rPr>
        <w:t>(</w:t>
      </w:r>
      <w:r w:rsidRPr="00FB27EA">
        <w:rPr>
          <w:rFonts w:ascii="Arial" w:eastAsia="Times New Roman" w:hAnsi="Arial" w:cs="Arial"/>
          <w:sz w:val="22"/>
          <w:szCs w:val="22"/>
        </w:rPr>
        <w:t>and could realistically be related to</w:t>
      </w:r>
      <w:r>
        <w:rPr>
          <w:rFonts w:ascii="Arial" w:eastAsia="Times New Roman" w:hAnsi="Arial" w:cs="Arial"/>
          <w:sz w:val="22"/>
          <w:szCs w:val="22"/>
        </w:rPr>
        <w:t>)</w:t>
      </w:r>
      <w:r w:rsidRPr="00FB27EA">
        <w:rPr>
          <w:rFonts w:ascii="Arial" w:eastAsia="Times New Roman" w:hAnsi="Arial" w:cs="Arial"/>
          <w:sz w:val="22"/>
          <w:szCs w:val="22"/>
        </w:rPr>
        <w:t xml:space="preserve"> GP technical and/or financial inputs on country level. </w:t>
      </w:r>
      <w:bookmarkStart w:id="12" w:name="_heading=h.3dy6vkm" w:colFirst="0" w:colLast="0"/>
      <w:bookmarkEnd w:id="12"/>
    </w:p>
    <w:p w14:paraId="0271E365" w14:textId="6414C63E" w:rsidR="009950C8" w:rsidRPr="00FB27EA" w:rsidRDefault="009950C8" w:rsidP="009950C8">
      <w:pPr>
        <w:pStyle w:val="ListParagraph"/>
        <w:numPr>
          <w:ilvl w:val="0"/>
          <w:numId w:val="22"/>
        </w:numPr>
        <w:spacing w:line="240" w:lineRule="auto"/>
        <w:ind w:left="426"/>
        <w:rPr>
          <w:rFonts w:ascii="Arial" w:hAnsi="Arial" w:cs="Arial"/>
          <w:sz w:val="22"/>
          <w:szCs w:val="22"/>
        </w:rPr>
      </w:pPr>
      <w:r w:rsidRPr="00FB27EA">
        <w:rPr>
          <w:rFonts w:ascii="Arial" w:hAnsi="Arial" w:cs="Arial"/>
          <w:sz w:val="22"/>
          <w:szCs w:val="22"/>
        </w:rPr>
        <w:t>GP</w:t>
      </w:r>
      <w:r>
        <w:rPr>
          <w:rFonts w:ascii="Arial" w:hAnsi="Arial" w:cs="Arial"/>
          <w:sz w:val="22"/>
          <w:szCs w:val="22"/>
        </w:rPr>
        <w:t>3</w:t>
      </w:r>
      <w:r w:rsidRPr="00FB27EA">
        <w:rPr>
          <w:rFonts w:ascii="Arial" w:hAnsi="Arial" w:cs="Arial"/>
          <w:sz w:val="22"/>
          <w:szCs w:val="22"/>
        </w:rPr>
        <w:t xml:space="preserve"> began under one UNDP Strategic Plan (2014-17) and has continued under another (2018-21), which required some indicators to be changed after two years of implementation. This posed challenges to consistency of tracking and reporting of results, which also affected the evaluators’ analysis of indicator data since 2016. </w:t>
      </w:r>
    </w:p>
    <w:p w14:paraId="71C03749" w14:textId="77777777" w:rsidR="00FB015E" w:rsidRPr="00FB27EA" w:rsidRDefault="00FB015E" w:rsidP="00567956">
      <w:pPr>
        <w:pStyle w:val="ListParagraph"/>
        <w:numPr>
          <w:ilvl w:val="0"/>
          <w:numId w:val="22"/>
        </w:numPr>
        <w:spacing w:line="240" w:lineRule="auto"/>
        <w:ind w:left="426"/>
        <w:rPr>
          <w:rFonts w:ascii="Arial" w:eastAsia="Times New Roman" w:hAnsi="Arial" w:cs="Arial"/>
          <w:sz w:val="22"/>
          <w:szCs w:val="22"/>
        </w:rPr>
      </w:pPr>
      <w:r w:rsidRPr="00FB27EA">
        <w:rPr>
          <w:rFonts w:ascii="Arial" w:hAnsi="Arial" w:cs="Arial"/>
          <w:sz w:val="22"/>
          <w:szCs w:val="22"/>
        </w:rPr>
        <w:t xml:space="preserve">Linking </w:t>
      </w:r>
      <w:r w:rsidRPr="00FB27EA">
        <w:rPr>
          <w:rFonts w:ascii="Arial" w:eastAsia="Times New Roman" w:hAnsi="Arial" w:cs="Arial"/>
          <w:sz w:val="22"/>
          <w:szCs w:val="22"/>
        </w:rPr>
        <w:t xml:space="preserve">expenditures of GP-provided funds with results at country level, as initially planned, proved difficult for various reasons, including the way that use of GP funds is tracked and the way that related results are reported. Therefore, the focus under the efficiency criterion was put on other elements such as monitoring, reporting, business processes, and knowledge management. </w:t>
      </w:r>
    </w:p>
    <w:p w14:paraId="7615D072" w14:textId="04A55C4F" w:rsidR="00FB015E" w:rsidRPr="00FB27EA" w:rsidRDefault="00FB015E" w:rsidP="00567956">
      <w:pPr>
        <w:pStyle w:val="ListParagraph"/>
        <w:numPr>
          <w:ilvl w:val="0"/>
          <w:numId w:val="22"/>
        </w:numPr>
        <w:spacing w:line="240" w:lineRule="auto"/>
        <w:ind w:left="426"/>
        <w:rPr>
          <w:rFonts w:ascii="Arial" w:eastAsia="Times New Roman" w:hAnsi="Arial" w:cs="Arial"/>
          <w:sz w:val="22"/>
          <w:szCs w:val="22"/>
        </w:rPr>
      </w:pPr>
      <w:r w:rsidRPr="00FB27EA">
        <w:rPr>
          <w:rFonts w:ascii="Arial" w:eastAsia="Times New Roman" w:hAnsi="Arial" w:cs="Arial"/>
          <w:sz w:val="22"/>
          <w:szCs w:val="22"/>
        </w:rPr>
        <w:t xml:space="preserve">Other than UNDP staff, and some personnel of other UN entities, in-country informants were not aware of the </w:t>
      </w:r>
      <w:r w:rsidR="00B1028A">
        <w:rPr>
          <w:rFonts w:ascii="Arial" w:eastAsia="Times New Roman" w:hAnsi="Arial" w:cs="Arial"/>
          <w:sz w:val="22"/>
          <w:szCs w:val="22"/>
        </w:rPr>
        <w:t>GP</w:t>
      </w:r>
      <w:r w:rsidRPr="00FB27EA">
        <w:rPr>
          <w:rFonts w:ascii="Arial" w:eastAsia="Times New Roman" w:hAnsi="Arial" w:cs="Arial"/>
          <w:sz w:val="22"/>
          <w:szCs w:val="22"/>
        </w:rPr>
        <w:t xml:space="preserve"> at all and thus could make no link between specific UNDP activities in that country and the GP (as also noted in ISSAT reports to GP management). The evaluators were cognizant of this possibility and tailored interview questions accordingly, which in most cases allowed</w:t>
      </w:r>
      <w:r w:rsidR="00B1028A">
        <w:rPr>
          <w:rFonts w:ascii="Arial" w:eastAsia="Times New Roman" w:hAnsi="Arial" w:cs="Arial"/>
          <w:sz w:val="22"/>
          <w:szCs w:val="22"/>
        </w:rPr>
        <w:t xml:space="preserve"> for linking of</w:t>
      </w:r>
      <w:r w:rsidRPr="00FB27EA">
        <w:rPr>
          <w:rFonts w:ascii="Arial" w:eastAsia="Times New Roman" w:hAnsi="Arial" w:cs="Arial"/>
          <w:sz w:val="22"/>
          <w:szCs w:val="22"/>
        </w:rPr>
        <w:t xml:space="preserve"> informants’ views with GP support. This challenge was even more notable with respect to the GFP, which many country level informants (including UN staff) </w:t>
      </w:r>
      <w:r w:rsidR="00B1028A" w:rsidRPr="00FB27EA">
        <w:rPr>
          <w:rFonts w:ascii="Arial" w:eastAsia="Times New Roman" w:hAnsi="Arial" w:cs="Arial"/>
          <w:sz w:val="22"/>
          <w:szCs w:val="22"/>
        </w:rPr>
        <w:t xml:space="preserve">had not heard of </w:t>
      </w:r>
      <w:r w:rsidR="00B1028A">
        <w:rPr>
          <w:rFonts w:ascii="Arial" w:eastAsia="Times New Roman" w:hAnsi="Arial" w:cs="Arial"/>
          <w:sz w:val="22"/>
          <w:szCs w:val="22"/>
        </w:rPr>
        <w:t xml:space="preserve">or </w:t>
      </w:r>
      <w:r w:rsidRPr="00FB27EA">
        <w:rPr>
          <w:rFonts w:ascii="Arial" w:eastAsia="Times New Roman" w:hAnsi="Arial" w:cs="Arial"/>
          <w:sz w:val="22"/>
          <w:szCs w:val="22"/>
        </w:rPr>
        <w:t xml:space="preserve">did not understand. </w:t>
      </w:r>
    </w:p>
    <w:p w14:paraId="15B205A2" w14:textId="77777777" w:rsidR="00FB015E" w:rsidRDefault="00FB015E">
      <w:pPr>
        <w:rPr>
          <w:rFonts w:ascii="Arial" w:hAnsi="Arial" w:cs="Arial"/>
          <w:sz w:val="28"/>
          <w:szCs w:val="28"/>
        </w:rPr>
      </w:pPr>
      <w:r>
        <w:rPr>
          <w:rFonts w:ascii="Arial" w:hAnsi="Arial" w:cs="Arial"/>
          <w:sz w:val="28"/>
          <w:szCs w:val="28"/>
        </w:rPr>
        <w:br w:type="page"/>
      </w:r>
    </w:p>
    <w:p w14:paraId="370D8F4A" w14:textId="030C4F56" w:rsidR="00D82ADE" w:rsidRPr="00FB27EA" w:rsidRDefault="00FB27EA" w:rsidP="00567956">
      <w:pPr>
        <w:pStyle w:val="Heading1"/>
        <w:numPr>
          <w:ilvl w:val="0"/>
          <w:numId w:val="21"/>
        </w:numPr>
      </w:pPr>
      <w:r>
        <w:t xml:space="preserve"> </w:t>
      </w:r>
      <w:bookmarkStart w:id="13" w:name="_Toc71701883"/>
      <w:r w:rsidR="00CC707B" w:rsidRPr="00FB27EA">
        <w:t xml:space="preserve">Findings </w:t>
      </w:r>
      <w:r w:rsidR="001973EA" w:rsidRPr="00FB27EA">
        <w:t>and Conclusions</w:t>
      </w:r>
      <w:bookmarkEnd w:id="13"/>
    </w:p>
    <w:p w14:paraId="4246F5D6" w14:textId="1D04F092" w:rsidR="0029366C" w:rsidRPr="002A6E99" w:rsidRDefault="001973EA" w:rsidP="00E80114">
      <w:pPr>
        <w:spacing w:line="240" w:lineRule="auto"/>
        <w:rPr>
          <w:rFonts w:ascii="Arial" w:hAnsi="Arial" w:cs="Arial"/>
          <w:b/>
          <w:bCs/>
          <w:sz w:val="22"/>
          <w:szCs w:val="22"/>
          <w:lang w:val="en-US"/>
        </w:rPr>
      </w:pPr>
      <w:r w:rsidRPr="002A6E99">
        <w:rPr>
          <w:rFonts w:ascii="Arial" w:hAnsi="Arial" w:cs="Arial"/>
          <w:sz w:val="22"/>
          <w:szCs w:val="22"/>
        </w:rPr>
        <w:t>This section is organized according to the OECD criteria. For each criterion, overarching conclusions</w:t>
      </w:r>
      <w:r w:rsidR="00746882" w:rsidRPr="002A6E99">
        <w:rPr>
          <w:rFonts w:ascii="Arial" w:hAnsi="Arial" w:cs="Arial"/>
          <w:sz w:val="22"/>
          <w:szCs w:val="22"/>
        </w:rPr>
        <w:t xml:space="preserve"> are presented first; these are derived from the</w:t>
      </w:r>
      <w:r w:rsidR="00F07B62">
        <w:rPr>
          <w:rFonts w:ascii="Arial" w:hAnsi="Arial" w:cs="Arial"/>
          <w:sz w:val="22"/>
          <w:szCs w:val="22"/>
        </w:rPr>
        <w:t xml:space="preserve"> totality of</w:t>
      </w:r>
      <w:r w:rsidRPr="002A6E99">
        <w:rPr>
          <w:rFonts w:ascii="Arial" w:hAnsi="Arial" w:cs="Arial"/>
          <w:sz w:val="22"/>
          <w:szCs w:val="22"/>
        </w:rPr>
        <w:t xml:space="preserve"> specific findings </w:t>
      </w:r>
      <w:r w:rsidR="00746882" w:rsidRPr="002A6E99">
        <w:rPr>
          <w:rFonts w:ascii="Arial" w:hAnsi="Arial" w:cs="Arial"/>
          <w:sz w:val="22"/>
          <w:szCs w:val="22"/>
        </w:rPr>
        <w:t xml:space="preserve">that follow. Subsequently, findings for evaluation questions </w:t>
      </w:r>
      <w:r w:rsidRPr="002A6E99">
        <w:rPr>
          <w:rFonts w:ascii="Arial" w:hAnsi="Arial" w:cs="Arial"/>
          <w:sz w:val="22"/>
          <w:szCs w:val="22"/>
        </w:rPr>
        <w:t xml:space="preserve">at the global or programme-wide level </w:t>
      </w:r>
      <w:r w:rsidR="00746882" w:rsidRPr="002A6E99">
        <w:rPr>
          <w:rFonts w:ascii="Arial" w:hAnsi="Arial" w:cs="Arial"/>
          <w:sz w:val="22"/>
          <w:szCs w:val="22"/>
        </w:rPr>
        <w:t>are discussed</w:t>
      </w:r>
      <w:r w:rsidR="00F07B62">
        <w:rPr>
          <w:rFonts w:ascii="Arial" w:hAnsi="Arial" w:cs="Arial"/>
          <w:sz w:val="22"/>
          <w:szCs w:val="22"/>
        </w:rPr>
        <w:t xml:space="preserve">, </w:t>
      </w:r>
      <w:r w:rsidRPr="002A6E99">
        <w:rPr>
          <w:rFonts w:ascii="Arial" w:hAnsi="Arial" w:cs="Arial"/>
          <w:sz w:val="22"/>
          <w:szCs w:val="22"/>
        </w:rPr>
        <w:t>primarily informed by interviews with headquarters and regionally based informants and review of GP documentation</w:t>
      </w:r>
      <w:r w:rsidR="00F07B62">
        <w:rPr>
          <w:rFonts w:ascii="Arial" w:hAnsi="Arial" w:cs="Arial"/>
          <w:sz w:val="22"/>
          <w:szCs w:val="22"/>
        </w:rPr>
        <w:t xml:space="preserve">. Those are </w:t>
      </w:r>
      <w:r w:rsidRPr="002A6E99">
        <w:rPr>
          <w:rFonts w:ascii="Arial" w:hAnsi="Arial" w:cs="Arial"/>
          <w:sz w:val="22"/>
          <w:szCs w:val="22"/>
        </w:rPr>
        <w:t xml:space="preserve">followed by findings </w:t>
      </w:r>
      <w:r w:rsidR="00746882" w:rsidRPr="002A6E99">
        <w:rPr>
          <w:rFonts w:ascii="Arial" w:hAnsi="Arial" w:cs="Arial"/>
          <w:sz w:val="22"/>
          <w:szCs w:val="22"/>
        </w:rPr>
        <w:t xml:space="preserve">directly </w:t>
      </w:r>
      <w:r w:rsidRPr="002A6E99">
        <w:rPr>
          <w:rFonts w:ascii="Arial" w:hAnsi="Arial" w:cs="Arial"/>
          <w:sz w:val="22"/>
          <w:szCs w:val="22"/>
        </w:rPr>
        <w:t>related to evaluation questions at the country level</w:t>
      </w:r>
      <w:r w:rsidR="00F07B62">
        <w:rPr>
          <w:rFonts w:ascii="Arial" w:hAnsi="Arial" w:cs="Arial"/>
          <w:sz w:val="22"/>
          <w:szCs w:val="22"/>
        </w:rPr>
        <w:t xml:space="preserve">, </w:t>
      </w:r>
      <w:r w:rsidRPr="002A6E99">
        <w:rPr>
          <w:rFonts w:ascii="Arial" w:hAnsi="Arial" w:cs="Arial"/>
          <w:sz w:val="22"/>
          <w:szCs w:val="22"/>
        </w:rPr>
        <w:t xml:space="preserve">based primarily on data collected from informants in the six case study countries and documents provided by them. </w:t>
      </w:r>
      <w:r w:rsidR="00746882" w:rsidRPr="002A6E99">
        <w:rPr>
          <w:rFonts w:ascii="Arial" w:hAnsi="Arial" w:cs="Arial"/>
          <w:sz w:val="22"/>
          <w:szCs w:val="22"/>
        </w:rPr>
        <w:t xml:space="preserve">This order of presentation is repeated for each evaluation criterion. </w:t>
      </w:r>
    </w:p>
    <w:p w14:paraId="5E695052" w14:textId="618DE4BB" w:rsidR="0029366C" w:rsidRPr="002A6E99" w:rsidRDefault="0029366C" w:rsidP="00E80114">
      <w:pPr>
        <w:spacing w:line="240" w:lineRule="auto"/>
        <w:rPr>
          <w:rFonts w:ascii="Arial" w:hAnsi="Arial" w:cs="Arial"/>
          <w:b/>
          <w:bCs/>
          <w:sz w:val="22"/>
          <w:szCs w:val="22"/>
          <w:lang w:val="en-US"/>
        </w:rPr>
      </w:pPr>
      <w:r w:rsidRPr="002A6E99">
        <w:rPr>
          <w:rFonts w:ascii="Arial" w:hAnsi="Arial" w:cs="Arial"/>
          <w:color w:val="1D2228"/>
          <w:sz w:val="22"/>
          <w:szCs w:val="22"/>
          <w:shd w:val="clear" w:color="auto" w:fill="FFFFFF"/>
          <w:lang w:val="en-US"/>
        </w:rPr>
        <w:t xml:space="preserve">Unless otherwise specified, findings at country level are drawn from the cumulative interviews conducted and documents reviewed in relation to the six case study countries. Segments referring to specific case studies draw on data about country level programming that received financial and/or non-financial GP-support at some point, including during planning or inception phase. </w:t>
      </w:r>
    </w:p>
    <w:p w14:paraId="7D88D58E" w14:textId="79B6BEB3" w:rsidR="00CC707B" w:rsidRDefault="00CC707B" w:rsidP="00677AEE">
      <w:pPr>
        <w:pStyle w:val="Heading2"/>
        <w:rPr>
          <w:rStyle w:val="Strong"/>
          <w:rFonts w:ascii="Arial" w:hAnsi="Arial" w:cs="Arial"/>
        </w:rPr>
      </w:pPr>
      <w:bookmarkStart w:id="14" w:name="_Toc71701884"/>
      <w:r w:rsidRPr="004563ED">
        <w:rPr>
          <w:rStyle w:val="Strong"/>
          <w:rFonts w:ascii="Arial" w:hAnsi="Arial" w:cs="Arial"/>
          <w:b/>
          <w:bCs w:val="0"/>
        </w:rPr>
        <w:t>Relevance</w:t>
      </w:r>
      <w:r w:rsidR="00D82ADE">
        <w:rPr>
          <w:rStyle w:val="Strong"/>
          <w:rFonts w:ascii="Arial" w:hAnsi="Arial" w:cs="Arial"/>
        </w:rPr>
        <w:t xml:space="preserve">: </w:t>
      </w:r>
      <w:r w:rsidR="00D82ADE" w:rsidRPr="00231DC1">
        <w:rPr>
          <w:rStyle w:val="Strong"/>
          <w:rFonts w:ascii="Arial" w:hAnsi="Arial" w:cs="Arial"/>
          <w:i/>
          <w:iCs/>
        </w:rPr>
        <w:t>Is the G</w:t>
      </w:r>
      <w:r w:rsidR="00231DC1">
        <w:rPr>
          <w:rStyle w:val="Strong"/>
          <w:rFonts w:ascii="Arial" w:hAnsi="Arial" w:cs="Arial"/>
          <w:i/>
          <w:iCs/>
        </w:rPr>
        <w:t xml:space="preserve">lobal </w:t>
      </w:r>
      <w:r w:rsidR="00D82ADE" w:rsidRPr="00231DC1">
        <w:rPr>
          <w:rStyle w:val="Strong"/>
          <w:rFonts w:ascii="Arial" w:hAnsi="Arial" w:cs="Arial"/>
          <w:i/>
          <w:iCs/>
        </w:rPr>
        <w:t>P</w:t>
      </w:r>
      <w:r w:rsidR="00231DC1">
        <w:rPr>
          <w:rStyle w:val="Strong"/>
          <w:rFonts w:ascii="Arial" w:hAnsi="Arial" w:cs="Arial"/>
          <w:i/>
          <w:iCs/>
        </w:rPr>
        <w:t>rogramme</w:t>
      </w:r>
      <w:r w:rsidR="00D82ADE" w:rsidRPr="00231DC1">
        <w:rPr>
          <w:rStyle w:val="Strong"/>
          <w:rFonts w:ascii="Arial" w:hAnsi="Arial" w:cs="Arial"/>
          <w:i/>
          <w:iCs/>
        </w:rPr>
        <w:t xml:space="preserve"> </w:t>
      </w:r>
      <w:r w:rsidR="003931CA" w:rsidRPr="00231DC1">
        <w:rPr>
          <w:rStyle w:val="Strong"/>
          <w:rFonts w:ascii="Arial" w:hAnsi="Arial" w:cs="Arial"/>
          <w:i/>
          <w:iCs/>
        </w:rPr>
        <w:t xml:space="preserve">doing </w:t>
      </w:r>
      <w:r w:rsidR="0017197E">
        <w:rPr>
          <w:rStyle w:val="Strong"/>
          <w:rFonts w:ascii="Arial" w:hAnsi="Arial" w:cs="Arial"/>
          <w:i/>
          <w:iCs/>
        </w:rPr>
        <w:t>“</w:t>
      </w:r>
      <w:r w:rsidR="003931CA" w:rsidRPr="00231DC1">
        <w:rPr>
          <w:rStyle w:val="Strong"/>
          <w:rFonts w:ascii="Arial" w:hAnsi="Arial" w:cs="Arial"/>
          <w:i/>
          <w:iCs/>
        </w:rPr>
        <w:t>the right thing</w:t>
      </w:r>
      <w:r w:rsidR="00D82ADE" w:rsidRPr="00231DC1">
        <w:rPr>
          <w:rStyle w:val="Strong"/>
          <w:rFonts w:ascii="Arial" w:hAnsi="Arial" w:cs="Arial"/>
          <w:i/>
          <w:iCs/>
        </w:rPr>
        <w:t>s</w:t>
      </w:r>
      <w:r w:rsidR="0017197E">
        <w:rPr>
          <w:rStyle w:val="Strong"/>
          <w:rFonts w:ascii="Arial" w:hAnsi="Arial" w:cs="Arial"/>
          <w:i/>
          <w:iCs/>
        </w:rPr>
        <w:t>”</w:t>
      </w:r>
      <w:r w:rsidR="007C4F04">
        <w:rPr>
          <w:rStyle w:val="Strong"/>
          <w:rFonts w:ascii="Arial" w:hAnsi="Arial" w:cs="Arial"/>
          <w:i/>
          <w:iCs/>
        </w:rPr>
        <w:t>?</w:t>
      </w:r>
      <w:bookmarkEnd w:id="14"/>
      <w:r w:rsidR="003931CA" w:rsidRPr="007B112F">
        <w:rPr>
          <w:rStyle w:val="Strong"/>
          <w:rFonts w:ascii="Arial" w:hAnsi="Arial" w:cs="Arial"/>
        </w:rPr>
        <w:t xml:space="preserve"> </w:t>
      </w:r>
    </w:p>
    <w:tbl>
      <w:tblPr>
        <w:tblStyle w:val="TableGrid"/>
        <w:tblW w:w="0" w:type="auto"/>
        <w:tblLook w:val="04A0" w:firstRow="1" w:lastRow="0" w:firstColumn="1" w:lastColumn="0" w:noHBand="0" w:noVBand="1"/>
      </w:tblPr>
      <w:tblGrid>
        <w:gridCol w:w="9350"/>
      </w:tblGrid>
      <w:tr w:rsidR="00D9772E" w:rsidRPr="00D9772E" w14:paraId="4FF2D2ED" w14:textId="77777777" w:rsidTr="008D3E98">
        <w:tc>
          <w:tcPr>
            <w:tcW w:w="9350" w:type="dxa"/>
            <w:shd w:val="clear" w:color="auto" w:fill="C0D7EC" w:themeFill="accent2" w:themeFillTint="66"/>
          </w:tcPr>
          <w:p w14:paraId="11F06F84" w14:textId="57173DFE" w:rsidR="00D9772E" w:rsidRPr="000572F5" w:rsidRDefault="00D9772E" w:rsidP="006F770A">
            <w:pPr>
              <w:spacing w:after="120"/>
              <w:rPr>
                <w:rFonts w:ascii="Arial" w:hAnsi="Arial" w:cs="Arial"/>
                <w:b/>
                <w:bCs/>
                <w:color w:val="4A66AC" w:themeColor="accent1"/>
                <w:sz w:val="22"/>
                <w:szCs w:val="22"/>
              </w:rPr>
            </w:pPr>
            <w:r w:rsidRPr="000572F5">
              <w:rPr>
                <w:rFonts w:ascii="Arial" w:hAnsi="Arial" w:cs="Arial"/>
                <w:b/>
                <w:bCs/>
                <w:color w:val="4A66AC" w:themeColor="accent1"/>
                <w:sz w:val="22"/>
                <w:szCs w:val="22"/>
              </w:rPr>
              <w:t>Conclusions</w:t>
            </w:r>
            <w:r w:rsidR="00BE5333" w:rsidRPr="000572F5">
              <w:rPr>
                <w:rFonts w:ascii="Arial" w:hAnsi="Arial" w:cs="Arial"/>
                <w:b/>
                <w:bCs/>
                <w:color w:val="4A66AC" w:themeColor="accent1"/>
                <w:sz w:val="22"/>
                <w:szCs w:val="22"/>
              </w:rPr>
              <w:t xml:space="preserve"> on Relevance</w:t>
            </w:r>
            <w:r w:rsidRPr="000572F5">
              <w:rPr>
                <w:rFonts w:ascii="Arial" w:hAnsi="Arial" w:cs="Arial"/>
                <w:b/>
                <w:bCs/>
                <w:color w:val="4A66AC" w:themeColor="accent1"/>
                <w:sz w:val="22"/>
                <w:szCs w:val="22"/>
              </w:rPr>
              <w:t xml:space="preserve"> </w:t>
            </w:r>
          </w:p>
        </w:tc>
      </w:tr>
      <w:tr w:rsidR="00BE5333" w:rsidRPr="00D9772E" w14:paraId="6072A8AE" w14:textId="77777777" w:rsidTr="007D6022">
        <w:tc>
          <w:tcPr>
            <w:tcW w:w="9350" w:type="dxa"/>
          </w:tcPr>
          <w:p w14:paraId="1CF7191B" w14:textId="77777777" w:rsidR="007C4F04" w:rsidRDefault="007C4F04" w:rsidP="007C4F04">
            <w:pPr>
              <w:pStyle w:val="Heading3"/>
              <w:keepNext w:val="0"/>
              <w:keepLines w:val="0"/>
              <w:widowControl w:val="0"/>
              <w:autoSpaceDE w:val="0"/>
              <w:autoSpaceDN w:val="0"/>
              <w:adjustRightInd w:val="0"/>
              <w:spacing w:before="0"/>
              <w:ind w:left="709"/>
              <w:outlineLvl w:val="2"/>
              <w:rPr>
                <w:rFonts w:ascii="Arial" w:eastAsia="Times New Roman" w:hAnsi="Arial" w:cs="Arial"/>
                <w:color w:val="4A66AC" w:themeColor="accent1"/>
                <w:sz w:val="22"/>
                <w:szCs w:val="22"/>
              </w:rPr>
            </w:pPr>
          </w:p>
          <w:p w14:paraId="0401719A" w14:textId="6EFA1737" w:rsidR="00577E1D" w:rsidRPr="00E74333" w:rsidRDefault="00577E1D" w:rsidP="00E74333">
            <w:pPr>
              <w:rPr>
                <w:rFonts w:ascii="Arial" w:eastAsia="Times New Roman" w:hAnsi="Arial" w:cs="Arial"/>
                <w:b/>
                <w:bCs/>
                <w:color w:val="4A66AC" w:themeColor="accent1"/>
                <w:sz w:val="22"/>
                <w:szCs w:val="22"/>
              </w:rPr>
            </w:pPr>
            <w:r w:rsidRPr="00E74333">
              <w:rPr>
                <w:rFonts w:ascii="Arial" w:eastAsia="Times New Roman" w:hAnsi="Arial" w:cs="Arial"/>
                <w:b/>
                <w:bCs/>
                <w:color w:val="4A66AC" w:themeColor="accent1"/>
                <w:sz w:val="22"/>
                <w:szCs w:val="22"/>
              </w:rPr>
              <w:t>Key achievements:</w:t>
            </w:r>
          </w:p>
          <w:p w14:paraId="75C595AF" w14:textId="61AEA51F" w:rsidR="00AC5606" w:rsidRPr="00E74333" w:rsidRDefault="00AC5606" w:rsidP="00567956">
            <w:pPr>
              <w:pStyle w:val="ListParagraph"/>
              <w:numPr>
                <w:ilvl w:val="0"/>
                <w:numId w:val="23"/>
              </w:numPr>
              <w:ind w:left="457"/>
              <w:rPr>
                <w:rFonts w:ascii="Arial" w:eastAsia="Times New Roman" w:hAnsi="Arial" w:cs="Arial"/>
                <w:color w:val="4A66AC" w:themeColor="accent1"/>
                <w:sz w:val="22"/>
                <w:szCs w:val="22"/>
              </w:rPr>
            </w:pPr>
            <w:r w:rsidRPr="00E74333">
              <w:rPr>
                <w:rFonts w:ascii="Arial" w:eastAsia="Times New Roman" w:hAnsi="Arial" w:cs="Arial"/>
                <w:color w:val="4A66AC" w:themeColor="accent1"/>
                <w:sz w:val="22"/>
                <w:szCs w:val="22"/>
              </w:rPr>
              <w:t xml:space="preserve">The GP platform has helped UNDP to position itself in a leading role in the niche of ROLSHR and to sustain donor attention on crisis and fragile contexts; this was seen on global level and in most case study countries. </w:t>
            </w:r>
          </w:p>
          <w:p w14:paraId="380C6079" w14:textId="01605304" w:rsidR="00AC5606" w:rsidRPr="00E74333" w:rsidRDefault="00AC5606" w:rsidP="00567956">
            <w:pPr>
              <w:pStyle w:val="ListParagraph"/>
              <w:numPr>
                <w:ilvl w:val="0"/>
                <w:numId w:val="23"/>
              </w:numPr>
              <w:ind w:left="457"/>
              <w:rPr>
                <w:rFonts w:ascii="Arial" w:eastAsia="Times New Roman" w:hAnsi="Arial" w:cs="Arial"/>
                <w:color w:val="4A66AC" w:themeColor="accent1"/>
                <w:sz w:val="22"/>
                <w:szCs w:val="22"/>
              </w:rPr>
            </w:pPr>
            <w:r w:rsidRPr="00E74333">
              <w:rPr>
                <w:rFonts w:ascii="Arial" w:eastAsia="Times New Roman" w:hAnsi="Arial" w:cs="Arial"/>
                <w:color w:val="4A66AC" w:themeColor="accent1"/>
                <w:sz w:val="22"/>
                <w:szCs w:val="22"/>
              </w:rPr>
              <w:t xml:space="preserve">The GP provides a flexible and relatively fast source of </w:t>
            </w:r>
            <w:r w:rsidR="009F7603" w:rsidRPr="00E74333">
              <w:rPr>
                <w:rFonts w:ascii="Arial" w:eastAsia="Times New Roman" w:hAnsi="Arial" w:cs="Arial"/>
                <w:color w:val="4A66AC" w:themeColor="accent1"/>
                <w:sz w:val="22"/>
                <w:szCs w:val="22"/>
              </w:rPr>
              <w:t>seed</w:t>
            </w:r>
            <w:r w:rsidRPr="00E74333">
              <w:rPr>
                <w:rFonts w:ascii="Arial" w:eastAsia="Times New Roman" w:hAnsi="Arial" w:cs="Arial"/>
                <w:color w:val="4A66AC" w:themeColor="accent1"/>
                <w:sz w:val="22"/>
                <w:szCs w:val="22"/>
              </w:rPr>
              <w:t xml:space="preserve"> funding</w:t>
            </w:r>
            <w:r w:rsidR="009F7603" w:rsidRPr="00E74333">
              <w:rPr>
                <w:rFonts w:ascii="Arial" w:eastAsia="Times New Roman" w:hAnsi="Arial" w:cs="Arial"/>
                <w:color w:val="4A66AC" w:themeColor="accent1"/>
                <w:sz w:val="22"/>
                <w:szCs w:val="22"/>
              </w:rPr>
              <w:t xml:space="preserve"> as well as technical support</w:t>
            </w:r>
            <w:r w:rsidRPr="00E74333">
              <w:rPr>
                <w:rFonts w:ascii="Arial" w:eastAsia="Times New Roman" w:hAnsi="Arial" w:cs="Arial"/>
                <w:color w:val="4A66AC" w:themeColor="accent1"/>
                <w:sz w:val="22"/>
                <w:szCs w:val="22"/>
              </w:rPr>
              <w:t xml:space="preserve">, primarily directed to UNDP Country Offices, that makes few demands on recipient countries and meets needs that other funding sources cannot fulfil. </w:t>
            </w:r>
          </w:p>
          <w:p w14:paraId="33AB0B74" w14:textId="4165AC83" w:rsidR="00577E1D" w:rsidRPr="00E74333" w:rsidRDefault="00BE5333" w:rsidP="00577E1D">
            <w:pPr>
              <w:pStyle w:val="ListParagraph"/>
              <w:numPr>
                <w:ilvl w:val="0"/>
                <w:numId w:val="23"/>
              </w:numPr>
              <w:ind w:left="457"/>
              <w:rPr>
                <w:rFonts w:ascii="Arial" w:eastAsia="Times New Roman" w:hAnsi="Arial" w:cs="Arial"/>
                <w:color w:val="4A66AC" w:themeColor="accent1"/>
                <w:sz w:val="22"/>
                <w:szCs w:val="22"/>
              </w:rPr>
            </w:pPr>
            <w:r w:rsidRPr="00E74333">
              <w:rPr>
                <w:rFonts w:ascii="Arial" w:eastAsia="Times New Roman" w:hAnsi="Arial" w:cs="Arial"/>
                <w:color w:val="4A66AC" w:themeColor="accent1"/>
                <w:sz w:val="22"/>
                <w:szCs w:val="22"/>
              </w:rPr>
              <w:t xml:space="preserve">The GP and wider ROLSHR team of UNDP </w:t>
            </w:r>
            <w:r w:rsidR="009F7603" w:rsidRPr="00E74333">
              <w:rPr>
                <w:rFonts w:ascii="Arial" w:eastAsia="Times New Roman" w:hAnsi="Arial" w:cs="Arial"/>
                <w:color w:val="4A66AC" w:themeColor="accent1"/>
                <w:sz w:val="22"/>
                <w:szCs w:val="22"/>
              </w:rPr>
              <w:t>are</w:t>
            </w:r>
            <w:r w:rsidRPr="00E74333">
              <w:rPr>
                <w:rFonts w:ascii="Arial" w:eastAsia="Times New Roman" w:hAnsi="Arial" w:cs="Arial"/>
                <w:color w:val="4A66AC" w:themeColor="accent1"/>
                <w:sz w:val="22"/>
                <w:szCs w:val="22"/>
              </w:rPr>
              <w:t xml:space="preserve"> widely recognized globally and in-country for </w:t>
            </w:r>
            <w:r w:rsidR="009F7603" w:rsidRPr="00E74333">
              <w:rPr>
                <w:rFonts w:ascii="Arial" w:eastAsia="Times New Roman" w:hAnsi="Arial" w:cs="Arial"/>
                <w:color w:val="4A66AC" w:themeColor="accent1"/>
                <w:sz w:val="22"/>
                <w:szCs w:val="22"/>
              </w:rPr>
              <w:t>their</w:t>
            </w:r>
            <w:r w:rsidRPr="00E74333">
              <w:rPr>
                <w:rFonts w:ascii="Arial" w:eastAsia="Times New Roman" w:hAnsi="Arial" w:cs="Arial"/>
                <w:color w:val="4A66AC" w:themeColor="accent1"/>
                <w:sz w:val="22"/>
                <w:szCs w:val="22"/>
              </w:rPr>
              <w:t xml:space="preserve"> ability to mobilize funds, provide complementary expertise, and design/administer relevant projects in the ROLSHR sector.</w:t>
            </w:r>
            <w:r w:rsidR="007C4F04" w:rsidRPr="00E74333">
              <w:rPr>
                <w:rFonts w:ascii="Arial" w:eastAsia="Times New Roman" w:hAnsi="Arial" w:cs="Arial"/>
                <w:color w:val="4A66AC" w:themeColor="accent1"/>
                <w:sz w:val="22"/>
                <w:szCs w:val="22"/>
              </w:rPr>
              <w:t xml:space="preserve"> </w:t>
            </w:r>
          </w:p>
          <w:p w14:paraId="1C634CC9" w14:textId="77777777" w:rsidR="00577E1D" w:rsidRPr="00E74333" w:rsidRDefault="00577E1D" w:rsidP="00577E1D">
            <w:pPr>
              <w:pStyle w:val="ListParagraph"/>
              <w:ind w:left="457"/>
              <w:rPr>
                <w:rFonts w:ascii="Arial" w:eastAsia="Times New Roman" w:hAnsi="Arial" w:cs="Arial"/>
                <w:color w:val="4A66AC" w:themeColor="accent1"/>
                <w:sz w:val="22"/>
                <w:szCs w:val="22"/>
              </w:rPr>
            </w:pPr>
          </w:p>
          <w:p w14:paraId="7498025E" w14:textId="6551C003" w:rsidR="00577E1D" w:rsidRPr="00E74333" w:rsidRDefault="00E74333" w:rsidP="00E74333">
            <w:pPr>
              <w:rPr>
                <w:rFonts w:ascii="Arial" w:eastAsia="Times New Roman" w:hAnsi="Arial" w:cs="Arial"/>
                <w:b/>
                <w:bCs/>
                <w:color w:val="4A66AC" w:themeColor="accent1"/>
                <w:sz w:val="22"/>
                <w:szCs w:val="22"/>
              </w:rPr>
            </w:pPr>
            <w:r>
              <w:rPr>
                <w:rFonts w:ascii="Arial" w:eastAsia="Times New Roman" w:hAnsi="Arial" w:cs="Arial"/>
                <w:b/>
                <w:bCs/>
                <w:color w:val="4A66AC" w:themeColor="accent1"/>
                <w:sz w:val="22"/>
                <w:szCs w:val="22"/>
              </w:rPr>
              <w:t>Primary c</w:t>
            </w:r>
            <w:r w:rsidR="00577E1D" w:rsidRPr="00E74333">
              <w:rPr>
                <w:rFonts w:ascii="Arial" w:eastAsia="Times New Roman" w:hAnsi="Arial" w:cs="Arial"/>
                <w:b/>
                <w:bCs/>
                <w:color w:val="4A66AC" w:themeColor="accent1"/>
                <w:sz w:val="22"/>
                <w:szCs w:val="22"/>
              </w:rPr>
              <w:t>hallenges:</w:t>
            </w:r>
          </w:p>
          <w:p w14:paraId="44113B14" w14:textId="69CE8AAD" w:rsidR="00BE5333" w:rsidRPr="00E74333" w:rsidRDefault="009B1F23" w:rsidP="00577E1D">
            <w:pPr>
              <w:pStyle w:val="ListParagraph"/>
              <w:numPr>
                <w:ilvl w:val="0"/>
                <w:numId w:val="23"/>
              </w:numPr>
              <w:ind w:left="457"/>
              <w:rPr>
                <w:rFonts w:ascii="Arial" w:eastAsia="Times New Roman" w:hAnsi="Arial" w:cs="Arial"/>
                <w:color w:val="4A66AC" w:themeColor="accent1"/>
                <w:sz w:val="22"/>
                <w:szCs w:val="22"/>
              </w:rPr>
            </w:pPr>
            <w:r w:rsidRPr="00E74333">
              <w:rPr>
                <w:rFonts w:ascii="Arial" w:eastAsia="Times New Roman" w:hAnsi="Arial" w:cs="Arial"/>
                <w:color w:val="4A66AC" w:themeColor="accent1"/>
                <w:sz w:val="22"/>
                <w:szCs w:val="22"/>
              </w:rPr>
              <w:t>The high-profile global role of the GP may be overshadowing UNDP and donor attention to more stable countries with significant needs for support that are not able to access GP services (though a</w:t>
            </w:r>
            <w:r w:rsidR="007C4F04" w:rsidRPr="00E74333">
              <w:rPr>
                <w:rFonts w:ascii="Arial" w:eastAsia="Times New Roman" w:hAnsi="Arial" w:cs="Arial"/>
                <w:color w:val="4A66AC" w:themeColor="accent1"/>
                <w:sz w:val="22"/>
                <w:szCs w:val="22"/>
              </w:rPr>
              <w:t>t times the team plays a linking role to facilitate access of COs to other donors</w:t>
            </w:r>
            <w:r w:rsidRPr="00E74333">
              <w:rPr>
                <w:rFonts w:ascii="Arial" w:eastAsia="Times New Roman" w:hAnsi="Arial" w:cs="Arial"/>
                <w:color w:val="4A66AC" w:themeColor="accent1"/>
                <w:sz w:val="22"/>
                <w:szCs w:val="22"/>
              </w:rPr>
              <w:t>)</w:t>
            </w:r>
            <w:r w:rsidR="007C4F04" w:rsidRPr="00E74333">
              <w:rPr>
                <w:rFonts w:ascii="Arial" w:eastAsia="Times New Roman" w:hAnsi="Arial" w:cs="Arial"/>
                <w:color w:val="4A66AC" w:themeColor="accent1"/>
                <w:sz w:val="22"/>
                <w:szCs w:val="22"/>
              </w:rPr>
              <w:t xml:space="preserve">. </w:t>
            </w:r>
          </w:p>
          <w:p w14:paraId="39940B1B" w14:textId="243696AB" w:rsidR="00BE5333" w:rsidRPr="00E74333" w:rsidRDefault="00BE5333" w:rsidP="00567956">
            <w:pPr>
              <w:pStyle w:val="ListParagraph"/>
              <w:numPr>
                <w:ilvl w:val="0"/>
                <w:numId w:val="23"/>
              </w:numPr>
              <w:ind w:left="457"/>
              <w:rPr>
                <w:rFonts w:ascii="Arial" w:eastAsia="Times New Roman" w:hAnsi="Arial" w:cs="Arial"/>
                <w:color w:val="4A66AC" w:themeColor="accent1"/>
                <w:sz w:val="22"/>
                <w:szCs w:val="22"/>
              </w:rPr>
            </w:pPr>
            <w:r w:rsidRPr="00E74333">
              <w:rPr>
                <w:rFonts w:ascii="Arial" w:eastAsia="Times New Roman" w:hAnsi="Arial" w:cs="Arial"/>
                <w:color w:val="4A66AC" w:themeColor="accent1"/>
                <w:sz w:val="22"/>
                <w:szCs w:val="22"/>
              </w:rPr>
              <w:t>The thought leadership and policy role of UNDP’s ROLSHR team is perceived as less prominent than in the past on global level, and the GP in particular has devoted little attention to building</w:t>
            </w:r>
            <w:r w:rsidR="009B1F23" w:rsidRPr="00E74333">
              <w:rPr>
                <w:rFonts w:ascii="Arial" w:eastAsia="Times New Roman" w:hAnsi="Arial" w:cs="Arial"/>
                <w:color w:val="4A66AC" w:themeColor="accent1"/>
                <w:sz w:val="22"/>
                <w:szCs w:val="22"/>
              </w:rPr>
              <w:t>, documenting</w:t>
            </w:r>
            <w:r w:rsidRPr="00E74333">
              <w:rPr>
                <w:rFonts w:ascii="Arial" w:eastAsia="Times New Roman" w:hAnsi="Arial" w:cs="Arial"/>
                <w:color w:val="4A66AC" w:themeColor="accent1"/>
                <w:sz w:val="22"/>
                <w:szCs w:val="22"/>
              </w:rPr>
              <w:t xml:space="preserve"> </w:t>
            </w:r>
            <w:r w:rsidR="002F471D" w:rsidRPr="00E74333">
              <w:rPr>
                <w:rFonts w:ascii="Arial" w:eastAsia="Times New Roman" w:hAnsi="Arial" w:cs="Arial"/>
                <w:color w:val="4A66AC" w:themeColor="accent1"/>
                <w:sz w:val="22"/>
                <w:szCs w:val="22"/>
              </w:rPr>
              <w:t xml:space="preserve">and disseminating </w:t>
            </w:r>
            <w:r w:rsidRPr="00E74333">
              <w:rPr>
                <w:rFonts w:ascii="Arial" w:eastAsia="Times New Roman" w:hAnsi="Arial" w:cs="Arial"/>
                <w:color w:val="4A66AC" w:themeColor="accent1"/>
                <w:sz w:val="22"/>
                <w:szCs w:val="22"/>
              </w:rPr>
              <w:t xml:space="preserve">an evidence base of learning from the wealth of experience being accumulated. </w:t>
            </w:r>
          </w:p>
          <w:p w14:paraId="31929BE0" w14:textId="19D5C931" w:rsidR="00C003B3" w:rsidRPr="00A01748" w:rsidRDefault="00C003B3" w:rsidP="00A01748"/>
        </w:tc>
      </w:tr>
    </w:tbl>
    <w:p w14:paraId="5C8102EE" w14:textId="77777777" w:rsidR="001973EA" w:rsidRPr="001A65F3" w:rsidRDefault="001973EA" w:rsidP="001A65F3"/>
    <w:p w14:paraId="1740503D" w14:textId="528C3024" w:rsidR="0029366C" w:rsidRDefault="00C56EB7" w:rsidP="0029366C">
      <w:pPr>
        <w:pStyle w:val="Heading2"/>
        <w:rPr>
          <w:b w:val="0"/>
        </w:rPr>
      </w:pPr>
      <w:bookmarkStart w:id="15" w:name="_Toc71701885"/>
      <w:r w:rsidRPr="001973EA">
        <w:t xml:space="preserve">Programme/Global </w:t>
      </w:r>
      <w:r w:rsidR="001973EA">
        <w:t>L</w:t>
      </w:r>
      <w:r w:rsidRPr="001973EA">
        <w:t>evel</w:t>
      </w:r>
      <w:r w:rsidR="0029366C">
        <w:t xml:space="preserve"> Findings on Relevance</w:t>
      </w:r>
      <w:bookmarkEnd w:id="15"/>
    </w:p>
    <w:p w14:paraId="48F03E95" w14:textId="1DFA5078" w:rsidR="00C56EB7" w:rsidRPr="007D272B" w:rsidRDefault="0029366C" w:rsidP="00C56EB7">
      <w:pPr>
        <w:spacing w:after="0" w:line="240" w:lineRule="auto"/>
        <w:ind w:hanging="2"/>
        <w:rPr>
          <w:rFonts w:ascii="Arial" w:eastAsia="Times New Roman" w:hAnsi="Arial" w:cs="Arial"/>
          <w:i/>
          <w:iCs/>
          <w:sz w:val="22"/>
          <w:szCs w:val="22"/>
        </w:rPr>
      </w:pPr>
      <w:r w:rsidRPr="007D272B">
        <w:rPr>
          <w:rFonts w:ascii="Arial" w:hAnsi="Arial" w:cs="Arial"/>
          <w:b/>
          <w:i/>
          <w:iCs/>
          <w:color w:val="000000"/>
          <w:sz w:val="22"/>
          <w:szCs w:val="22"/>
        </w:rPr>
        <w:t>Evaluation Questions</w:t>
      </w:r>
      <w:r w:rsidR="00C56EB7" w:rsidRPr="007D272B">
        <w:rPr>
          <w:rFonts w:ascii="Arial" w:hAnsi="Arial" w:cs="Arial"/>
          <w:b/>
          <w:i/>
          <w:iCs/>
          <w:color w:val="000000"/>
          <w:sz w:val="22"/>
          <w:szCs w:val="22"/>
        </w:rPr>
        <w:t> </w:t>
      </w:r>
    </w:p>
    <w:p w14:paraId="439DABCD" w14:textId="499BCDF2" w:rsidR="00C56EB7" w:rsidRPr="007D272B" w:rsidRDefault="00C56EB7" w:rsidP="00567956">
      <w:pPr>
        <w:pStyle w:val="ListParagraph"/>
        <w:numPr>
          <w:ilvl w:val="0"/>
          <w:numId w:val="4"/>
        </w:numPr>
        <w:spacing w:after="0" w:line="240" w:lineRule="auto"/>
        <w:rPr>
          <w:rFonts w:ascii="Arial" w:eastAsia="Times New Roman" w:hAnsi="Arial" w:cs="Arial"/>
          <w:i/>
          <w:iCs/>
          <w:sz w:val="22"/>
          <w:szCs w:val="22"/>
        </w:rPr>
      </w:pPr>
      <w:r w:rsidRPr="007D272B">
        <w:rPr>
          <w:rFonts w:ascii="Arial" w:hAnsi="Arial" w:cs="Arial"/>
          <w:i/>
          <w:iCs/>
          <w:color w:val="000000"/>
          <w:sz w:val="22"/>
          <w:szCs w:val="22"/>
        </w:rPr>
        <w:t>How has the GP Phase 3 affected UNDP’s relevance and recognition as an international player in the ROL/Security/</w:t>
      </w:r>
      <w:r w:rsidR="00A01D7F" w:rsidRPr="007D272B">
        <w:rPr>
          <w:rFonts w:ascii="Arial" w:hAnsi="Arial" w:cs="Arial"/>
          <w:i/>
          <w:iCs/>
          <w:color w:val="000000"/>
          <w:sz w:val="22"/>
          <w:szCs w:val="22"/>
        </w:rPr>
        <w:t>Human rights</w:t>
      </w:r>
      <w:r w:rsidRPr="007D272B">
        <w:rPr>
          <w:rFonts w:ascii="Arial" w:hAnsi="Arial" w:cs="Arial"/>
          <w:i/>
          <w:iCs/>
          <w:color w:val="000000"/>
          <w:sz w:val="22"/>
          <w:szCs w:val="22"/>
        </w:rPr>
        <w:t xml:space="preserve"> fields, especially in complex contexts? </w:t>
      </w:r>
    </w:p>
    <w:p w14:paraId="772E3460" w14:textId="7CA45EEB" w:rsidR="00677AEE" w:rsidRPr="007D272B" w:rsidRDefault="00C56EB7" w:rsidP="00567956">
      <w:pPr>
        <w:pStyle w:val="ListParagraph"/>
        <w:numPr>
          <w:ilvl w:val="0"/>
          <w:numId w:val="4"/>
        </w:numPr>
        <w:rPr>
          <w:rStyle w:val="Strong"/>
          <w:rFonts w:ascii="Arial" w:hAnsi="Arial" w:cs="Arial"/>
          <w:i/>
          <w:iCs/>
          <w:sz w:val="22"/>
          <w:szCs w:val="22"/>
        </w:rPr>
      </w:pPr>
      <w:r w:rsidRPr="007D272B">
        <w:rPr>
          <w:rFonts w:ascii="Arial" w:hAnsi="Arial" w:cs="Arial"/>
          <w:i/>
          <w:iCs/>
          <w:color w:val="000000"/>
          <w:sz w:val="22"/>
          <w:szCs w:val="22"/>
        </w:rPr>
        <w:t>What has been the contribution of GP3 to the Sustaining Peace and Prevention agendas of the Secretary-General? </w:t>
      </w:r>
    </w:p>
    <w:p w14:paraId="7DE46EB2" w14:textId="5013D634" w:rsidR="00CE11E4" w:rsidRPr="002A6E99" w:rsidRDefault="00D82ADE" w:rsidP="005A5C13">
      <w:pPr>
        <w:pStyle w:val="Default"/>
        <w:spacing w:after="120"/>
        <w:rPr>
          <w:rFonts w:ascii="Arial" w:hAnsi="Arial" w:cs="Arial"/>
          <w:sz w:val="22"/>
          <w:szCs w:val="22"/>
        </w:rPr>
      </w:pPr>
      <w:r w:rsidRPr="002A6E99">
        <w:rPr>
          <w:rFonts w:ascii="Arial" w:hAnsi="Arial" w:cs="Arial"/>
          <w:sz w:val="22"/>
          <w:szCs w:val="22"/>
        </w:rPr>
        <w:t>The GP has a significant</w:t>
      </w:r>
      <w:r w:rsidR="00841B7C" w:rsidRPr="002A6E99">
        <w:rPr>
          <w:rFonts w:ascii="Arial" w:hAnsi="Arial" w:cs="Arial"/>
          <w:sz w:val="22"/>
          <w:szCs w:val="22"/>
        </w:rPr>
        <w:t xml:space="preserve"> programm</w:t>
      </w:r>
      <w:r w:rsidRPr="002A6E99">
        <w:rPr>
          <w:rFonts w:ascii="Arial" w:hAnsi="Arial" w:cs="Arial"/>
          <w:sz w:val="22"/>
          <w:szCs w:val="22"/>
        </w:rPr>
        <w:t>ing</w:t>
      </w:r>
      <w:r w:rsidR="00841B7C" w:rsidRPr="002A6E99">
        <w:rPr>
          <w:rFonts w:ascii="Arial" w:hAnsi="Arial" w:cs="Arial"/>
          <w:sz w:val="22"/>
          <w:szCs w:val="22"/>
        </w:rPr>
        <w:t xml:space="preserve"> </w:t>
      </w:r>
      <w:r w:rsidRPr="002A6E99">
        <w:rPr>
          <w:rFonts w:ascii="Arial" w:hAnsi="Arial" w:cs="Arial"/>
          <w:sz w:val="22"/>
          <w:szCs w:val="22"/>
        </w:rPr>
        <w:t xml:space="preserve">scope in Phase 3, which </w:t>
      </w:r>
      <w:r w:rsidR="00841B7C" w:rsidRPr="002A6E99">
        <w:rPr>
          <w:rFonts w:ascii="Arial" w:hAnsi="Arial" w:cs="Arial"/>
          <w:sz w:val="22"/>
          <w:szCs w:val="22"/>
        </w:rPr>
        <w:t xml:space="preserve">has been broadened </w:t>
      </w:r>
      <w:r w:rsidRPr="002A6E99">
        <w:rPr>
          <w:rFonts w:ascii="Arial" w:hAnsi="Arial" w:cs="Arial"/>
          <w:sz w:val="22"/>
          <w:szCs w:val="22"/>
        </w:rPr>
        <w:t xml:space="preserve">from earlier phases that focused more </w:t>
      </w:r>
      <w:r w:rsidR="00CE11E4" w:rsidRPr="002A6E99">
        <w:rPr>
          <w:rFonts w:ascii="Arial" w:hAnsi="Arial" w:cs="Arial"/>
          <w:sz w:val="22"/>
          <w:szCs w:val="22"/>
        </w:rPr>
        <w:t>narrowly</w:t>
      </w:r>
      <w:r w:rsidRPr="002A6E99">
        <w:rPr>
          <w:rFonts w:ascii="Arial" w:hAnsi="Arial" w:cs="Arial"/>
          <w:sz w:val="22"/>
          <w:szCs w:val="22"/>
        </w:rPr>
        <w:t xml:space="preserve"> on </w:t>
      </w:r>
      <w:r w:rsidR="00841B7C" w:rsidRPr="002A6E99">
        <w:rPr>
          <w:rFonts w:ascii="Arial" w:hAnsi="Arial" w:cs="Arial"/>
          <w:sz w:val="22"/>
          <w:szCs w:val="22"/>
        </w:rPr>
        <w:t>rule of law</w:t>
      </w:r>
      <w:r w:rsidRPr="002A6E99">
        <w:rPr>
          <w:rFonts w:ascii="Arial" w:hAnsi="Arial" w:cs="Arial"/>
          <w:sz w:val="22"/>
          <w:szCs w:val="22"/>
        </w:rPr>
        <w:t xml:space="preserve">. As described above in Programme Background, this phase </w:t>
      </w:r>
      <w:r w:rsidR="00035EAD">
        <w:rPr>
          <w:rFonts w:ascii="Arial" w:hAnsi="Arial" w:cs="Arial"/>
          <w:sz w:val="22"/>
          <w:szCs w:val="22"/>
        </w:rPr>
        <w:t>was designed to encompass</w:t>
      </w:r>
      <w:r w:rsidRPr="002A6E99">
        <w:rPr>
          <w:rFonts w:ascii="Arial" w:hAnsi="Arial" w:cs="Arial"/>
          <w:sz w:val="22"/>
          <w:szCs w:val="22"/>
        </w:rPr>
        <w:t xml:space="preserve"> seven inter-related thematic areas, i</w:t>
      </w:r>
      <w:r w:rsidR="00841B7C" w:rsidRPr="002A6E99">
        <w:rPr>
          <w:rFonts w:ascii="Arial" w:hAnsi="Arial" w:cs="Arial"/>
          <w:sz w:val="22"/>
          <w:szCs w:val="22"/>
        </w:rPr>
        <w:t>nclud</w:t>
      </w:r>
      <w:r w:rsidRPr="002A6E99">
        <w:rPr>
          <w:rFonts w:ascii="Arial" w:hAnsi="Arial" w:cs="Arial"/>
          <w:sz w:val="22"/>
          <w:szCs w:val="22"/>
        </w:rPr>
        <w:t>ing</w:t>
      </w:r>
      <w:r w:rsidR="00841B7C" w:rsidRPr="002A6E99">
        <w:rPr>
          <w:rFonts w:ascii="Arial" w:hAnsi="Arial" w:cs="Arial"/>
          <w:sz w:val="22"/>
          <w:szCs w:val="22"/>
        </w:rPr>
        <w:t xml:space="preserve"> human rights</w:t>
      </w:r>
      <w:r w:rsidRPr="002A6E99">
        <w:rPr>
          <w:rFonts w:ascii="Arial" w:hAnsi="Arial" w:cs="Arial"/>
          <w:sz w:val="22"/>
          <w:szCs w:val="22"/>
        </w:rPr>
        <w:t xml:space="preserve"> and citizen </w:t>
      </w:r>
      <w:r w:rsidR="00841B7C" w:rsidRPr="002A6E99">
        <w:rPr>
          <w:rFonts w:ascii="Arial" w:hAnsi="Arial" w:cs="Arial"/>
          <w:sz w:val="22"/>
          <w:szCs w:val="22"/>
        </w:rPr>
        <w:t>security</w:t>
      </w:r>
      <w:r w:rsidRPr="002A6E99">
        <w:rPr>
          <w:rFonts w:ascii="Arial" w:hAnsi="Arial" w:cs="Arial"/>
          <w:sz w:val="22"/>
          <w:szCs w:val="22"/>
        </w:rPr>
        <w:t>, as well as political aspects related to ROLSHR. According to the Phase 3 Prodoc: “</w:t>
      </w:r>
      <w:r w:rsidRPr="002A6E99">
        <w:rPr>
          <w:rFonts w:ascii="Arial" w:hAnsi="Arial" w:cs="Arial"/>
          <w:i/>
          <w:iCs/>
          <w:sz w:val="22"/>
          <w:szCs w:val="22"/>
        </w:rPr>
        <w:t>this Global Programme is placed wholly at the disposal of the UN system with its ability to deliver assistance aligned to national priorities; mobilize and leverage resources for joined up implementation; and generate knowledge and top-notch analysis to serve the highest levels of decision-making</w:t>
      </w:r>
      <w:r w:rsidRPr="002A6E99">
        <w:rPr>
          <w:rFonts w:ascii="Arial" w:hAnsi="Arial" w:cs="Arial"/>
          <w:sz w:val="22"/>
          <w:szCs w:val="22"/>
        </w:rPr>
        <w:t xml:space="preserve">.” </w:t>
      </w:r>
    </w:p>
    <w:p w14:paraId="28E7288A" w14:textId="6CCDB5C5" w:rsidR="000F47BF" w:rsidRPr="002A6E99" w:rsidRDefault="00CE11E4" w:rsidP="005A5C13">
      <w:pPr>
        <w:pStyle w:val="Default"/>
        <w:spacing w:after="120"/>
        <w:rPr>
          <w:rFonts w:ascii="Arial" w:hAnsi="Arial" w:cs="Arial"/>
          <w:sz w:val="22"/>
          <w:szCs w:val="22"/>
        </w:rPr>
      </w:pPr>
      <w:r w:rsidRPr="002A6E99">
        <w:rPr>
          <w:rFonts w:ascii="Arial" w:hAnsi="Arial" w:cs="Arial"/>
          <w:sz w:val="22"/>
          <w:szCs w:val="22"/>
        </w:rPr>
        <w:t xml:space="preserve">Informants of this evaluation generally </w:t>
      </w:r>
      <w:r w:rsidR="00035EAD">
        <w:rPr>
          <w:rFonts w:ascii="Arial" w:hAnsi="Arial" w:cs="Arial"/>
          <w:sz w:val="22"/>
          <w:szCs w:val="22"/>
        </w:rPr>
        <w:t xml:space="preserve">agreed </w:t>
      </w:r>
      <w:r w:rsidRPr="002A6E99">
        <w:rPr>
          <w:rFonts w:ascii="Arial" w:hAnsi="Arial" w:cs="Arial"/>
          <w:sz w:val="22"/>
          <w:szCs w:val="22"/>
        </w:rPr>
        <w:t xml:space="preserve">that GP3 has been performing a relevant role within UNDP and more broadly within the ROLSHR sector. </w:t>
      </w:r>
      <w:r w:rsidR="00231DC1" w:rsidRPr="002A6E99">
        <w:rPr>
          <w:rFonts w:ascii="Arial" w:hAnsi="Arial" w:cs="Arial"/>
          <w:sz w:val="22"/>
          <w:szCs w:val="22"/>
        </w:rPr>
        <w:t xml:space="preserve">Those interviewed within and outside UNDP saw the Programme’s focus on fragile and crisis-affected contexts as appropriate, noting that this is an appealing factor for many bilateral donors that place a high priority on assisting those countries. </w:t>
      </w:r>
      <w:r w:rsidRPr="002A6E99">
        <w:rPr>
          <w:rFonts w:ascii="Arial" w:hAnsi="Arial" w:cs="Arial"/>
          <w:sz w:val="22"/>
          <w:szCs w:val="22"/>
        </w:rPr>
        <w:t xml:space="preserve">They recognized the considerable ability of GP3 and UNDP to mobilize funds </w:t>
      </w:r>
      <w:r w:rsidR="00011887" w:rsidRPr="002A6E99">
        <w:rPr>
          <w:rFonts w:ascii="Arial" w:hAnsi="Arial" w:cs="Arial"/>
          <w:sz w:val="22"/>
          <w:szCs w:val="22"/>
        </w:rPr>
        <w:t>in support of</w:t>
      </w:r>
      <w:r w:rsidRPr="002A6E99">
        <w:rPr>
          <w:rFonts w:ascii="Arial" w:hAnsi="Arial" w:cs="Arial"/>
          <w:sz w:val="22"/>
          <w:szCs w:val="22"/>
        </w:rPr>
        <w:t xml:space="preserve"> ROLSHR in fragile and crisis-affected contexts, to provide competent expertise in these subject areas, and to design and administer relevant projects and programmes—including </w:t>
      </w:r>
      <w:r w:rsidR="00011887" w:rsidRPr="002A6E99">
        <w:rPr>
          <w:rFonts w:ascii="Arial" w:hAnsi="Arial" w:cs="Arial"/>
          <w:sz w:val="22"/>
          <w:szCs w:val="22"/>
        </w:rPr>
        <w:t>at</w:t>
      </w:r>
      <w:r w:rsidRPr="002A6E99">
        <w:rPr>
          <w:rFonts w:ascii="Arial" w:hAnsi="Arial" w:cs="Arial"/>
          <w:sz w:val="22"/>
          <w:szCs w:val="22"/>
        </w:rPr>
        <w:t xml:space="preserve"> country and regional levels. </w:t>
      </w:r>
    </w:p>
    <w:p w14:paraId="12D69C31" w14:textId="0A09FD51" w:rsidR="000F47BF" w:rsidRPr="002A6E99" w:rsidRDefault="00CE11E4" w:rsidP="005A5C13">
      <w:pPr>
        <w:pStyle w:val="Default"/>
        <w:spacing w:after="120"/>
        <w:rPr>
          <w:rFonts w:ascii="Arial" w:hAnsi="Arial" w:cs="Arial"/>
          <w:sz w:val="22"/>
          <w:szCs w:val="22"/>
        </w:rPr>
      </w:pPr>
      <w:r w:rsidRPr="7FB3149D">
        <w:rPr>
          <w:rFonts w:ascii="Arial" w:hAnsi="Arial" w:cs="Arial"/>
          <w:sz w:val="22"/>
          <w:szCs w:val="22"/>
        </w:rPr>
        <w:t>GP3 is viewed as a flexible and relatively fast source of funding</w:t>
      </w:r>
      <w:r w:rsidR="007C4F04" w:rsidRPr="7FB3149D">
        <w:rPr>
          <w:rFonts w:ascii="Arial" w:hAnsi="Arial" w:cs="Arial"/>
          <w:sz w:val="22"/>
          <w:szCs w:val="22"/>
        </w:rPr>
        <w:t>,</w:t>
      </w:r>
      <w:r w:rsidRPr="7FB3149D">
        <w:rPr>
          <w:rFonts w:ascii="Arial" w:hAnsi="Arial" w:cs="Arial"/>
          <w:sz w:val="22"/>
          <w:szCs w:val="22"/>
        </w:rPr>
        <w:t xml:space="preserve"> with a strong focus on country level</w:t>
      </w:r>
      <w:r w:rsidR="007C4F04" w:rsidRPr="7FB3149D">
        <w:rPr>
          <w:rFonts w:ascii="Arial" w:hAnsi="Arial" w:cs="Arial"/>
          <w:sz w:val="22"/>
          <w:szCs w:val="22"/>
        </w:rPr>
        <w:t xml:space="preserve"> that </w:t>
      </w:r>
      <w:r w:rsidRPr="7FB3149D">
        <w:rPr>
          <w:rFonts w:ascii="Arial" w:hAnsi="Arial" w:cs="Arial"/>
          <w:sz w:val="22"/>
          <w:szCs w:val="22"/>
        </w:rPr>
        <w:t>was described as quite unusual for a global programme</w:t>
      </w:r>
      <w:r w:rsidR="00D67785" w:rsidRPr="7FB3149D">
        <w:rPr>
          <w:rFonts w:ascii="Arial" w:hAnsi="Arial" w:cs="Arial"/>
          <w:sz w:val="22"/>
          <w:szCs w:val="22"/>
        </w:rPr>
        <w:t xml:space="preserve"> in the UN system</w:t>
      </w:r>
      <w:r w:rsidRPr="7FB3149D">
        <w:rPr>
          <w:rFonts w:ascii="Arial" w:hAnsi="Arial" w:cs="Arial"/>
          <w:sz w:val="22"/>
          <w:szCs w:val="22"/>
        </w:rPr>
        <w:t xml:space="preserve">. </w:t>
      </w:r>
      <w:r w:rsidR="00B2274D" w:rsidRPr="7FB3149D">
        <w:rPr>
          <w:rFonts w:ascii="Arial" w:hAnsi="Arial" w:cs="Arial"/>
          <w:sz w:val="22"/>
          <w:szCs w:val="22"/>
        </w:rPr>
        <w:t>Based on review of GP documents, more than $1</w:t>
      </w:r>
      <w:r w:rsidR="00AA5270">
        <w:rPr>
          <w:rFonts w:ascii="Arial" w:hAnsi="Arial" w:cs="Arial"/>
          <w:sz w:val="22"/>
          <w:szCs w:val="22"/>
        </w:rPr>
        <w:t>9</w:t>
      </w:r>
      <w:r w:rsidR="00B2274D" w:rsidRPr="7FB3149D">
        <w:rPr>
          <w:rFonts w:ascii="Arial" w:hAnsi="Arial" w:cs="Arial"/>
          <w:sz w:val="22"/>
          <w:szCs w:val="22"/>
        </w:rPr>
        <w:t xml:space="preserve"> million of seed funding was allocated to </w:t>
      </w:r>
      <w:r w:rsidR="00035EAD" w:rsidRPr="7FB3149D">
        <w:rPr>
          <w:rFonts w:ascii="Arial" w:hAnsi="Arial" w:cs="Arial"/>
          <w:sz w:val="22"/>
          <w:szCs w:val="22"/>
        </w:rPr>
        <w:t xml:space="preserve">at least </w:t>
      </w:r>
      <w:r w:rsidR="00B2274D" w:rsidRPr="7FB3149D">
        <w:rPr>
          <w:rFonts w:ascii="Arial" w:hAnsi="Arial" w:cs="Arial"/>
          <w:sz w:val="22"/>
          <w:szCs w:val="22"/>
        </w:rPr>
        <w:t>46</w:t>
      </w:r>
      <w:r w:rsidR="00296A4A" w:rsidRPr="7FB3149D">
        <w:rPr>
          <w:rFonts w:ascii="Arial" w:hAnsi="Arial" w:cs="Arial"/>
          <w:sz w:val="22"/>
          <w:szCs w:val="22"/>
        </w:rPr>
        <w:t xml:space="preserve"> individual</w:t>
      </w:r>
      <w:r w:rsidR="00B2274D" w:rsidRPr="7FB3149D">
        <w:rPr>
          <w:rFonts w:ascii="Arial" w:hAnsi="Arial" w:cs="Arial"/>
          <w:sz w:val="22"/>
          <w:szCs w:val="22"/>
        </w:rPr>
        <w:t xml:space="preserve"> countries</w:t>
      </w:r>
      <w:r w:rsidR="00296A4A" w:rsidRPr="7FB3149D">
        <w:rPr>
          <w:rFonts w:ascii="Arial" w:hAnsi="Arial" w:cs="Arial"/>
          <w:sz w:val="22"/>
          <w:szCs w:val="22"/>
        </w:rPr>
        <w:t xml:space="preserve"> (and several regional projects)</w:t>
      </w:r>
      <w:r w:rsidR="00B2274D" w:rsidRPr="7FB3149D">
        <w:rPr>
          <w:rFonts w:ascii="Arial" w:hAnsi="Arial" w:cs="Arial"/>
          <w:sz w:val="22"/>
          <w:szCs w:val="22"/>
        </w:rPr>
        <w:t xml:space="preserve"> to meet ROLSHR needs between 2017 and 2019</w:t>
      </w:r>
      <w:r w:rsidR="00D67785" w:rsidRPr="7FB3149D">
        <w:rPr>
          <w:rFonts w:ascii="Arial" w:hAnsi="Arial" w:cs="Arial"/>
          <w:sz w:val="22"/>
          <w:szCs w:val="22"/>
        </w:rPr>
        <w:t>, with a maximum annual amount per country of $500,000</w:t>
      </w:r>
      <w:r w:rsidR="00B2274D" w:rsidRPr="7FB3149D">
        <w:rPr>
          <w:rFonts w:ascii="Arial" w:hAnsi="Arial" w:cs="Arial"/>
          <w:sz w:val="22"/>
          <w:szCs w:val="22"/>
        </w:rPr>
        <w:t xml:space="preserve">. </w:t>
      </w:r>
      <w:r w:rsidRPr="7FB3149D">
        <w:rPr>
          <w:rFonts w:ascii="Arial" w:hAnsi="Arial" w:cs="Arial"/>
          <w:sz w:val="22"/>
          <w:szCs w:val="22"/>
        </w:rPr>
        <w:t xml:space="preserve">The </w:t>
      </w:r>
      <w:r w:rsidR="006933EB" w:rsidRPr="7FB3149D">
        <w:rPr>
          <w:rFonts w:ascii="Arial" w:hAnsi="Arial" w:cs="Arial"/>
          <w:sz w:val="22"/>
          <w:szCs w:val="22"/>
        </w:rPr>
        <w:t>P</w:t>
      </w:r>
      <w:r w:rsidRPr="7FB3149D">
        <w:rPr>
          <w:rFonts w:ascii="Arial" w:hAnsi="Arial" w:cs="Arial"/>
          <w:sz w:val="22"/>
          <w:szCs w:val="22"/>
        </w:rPr>
        <w:t xml:space="preserve">rogramme is widely seen as meeting </w:t>
      </w:r>
      <w:r w:rsidR="00B2274D" w:rsidRPr="7FB3149D">
        <w:rPr>
          <w:rFonts w:ascii="Arial" w:hAnsi="Arial" w:cs="Arial"/>
          <w:sz w:val="22"/>
          <w:szCs w:val="22"/>
        </w:rPr>
        <w:t>various</w:t>
      </w:r>
      <w:r w:rsidRPr="7FB3149D">
        <w:rPr>
          <w:rFonts w:ascii="Arial" w:hAnsi="Arial" w:cs="Arial"/>
          <w:sz w:val="22"/>
          <w:szCs w:val="22"/>
        </w:rPr>
        <w:t xml:space="preserve"> country level needs</w:t>
      </w:r>
      <w:r w:rsidR="00B2274D" w:rsidRPr="7FB3149D">
        <w:rPr>
          <w:rFonts w:ascii="Arial" w:hAnsi="Arial" w:cs="Arial"/>
          <w:sz w:val="22"/>
          <w:szCs w:val="22"/>
        </w:rPr>
        <w:t xml:space="preserve"> (as detailed later in this report)</w:t>
      </w:r>
      <w:r w:rsidRPr="7FB3149D">
        <w:rPr>
          <w:rFonts w:ascii="Arial" w:hAnsi="Arial" w:cs="Arial"/>
          <w:sz w:val="22"/>
          <w:szCs w:val="22"/>
        </w:rPr>
        <w:t xml:space="preserve"> and </w:t>
      </w:r>
      <w:r w:rsidR="00B2274D" w:rsidRPr="7FB3149D">
        <w:rPr>
          <w:rFonts w:ascii="Arial" w:hAnsi="Arial" w:cs="Arial"/>
          <w:sz w:val="22"/>
          <w:szCs w:val="22"/>
        </w:rPr>
        <w:t xml:space="preserve">thereby </w:t>
      </w:r>
      <w:r w:rsidRPr="7FB3149D">
        <w:rPr>
          <w:rFonts w:ascii="Arial" w:hAnsi="Arial" w:cs="Arial"/>
          <w:sz w:val="22"/>
          <w:szCs w:val="22"/>
        </w:rPr>
        <w:t>contributing to a range of results</w:t>
      </w:r>
      <w:r w:rsidR="00B2274D" w:rsidRPr="7FB3149D">
        <w:rPr>
          <w:rFonts w:ascii="Arial" w:hAnsi="Arial" w:cs="Arial"/>
          <w:sz w:val="22"/>
          <w:szCs w:val="22"/>
        </w:rPr>
        <w:t>—e</w:t>
      </w:r>
      <w:r w:rsidRPr="7FB3149D">
        <w:rPr>
          <w:rFonts w:ascii="Arial" w:hAnsi="Arial" w:cs="Arial"/>
          <w:sz w:val="22"/>
          <w:szCs w:val="22"/>
        </w:rPr>
        <w:t xml:space="preserve">specially when combined with </w:t>
      </w:r>
      <w:r w:rsidR="00B2274D" w:rsidRPr="7FB3149D">
        <w:rPr>
          <w:rFonts w:ascii="Arial" w:hAnsi="Arial" w:cs="Arial"/>
          <w:sz w:val="22"/>
          <w:szCs w:val="22"/>
        </w:rPr>
        <w:t xml:space="preserve">expert </w:t>
      </w:r>
      <w:r w:rsidRPr="7FB3149D">
        <w:rPr>
          <w:rFonts w:ascii="Arial" w:hAnsi="Arial" w:cs="Arial"/>
          <w:sz w:val="22"/>
          <w:szCs w:val="22"/>
        </w:rPr>
        <w:t xml:space="preserve">technical </w:t>
      </w:r>
      <w:r w:rsidR="00B2274D" w:rsidRPr="7FB3149D">
        <w:rPr>
          <w:rFonts w:ascii="Arial" w:hAnsi="Arial" w:cs="Arial"/>
          <w:sz w:val="22"/>
          <w:szCs w:val="22"/>
        </w:rPr>
        <w:t>inputs</w:t>
      </w:r>
      <w:r w:rsidRPr="7FB3149D">
        <w:rPr>
          <w:rFonts w:ascii="Arial" w:hAnsi="Arial" w:cs="Arial"/>
          <w:sz w:val="22"/>
          <w:szCs w:val="22"/>
        </w:rPr>
        <w:t xml:space="preserve"> </w:t>
      </w:r>
      <w:r w:rsidR="00B2274D" w:rsidRPr="7FB3149D">
        <w:rPr>
          <w:rFonts w:ascii="Arial" w:hAnsi="Arial" w:cs="Arial"/>
          <w:sz w:val="22"/>
          <w:szCs w:val="22"/>
        </w:rPr>
        <w:t xml:space="preserve">from </w:t>
      </w:r>
      <w:r w:rsidRPr="7FB3149D">
        <w:rPr>
          <w:rFonts w:ascii="Arial" w:hAnsi="Arial" w:cs="Arial"/>
          <w:sz w:val="22"/>
          <w:szCs w:val="22"/>
        </w:rPr>
        <w:t xml:space="preserve">HQ and </w:t>
      </w:r>
      <w:r w:rsidR="00B2274D" w:rsidRPr="7FB3149D">
        <w:rPr>
          <w:rFonts w:ascii="Arial" w:hAnsi="Arial" w:cs="Arial"/>
          <w:sz w:val="22"/>
          <w:szCs w:val="22"/>
        </w:rPr>
        <w:t>regional offices</w:t>
      </w:r>
      <w:r w:rsidRPr="7FB3149D">
        <w:rPr>
          <w:rFonts w:ascii="Arial" w:hAnsi="Arial" w:cs="Arial"/>
          <w:sz w:val="22"/>
          <w:szCs w:val="22"/>
        </w:rPr>
        <w:t>,</w:t>
      </w:r>
      <w:r w:rsidR="00B2274D" w:rsidRPr="7FB3149D">
        <w:rPr>
          <w:rFonts w:ascii="Arial" w:hAnsi="Arial" w:cs="Arial"/>
          <w:sz w:val="22"/>
          <w:szCs w:val="22"/>
        </w:rPr>
        <w:t xml:space="preserve"> both via</w:t>
      </w:r>
      <w:r w:rsidRPr="7FB3149D">
        <w:rPr>
          <w:rFonts w:ascii="Arial" w:hAnsi="Arial" w:cs="Arial"/>
          <w:sz w:val="22"/>
          <w:szCs w:val="22"/>
        </w:rPr>
        <w:t xml:space="preserve"> </w:t>
      </w:r>
      <w:r w:rsidR="00035EAD" w:rsidRPr="7FB3149D">
        <w:rPr>
          <w:rFonts w:ascii="Arial" w:hAnsi="Arial" w:cs="Arial"/>
          <w:sz w:val="22"/>
          <w:szCs w:val="22"/>
        </w:rPr>
        <w:t xml:space="preserve">field </w:t>
      </w:r>
      <w:r w:rsidRPr="7FB3149D">
        <w:rPr>
          <w:rFonts w:ascii="Arial" w:hAnsi="Arial" w:cs="Arial"/>
          <w:sz w:val="22"/>
          <w:szCs w:val="22"/>
        </w:rPr>
        <w:t>mission</w:t>
      </w:r>
      <w:r w:rsidR="00B2274D" w:rsidRPr="7FB3149D">
        <w:rPr>
          <w:rFonts w:ascii="Arial" w:hAnsi="Arial" w:cs="Arial"/>
          <w:sz w:val="22"/>
          <w:szCs w:val="22"/>
        </w:rPr>
        <w:t xml:space="preserve">s and remote assistance. </w:t>
      </w:r>
    </w:p>
    <w:p w14:paraId="3866F104" w14:textId="57DD24FD" w:rsidR="004F6893" w:rsidRPr="002A6E99" w:rsidRDefault="76DB145D" w:rsidP="005A5C13">
      <w:pPr>
        <w:spacing w:line="240" w:lineRule="auto"/>
        <w:rPr>
          <w:rFonts w:ascii="Arial" w:hAnsi="Arial" w:cs="Arial"/>
          <w:sz w:val="22"/>
          <w:szCs w:val="22"/>
        </w:rPr>
      </w:pPr>
      <w:r w:rsidRPr="002A6E99">
        <w:rPr>
          <w:rFonts w:ascii="Arial" w:hAnsi="Arial" w:cs="Arial"/>
          <w:sz w:val="22"/>
          <w:szCs w:val="22"/>
        </w:rPr>
        <w:t xml:space="preserve">To assess relevance of </w:t>
      </w:r>
      <w:r w:rsidR="6CEA4051">
        <w:rPr>
          <w:rFonts w:ascii="Arial" w:hAnsi="Arial" w:cs="Arial"/>
          <w:sz w:val="22"/>
          <w:szCs w:val="22"/>
        </w:rPr>
        <w:t>country</w:t>
      </w:r>
      <w:r w:rsidRPr="002A6E99">
        <w:rPr>
          <w:rFonts w:ascii="Arial" w:hAnsi="Arial" w:cs="Arial"/>
          <w:sz w:val="22"/>
          <w:szCs w:val="22"/>
        </w:rPr>
        <w:t xml:space="preserve"> targeting, the evaluators conducted </w:t>
      </w:r>
      <w:r w:rsidR="089F3DB7" w:rsidRPr="002A6E99">
        <w:rPr>
          <w:rFonts w:ascii="Arial" w:hAnsi="Arial" w:cs="Arial"/>
          <w:sz w:val="22"/>
          <w:szCs w:val="22"/>
        </w:rPr>
        <w:t xml:space="preserve">documentary </w:t>
      </w:r>
      <w:r w:rsidR="43ACAA3A" w:rsidRPr="002A6E99">
        <w:rPr>
          <w:rFonts w:ascii="Arial" w:hAnsi="Arial" w:cs="Arial"/>
          <w:sz w:val="22"/>
          <w:szCs w:val="22"/>
        </w:rPr>
        <w:t>review</w:t>
      </w:r>
      <w:r w:rsidR="089F3DB7" w:rsidRPr="002A6E99">
        <w:rPr>
          <w:rFonts w:ascii="Arial" w:hAnsi="Arial" w:cs="Arial"/>
          <w:sz w:val="22"/>
          <w:szCs w:val="22"/>
        </w:rPr>
        <w:t xml:space="preserve"> of </w:t>
      </w:r>
      <w:r w:rsidRPr="002A6E99">
        <w:rPr>
          <w:rFonts w:ascii="Arial" w:hAnsi="Arial" w:cs="Arial"/>
          <w:sz w:val="22"/>
          <w:szCs w:val="22"/>
        </w:rPr>
        <w:t xml:space="preserve">the </w:t>
      </w:r>
      <w:r w:rsidR="089F3DB7" w:rsidRPr="002A6E99">
        <w:rPr>
          <w:rFonts w:ascii="Arial" w:hAnsi="Arial" w:cs="Arial"/>
          <w:sz w:val="22"/>
          <w:szCs w:val="22"/>
        </w:rPr>
        <w:t>different contexts support</w:t>
      </w:r>
      <w:r w:rsidRPr="002A6E99">
        <w:rPr>
          <w:rFonts w:ascii="Arial" w:hAnsi="Arial" w:cs="Arial"/>
          <w:sz w:val="22"/>
          <w:szCs w:val="22"/>
        </w:rPr>
        <w:t>ed</w:t>
      </w:r>
      <w:r w:rsidR="089F3DB7" w:rsidRPr="002A6E99">
        <w:rPr>
          <w:rFonts w:ascii="Arial" w:hAnsi="Arial" w:cs="Arial"/>
          <w:sz w:val="22"/>
          <w:szCs w:val="22"/>
        </w:rPr>
        <w:t xml:space="preserve"> by GP3,</w:t>
      </w:r>
      <w:r w:rsidRPr="002A6E99">
        <w:rPr>
          <w:rFonts w:ascii="Arial" w:hAnsi="Arial" w:cs="Arial"/>
          <w:sz w:val="22"/>
          <w:szCs w:val="22"/>
        </w:rPr>
        <w:t xml:space="preserve"> focus</w:t>
      </w:r>
      <w:r w:rsidR="44E02AA0" w:rsidRPr="4F82A3C2">
        <w:rPr>
          <w:rFonts w:ascii="Arial" w:hAnsi="Arial" w:cs="Arial"/>
          <w:sz w:val="22"/>
          <w:szCs w:val="22"/>
        </w:rPr>
        <w:t>ing</w:t>
      </w:r>
      <w:r w:rsidRPr="002A6E99">
        <w:rPr>
          <w:rFonts w:ascii="Arial" w:hAnsi="Arial" w:cs="Arial"/>
          <w:sz w:val="22"/>
          <w:szCs w:val="22"/>
        </w:rPr>
        <w:t xml:space="preserve"> on financial </w:t>
      </w:r>
      <w:r w:rsidR="08B0F5CF" w:rsidRPr="002A6E99">
        <w:rPr>
          <w:rFonts w:ascii="Arial" w:hAnsi="Arial" w:cs="Arial"/>
          <w:sz w:val="22"/>
          <w:szCs w:val="22"/>
        </w:rPr>
        <w:t xml:space="preserve">flows via the GP </w:t>
      </w:r>
      <w:r w:rsidR="44E02AA0" w:rsidRPr="4F82A3C2">
        <w:rPr>
          <w:rFonts w:ascii="Arial" w:hAnsi="Arial" w:cs="Arial"/>
          <w:sz w:val="22"/>
          <w:szCs w:val="22"/>
        </w:rPr>
        <w:t xml:space="preserve">funding </w:t>
      </w:r>
      <w:r w:rsidR="08B0F5CF" w:rsidRPr="002A6E99">
        <w:rPr>
          <w:rFonts w:ascii="Arial" w:hAnsi="Arial" w:cs="Arial"/>
          <w:sz w:val="22"/>
          <w:szCs w:val="22"/>
        </w:rPr>
        <w:t>pipeline</w:t>
      </w:r>
      <w:r w:rsidRPr="002A6E99">
        <w:rPr>
          <w:rFonts w:ascii="Arial" w:hAnsi="Arial" w:cs="Arial"/>
          <w:sz w:val="22"/>
          <w:szCs w:val="22"/>
        </w:rPr>
        <w:t>.</w:t>
      </w:r>
      <w:r w:rsidR="4D1008EF" w:rsidRPr="002A6E99">
        <w:rPr>
          <w:rStyle w:val="FootnoteReference"/>
          <w:rFonts w:ascii="Arial" w:hAnsi="Arial" w:cs="Arial"/>
          <w:sz w:val="22"/>
          <w:szCs w:val="22"/>
        </w:rPr>
        <w:t xml:space="preserve"> </w:t>
      </w:r>
      <w:r w:rsidR="004F6893" w:rsidRPr="002A6E99">
        <w:rPr>
          <w:rStyle w:val="FootnoteReference"/>
          <w:rFonts w:ascii="Arial" w:hAnsi="Arial" w:cs="Arial"/>
          <w:sz w:val="22"/>
          <w:szCs w:val="22"/>
        </w:rPr>
        <w:footnoteReference w:id="6"/>
      </w:r>
      <w:r w:rsidRPr="002A6E99">
        <w:rPr>
          <w:rFonts w:ascii="Arial" w:hAnsi="Arial" w:cs="Arial"/>
          <w:sz w:val="22"/>
          <w:szCs w:val="22"/>
        </w:rPr>
        <w:t xml:space="preserve"> I</w:t>
      </w:r>
      <w:r w:rsidR="089F3DB7" w:rsidRPr="002A6E99">
        <w:rPr>
          <w:rFonts w:ascii="Arial" w:hAnsi="Arial" w:cs="Arial"/>
          <w:sz w:val="22"/>
          <w:szCs w:val="22"/>
        </w:rPr>
        <w:t xml:space="preserve">t </w:t>
      </w:r>
      <w:r w:rsidR="08B0F5CF" w:rsidRPr="002A6E99">
        <w:rPr>
          <w:rFonts w:ascii="Arial" w:hAnsi="Arial" w:cs="Arial"/>
          <w:sz w:val="22"/>
          <w:szCs w:val="22"/>
        </w:rPr>
        <w:t>was found</w:t>
      </w:r>
      <w:r w:rsidR="089F3DB7" w:rsidRPr="002A6E99">
        <w:rPr>
          <w:rFonts w:ascii="Arial" w:hAnsi="Arial" w:cs="Arial"/>
          <w:sz w:val="22"/>
          <w:szCs w:val="22"/>
        </w:rPr>
        <w:t xml:space="preserve"> that the “priority list” of </w:t>
      </w:r>
      <w:r w:rsidRPr="002A6E99">
        <w:rPr>
          <w:rFonts w:ascii="Arial" w:hAnsi="Arial" w:cs="Arial"/>
          <w:sz w:val="22"/>
          <w:szCs w:val="22"/>
        </w:rPr>
        <w:t xml:space="preserve">30 </w:t>
      </w:r>
      <w:r w:rsidR="089F3DB7" w:rsidRPr="002A6E99">
        <w:rPr>
          <w:rFonts w:ascii="Arial" w:hAnsi="Arial" w:cs="Arial"/>
          <w:sz w:val="22"/>
          <w:szCs w:val="22"/>
        </w:rPr>
        <w:t xml:space="preserve">countries </w:t>
      </w:r>
      <w:r w:rsidR="3A2D0923" w:rsidRPr="002A6E99">
        <w:rPr>
          <w:rFonts w:ascii="Arial" w:hAnsi="Arial" w:cs="Arial"/>
          <w:sz w:val="22"/>
          <w:szCs w:val="22"/>
        </w:rPr>
        <w:t>identified</w:t>
      </w:r>
      <w:r w:rsidR="089F3DB7" w:rsidRPr="002A6E99">
        <w:rPr>
          <w:rFonts w:ascii="Arial" w:hAnsi="Arial" w:cs="Arial"/>
          <w:sz w:val="22"/>
          <w:szCs w:val="22"/>
        </w:rPr>
        <w:t xml:space="preserve"> in the Prodoc</w:t>
      </w:r>
      <w:r w:rsidR="007C7BD4" w:rsidRPr="002A6E99">
        <w:rPr>
          <w:rStyle w:val="FootnoteReference"/>
          <w:rFonts w:ascii="Arial" w:hAnsi="Arial" w:cs="Arial"/>
          <w:sz w:val="22"/>
          <w:szCs w:val="22"/>
        </w:rPr>
        <w:footnoteReference w:id="7"/>
      </w:r>
      <w:r w:rsidR="089F3DB7" w:rsidRPr="002A6E99">
        <w:rPr>
          <w:rFonts w:ascii="Arial" w:hAnsi="Arial" w:cs="Arial"/>
          <w:sz w:val="22"/>
          <w:szCs w:val="22"/>
        </w:rPr>
        <w:t xml:space="preserve"> has been very flexibly </w:t>
      </w:r>
      <w:r w:rsidRPr="002A6E99">
        <w:rPr>
          <w:rFonts w:ascii="Arial" w:hAnsi="Arial" w:cs="Arial"/>
          <w:sz w:val="22"/>
          <w:szCs w:val="22"/>
        </w:rPr>
        <w:t xml:space="preserve">defined and </w:t>
      </w:r>
      <w:r w:rsidR="089F3DB7" w:rsidRPr="002A6E99">
        <w:rPr>
          <w:rFonts w:ascii="Arial" w:hAnsi="Arial" w:cs="Arial"/>
          <w:sz w:val="22"/>
          <w:szCs w:val="22"/>
        </w:rPr>
        <w:t>applied</w:t>
      </w:r>
      <w:r w:rsidRPr="002A6E99">
        <w:rPr>
          <w:rFonts w:ascii="Arial" w:hAnsi="Arial" w:cs="Arial"/>
          <w:sz w:val="22"/>
          <w:szCs w:val="22"/>
        </w:rPr>
        <w:t xml:space="preserve">; in fact, </w:t>
      </w:r>
      <w:r w:rsidR="70AD9188" w:rsidRPr="002A6E99">
        <w:rPr>
          <w:rFonts w:ascii="Arial" w:hAnsi="Arial" w:cs="Arial"/>
          <w:sz w:val="22"/>
          <w:szCs w:val="22"/>
        </w:rPr>
        <w:t xml:space="preserve">between 2017 and 2019 </w:t>
      </w:r>
      <w:r w:rsidR="08B0F5CF" w:rsidRPr="00231E0A">
        <w:rPr>
          <w:rFonts w:ascii="Arial" w:hAnsi="Arial" w:cs="Arial"/>
          <w:sz w:val="22"/>
          <w:szCs w:val="22"/>
        </w:rPr>
        <w:t>about</w:t>
      </w:r>
      <w:r w:rsidR="2ECD03E8" w:rsidRPr="00231E0A">
        <w:rPr>
          <w:rFonts w:ascii="Arial" w:hAnsi="Arial" w:cs="Arial"/>
          <w:sz w:val="22"/>
          <w:szCs w:val="22"/>
        </w:rPr>
        <w:t xml:space="preserve"> one-third</w:t>
      </w:r>
      <w:r w:rsidRPr="00231E0A">
        <w:rPr>
          <w:rFonts w:ascii="Arial" w:hAnsi="Arial" w:cs="Arial"/>
          <w:sz w:val="22"/>
          <w:szCs w:val="22"/>
        </w:rPr>
        <w:t xml:space="preserve"> of </w:t>
      </w:r>
      <w:r w:rsidR="08B0F5CF" w:rsidRPr="00231E0A">
        <w:rPr>
          <w:rFonts w:ascii="Arial" w:hAnsi="Arial" w:cs="Arial"/>
          <w:sz w:val="22"/>
          <w:szCs w:val="22"/>
        </w:rPr>
        <w:t xml:space="preserve">GP </w:t>
      </w:r>
      <w:r w:rsidR="6DF31833" w:rsidRPr="00231E0A">
        <w:rPr>
          <w:rFonts w:ascii="Arial" w:hAnsi="Arial" w:cs="Arial"/>
          <w:sz w:val="22"/>
          <w:szCs w:val="22"/>
        </w:rPr>
        <w:t xml:space="preserve">pipeline </w:t>
      </w:r>
      <w:r w:rsidRPr="00231E0A">
        <w:rPr>
          <w:rFonts w:ascii="Arial" w:hAnsi="Arial" w:cs="Arial"/>
          <w:sz w:val="22"/>
          <w:szCs w:val="22"/>
        </w:rPr>
        <w:t xml:space="preserve">funding to country </w:t>
      </w:r>
      <w:r w:rsidR="08B0F5CF" w:rsidRPr="00231E0A">
        <w:rPr>
          <w:rFonts w:ascii="Arial" w:hAnsi="Arial" w:cs="Arial"/>
          <w:sz w:val="22"/>
          <w:szCs w:val="22"/>
        </w:rPr>
        <w:t>offices</w:t>
      </w:r>
      <w:r w:rsidRPr="00231E0A">
        <w:rPr>
          <w:rFonts w:ascii="Arial" w:hAnsi="Arial" w:cs="Arial"/>
          <w:sz w:val="22"/>
          <w:szCs w:val="22"/>
        </w:rPr>
        <w:t xml:space="preserve"> </w:t>
      </w:r>
      <w:r w:rsidR="70AD9188" w:rsidRPr="00231E0A">
        <w:rPr>
          <w:rFonts w:ascii="Arial" w:hAnsi="Arial" w:cs="Arial"/>
          <w:sz w:val="22"/>
          <w:szCs w:val="22"/>
        </w:rPr>
        <w:t>was</w:t>
      </w:r>
      <w:r w:rsidRPr="00231E0A">
        <w:rPr>
          <w:rFonts w:ascii="Arial" w:hAnsi="Arial" w:cs="Arial"/>
          <w:sz w:val="22"/>
          <w:szCs w:val="22"/>
        </w:rPr>
        <w:t xml:space="preserve"> allocated to </w:t>
      </w:r>
      <w:r w:rsidR="007C7BD4" w:rsidRPr="4F82A3C2">
        <w:rPr>
          <w:rFonts w:ascii="Arial" w:hAnsi="Arial" w:cs="Arial"/>
          <w:sz w:val="22"/>
          <w:szCs w:val="22"/>
        </w:rPr>
        <w:t>18</w:t>
      </w:r>
      <w:r w:rsidR="08B0F5CF" w:rsidRPr="00231E0A">
        <w:rPr>
          <w:rFonts w:ascii="Arial" w:hAnsi="Arial" w:cs="Arial"/>
          <w:sz w:val="22"/>
          <w:szCs w:val="22"/>
        </w:rPr>
        <w:t xml:space="preserve"> </w:t>
      </w:r>
      <w:r w:rsidRPr="00231E0A">
        <w:rPr>
          <w:rFonts w:ascii="Arial" w:hAnsi="Arial" w:cs="Arial"/>
          <w:sz w:val="22"/>
          <w:szCs w:val="22"/>
        </w:rPr>
        <w:t>countries not on that list</w:t>
      </w:r>
      <w:r w:rsidR="08B0F5CF" w:rsidRPr="00231E0A">
        <w:rPr>
          <w:rFonts w:ascii="Arial" w:hAnsi="Arial" w:cs="Arial"/>
          <w:sz w:val="22"/>
          <w:szCs w:val="22"/>
        </w:rPr>
        <w:t xml:space="preserve">, and </w:t>
      </w:r>
      <w:r w:rsidR="008837C2">
        <w:rPr>
          <w:rFonts w:ascii="Arial" w:hAnsi="Arial" w:cs="Arial"/>
          <w:sz w:val="22"/>
          <w:szCs w:val="22"/>
        </w:rPr>
        <w:t>four</w:t>
      </w:r>
      <w:r w:rsidR="2EF6E485" w:rsidRPr="4F82A3C2">
        <w:rPr>
          <w:rFonts w:ascii="Arial" w:hAnsi="Arial" w:cs="Arial"/>
          <w:sz w:val="22"/>
          <w:szCs w:val="22"/>
        </w:rPr>
        <w:t xml:space="preserve"> </w:t>
      </w:r>
      <w:r w:rsidR="08B0F5CF" w:rsidRPr="00231E0A">
        <w:rPr>
          <w:rFonts w:ascii="Arial" w:hAnsi="Arial" w:cs="Arial"/>
          <w:sz w:val="22"/>
          <w:szCs w:val="22"/>
        </w:rPr>
        <w:t xml:space="preserve">priority countries were not funded </w:t>
      </w:r>
      <w:r w:rsidR="4D1008EF" w:rsidRPr="00231E0A">
        <w:rPr>
          <w:rFonts w:ascii="Arial" w:hAnsi="Arial" w:cs="Arial"/>
          <w:sz w:val="22"/>
          <w:szCs w:val="22"/>
        </w:rPr>
        <w:t>at all in the 2016-19 period under evaluation</w:t>
      </w:r>
      <w:r w:rsidRPr="00231E0A">
        <w:rPr>
          <w:rFonts w:ascii="Arial" w:hAnsi="Arial" w:cs="Arial"/>
          <w:color w:val="2B579A"/>
          <w:sz w:val="22"/>
          <w:szCs w:val="22"/>
        </w:rPr>
        <w:t>.</w:t>
      </w:r>
      <w:r w:rsidR="004F6893" w:rsidRPr="00231E0A">
        <w:rPr>
          <w:rStyle w:val="FootnoteReference"/>
          <w:rFonts w:ascii="Arial" w:hAnsi="Arial" w:cs="Arial"/>
          <w:sz w:val="22"/>
          <w:szCs w:val="22"/>
        </w:rPr>
        <w:footnoteReference w:id="8"/>
      </w:r>
      <w:r w:rsidRPr="00231E0A">
        <w:rPr>
          <w:rFonts w:ascii="Arial" w:hAnsi="Arial" w:cs="Arial"/>
          <w:sz w:val="22"/>
          <w:szCs w:val="22"/>
        </w:rPr>
        <w:t xml:space="preserve"> </w:t>
      </w:r>
      <w:r w:rsidR="589BE064" w:rsidRPr="00231E0A">
        <w:rPr>
          <w:rFonts w:ascii="Arial" w:hAnsi="Arial" w:cs="Arial"/>
          <w:sz w:val="22"/>
          <w:szCs w:val="22"/>
        </w:rPr>
        <w:t xml:space="preserve">Interviewees on the ROLSHR team pointed out that a defined priority list </w:t>
      </w:r>
      <w:r w:rsidR="496F77ED" w:rsidRPr="00231E0A">
        <w:rPr>
          <w:rFonts w:ascii="Arial" w:hAnsi="Arial" w:cs="Arial"/>
          <w:sz w:val="22"/>
          <w:szCs w:val="22"/>
        </w:rPr>
        <w:t>was appealing to donors</w:t>
      </w:r>
      <w:r w:rsidR="496F77ED" w:rsidRPr="002A6E99">
        <w:rPr>
          <w:rFonts w:ascii="Arial" w:hAnsi="Arial" w:cs="Arial"/>
          <w:sz w:val="22"/>
          <w:szCs w:val="22"/>
        </w:rPr>
        <w:t xml:space="preserve"> and </w:t>
      </w:r>
      <w:r w:rsidR="589BE064" w:rsidRPr="002A6E99">
        <w:rPr>
          <w:rFonts w:ascii="Arial" w:hAnsi="Arial" w:cs="Arial"/>
          <w:sz w:val="22"/>
          <w:szCs w:val="22"/>
        </w:rPr>
        <w:t>allowed the Programme to report GP indicator results for a fixed set of countries throughout Phase 3, while the flexible approach to targeting meant that the Programme was able to support whichever contexts were deemed appropriate at a particular point in time.</w:t>
      </w:r>
      <w:r w:rsidR="00562429" w:rsidRPr="002A6E99">
        <w:rPr>
          <w:rStyle w:val="FootnoteReference"/>
          <w:rFonts w:ascii="Arial" w:hAnsi="Arial" w:cs="Arial"/>
          <w:sz w:val="22"/>
          <w:szCs w:val="22"/>
        </w:rPr>
        <w:footnoteReference w:id="9"/>
      </w:r>
      <w:r w:rsidR="589BE064" w:rsidRPr="002A6E99">
        <w:rPr>
          <w:rFonts w:ascii="Arial" w:hAnsi="Arial" w:cs="Arial"/>
          <w:sz w:val="22"/>
          <w:szCs w:val="22"/>
        </w:rPr>
        <w:t xml:space="preserve"> </w:t>
      </w:r>
      <w:r w:rsidR="00465763">
        <w:rPr>
          <w:rFonts w:ascii="Arial" w:hAnsi="Arial" w:cs="Arial"/>
          <w:sz w:val="22"/>
          <w:szCs w:val="22"/>
        </w:rPr>
        <w:t>Some informants</w:t>
      </w:r>
      <w:r w:rsidR="00465763" w:rsidRPr="002A6E99">
        <w:rPr>
          <w:rFonts w:ascii="Arial" w:hAnsi="Arial" w:cs="Arial"/>
          <w:sz w:val="22"/>
          <w:szCs w:val="22"/>
        </w:rPr>
        <w:t xml:space="preserve"> </w:t>
      </w:r>
      <w:r w:rsidR="496F77ED" w:rsidRPr="002A6E99">
        <w:rPr>
          <w:rFonts w:ascii="Arial" w:hAnsi="Arial" w:cs="Arial"/>
          <w:sz w:val="22"/>
          <w:szCs w:val="22"/>
        </w:rPr>
        <w:t>from outside the team</w:t>
      </w:r>
      <w:r w:rsidR="2E58ADE5" w:rsidRPr="002A6E99">
        <w:rPr>
          <w:rFonts w:ascii="Arial" w:hAnsi="Arial" w:cs="Arial"/>
          <w:sz w:val="22"/>
          <w:szCs w:val="22"/>
        </w:rPr>
        <w:t xml:space="preserve"> indicated that this made it difficult for UNDP </w:t>
      </w:r>
      <w:r w:rsidR="6CEA4051">
        <w:rPr>
          <w:rFonts w:ascii="Arial" w:hAnsi="Arial" w:cs="Arial"/>
          <w:sz w:val="22"/>
          <w:szCs w:val="22"/>
        </w:rPr>
        <w:t>COs</w:t>
      </w:r>
      <w:r w:rsidR="2E58ADE5" w:rsidRPr="002A6E99">
        <w:rPr>
          <w:rFonts w:ascii="Arial" w:hAnsi="Arial" w:cs="Arial"/>
          <w:sz w:val="22"/>
          <w:szCs w:val="22"/>
        </w:rPr>
        <w:t xml:space="preserve"> and other stakeholders to know which countries were eligible for GP support</w:t>
      </w:r>
      <w:r w:rsidR="6CEA4051">
        <w:rPr>
          <w:rFonts w:ascii="Arial" w:hAnsi="Arial" w:cs="Arial"/>
          <w:sz w:val="22"/>
          <w:szCs w:val="22"/>
        </w:rPr>
        <w:t xml:space="preserve"> at any given time</w:t>
      </w:r>
      <w:r w:rsidR="2E58ADE5" w:rsidRPr="002A6E99">
        <w:rPr>
          <w:rFonts w:ascii="Arial" w:hAnsi="Arial" w:cs="Arial"/>
          <w:sz w:val="22"/>
          <w:szCs w:val="22"/>
        </w:rPr>
        <w:t xml:space="preserve">. </w:t>
      </w:r>
    </w:p>
    <w:p w14:paraId="50E435D3" w14:textId="6498548A" w:rsidR="005A2415" w:rsidRPr="002A6E99" w:rsidRDefault="007C7BD4" w:rsidP="005A5C13">
      <w:pPr>
        <w:spacing w:line="240" w:lineRule="auto"/>
        <w:rPr>
          <w:rFonts w:ascii="Arial" w:hAnsi="Arial" w:cs="Arial"/>
          <w:sz w:val="22"/>
          <w:szCs w:val="22"/>
        </w:rPr>
      </w:pPr>
      <w:r w:rsidRPr="410C252A">
        <w:rPr>
          <w:rFonts w:ascii="Arial" w:hAnsi="Arial" w:cs="Arial"/>
          <w:sz w:val="22"/>
          <w:szCs w:val="22"/>
        </w:rPr>
        <w:t xml:space="preserve">Although the GP’s </w:t>
      </w:r>
      <w:r w:rsidRPr="410C252A">
        <w:rPr>
          <w:rFonts w:ascii="Arial" w:hAnsi="Arial" w:cs="Arial"/>
          <w:i/>
          <w:iCs/>
          <w:sz w:val="22"/>
          <w:szCs w:val="22"/>
        </w:rPr>
        <w:t>Guidelines on Funding Allocations 2020</w:t>
      </w:r>
      <w:r w:rsidRPr="410C252A">
        <w:rPr>
          <w:rFonts w:ascii="Arial" w:hAnsi="Arial" w:cs="Arial"/>
          <w:sz w:val="22"/>
          <w:szCs w:val="22"/>
        </w:rPr>
        <w:t xml:space="preserve"> specify that </w:t>
      </w:r>
      <w:r w:rsidRPr="410C252A">
        <w:rPr>
          <w:rFonts w:ascii="Arial" w:hAnsi="Arial" w:cs="Arial"/>
          <w:color w:val="000000" w:themeColor="text1"/>
          <w:sz w:val="22"/>
          <w:szCs w:val="22"/>
        </w:rPr>
        <w:t xml:space="preserve">all countries/contexts receiving funding from the Global Programme </w:t>
      </w:r>
      <w:r w:rsidRPr="410C252A">
        <w:rPr>
          <w:rFonts w:ascii="Arial" w:hAnsi="Arial" w:cs="Arial"/>
          <w:color w:val="000000" w:themeColor="text1"/>
          <w:sz w:val="22"/>
          <w:szCs w:val="22"/>
          <w:u w:val="single"/>
        </w:rPr>
        <w:t>must</w:t>
      </w:r>
      <w:r w:rsidRPr="410C252A">
        <w:rPr>
          <w:rFonts w:ascii="Arial" w:hAnsi="Arial" w:cs="Arial"/>
          <w:color w:val="000000" w:themeColor="text1"/>
          <w:sz w:val="22"/>
          <w:szCs w:val="22"/>
        </w:rPr>
        <w:t xml:space="preserve"> be considered fragile or crisis-affected, </w:t>
      </w:r>
      <w:r w:rsidR="00666058" w:rsidRPr="410C252A">
        <w:rPr>
          <w:rFonts w:ascii="Arial" w:hAnsi="Arial" w:cs="Arial"/>
          <w:sz w:val="22"/>
          <w:szCs w:val="22"/>
        </w:rPr>
        <w:t>those terms are no</w:t>
      </w:r>
      <w:r w:rsidR="00035EAD" w:rsidRPr="410C252A">
        <w:rPr>
          <w:rFonts w:ascii="Arial" w:hAnsi="Arial" w:cs="Arial"/>
          <w:sz w:val="22"/>
          <w:szCs w:val="22"/>
        </w:rPr>
        <w:t>where</w:t>
      </w:r>
      <w:r w:rsidR="00666058" w:rsidRPr="410C252A">
        <w:rPr>
          <w:rFonts w:ascii="Arial" w:hAnsi="Arial" w:cs="Arial"/>
          <w:sz w:val="22"/>
          <w:szCs w:val="22"/>
        </w:rPr>
        <w:t xml:space="preserve"> defined, and </w:t>
      </w:r>
      <w:r w:rsidR="00666058" w:rsidRPr="410C252A">
        <w:rPr>
          <w:rFonts w:ascii="Arial" w:hAnsi="Arial" w:cs="Arial"/>
          <w:color w:val="000000" w:themeColor="text1"/>
          <w:sz w:val="22"/>
          <w:szCs w:val="22"/>
        </w:rPr>
        <w:t xml:space="preserve">the </w:t>
      </w:r>
      <w:r w:rsidR="00666058" w:rsidRPr="00D45F35">
        <w:rPr>
          <w:rFonts w:ascii="Arial" w:hAnsi="Arial" w:cs="Arial"/>
          <w:color w:val="000000" w:themeColor="text1"/>
          <w:sz w:val="22"/>
          <w:szCs w:val="22"/>
        </w:rPr>
        <w:t>degree</w:t>
      </w:r>
      <w:r w:rsidR="00666058" w:rsidRPr="410C252A">
        <w:rPr>
          <w:rFonts w:ascii="Arial" w:hAnsi="Arial" w:cs="Arial"/>
          <w:color w:val="000000" w:themeColor="text1"/>
          <w:sz w:val="22"/>
          <w:szCs w:val="22"/>
        </w:rPr>
        <w:t xml:space="preserve"> of </w:t>
      </w:r>
      <w:r w:rsidR="00011887" w:rsidRPr="410C252A">
        <w:rPr>
          <w:rFonts w:ascii="Arial" w:hAnsi="Arial" w:cs="Arial"/>
          <w:color w:val="000000" w:themeColor="text1"/>
          <w:sz w:val="22"/>
          <w:szCs w:val="22"/>
        </w:rPr>
        <w:t xml:space="preserve">relative </w:t>
      </w:r>
      <w:r w:rsidR="00666058" w:rsidRPr="410C252A">
        <w:rPr>
          <w:rFonts w:ascii="Arial" w:hAnsi="Arial" w:cs="Arial"/>
          <w:color w:val="000000" w:themeColor="text1"/>
          <w:sz w:val="22"/>
          <w:szCs w:val="22"/>
        </w:rPr>
        <w:t>fragility or stability does not appear to be considered</w:t>
      </w:r>
      <w:r w:rsidR="005A10F6" w:rsidRPr="410C252A">
        <w:rPr>
          <w:rFonts w:ascii="Arial" w:hAnsi="Arial" w:cs="Arial"/>
          <w:color w:val="000000" w:themeColor="text1"/>
          <w:sz w:val="22"/>
          <w:szCs w:val="22"/>
        </w:rPr>
        <w:t xml:space="preserve"> in the </w:t>
      </w:r>
      <w:r w:rsidR="003D76A2">
        <w:rPr>
          <w:rFonts w:ascii="Arial" w:hAnsi="Arial" w:cs="Arial"/>
          <w:color w:val="000000" w:themeColor="text1"/>
          <w:sz w:val="22"/>
          <w:szCs w:val="22"/>
        </w:rPr>
        <w:t xml:space="preserve">pipeline </w:t>
      </w:r>
      <w:r w:rsidR="005A10F6" w:rsidRPr="410C252A">
        <w:rPr>
          <w:rFonts w:ascii="Arial" w:hAnsi="Arial" w:cs="Arial"/>
          <w:color w:val="000000" w:themeColor="text1"/>
          <w:sz w:val="22"/>
          <w:szCs w:val="22"/>
        </w:rPr>
        <w:t>allocation process</w:t>
      </w:r>
      <w:r w:rsidR="00666058" w:rsidRPr="410C252A">
        <w:rPr>
          <w:rFonts w:ascii="Arial" w:hAnsi="Arial" w:cs="Arial"/>
          <w:color w:val="000000" w:themeColor="text1"/>
          <w:sz w:val="22"/>
          <w:szCs w:val="22"/>
        </w:rPr>
        <w:t xml:space="preserve">. </w:t>
      </w:r>
      <w:r w:rsidR="00465763">
        <w:rPr>
          <w:rFonts w:ascii="Arial" w:hAnsi="Arial" w:cs="Arial"/>
          <w:color w:val="000000" w:themeColor="text1"/>
          <w:sz w:val="22"/>
          <w:szCs w:val="22"/>
        </w:rPr>
        <w:t>However, the GP management team indicated that all countries funded by the GP from 2016-19</w:t>
      </w:r>
      <w:r w:rsidR="008A227B">
        <w:rPr>
          <w:rFonts w:ascii="Arial" w:hAnsi="Arial" w:cs="Arial"/>
          <w:color w:val="000000" w:themeColor="text1"/>
          <w:sz w:val="22"/>
          <w:szCs w:val="22"/>
        </w:rPr>
        <w:t xml:space="preserve"> demonstrated some degree of fragility, crisis or conflict.</w:t>
      </w:r>
      <w:r w:rsidR="00465763">
        <w:rPr>
          <w:rFonts w:ascii="Arial" w:hAnsi="Arial" w:cs="Arial"/>
          <w:color w:val="000000" w:themeColor="text1"/>
          <w:sz w:val="22"/>
          <w:szCs w:val="22"/>
        </w:rPr>
        <w:t xml:space="preserve"> </w:t>
      </w:r>
      <w:r w:rsidR="00596BF2" w:rsidRPr="410C252A">
        <w:rPr>
          <w:rFonts w:ascii="Arial" w:hAnsi="Arial" w:cs="Arial"/>
          <w:color w:val="000000" w:themeColor="text1"/>
          <w:sz w:val="22"/>
          <w:szCs w:val="22"/>
        </w:rPr>
        <w:t>Some informants raised the concern that contexts with a high level of societal violence are</w:t>
      </w:r>
      <w:r w:rsidR="00892A20" w:rsidRPr="410C252A">
        <w:rPr>
          <w:rFonts w:ascii="Arial" w:hAnsi="Arial" w:cs="Arial"/>
          <w:color w:val="000000" w:themeColor="text1"/>
          <w:sz w:val="22"/>
          <w:szCs w:val="22"/>
        </w:rPr>
        <w:t xml:space="preserve"> not adequately taken into account by the GP focus to date on post-conflict or conflict</w:t>
      </w:r>
      <w:r w:rsidR="00035EAD" w:rsidRPr="410C252A">
        <w:rPr>
          <w:rFonts w:ascii="Arial" w:hAnsi="Arial" w:cs="Arial"/>
          <w:color w:val="000000" w:themeColor="text1"/>
          <w:sz w:val="22"/>
          <w:szCs w:val="22"/>
        </w:rPr>
        <w:t>-prone</w:t>
      </w:r>
      <w:r w:rsidR="009F7603" w:rsidRPr="410C252A">
        <w:rPr>
          <w:rFonts w:ascii="Arial" w:hAnsi="Arial" w:cs="Arial"/>
          <w:color w:val="000000" w:themeColor="text1"/>
          <w:sz w:val="22"/>
          <w:szCs w:val="22"/>
        </w:rPr>
        <w:t xml:space="preserve"> country settings</w:t>
      </w:r>
      <w:r w:rsidR="003534FA" w:rsidRPr="410C252A">
        <w:rPr>
          <w:rFonts w:ascii="Arial" w:hAnsi="Arial" w:cs="Arial"/>
          <w:color w:val="000000" w:themeColor="text1"/>
          <w:sz w:val="22"/>
          <w:szCs w:val="22"/>
        </w:rPr>
        <w:t>, and geographic areas outside of sub-Saharan Africa receive less attention due to earmarking of funds by GP donors (</w:t>
      </w:r>
      <w:r w:rsidR="0008675B" w:rsidRPr="410C252A">
        <w:rPr>
          <w:rFonts w:ascii="Arial" w:hAnsi="Arial" w:cs="Arial"/>
          <w:color w:val="000000" w:themeColor="text1"/>
          <w:sz w:val="22"/>
          <w:szCs w:val="22"/>
        </w:rPr>
        <w:t>as</w:t>
      </w:r>
      <w:r w:rsidR="003534FA" w:rsidRPr="410C252A">
        <w:rPr>
          <w:rFonts w:ascii="Arial" w:hAnsi="Arial" w:cs="Arial"/>
          <w:color w:val="000000" w:themeColor="text1"/>
          <w:sz w:val="22"/>
          <w:szCs w:val="22"/>
        </w:rPr>
        <w:t xml:space="preserve"> discussed under Sustainability)</w:t>
      </w:r>
      <w:r w:rsidR="00892A20" w:rsidRPr="410C252A">
        <w:rPr>
          <w:rFonts w:ascii="Arial" w:hAnsi="Arial" w:cs="Arial"/>
          <w:color w:val="000000" w:themeColor="text1"/>
          <w:sz w:val="22"/>
          <w:szCs w:val="22"/>
        </w:rPr>
        <w:t xml:space="preserve">. </w:t>
      </w:r>
    </w:p>
    <w:p w14:paraId="446A26A5" w14:textId="62E2C111" w:rsidR="00A97443" w:rsidRPr="002A6E99" w:rsidRDefault="00B2274D" w:rsidP="005A5C13">
      <w:pPr>
        <w:spacing w:line="240" w:lineRule="auto"/>
        <w:rPr>
          <w:rFonts w:ascii="Arial" w:hAnsi="Arial" w:cs="Arial"/>
          <w:sz w:val="22"/>
          <w:szCs w:val="22"/>
        </w:rPr>
      </w:pPr>
      <w:r w:rsidRPr="002A6E99">
        <w:rPr>
          <w:rFonts w:ascii="Arial" w:hAnsi="Arial" w:cs="Arial"/>
          <w:sz w:val="22"/>
          <w:szCs w:val="22"/>
        </w:rPr>
        <w:t xml:space="preserve">The evaluators found substantial primary and secondary data </w:t>
      </w:r>
      <w:r w:rsidR="00A97443" w:rsidRPr="002A6E99">
        <w:rPr>
          <w:rFonts w:ascii="Arial" w:hAnsi="Arial" w:cs="Arial"/>
          <w:sz w:val="22"/>
          <w:szCs w:val="22"/>
        </w:rPr>
        <w:t>indicating</w:t>
      </w:r>
      <w:r w:rsidRPr="002A6E99">
        <w:rPr>
          <w:rFonts w:ascii="Arial" w:hAnsi="Arial" w:cs="Arial"/>
          <w:sz w:val="22"/>
          <w:szCs w:val="22"/>
        </w:rPr>
        <w:t xml:space="preserve"> that GP3 has helped UNDP to position itself in a leading role in the niche of ROLSHR, and to sustain donor attention on the sector. </w:t>
      </w:r>
      <w:r w:rsidR="00CA0CCA" w:rsidRPr="002A6E99">
        <w:rPr>
          <w:rFonts w:ascii="Arial" w:hAnsi="Arial" w:cs="Arial"/>
          <w:sz w:val="22"/>
          <w:szCs w:val="22"/>
        </w:rPr>
        <w:t xml:space="preserve">At the same time, </w:t>
      </w:r>
      <w:r w:rsidR="00A97443" w:rsidRPr="002A6E99">
        <w:rPr>
          <w:rFonts w:ascii="Arial" w:hAnsi="Arial" w:cs="Arial"/>
          <w:sz w:val="22"/>
          <w:szCs w:val="22"/>
        </w:rPr>
        <w:t xml:space="preserve">informants in several UN entities cautioned that this central position could be at risk if UNDP does not </w:t>
      </w:r>
      <w:r w:rsidR="00035EAD">
        <w:rPr>
          <w:rFonts w:ascii="Arial" w:hAnsi="Arial" w:cs="Arial"/>
          <w:sz w:val="22"/>
          <w:szCs w:val="22"/>
        </w:rPr>
        <w:t xml:space="preserve">proactively </w:t>
      </w:r>
      <w:r w:rsidR="00A97443" w:rsidRPr="002A6E99">
        <w:rPr>
          <w:rFonts w:ascii="Arial" w:hAnsi="Arial" w:cs="Arial"/>
          <w:sz w:val="22"/>
          <w:szCs w:val="22"/>
        </w:rPr>
        <w:t xml:space="preserve">capitalize on </w:t>
      </w:r>
      <w:r w:rsidRPr="002A6E99">
        <w:rPr>
          <w:rFonts w:ascii="Arial" w:hAnsi="Arial" w:cs="Arial"/>
          <w:sz w:val="22"/>
          <w:szCs w:val="22"/>
        </w:rPr>
        <w:t xml:space="preserve">opportunities </w:t>
      </w:r>
      <w:r w:rsidR="00A97443" w:rsidRPr="002A6E99">
        <w:rPr>
          <w:rFonts w:ascii="Arial" w:hAnsi="Arial" w:cs="Arial"/>
          <w:sz w:val="22"/>
          <w:szCs w:val="22"/>
        </w:rPr>
        <w:t xml:space="preserve">for greater synergy with other bodies, </w:t>
      </w:r>
      <w:r w:rsidR="0077793F" w:rsidRPr="002A6E99">
        <w:rPr>
          <w:rFonts w:ascii="Arial" w:hAnsi="Arial" w:cs="Arial"/>
          <w:sz w:val="22"/>
          <w:szCs w:val="22"/>
        </w:rPr>
        <w:t>such as the Peacebuilding Fund and</w:t>
      </w:r>
      <w:r w:rsidR="00A97443" w:rsidRPr="002A6E99">
        <w:rPr>
          <w:rFonts w:ascii="Arial" w:hAnsi="Arial" w:cs="Arial"/>
          <w:sz w:val="22"/>
          <w:szCs w:val="22"/>
        </w:rPr>
        <w:t xml:space="preserve"> the World Bank</w:t>
      </w:r>
      <w:r w:rsidR="0077793F" w:rsidRPr="002A6E99">
        <w:rPr>
          <w:rFonts w:ascii="Arial" w:hAnsi="Arial" w:cs="Arial"/>
          <w:sz w:val="22"/>
          <w:szCs w:val="22"/>
        </w:rPr>
        <w:t>. The World Bank</w:t>
      </w:r>
      <w:r w:rsidR="00A97443" w:rsidRPr="002A6E99">
        <w:rPr>
          <w:rFonts w:ascii="Arial" w:hAnsi="Arial" w:cs="Arial"/>
          <w:sz w:val="22"/>
          <w:szCs w:val="22"/>
        </w:rPr>
        <w:t xml:space="preserve"> is seen as expanding its presence in the ROLSHR sector</w:t>
      </w:r>
      <w:r w:rsidR="00035EAD">
        <w:rPr>
          <w:rFonts w:ascii="Arial" w:hAnsi="Arial" w:cs="Arial"/>
          <w:sz w:val="22"/>
          <w:szCs w:val="22"/>
        </w:rPr>
        <w:t>,</w:t>
      </w:r>
      <w:r w:rsidR="0077793F" w:rsidRPr="002A6E99">
        <w:rPr>
          <w:rFonts w:ascii="Arial" w:hAnsi="Arial" w:cs="Arial"/>
          <w:sz w:val="22"/>
          <w:szCs w:val="22"/>
        </w:rPr>
        <w:t xml:space="preserve"> </w:t>
      </w:r>
      <w:r w:rsidR="000B72DF" w:rsidRPr="002A6E99">
        <w:rPr>
          <w:rFonts w:ascii="Arial" w:hAnsi="Arial" w:cs="Arial"/>
          <w:sz w:val="22"/>
          <w:szCs w:val="22"/>
        </w:rPr>
        <w:t>including</w:t>
      </w:r>
      <w:r w:rsidR="00A97443" w:rsidRPr="002A6E99">
        <w:rPr>
          <w:rFonts w:ascii="Arial" w:hAnsi="Arial" w:cs="Arial"/>
          <w:sz w:val="22"/>
          <w:szCs w:val="22"/>
        </w:rPr>
        <w:t xml:space="preserve"> </w:t>
      </w:r>
      <w:r w:rsidR="00035EAD">
        <w:rPr>
          <w:rFonts w:ascii="Arial" w:hAnsi="Arial" w:cs="Arial"/>
          <w:sz w:val="22"/>
          <w:szCs w:val="22"/>
        </w:rPr>
        <w:t xml:space="preserve">significant </w:t>
      </w:r>
      <w:r w:rsidR="00A97443" w:rsidRPr="002A6E99">
        <w:rPr>
          <w:rFonts w:ascii="Arial" w:hAnsi="Arial" w:cs="Arial"/>
          <w:sz w:val="22"/>
          <w:szCs w:val="22"/>
        </w:rPr>
        <w:t xml:space="preserve">related research and policy on the global level, while </w:t>
      </w:r>
      <w:r w:rsidR="000B72DF" w:rsidRPr="002A6E99">
        <w:rPr>
          <w:rFonts w:ascii="Arial" w:hAnsi="Arial" w:cs="Arial"/>
          <w:sz w:val="22"/>
          <w:szCs w:val="22"/>
        </w:rPr>
        <w:t xml:space="preserve">the </w:t>
      </w:r>
      <w:r w:rsidR="00A97443" w:rsidRPr="002A6E99">
        <w:rPr>
          <w:rFonts w:ascii="Arial" w:hAnsi="Arial" w:cs="Arial"/>
          <w:sz w:val="22"/>
          <w:szCs w:val="22"/>
        </w:rPr>
        <w:t xml:space="preserve">UNDP </w:t>
      </w:r>
      <w:r w:rsidR="000B72DF" w:rsidRPr="002A6E99">
        <w:rPr>
          <w:rFonts w:ascii="Arial" w:hAnsi="Arial" w:cs="Arial"/>
          <w:sz w:val="22"/>
          <w:szCs w:val="22"/>
        </w:rPr>
        <w:t xml:space="preserve">ROLSHR team </w:t>
      </w:r>
      <w:r w:rsidR="00A97443" w:rsidRPr="002A6E99">
        <w:rPr>
          <w:rFonts w:ascii="Arial" w:hAnsi="Arial" w:cs="Arial"/>
          <w:sz w:val="22"/>
          <w:szCs w:val="22"/>
        </w:rPr>
        <w:t>(including GP) appears to have reduced its attention in this area</w:t>
      </w:r>
      <w:r w:rsidR="000B72DF" w:rsidRPr="002A6E99">
        <w:rPr>
          <w:rFonts w:ascii="Arial" w:hAnsi="Arial" w:cs="Arial"/>
          <w:sz w:val="22"/>
          <w:szCs w:val="22"/>
        </w:rPr>
        <w:t>; multiple external</w:t>
      </w:r>
      <w:r w:rsidR="0077793F" w:rsidRPr="002A6E99">
        <w:rPr>
          <w:rFonts w:ascii="Arial" w:hAnsi="Arial" w:cs="Arial"/>
          <w:sz w:val="22"/>
          <w:szCs w:val="22"/>
        </w:rPr>
        <w:t xml:space="preserve"> </w:t>
      </w:r>
      <w:r w:rsidR="000B72DF" w:rsidRPr="002A6E99">
        <w:rPr>
          <w:rFonts w:ascii="Arial" w:hAnsi="Arial" w:cs="Arial"/>
          <w:sz w:val="22"/>
          <w:szCs w:val="22"/>
        </w:rPr>
        <w:t>informants expressed</w:t>
      </w:r>
      <w:r w:rsidR="0077793F" w:rsidRPr="002A6E99">
        <w:rPr>
          <w:rFonts w:ascii="Arial" w:hAnsi="Arial" w:cs="Arial"/>
          <w:sz w:val="22"/>
          <w:szCs w:val="22"/>
        </w:rPr>
        <w:t xml:space="preserve"> </w:t>
      </w:r>
      <w:r w:rsidR="00F60753" w:rsidRPr="002A6E99">
        <w:rPr>
          <w:rFonts w:ascii="Arial" w:hAnsi="Arial" w:cs="Arial"/>
          <w:sz w:val="22"/>
          <w:szCs w:val="22"/>
        </w:rPr>
        <w:t>doubt</w:t>
      </w:r>
      <w:r w:rsidR="000B72DF" w:rsidRPr="002A6E99">
        <w:rPr>
          <w:rFonts w:ascii="Arial" w:hAnsi="Arial" w:cs="Arial"/>
          <w:sz w:val="22"/>
          <w:szCs w:val="22"/>
        </w:rPr>
        <w:t>s</w:t>
      </w:r>
      <w:r w:rsidR="00F60753" w:rsidRPr="002A6E99">
        <w:rPr>
          <w:rFonts w:ascii="Arial" w:hAnsi="Arial" w:cs="Arial"/>
          <w:sz w:val="22"/>
          <w:szCs w:val="22"/>
        </w:rPr>
        <w:t xml:space="preserve"> </w:t>
      </w:r>
      <w:r w:rsidR="000B72DF" w:rsidRPr="002A6E99">
        <w:rPr>
          <w:rFonts w:ascii="Arial" w:hAnsi="Arial" w:cs="Arial"/>
          <w:sz w:val="22"/>
          <w:szCs w:val="22"/>
        </w:rPr>
        <w:t>about UNDP’s</w:t>
      </w:r>
      <w:r w:rsidR="00F60753" w:rsidRPr="002A6E99">
        <w:rPr>
          <w:rFonts w:ascii="Arial" w:hAnsi="Arial" w:cs="Arial"/>
          <w:sz w:val="22"/>
          <w:szCs w:val="22"/>
        </w:rPr>
        <w:t xml:space="preserve"> continued</w:t>
      </w:r>
      <w:r w:rsidR="00A97443" w:rsidRPr="002A6E99">
        <w:rPr>
          <w:rFonts w:ascii="Arial" w:hAnsi="Arial" w:cs="Arial"/>
          <w:sz w:val="22"/>
          <w:szCs w:val="22"/>
        </w:rPr>
        <w:t xml:space="preserve"> thought leadership in this sector. This observation was echoed by </w:t>
      </w:r>
      <w:r w:rsidR="002D1CA2" w:rsidRPr="002A6E99">
        <w:rPr>
          <w:rFonts w:ascii="Arial" w:hAnsi="Arial" w:cs="Arial"/>
          <w:sz w:val="22"/>
          <w:szCs w:val="22"/>
        </w:rPr>
        <w:t xml:space="preserve">various UNDP current and former staff, who considered that </w:t>
      </w:r>
      <w:r w:rsidR="00035EAD">
        <w:rPr>
          <w:rFonts w:ascii="Arial" w:hAnsi="Arial" w:cs="Arial"/>
          <w:sz w:val="22"/>
          <w:szCs w:val="22"/>
        </w:rPr>
        <w:t>Phase 3</w:t>
      </w:r>
      <w:r w:rsidR="002D1CA2" w:rsidRPr="002A6E99">
        <w:rPr>
          <w:rFonts w:ascii="Arial" w:hAnsi="Arial" w:cs="Arial"/>
          <w:sz w:val="22"/>
          <w:szCs w:val="22"/>
        </w:rPr>
        <w:t xml:space="preserve"> in particular has </w:t>
      </w:r>
      <w:r w:rsidR="00A97443" w:rsidRPr="002A6E99">
        <w:rPr>
          <w:rFonts w:ascii="Arial" w:hAnsi="Arial" w:cs="Arial"/>
          <w:sz w:val="22"/>
          <w:szCs w:val="22"/>
        </w:rPr>
        <w:t xml:space="preserve">not </w:t>
      </w:r>
      <w:r w:rsidR="002D1CA2" w:rsidRPr="002A6E99">
        <w:rPr>
          <w:rFonts w:ascii="Arial" w:hAnsi="Arial" w:cs="Arial"/>
          <w:sz w:val="22"/>
          <w:szCs w:val="22"/>
        </w:rPr>
        <w:t>paid sufficient</w:t>
      </w:r>
      <w:r w:rsidR="00A97443" w:rsidRPr="002A6E99">
        <w:rPr>
          <w:rFonts w:ascii="Arial" w:hAnsi="Arial" w:cs="Arial"/>
          <w:sz w:val="22"/>
          <w:szCs w:val="22"/>
        </w:rPr>
        <w:t xml:space="preserve"> attention to building </w:t>
      </w:r>
      <w:r w:rsidR="002D1CA2" w:rsidRPr="002A6E99">
        <w:rPr>
          <w:rFonts w:ascii="Arial" w:hAnsi="Arial" w:cs="Arial"/>
          <w:sz w:val="22"/>
          <w:szCs w:val="22"/>
        </w:rPr>
        <w:t xml:space="preserve">the ROLSHR </w:t>
      </w:r>
      <w:r w:rsidR="00A97443" w:rsidRPr="002A6E99">
        <w:rPr>
          <w:rFonts w:ascii="Arial" w:hAnsi="Arial" w:cs="Arial"/>
          <w:sz w:val="22"/>
          <w:szCs w:val="22"/>
        </w:rPr>
        <w:t>evidence base</w:t>
      </w:r>
      <w:r w:rsidR="00E141B2" w:rsidRPr="002A6E99">
        <w:rPr>
          <w:rFonts w:ascii="Arial" w:hAnsi="Arial" w:cs="Arial"/>
          <w:sz w:val="22"/>
          <w:szCs w:val="22"/>
        </w:rPr>
        <w:t xml:space="preserve"> and producing technical guidance</w:t>
      </w:r>
      <w:r w:rsidR="00A97443" w:rsidRPr="002A6E99">
        <w:rPr>
          <w:rFonts w:ascii="Arial" w:hAnsi="Arial" w:cs="Arial"/>
          <w:sz w:val="22"/>
          <w:szCs w:val="22"/>
        </w:rPr>
        <w:t xml:space="preserve">, </w:t>
      </w:r>
      <w:r w:rsidR="00E141B2" w:rsidRPr="002A6E99">
        <w:rPr>
          <w:rFonts w:ascii="Arial" w:hAnsi="Arial" w:cs="Arial"/>
          <w:sz w:val="22"/>
          <w:szCs w:val="22"/>
        </w:rPr>
        <w:t>taking advantage of</w:t>
      </w:r>
      <w:r w:rsidR="002D1CA2" w:rsidRPr="002A6E99">
        <w:rPr>
          <w:rFonts w:ascii="Arial" w:hAnsi="Arial" w:cs="Arial"/>
          <w:sz w:val="22"/>
          <w:szCs w:val="22"/>
        </w:rPr>
        <w:t xml:space="preserve"> the</w:t>
      </w:r>
      <w:r w:rsidR="00A97443" w:rsidRPr="002A6E99">
        <w:rPr>
          <w:rFonts w:ascii="Arial" w:hAnsi="Arial" w:cs="Arial"/>
          <w:sz w:val="22"/>
          <w:szCs w:val="22"/>
        </w:rPr>
        <w:t xml:space="preserve"> rich experience</w:t>
      </w:r>
      <w:r w:rsidR="002D1CA2" w:rsidRPr="002A6E99">
        <w:rPr>
          <w:rFonts w:ascii="Arial" w:hAnsi="Arial" w:cs="Arial"/>
          <w:sz w:val="22"/>
          <w:szCs w:val="22"/>
        </w:rPr>
        <w:t xml:space="preserve"> </w:t>
      </w:r>
      <w:r w:rsidR="00A97443" w:rsidRPr="002A6E99">
        <w:rPr>
          <w:rFonts w:ascii="Arial" w:hAnsi="Arial" w:cs="Arial"/>
          <w:sz w:val="22"/>
          <w:szCs w:val="22"/>
        </w:rPr>
        <w:t xml:space="preserve">in </w:t>
      </w:r>
      <w:r w:rsidR="002D1CA2" w:rsidRPr="002A6E99">
        <w:rPr>
          <w:rFonts w:ascii="Arial" w:hAnsi="Arial" w:cs="Arial"/>
          <w:sz w:val="22"/>
          <w:szCs w:val="22"/>
        </w:rPr>
        <w:t xml:space="preserve">GP-supported </w:t>
      </w:r>
      <w:r w:rsidR="00A97443" w:rsidRPr="002A6E99">
        <w:rPr>
          <w:rFonts w:ascii="Arial" w:hAnsi="Arial" w:cs="Arial"/>
          <w:sz w:val="22"/>
          <w:szCs w:val="22"/>
        </w:rPr>
        <w:t>countries</w:t>
      </w:r>
      <w:r w:rsidR="002D1CA2" w:rsidRPr="002A6E99">
        <w:rPr>
          <w:rFonts w:ascii="Arial" w:hAnsi="Arial" w:cs="Arial"/>
          <w:sz w:val="22"/>
          <w:szCs w:val="22"/>
        </w:rPr>
        <w:t xml:space="preserve"> and beyond. </w:t>
      </w:r>
      <w:r w:rsidR="00892A20" w:rsidRPr="002A6E99">
        <w:rPr>
          <w:rFonts w:ascii="Arial" w:hAnsi="Arial" w:cs="Arial"/>
          <w:sz w:val="22"/>
          <w:szCs w:val="22"/>
        </w:rPr>
        <w:t xml:space="preserve">Although outside the temporal scope of this evaluation, the production by the ROLSHR team of several short thematic publications in response to the Covid-19 pandemic was noted as a positive step. </w:t>
      </w:r>
    </w:p>
    <w:p w14:paraId="254F6494" w14:textId="4A11437A" w:rsidR="00D67785" w:rsidRPr="002A6E99" w:rsidRDefault="00A55F12" w:rsidP="005A5C13">
      <w:pPr>
        <w:spacing w:line="240" w:lineRule="auto"/>
        <w:rPr>
          <w:rFonts w:ascii="Arial" w:hAnsi="Arial" w:cs="Arial"/>
          <w:sz w:val="22"/>
          <w:szCs w:val="22"/>
        </w:rPr>
      </w:pPr>
      <w:r w:rsidRPr="44A265BC">
        <w:rPr>
          <w:rFonts w:ascii="Arial" w:hAnsi="Arial" w:cs="Arial"/>
          <w:sz w:val="22"/>
          <w:szCs w:val="22"/>
        </w:rPr>
        <w:t xml:space="preserve">The relative importance and inter-relationship of the seven key thematic areas (so-called outputs) of GP3 does not emerge clearly in the Prodoc, </w:t>
      </w:r>
      <w:r w:rsidR="1D824B75" w:rsidRPr="44A265BC">
        <w:rPr>
          <w:rFonts w:ascii="Arial" w:hAnsi="Arial" w:cs="Arial"/>
          <w:sz w:val="22"/>
          <w:szCs w:val="22"/>
        </w:rPr>
        <w:t>n</w:t>
      </w:r>
      <w:r w:rsidRPr="44A265BC">
        <w:rPr>
          <w:rFonts w:ascii="Arial" w:hAnsi="Arial" w:cs="Arial"/>
          <w:sz w:val="22"/>
          <w:szCs w:val="22"/>
        </w:rPr>
        <w:t xml:space="preserve">either in the Theory of Change diagram </w:t>
      </w:r>
      <w:r w:rsidR="008837C2">
        <w:rPr>
          <w:rFonts w:ascii="Arial" w:hAnsi="Arial" w:cs="Arial"/>
          <w:sz w:val="22"/>
          <w:szCs w:val="22"/>
        </w:rPr>
        <w:t>n</w:t>
      </w:r>
      <w:r w:rsidRPr="44A265BC">
        <w:rPr>
          <w:rFonts w:ascii="Arial" w:hAnsi="Arial" w:cs="Arial"/>
          <w:sz w:val="22"/>
          <w:szCs w:val="22"/>
        </w:rPr>
        <w:t xml:space="preserve">or elsewhere. However, </w:t>
      </w:r>
      <w:r w:rsidR="0008675B" w:rsidRPr="44A265BC">
        <w:rPr>
          <w:rFonts w:ascii="Arial" w:hAnsi="Arial" w:cs="Arial"/>
          <w:sz w:val="22"/>
          <w:szCs w:val="22"/>
        </w:rPr>
        <w:t>interviews and document review suggested</w:t>
      </w:r>
      <w:r w:rsidRPr="44A265BC">
        <w:rPr>
          <w:rFonts w:ascii="Arial" w:hAnsi="Arial" w:cs="Arial"/>
          <w:sz w:val="22"/>
          <w:szCs w:val="22"/>
        </w:rPr>
        <w:t xml:space="preserve"> that certain subject areas receive more attention (e.g.</w:t>
      </w:r>
      <w:r w:rsidR="007C4F04" w:rsidRPr="44A265BC">
        <w:rPr>
          <w:rFonts w:ascii="Arial" w:hAnsi="Arial" w:cs="Arial"/>
          <w:sz w:val="22"/>
          <w:szCs w:val="22"/>
        </w:rPr>
        <w:t>,</w:t>
      </w:r>
      <w:r w:rsidRPr="44A265BC">
        <w:rPr>
          <w:rFonts w:ascii="Arial" w:hAnsi="Arial" w:cs="Arial"/>
          <w:sz w:val="22"/>
          <w:szCs w:val="22"/>
        </w:rPr>
        <w:t xml:space="preserve"> effective justice institutions) than others (e.g.</w:t>
      </w:r>
      <w:r w:rsidR="007C4F04" w:rsidRPr="44A265BC">
        <w:rPr>
          <w:rFonts w:ascii="Arial" w:hAnsi="Arial" w:cs="Arial"/>
          <w:sz w:val="22"/>
          <w:szCs w:val="22"/>
        </w:rPr>
        <w:t>,</w:t>
      </w:r>
      <w:r w:rsidRPr="44A265BC">
        <w:rPr>
          <w:rFonts w:ascii="Arial" w:hAnsi="Arial" w:cs="Arial"/>
          <w:sz w:val="22"/>
          <w:szCs w:val="22"/>
        </w:rPr>
        <w:t xml:space="preserve"> citizen security)</w:t>
      </w:r>
      <w:r w:rsidR="0008675B" w:rsidRPr="44A265BC">
        <w:rPr>
          <w:rFonts w:ascii="Arial" w:hAnsi="Arial" w:cs="Arial"/>
          <w:sz w:val="22"/>
          <w:szCs w:val="22"/>
        </w:rPr>
        <w:t xml:space="preserve">, and that </w:t>
      </w:r>
      <w:r w:rsidR="00A82743" w:rsidRPr="44A265BC">
        <w:rPr>
          <w:rFonts w:ascii="Arial" w:hAnsi="Arial" w:cs="Arial"/>
          <w:sz w:val="22"/>
          <w:szCs w:val="22"/>
        </w:rPr>
        <w:t xml:space="preserve">conflict </w:t>
      </w:r>
      <w:r w:rsidR="0008675B" w:rsidRPr="44A265BC">
        <w:rPr>
          <w:rFonts w:ascii="Arial" w:hAnsi="Arial" w:cs="Arial"/>
          <w:sz w:val="22"/>
          <w:szCs w:val="22"/>
        </w:rPr>
        <w:t>prevention</w:t>
      </w:r>
      <w:r w:rsidR="00A82743" w:rsidRPr="44A265BC">
        <w:rPr>
          <w:rFonts w:ascii="Arial" w:hAnsi="Arial" w:cs="Arial"/>
          <w:sz w:val="22"/>
          <w:szCs w:val="22"/>
        </w:rPr>
        <w:t xml:space="preserve"> as defined in the</w:t>
      </w:r>
      <w:r w:rsidR="0008675B" w:rsidRPr="44A265BC">
        <w:rPr>
          <w:rFonts w:ascii="Arial" w:hAnsi="Arial" w:cs="Arial"/>
          <w:sz w:val="22"/>
          <w:szCs w:val="22"/>
        </w:rPr>
        <w:t xml:space="preserve"> </w:t>
      </w:r>
      <w:r w:rsidR="0008675B" w:rsidRPr="44A265BC">
        <w:rPr>
          <w:rFonts w:ascii="Arial" w:hAnsi="Arial" w:cs="Arial"/>
          <w:color w:val="000000" w:themeColor="text1"/>
          <w:sz w:val="22"/>
          <w:szCs w:val="22"/>
        </w:rPr>
        <w:t>Sustaining Peace and Prevention agendas of the Secretary-General</w:t>
      </w:r>
      <w:r w:rsidR="00A82743" w:rsidRPr="44A265BC">
        <w:rPr>
          <w:rFonts w:ascii="Arial" w:hAnsi="Arial" w:cs="Arial"/>
          <w:color w:val="000000" w:themeColor="text1"/>
          <w:sz w:val="22"/>
          <w:szCs w:val="22"/>
        </w:rPr>
        <w:t xml:space="preserve"> </w:t>
      </w:r>
      <w:r w:rsidR="001D2A53" w:rsidRPr="44A265BC">
        <w:rPr>
          <w:rFonts w:ascii="Arial" w:hAnsi="Arial" w:cs="Arial"/>
          <w:color w:val="000000" w:themeColor="text1"/>
          <w:sz w:val="22"/>
          <w:szCs w:val="22"/>
        </w:rPr>
        <w:t xml:space="preserve">(SG) </w:t>
      </w:r>
      <w:r w:rsidR="00A82743" w:rsidRPr="44A265BC">
        <w:rPr>
          <w:rFonts w:ascii="Arial" w:hAnsi="Arial" w:cs="Arial"/>
          <w:color w:val="000000" w:themeColor="text1"/>
          <w:sz w:val="22"/>
          <w:szCs w:val="22"/>
        </w:rPr>
        <w:t>has not yet been clearly incorporated in the GP’s approaches</w:t>
      </w:r>
      <w:r w:rsidRPr="44A265BC">
        <w:rPr>
          <w:rFonts w:ascii="Arial" w:hAnsi="Arial" w:cs="Arial"/>
          <w:sz w:val="22"/>
          <w:szCs w:val="22"/>
        </w:rPr>
        <w:t xml:space="preserve">. </w:t>
      </w:r>
      <w:r w:rsidR="00A8173E" w:rsidRPr="44A265BC">
        <w:rPr>
          <w:rFonts w:ascii="Arial" w:hAnsi="Arial" w:cs="Arial"/>
          <w:sz w:val="22"/>
          <w:szCs w:val="22"/>
        </w:rPr>
        <w:t>As well, the h</w:t>
      </w:r>
      <w:r w:rsidRPr="44A265BC">
        <w:rPr>
          <w:rFonts w:ascii="Arial" w:hAnsi="Arial" w:cs="Arial"/>
          <w:sz w:val="22"/>
          <w:szCs w:val="22"/>
        </w:rPr>
        <w:t xml:space="preserve">uman rights </w:t>
      </w:r>
      <w:r w:rsidR="00A8173E" w:rsidRPr="44A265BC">
        <w:rPr>
          <w:rFonts w:ascii="Arial" w:hAnsi="Arial" w:cs="Arial"/>
          <w:sz w:val="22"/>
          <w:szCs w:val="22"/>
        </w:rPr>
        <w:t>mandate of GP3</w:t>
      </w:r>
      <w:r w:rsidRPr="44A265BC">
        <w:rPr>
          <w:rFonts w:ascii="Arial" w:hAnsi="Arial" w:cs="Arial"/>
          <w:sz w:val="22"/>
          <w:szCs w:val="22"/>
        </w:rPr>
        <w:t xml:space="preserve"> </w:t>
      </w:r>
      <w:r w:rsidR="007317EA" w:rsidRPr="44A265BC">
        <w:rPr>
          <w:rFonts w:ascii="Arial" w:hAnsi="Arial" w:cs="Arial"/>
          <w:sz w:val="22"/>
          <w:szCs w:val="22"/>
        </w:rPr>
        <w:t>has a significant emphasis</w:t>
      </w:r>
      <w:r w:rsidRPr="44A265BC">
        <w:rPr>
          <w:rFonts w:ascii="Arial" w:hAnsi="Arial" w:cs="Arial"/>
          <w:sz w:val="22"/>
          <w:szCs w:val="22"/>
        </w:rPr>
        <w:t xml:space="preserve"> on </w:t>
      </w:r>
      <w:r w:rsidR="00A8173E" w:rsidRPr="44A265BC">
        <w:rPr>
          <w:rFonts w:ascii="Arial" w:hAnsi="Arial" w:cs="Arial"/>
          <w:sz w:val="22"/>
          <w:szCs w:val="22"/>
        </w:rPr>
        <w:t xml:space="preserve">working with and in support of </w:t>
      </w:r>
      <w:r w:rsidRPr="44A265BC">
        <w:rPr>
          <w:rFonts w:ascii="Arial" w:hAnsi="Arial" w:cs="Arial"/>
          <w:sz w:val="22"/>
          <w:szCs w:val="22"/>
        </w:rPr>
        <w:t>national human rights institutions,</w:t>
      </w:r>
      <w:r w:rsidR="00A8173E" w:rsidRPr="44A265BC">
        <w:rPr>
          <w:rFonts w:ascii="Arial" w:hAnsi="Arial" w:cs="Arial"/>
          <w:sz w:val="22"/>
          <w:szCs w:val="22"/>
        </w:rPr>
        <w:t xml:space="preserve"> a scope </w:t>
      </w:r>
      <w:r w:rsidR="000B72DF" w:rsidRPr="44A265BC">
        <w:rPr>
          <w:rFonts w:ascii="Arial" w:hAnsi="Arial" w:cs="Arial"/>
          <w:sz w:val="22"/>
          <w:szCs w:val="22"/>
        </w:rPr>
        <w:t>considered by</w:t>
      </w:r>
      <w:r w:rsidRPr="44A265BC">
        <w:rPr>
          <w:rFonts w:ascii="Arial" w:hAnsi="Arial" w:cs="Arial"/>
          <w:sz w:val="22"/>
          <w:szCs w:val="22"/>
        </w:rPr>
        <w:t xml:space="preserve"> some </w:t>
      </w:r>
      <w:r w:rsidR="00A8173E" w:rsidRPr="44A265BC">
        <w:rPr>
          <w:rFonts w:ascii="Arial" w:hAnsi="Arial" w:cs="Arial"/>
          <w:sz w:val="22"/>
          <w:szCs w:val="22"/>
        </w:rPr>
        <w:t xml:space="preserve">as excessively narrow. </w:t>
      </w:r>
    </w:p>
    <w:p w14:paraId="52A3F72B" w14:textId="4AD22782" w:rsidR="00A8173E" w:rsidRPr="006A57E1" w:rsidRDefault="007317EA" w:rsidP="005A5C13">
      <w:pPr>
        <w:spacing w:line="240" w:lineRule="auto"/>
        <w:rPr>
          <w:rFonts w:ascii="Arial" w:hAnsi="Arial" w:cs="Arial"/>
          <w:sz w:val="22"/>
          <w:szCs w:val="22"/>
        </w:rPr>
      </w:pPr>
      <w:r>
        <w:rPr>
          <w:rFonts w:ascii="Arial" w:hAnsi="Arial" w:cs="Arial"/>
          <w:sz w:val="22"/>
          <w:szCs w:val="22"/>
        </w:rPr>
        <w:t>That said</w:t>
      </w:r>
      <w:r w:rsidR="000B72DF" w:rsidRPr="002A6E99">
        <w:rPr>
          <w:rFonts w:ascii="Arial" w:hAnsi="Arial" w:cs="Arial"/>
          <w:sz w:val="22"/>
          <w:szCs w:val="22"/>
        </w:rPr>
        <w:t xml:space="preserve">, the </w:t>
      </w:r>
      <w:r>
        <w:rPr>
          <w:rFonts w:ascii="Arial" w:hAnsi="Arial" w:cs="Arial"/>
          <w:sz w:val="22"/>
          <w:szCs w:val="22"/>
        </w:rPr>
        <w:t>GP</w:t>
      </w:r>
      <w:r w:rsidR="000B72DF" w:rsidRPr="002A6E99">
        <w:rPr>
          <w:rFonts w:ascii="Arial" w:hAnsi="Arial" w:cs="Arial"/>
          <w:sz w:val="22"/>
          <w:szCs w:val="22"/>
        </w:rPr>
        <w:t xml:space="preserve"> has also included support to Universal Periodic Review processes in priority countries and other</w:t>
      </w:r>
      <w:r w:rsidR="007C4F04" w:rsidRPr="002A6E99">
        <w:rPr>
          <w:rFonts w:ascii="Arial" w:hAnsi="Arial" w:cs="Arial"/>
          <w:sz w:val="22"/>
          <w:szCs w:val="22"/>
        </w:rPr>
        <w:t>s,</w:t>
      </w:r>
      <w:r w:rsidR="000B72DF" w:rsidRPr="002A6E99">
        <w:rPr>
          <w:rFonts w:ascii="Arial" w:hAnsi="Arial" w:cs="Arial"/>
          <w:sz w:val="22"/>
          <w:szCs w:val="22"/>
        </w:rPr>
        <w:t xml:space="preserve"> a major new initiative on Business and Human Rights emerged during Phase 3</w:t>
      </w:r>
      <w:r w:rsidR="007C4F04" w:rsidRPr="002A6E99">
        <w:rPr>
          <w:rFonts w:ascii="Arial" w:hAnsi="Arial" w:cs="Arial"/>
          <w:sz w:val="22"/>
          <w:szCs w:val="22"/>
        </w:rPr>
        <w:t xml:space="preserve">. </w:t>
      </w:r>
      <w:r w:rsidR="00161DD2">
        <w:rPr>
          <w:rFonts w:ascii="Arial" w:hAnsi="Arial" w:cs="Arial"/>
          <w:sz w:val="22"/>
          <w:szCs w:val="22"/>
        </w:rPr>
        <w:t>A</w:t>
      </w:r>
      <w:r w:rsidR="00161DD2" w:rsidRPr="002A6E99">
        <w:rPr>
          <w:rFonts w:ascii="Arial" w:hAnsi="Arial" w:cs="Arial"/>
          <w:sz w:val="22"/>
          <w:szCs w:val="22"/>
        </w:rPr>
        <w:t xml:space="preserve">lthough not </w:t>
      </w:r>
      <w:r w:rsidR="00161DD2">
        <w:rPr>
          <w:rFonts w:ascii="Arial" w:hAnsi="Arial" w:cs="Arial"/>
          <w:sz w:val="22"/>
          <w:szCs w:val="22"/>
        </w:rPr>
        <w:t xml:space="preserve">specifically </w:t>
      </w:r>
      <w:r w:rsidR="00161DD2" w:rsidRPr="002A6E99">
        <w:rPr>
          <w:rFonts w:ascii="Arial" w:hAnsi="Arial" w:cs="Arial"/>
          <w:sz w:val="22"/>
          <w:szCs w:val="22"/>
        </w:rPr>
        <w:t>anticipated by the Prodoc</w:t>
      </w:r>
      <w:r w:rsidR="00161DD2">
        <w:rPr>
          <w:rFonts w:ascii="Arial" w:hAnsi="Arial" w:cs="Arial"/>
          <w:sz w:val="22"/>
          <w:szCs w:val="22"/>
        </w:rPr>
        <w:t>,</w:t>
      </w:r>
      <w:r w:rsidR="00161DD2" w:rsidRPr="002A6E99">
        <w:rPr>
          <w:rFonts w:ascii="Arial" w:hAnsi="Arial" w:cs="Arial"/>
          <w:sz w:val="22"/>
          <w:szCs w:val="22"/>
        </w:rPr>
        <w:t xml:space="preserve"> </w:t>
      </w:r>
      <w:r w:rsidR="00161DD2">
        <w:rPr>
          <w:rFonts w:ascii="Arial" w:hAnsi="Arial" w:cs="Arial"/>
          <w:sz w:val="22"/>
          <w:szCs w:val="22"/>
        </w:rPr>
        <w:t>t</w:t>
      </w:r>
      <w:r w:rsidR="000B72DF" w:rsidRPr="002A6E99">
        <w:rPr>
          <w:rFonts w:ascii="Arial" w:hAnsi="Arial" w:cs="Arial"/>
          <w:sz w:val="22"/>
          <w:szCs w:val="22"/>
        </w:rPr>
        <w:t xml:space="preserve">his </w:t>
      </w:r>
      <w:r w:rsidR="00161DD2">
        <w:rPr>
          <w:rFonts w:ascii="Arial" w:hAnsi="Arial" w:cs="Arial"/>
          <w:sz w:val="22"/>
          <w:szCs w:val="22"/>
        </w:rPr>
        <w:t xml:space="preserve">initiative </w:t>
      </w:r>
      <w:r w:rsidR="000B72DF" w:rsidRPr="002A6E99">
        <w:rPr>
          <w:rFonts w:ascii="Arial" w:hAnsi="Arial" w:cs="Arial"/>
          <w:sz w:val="22"/>
          <w:szCs w:val="22"/>
        </w:rPr>
        <w:t>has already attracted significant funding in the Asia-Pacific region</w:t>
      </w:r>
      <w:r w:rsidR="001D1290" w:rsidRPr="002A6E99">
        <w:rPr>
          <w:rFonts w:ascii="Arial" w:hAnsi="Arial" w:cs="Arial"/>
          <w:sz w:val="22"/>
          <w:szCs w:val="22"/>
        </w:rPr>
        <w:t xml:space="preserve"> and was </w:t>
      </w:r>
      <w:r w:rsidR="007C4F04" w:rsidRPr="002A6E99">
        <w:rPr>
          <w:rFonts w:ascii="Arial" w:hAnsi="Arial" w:cs="Arial"/>
          <w:sz w:val="22"/>
          <w:szCs w:val="22"/>
        </w:rPr>
        <w:t>identified</w:t>
      </w:r>
      <w:r w:rsidR="001D1290" w:rsidRPr="002A6E99">
        <w:rPr>
          <w:rFonts w:ascii="Arial" w:hAnsi="Arial" w:cs="Arial"/>
          <w:sz w:val="22"/>
          <w:szCs w:val="22"/>
        </w:rPr>
        <w:t xml:space="preserve"> as a potential growth area for Phase 4</w:t>
      </w:r>
      <w:r w:rsidR="000B72DF" w:rsidRPr="006A57E1">
        <w:rPr>
          <w:rFonts w:ascii="Arial" w:hAnsi="Arial" w:cs="Arial"/>
          <w:sz w:val="22"/>
          <w:szCs w:val="22"/>
        </w:rPr>
        <w:t xml:space="preserve">. </w:t>
      </w:r>
      <w:r w:rsidR="00D67785" w:rsidRPr="006A57E1">
        <w:rPr>
          <w:rFonts w:ascii="Arial" w:hAnsi="Arial" w:cs="Arial"/>
          <w:sz w:val="22"/>
          <w:szCs w:val="22"/>
        </w:rPr>
        <w:t>Multiple informants urged that the GP look to ramp up its involvement in less traditional justice issues that are rapidly gaining recognition and importance, such as climate justice, digitalization (as both opportunity and threat to rights and justice), cyber crime, and hate speech</w:t>
      </w:r>
      <w:r w:rsidR="00135A0B">
        <w:rPr>
          <w:rFonts w:ascii="Arial" w:hAnsi="Arial" w:cs="Arial"/>
          <w:sz w:val="22"/>
          <w:szCs w:val="22"/>
        </w:rPr>
        <w:t xml:space="preserve"> (although others sounded a more cautionary note about “UNDP trying to do everything”)</w:t>
      </w:r>
      <w:r w:rsidR="00D67785" w:rsidRPr="006A57E1">
        <w:rPr>
          <w:rFonts w:ascii="Arial" w:hAnsi="Arial" w:cs="Arial"/>
          <w:sz w:val="22"/>
          <w:szCs w:val="22"/>
        </w:rPr>
        <w:t xml:space="preserve">. </w:t>
      </w:r>
    </w:p>
    <w:p w14:paraId="0E237D99" w14:textId="4914E780" w:rsidR="007C4F04" w:rsidRDefault="002629FB" w:rsidP="005A5C13">
      <w:pPr>
        <w:spacing w:line="240" w:lineRule="auto"/>
        <w:rPr>
          <w:rFonts w:ascii="Arial" w:hAnsi="Arial" w:cs="Arial"/>
          <w:sz w:val="22"/>
          <w:szCs w:val="22"/>
        </w:rPr>
      </w:pPr>
      <w:r w:rsidRPr="006A57E1">
        <w:rPr>
          <w:rFonts w:ascii="Arial" w:hAnsi="Arial" w:cs="Arial"/>
          <w:sz w:val="22"/>
          <w:szCs w:val="22"/>
        </w:rPr>
        <w:t>As noted in the Programme Description</w:t>
      </w:r>
      <w:r w:rsidR="00A01D7F">
        <w:rPr>
          <w:rFonts w:ascii="Arial" w:hAnsi="Arial" w:cs="Arial"/>
          <w:sz w:val="22"/>
          <w:szCs w:val="22"/>
        </w:rPr>
        <w:t xml:space="preserve"> above</w:t>
      </w:r>
      <w:r w:rsidRPr="006A57E1">
        <w:rPr>
          <w:rFonts w:ascii="Arial" w:hAnsi="Arial" w:cs="Arial"/>
          <w:sz w:val="22"/>
          <w:szCs w:val="22"/>
        </w:rPr>
        <w:t>,</w:t>
      </w:r>
      <w:r w:rsidR="00A55F12" w:rsidRPr="006A57E1">
        <w:rPr>
          <w:rFonts w:ascii="Arial" w:hAnsi="Arial" w:cs="Arial"/>
          <w:sz w:val="22"/>
          <w:szCs w:val="22"/>
        </w:rPr>
        <w:t xml:space="preserve"> </w:t>
      </w:r>
      <w:r w:rsidRPr="006A57E1">
        <w:rPr>
          <w:rFonts w:ascii="Arial" w:hAnsi="Arial" w:cs="Arial"/>
          <w:sz w:val="22"/>
          <w:szCs w:val="22"/>
        </w:rPr>
        <w:t>the</w:t>
      </w:r>
      <w:r>
        <w:rPr>
          <w:rFonts w:ascii="Arial" w:hAnsi="Arial" w:cs="Arial"/>
          <w:sz w:val="22"/>
          <w:szCs w:val="22"/>
        </w:rPr>
        <w:t xml:space="preserve"> </w:t>
      </w:r>
      <w:r w:rsidR="00A55F12" w:rsidRPr="002A6E99">
        <w:rPr>
          <w:rFonts w:ascii="Arial" w:hAnsi="Arial" w:cs="Arial"/>
          <w:sz w:val="22"/>
          <w:szCs w:val="22"/>
        </w:rPr>
        <w:t>GP</w:t>
      </w:r>
      <w:r>
        <w:rPr>
          <w:rFonts w:ascii="Arial" w:hAnsi="Arial" w:cs="Arial"/>
          <w:sz w:val="22"/>
          <w:szCs w:val="22"/>
        </w:rPr>
        <w:t xml:space="preserve"> has acted a</w:t>
      </w:r>
      <w:r w:rsidR="00A55F12" w:rsidRPr="002A6E99">
        <w:rPr>
          <w:rFonts w:ascii="Arial" w:hAnsi="Arial" w:cs="Arial"/>
          <w:sz w:val="22"/>
          <w:szCs w:val="22"/>
        </w:rPr>
        <w:t>s “host” for the Global Focal Point on Rule of Law</w:t>
      </w:r>
      <w:r w:rsidR="005E2E61" w:rsidRPr="002A6E99">
        <w:rPr>
          <w:rFonts w:ascii="Arial" w:hAnsi="Arial" w:cs="Arial"/>
          <w:sz w:val="22"/>
          <w:szCs w:val="22"/>
        </w:rPr>
        <w:t xml:space="preserve"> </w:t>
      </w:r>
      <w:r>
        <w:rPr>
          <w:rFonts w:ascii="Arial" w:hAnsi="Arial" w:cs="Arial"/>
          <w:sz w:val="22"/>
          <w:szCs w:val="22"/>
        </w:rPr>
        <w:t>since its inception</w:t>
      </w:r>
      <w:r w:rsidR="005804C3" w:rsidRPr="002A6E99">
        <w:rPr>
          <w:rFonts w:ascii="Arial" w:hAnsi="Arial" w:cs="Arial"/>
          <w:sz w:val="22"/>
          <w:szCs w:val="22"/>
        </w:rPr>
        <w:t>.</w:t>
      </w:r>
      <w:r>
        <w:rPr>
          <w:rFonts w:ascii="Arial" w:hAnsi="Arial" w:cs="Arial"/>
          <w:sz w:val="22"/>
          <w:szCs w:val="22"/>
        </w:rPr>
        <w:t xml:space="preserve"> I</w:t>
      </w:r>
      <w:r w:rsidR="005E2E61" w:rsidRPr="002A6E99">
        <w:rPr>
          <w:rFonts w:ascii="Arial" w:hAnsi="Arial" w:cs="Arial"/>
          <w:sz w:val="22"/>
          <w:szCs w:val="22"/>
        </w:rPr>
        <w:t xml:space="preserve">n terms of relevance, </w:t>
      </w:r>
      <w:r w:rsidR="00A55F12" w:rsidRPr="002A6E99">
        <w:rPr>
          <w:rFonts w:ascii="Arial" w:hAnsi="Arial" w:cs="Arial"/>
          <w:sz w:val="22"/>
          <w:szCs w:val="22"/>
        </w:rPr>
        <w:t xml:space="preserve">the majority </w:t>
      </w:r>
      <w:r w:rsidR="005804C3" w:rsidRPr="002A6E99">
        <w:rPr>
          <w:rFonts w:ascii="Arial" w:hAnsi="Arial" w:cs="Arial"/>
          <w:sz w:val="22"/>
          <w:szCs w:val="22"/>
        </w:rPr>
        <w:t xml:space="preserve">of informants at global level </w:t>
      </w:r>
      <w:r w:rsidR="00A55F12" w:rsidRPr="002A6E99">
        <w:rPr>
          <w:rFonts w:ascii="Arial" w:hAnsi="Arial" w:cs="Arial"/>
          <w:sz w:val="22"/>
          <w:szCs w:val="22"/>
        </w:rPr>
        <w:t xml:space="preserve">considered the GP and GFP </w:t>
      </w:r>
      <w:r w:rsidR="005E2E61" w:rsidRPr="002A6E99">
        <w:rPr>
          <w:rFonts w:ascii="Arial" w:hAnsi="Arial" w:cs="Arial"/>
          <w:sz w:val="22"/>
          <w:szCs w:val="22"/>
        </w:rPr>
        <w:t>to be</w:t>
      </w:r>
      <w:r w:rsidR="00A55F12" w:rsidRPr="002A6E99">
        <w:rPr>
          <w:rFonts w:ascii="Arial" w:hAnsi="Arial" w:cs="Arial"/>
          <w:sz w:val="22"/>
          <w:szCs w:val="22"/>
        </w:rPr>
        <w:t xml:space="preserve"> complementary</w:t>
      </w:r>
      <w:r w:rsidR="00231DC1" w:rsidRPr="002A6E99">
        <w:rPr>
          <w:rFonts w:ascii="Arial" w:hAnsi="Arial" w:cs="Arial"/>
          <w:sz w:val="22"/>
          <w:szCs w:val="22"/>
        </w:rPr>
        <w:t xml:space="preserve"> to each other</w:t>
      </w:r>
      <w:r w:rsidR="00C504BB">
        <w:rPr>
          <w:rFonts w:ascii="Arial" w:hAnsi="Arial" w:cs="Arial"/>
          <w:sz w:val="22"/>
          <w:szCs w:val="22"/>
        </w:rPr>
        <w:t xml:space="preserve"> </w:t>
      </w:r>
      <w:r w:rsidR="00A55F12" w:rsidRPr="002A6E99">
        <w:rPr>
          <w:rFonts w:ascii="Arial" w:hAnsi="Arial" w:cs="Arial"/>
          <w:sz w:val="22"/>
          <w:szCs w:val="22"/>
        </w:rPr>
        <w:t xml:space="preserve">and </w:t>
      </w:r>
      <w:r w:rsidR="00E918E0" w:rsidRPr="002A6E99">
        <w:rPr>
          <w:rFonts w:ascii="Arial" w:hAnsi="Arial" w:cs="Arial"/>
          <w:sz w:val="22"/>
          <w:szCs w:val="22"/>
        </w:rPr>
        <w:t xml:space="preserve">felt </w:t>
      </w:r>
      <w:r w:rsidR="00A55F12" w:rsidRPr="002A6E99">
        <w:rPr>
          <w:rFonts w:ascii="Arial" w:hAnsi="Arial" w:cs="Arial"/>
          <w:sz w:val="22"/>
          <w:szCs w:val="22"/>
        </w:rPr>
        <w:t xml:space="preserve">that </w:t>
      </w:r>
      <w:r w:rsidR="00D339A0" w:rsidRPr="002A6E99">
        <w:rPr>
          <w:rFonts w:ascii="Arial" w:hAnsi="Arial" w:cs="Arial"/>
          <w:sz w:val="22"/>
          <w:szCs w:val="22"/>
        </w:rPr>
        <w:t xml:space="preserve">this hosting arrangement had strengthened </w:t>
      </w:r>
      <w:r w:rsidR="005804C3" w:rsidRPr="002A6E99">
        <w:rPr>
          <w:rFonts w:ascii="Arial" w:hAnsi="Arial" w:cs="Arial"/>
          <w:sz w:val="22"/>
          <w:szCs w:val="22"/>
        </w:rPr>
        <w:t xml:space="preserve">the GP </w:t>
      </w:r>
      <w:r w:rsidR="00D339A0" w:rsidRPr="002A6E99">
        <w:rPr>
          <w:rFonts w:ascii="Arial" w:hAnsi="Arial" w:cs="Arial"/>
          <w:sz w:val="22"/>
          <w:szCs w:val="22"/>
        </w:rPr>
        <w:t>during Phase 3</w:t>
      </w:r>
      <w:r w:rsidR="00E918E0" w:rsidRPr="002A6E99">
        <w:rPr>
          <w:rFonts w:ascii="Arial" w:hAnsi="Arial" w:cs="Arial"/>
          <w:sz w:val="22"/>
          <w:szCs w:val="22"/>
        </w:rPr>
        <w:t xml:space="preserve">—especially in relation to UN mission </w:t>
      </w:r>
      <w:r w:rsidR="0008675B" w:rsidRPr="002A6E99">
        <w:rPr>
          <w:rFonts w:ascii="Arial" w:hAnsi="Arial" w:cs="Arial"/>
          <w:sz w:val="22"/>
          <w:szCs w:val="22"/>
        </w:rPr>
        <w:t xml:space="preserve">and transitional </w:t>
      </w:r>
      <w:r w:rsidR="00E918E0" w:rsidRPr="002A6E99">
        <w:rPr>
          <w:rFonts w:ascii="Arial" w:hAnsi="Arial" w:cs="Arial"/>
          <w:sz w:val="22"/>
          <w:szCs w:val="22"/>
        </w:rPr>
        <w:t>settings</w:t>
      </w:r>
      <w:r w:rsidR="005804C3" w:rsidRPr="002A6E99">
        <w:rPr>
          <w:rFonts w:ascii="Arial" w:hAnsi="Arial" w:cs="Arial"/>
          <w:sz w:val="22"/>
          <w:szCs w:val="22"/>
        </w:rPr>
        <w:t xml:space="preserve">. </w:t>
      </w:r>
      <w:r w:rsidR="00BE3712">
        <w:rPr>
          <w:rFonts w:ascii="Arial" w:hAnsi="Arial" w:cs="Arial"/>
          <w:sz w:val="22"/>
          <w:szCs w:val="22"/>
        </w:rPr>
        <w:t xml:space="preserve">However, it was underlined that UNDP’s dominant role so far in fundraising for the GFP was a potential risk factor for maintaining a balanced relationship with DPO. </w:t>
      </w:r>
      <w:r w:rsidR="005804C3" w:rsidRPr="002A6E99">
        <w:rPr>
          <w:rFonts w:ascii="Arial" w:hAnsi="Arial" w:cs="Arial"/>
          <w:sz w:val="22"/>
          <w:szCs w:val="22"/>
        </w:rPr>
        <w:t>More generally</w:t>
      </w:r>
      <w:r w:rsidR="00A55F12" w:rsidRPr="002A6E99">
        <w:rPr>
          <w:rFonts w:ascii="Arial" w:hAnsi="Arial" w:cs="Arial"/>
          <w:sz w:val="22"/>
          <w:szCs w:val="22"/>
        </w:rPr>
        <w:t xml:space="preserve">, </w:t>
      </w:r>
      <w:r w:rsidR="005804C3" w:rsidRPr="002A6E99">
        <w:rPr>
          <w:rFonts w:ascii="Arial" w:hAnsi="Arial" w:cs="Arial"/>
          <w:sz w:val="22"/>
          <w:szCs w:val="22"/>
        </w:rPr>
        <w:t xml:space="preserve">informants considered that </w:t>
      </w:r>
      <w:r w:rsidR="00596BF2" w:rsidRPr="002A6E99">
        <w:rPr>
          <w:rFonts w:ascii="Arial" w:hAnsi="Arial" w:cs="Arial"/>
          <w:sz w:val="22"/>
          <w:szCs w:val="22"/>
        </w:rPr>
        <w:t>GP</w:t>
      </w:r>
      <w:r w:rsidR="00A55F12" w:rsidRPr="002A6E99">
        <w:rPr>
          <w:rFonts w:ascii="Arial" w:hAnsi="Arial" w:cs="Arial"/>
          <w:sz w:val="22"/>
          <w:szCs w:val="22"/>
        </w:rPr>
        <w:t>3 has b</w:t>
      </w:r>
      <w:r w:rsidR="00596BF2" w:rsidRPr="002A6E99">
        <w:rPr>
          <w:rFonts w:ascii="Arial" w:hAnsi="Arial" w:cs="Arial"/>
          <w:sz w:val="22"/>
          <w:szCs w:val="22"/>
        </w:rPr>
        <w:t xml:space="preserve">een a useful platform to engage in </w:t>
      </w:r>
      <w:r w:rsidR="005E2E61" w:rsidRPr="002A6E99">
        <w:rPr>
          <w:rFonts w:ascii="Arial" w:hAnsi="Arial" w:cs="Arial"/>
          <w:sz w:val="22"/>
          <w:szCs w:val="22"/>
        </w:rPr>
        <w:t xml:space="preserve">and mobilize funding for </w:t>
      </w:r>
      <w:r w:rsidR="00596BF2" w:rsidRPr="002A6E99">
        <w:rPr>
          <w:rFonts w:ascii="Arial" w:hAnsi="Arial" w:cs="Arial"/>
          <w:sz w:val="22"/>
          <w:szCs w:val="22"/>
        </w:rPr>
        <w:t xml:space="preserve">key partnerships with other UN entities (and beyond) such as </w:t>
      </w:r>
      <w:r w:rsidR="00A46F9E" w:rsidRPr="002A6E99">
        <w:rPr>
          <w:rFonts w:ascii="Arial" w:hAnsi="Arial" w:cs="Arial"/>
          <w:sz w:val="22"/>
          <w:szCs w:val="22"/>
        </w:rPr>
        <w:t>the long-standing Tri-Partite Partnership with OHCHR and GANHRI</w:t>
      </w:r>
      <w:r w:rsidR="00067B19" w:rsidRPr="002A6E99">
        <w:rPr>
          <w:rFonts w:ascii="Arial" w:hAnsi="Arial" w:cs="Arial"/>
          <w:sz w:val="22"/>
          <w:szCs w:val="22"/>
        </w:rPr>
        <w:t xml:space="preserve">, and the </w:t>
      </w:r>
      <w:r w:rsidR="00A01D7F">
        <w:rPr>
          <w:rFonts w:ascii="Arial" w:hAnsi="Arial" w:cs="Arial"/>
          <w:sz w:val="22"/>
          <w:szCs w:val="22"/>
        </w:rPr>
        <w:t xml:space="preserve">relatively </w:t>
      </w:r>
      <w:r w:rsidR="00067B19" w:rsidRPr="002A6E99">
        <w:rPr>
          <w:rFonts w:ascii="Arial" w:hAnsi="Arial" w:cs="Arial"/>
          <w:sz w:val="22"/>
          <w:szCs w:val="22"/>
        </w:rPr>
        <w:t>new SALIENT collaboration with UNODA.</w:t>
      </w:r>
      <w:r w:rsidR="00A46F9E" w:rsidRPr="002A6E99">
        <w:rPr>
          <w:rFonts w:ascii="Arial" w:hAnsi="Arial" w:cs="Arial"/>
          <w:sz w:val="22"/>
          <w:szCs w:val="22"/>
        </w:rPr>
        <w:t xml:space="preserve"> </w:t>
      </w:r>
    </w:p>
    <w:p w14:paraId="5B5A26A6" w14:textId="48D60F0C" w:rsidR="004D592A" w:rsidRPr="008D3E98" w:rsidRDefault="004D592A" w:rsidP="008D3E98">
      <w:pPr>
        <w:shd w:val="clear" w:color="auto" w:fill="C0D7EC" w:themeFill="accent2" w:themeFillTint="66"/>
        <w:jc w:val="center"/>
        <w:rPr>
          <w:b/>
          <w:bCs/>
          <w:sz w:val="24"/>
          <w:szCs w:val="24"/>
        </w:rPr>
      </w:pPr>
      <w:r w:rsidRPr="008D3E98">
        <w:rPr>
          <w:b/>
          <w:bCs/>
          <w:sz w:val="24"/>
          <w:szCs w:val="24"/>
        </w:rPr>
        <w:t>Spotlight on National Human Rights Institutions</w:t>
      </w:r>
    </w:p>
    <w:p w14:paraId="2C898E84" w14:textId="7191E1C4" w:rsidR="004D592A" w:rsidRPr="008D3E98" w:rsidRDefault="68B7EA95" w:rsidP="008D3E98">
      <w:pPr>
        <w:shd w:val="clear" w:color="auto" w:fill="C0D7EC" w:themeFill="accent2" w:themeFillTint="66"/>
        <w:autoSpaceDE w:val="0"/>
        <w:autoSpaceDN w:val="0"/>
        <w:adjustRightInd w:val="0"/>
        <w:spacing w:line="240" w:lineRule="auto"/>
        <w:rPr>
          <w:rFonts w:ascii="Arial" w:hAnsi="Arial" w:cs="Arial"/>
          <w:sz w:val="22"/>
          <w:szCs w:val="22"/>
        </w:rPr>
      </w:pPr>
      <w:r w:rsidRPr="008D3E98">
        <w:rPr>
          <w:rFonts w:ascii="Arial" w:hAnsi="Arial" w:cs="Arial"/>
          <w:sz w:val="22"/>
          <w:szCs w:val="22"/>
        </w:rPr>
        <w:t>UNDP has partnered since 2011 with OHCHR and the Global Alliance of National Human Rights Institutions (GANHRI) in the strategic Tripartite Partnership (TPP) to Support National Human Rights Institutions (NHRI)</w:t>
      </w:r>
      <w:r w:rsidR="458405E6" w:rsidRPr="4F82A3C2">
        <w:rPr>
          <w:rFonts w:ascii="Arial" w:hAnsi="Arial" w:cs="Arial"/>
          <w:sz w:val="22"/>
          <w:szCs w:val="22"/>
        </w:rPr>
        <w:t>, as one strategy for supporting NHRIs globally</w:t>
      </w:r>
      <w:r w:rsidRPr="008D3E98">
        <w:rPr>
          <w:rFonts w:ascii="Arial" w:hAnsi="Arial" w:cs="Arial"/>
          <w:sz w:val="22"/>
          <w:szCs w:val="22"/>
        </w:rPr>
        <w:t>. GANHRI is mandated to support the establishment and strengthening of NHRIs in all regions of the world, in line with the United Nations Paris Principles. The TPP-NHRIs aims to strengthen NHRIs in their capacity to promote and protect human rights, individually and through their regional and global networks.</w:t>
      </w:r>
      <w:r w:rsidR="458405E6" w:rsidRPr="4F82A3C2">
        <w:rPr>
          <w:rFonts w:ascii="Arial" w:hAnsi="Arial" w:cs="Arial"/>
          <w:sz w:val="22"/>
          <w:szCs w:val="22"/>
        </w:rPr>
        <w:t xml:space="preserve"> The Global Programme/ROLSHR team has provided significant financial and technical support to the TPP during Phase 3. </w:t>
      </w:r>
      <w:r w:rsidRPr="008D3E98">
        <w:rPr>
          <w:rFonts w:ascii="Arial" w:hAnsi="Arial" w:cs="Arial"/>
          <w:sz w:val="22"/>
          <w:szCs w:val="22"/>
        </w:rPr>
        <w:t xml:space="preserve"> According to TPP publications, the partnership has enabled more coherent and coordinated UN system-wide support to NHRIs</w:t>
      </w:r>
      <w:r w:rsidR="008837C2">
        <w:rPr>
          <w:rFonts w:ascii="Arial" w:hAnsi="Arial" w:cs="Arial"/>
          <w:sz w:val="22"/>
          <w:szCs w:val="22"/>
        </w:rPr>
        <w:t>. The TPP has</w:t>
      </w:r>
      <w:r w:rsidRPr="008D3E98">
        <w:rPr>
          <w:rFonts w:ascii="Arial" w:hAnsi="Arial" w:cs="Arial"/>
          <w:sz w:val="22"/>
          <w:szCs w:val="22"/>
        </w:rPr>
        <w:t xml:space="preserve"> been recognized by the UN </w:t>
      </w:r>
      <w:r w:rsidR="73ECC7A9">
        <w:rPr>
          <w:rFonts w:ascii="Arial" w:hAnsi="Arial" w:cs="Arial"/>
          <w:sz w:val="22"/>
          <w:szCs w:val="22"/>
        </w:rPr>
        <w:t>SG</w:t>
      </w:r>
      <w:r w:rsidRPr="008D3E98">
        <w:rPr>
          <w:rFonts w:ascii="Arial" w:hAnsi="Arial" w:cs="Arial"/>
          <w:sz w:val="22"/>
          <w:szCs w:val="22"/>
        </w:rPr>
        <w:t xml:space="preserve">, the General </w:t>
      </w:r>
      <w:r w:rsidR="007364A7" w:rsidRPr="008D3E98">
        <w:rPr>
          <w:rFonts w:ascii="Arial" w:hAnsi="Arial" w:cs="Arial"/>
          <w:sz w:val="22"/>
          <w:szCs w:val="22"/>
        </w:rPr>
        <w:t>Assembly,</w:t>
      </w:r>
      <w:r w:rsidRPr="008D3E98">
        <w:rPr>
          <w:rFonts w:ascii="Arial" w:hAnsi="Arial" w:cs="Arial"/>
          <w:sz w:val="22"/>
          <w:szCs w:val="22"/>
        </w:rPr>
        <w:t xml:space="preserve"> and the Human Rights Council as an example of good practice.</w:t>
      </w:r>
      <w:r w:rsidR="00520966">
        <w:rPr>
          <w:rStyle w:val="FootnoteReference"/>
          <w:rFonts w:ascii="Arial" w:hAnsi="Arial" w:cs="Arial"/>
          <w:sz w:val="22"/>
          <w:szCs w:val="22"/>
        </w:rPr>
        <w:footnoteReference w:id="10"/>
      </w:r>
    </w:p>
    <w:p w14:paraId="342D1A1F" w14:textId="71E980C2" w:rsidR="004D592A" w:rsidRPr="008D3E98" w:rsidRDefault="68B7EA95" w:rsidP="008D3E98">
      <w:pPr>
        <w:shd w:val="clear" w:color="auto" w:fill="C0D7EC" w:themeFill="accent2" w:themeFillTint="66"/>
        <w:autoSpaceDE w:val="0"/>
        <w:autoSpaceDN w:val="0"/>
        <w:adjustRightInd w:val="0"/>
        <w:spacing w:line="240" w:lineRule="auto"/>
        <w:rPr>
          <w:rFonts w:ascii="Arial" w:hAnsi="Arial" w:cs="Arial"/>
          <w:sz w:val="22"/>
          <w:szCs w:val="22"/>
        </w:rPr>
      </w:pPr>
      <w:r w:rsidRPr="4F82A3C2">
        <w:rPr>
          <w:rFonts w:ascii="Arial" w:hAnsi="Arial" w:cs="Arial"/>
          <w:sz w:val="22"/>
          <w:szCs w:val="22"/>
        </w:rPr>
        <w:t xml:space="preserve">The three partners agreed in 2016 on a vision for scaling up joint support to NHRIs, as well as GANHRI itself and its four NHRI regional networks, and in early 2017 formalized their shared commitment to take the partnership “to the field”. Under this agreement, donor contributions to the TPP’s work are administered by UNDP’s Global Programme. Since then, the GP has served as funding channel for </w:t>
      </w:r>
      <w:r w:rsidR="008837C2">
        <w:rPr>
          <w:rFonts w:ascii="Arial" w:hAnsi="Arial" w:cs="Arial"/>
          <w:sz w:val="22"/>
          <w:szCs w:val="22"/>
        </w:rPr>
        <w:t xml:space="preserve">approximately </w:t>
      </w:r>
      <w:r w:rsidRPr="4F82A3C2">
        <w:rPr>
          <w:rFonts w:ascii="Arial" w:hAnsi="Arial" w:cs="Arial"/>
          <w:sz w:val="22"/>
          <w:szCs w:val="22"/>
        </w:rPr>
        <w:t>$600,000 of funding from Norway for the first two years of in-country implementation</w:t>
      </w:r>
      <w:r w:rsidR="458405E6" w:rsidRPr="4F82A3C2">
        <w:rPr>
          <w:rFonts w:ascii="Arial" w:hAnsi="Arial" w:cs="Arial"/>
          <w:sz w:val="22"/>
          <w:szCs w:val="22"/>
        </w:rPr>
        <w:t xml:space="preserve"> in 16 countries</w:t>
      </w:r>
      <w:r w:rsidRPr="4F82A3C2">
        <w:rPr>
          <w:rFonts w:ascii="Arial" w:hAnsi="Arial" w:cs="Arial"/>
          <w:sz w:val="22"/>
          <w:szCs w:val="22"/>
        </w:rPr>
        <w:t xml:space="preserve">. </w:t>
      </w:r>
      <w:r w:rsidR="458405E6" w:rsidRPr="4F82A3C2">
        <w:rPr>
          <w:rFonts w:ascii="Arial" w:hAnsi="Arial" w:cs="Arial"/>
          <w:sz w:val="22"/>
          <w:szCs w:val="22"/>
        </w:rPr>
        <w:t>Among other activities, t</w:t>
      </w:r>
      <w:r w:rsidRPr="4F82A3C2">
        <w:rPr>
          <w:rFonts w:ascii="Arial" w:hAnsi="Arial" w:cs="Arial"/>
          <w:sz w:val="22"/>
          <w:szCs w:val="22"/>
        </w:rPr>
        <w:t xml:space="preserve">he TPP has supported the NHRIs in </w:t>
      </w:r>
      <w:r w:rsidR="458405E6" w:rsidRPr="4F82A3C2">
        <w:rPr>
          <w:rFonts w:ascii="Arial" w:hAnsi="Arial" w:cs="Arial"/>
          <w:sz w:val="22"/>
          <w:szCs w:val="22"/>
        </w:rPr>
        <w:t xml:space="preserve">The Gambia and Mali </w:t>
      </w:r>
      <w:r w:rsidRPr="4F82A3C2">
        <w:rPr>
          <w:rFonts w:ascii="Arial" w:hAnsi="Arial" w:cs="Arial"/>
          <w:sz w:val="22"/>
          <w:szCs w:val="22"/>
        </w:rPr>
        <w:t>to fulfil their mandate in areas such as strategic planning, improving response capacity to human rights violations, reporting to human rights mechanisms, and civil society engagement.</w:t>
      </w:r>
    </w:p>
    <w:p w14:paraId="4515A094" w14:textId="5120B20A" w:rsidR="004D592A" w:rsidRPr="008D3E98" w:rsidRDefault="004D592A" w:rsidP="008D3E98">
      <w:pPr>
        <w:shd w:val="clear" w:color="auto" w:fill="C0D7EC" w:themeFill="accent2" w:themeFillTint="66"/>
        <w:spacing w:line="240" w:lineRule="auto"/>
        <w:rPr>
          <w:rFonts w:ascii="Arial" w:hAnsi="Arial" w:cs="Arial"/>
          <w:sz w:val="22"/>
          <w:szCs w:val="22"/>
        </w:rPr>
      </w:pPr>
      <w:r w:rsidRPr="008D3E98">
        <w:rPr>
          <w:rFonts w:ascii="Arial" w:hAnsi="Arial" w:cs="Arial"/>
          <w:sz w:val="22"/>
          <w:szCs w:val="22"/>
        </w:rPr>
        <w:t xml:space="preserve">In addition, the </w:t>
      </w:r>
      <w:r w:rsidRPr="008D3E98">
        <w:rPr>
          <w:rFonts w:ascii="Arial" w:hAnsi="Arial" w:cs="Arial"/>
          <w:sz w:val="22"/>
          <w:szCs w:val="22"/>
          <w:lang w:val="en-US"/>
        </w:rPr>
        <w:t xml:space="preserve">GP provided three annual grants of $150,000 each to GANHRI from 2016 – 2019, primarily to support its </w:t>
      </w:r>
      <w:r w:rsidR="002B0376">
        <w:rPr>
          <w:rFonts w:ascii="Arial" w:hAnsi="Arial" w:cs="Arial"/>
          <w:sz w:val="22"/>
          <w:szCs w:val="22"/>
          <w:lang w:val="en-US"/>
        </w:rPr>
        <w:t xml:space="preserve">organizational development as well as </w:t>
      </w:r>
      <w:r w:rsidRPr="008D3E98">
        <w:rPr>
          <w:rFonts w:ascii="Arial" w:hAnsi="Arial" w:cs="Arial"/>
          <w:sz w:val="22"/>
          <w:szCs w:val="22"/>
          <w:lang w:val="en-US"/>
        </w:rPr>
        <w:t xml:space="preserve">advocacy work representing NHRI interests at global level. Along with technical advice from the UNDP ROLSHR team, this was reported to have positive impact on the international recognition and organizational capacity of GANHRI, though further fundraising is now required as the ceiling for low value grants was reached. </w:t>
      </w:r>
      <w:r w:rsidRPr="008D3E98">
        <w:rPr>
          <w:rFonts w:ascii="Arial" w:hAnsi="Arial" w:cs="Arial"/>
          <w:sz w:val="22"/>
          <w:szCs w:val="22"/>
        </w:rPr>
        <w:t>As well, UNDP’s Regional Hub in Istanbul has been supporting the development of a three-year road map on regional cooperation among NHRIs in Central Asia through facilitation of a series of regional consultations and trainings. This collaborative effort was specifically praised by interviewed stakeholders in Kyrgyzstan, as a means of increasing collaboration among Ombudsmen across the region, via capacity building and improved channels of communications.</w:t>
      </w:r>
    </w:p>
    <w:p w14:paraId="5DF02DE7" w14:textId="77777777" w:rsidR="004D592A" w:rsidRPr="004D592A" w:rsidRDefault="004D592A" w:rsidP="005A5C13">
      <w:pPr>
        <w:spacing w:line="240" w:lineRule="auto"/>
        <w:rPr>
          <w:rFonts w:ascii="Arial" w:hAnsi="Arial" w:cs="Arial"/>
        </w:rPr>
      </w:pPr>
    </w:p>
    <w:p w14:paraId="65FB1E7D" w14:textId="43493355" w:rsidR="0029366C" w:rsidRDefault="0029366C" w:rsidP="0029366C">
      <w:pPr>
        <w:pStyle w:val="Heading2"/>
      </w:pPr>
      <w:bookmarkStart w:id="16" w:name="_Toc71701886"/>
      <w:r w:rsidRPr="0029366C">
        <w:t xml:space="preserve">Country Level </w:t>
      </w:r>
      <w:r>
        <w:t>Findings</w:t>
      </w:r>
      <w:r w:rsidRPr="0029366C">
        <w:t xml:space="preserve"> on Relevance</w:t>
      </w:r>
      <w:bookmarkEnd w:id="16"/>
    </w:p>
    <w:p w14:paraId="7965D82E" w14:textId="77777777" w:rsidR="0029366C" w:rsidRPr="007D272B" w:rsidRDefault="0029366C" w:rsidP="0029366C">
      <w:pPr>
        <w:spacing w:after="0" w:line="240" w:lineRule="auto"/>
        <w:jc w:val="both"/>
        <w:rPr>
          <w:rFonts w:ascii="Arial" w:hAnsi="Arial" w:cs="Arial"/>
          <w:i/>
          <w:iCs/>
          <w:color w:val="000000"/>
          <w:sz w:val="22"/>
          <w:szCs w:val="22"/>
          <w:lang w:val="en-US"/>
        </w:rPr>
      </w:pPr>
      <w:r w:rsidRPr="007D272B">
        <w:rPr>
          <w:rFonts w:ascii="Arial" w:hAnsi="Arial" w:cs="Arial"/>
          <w:b/>
          <w:bCs/>
          <w:i/>
          <w:iCs/>
          <w:color w:val="000000"/>
          <w:sz w:val="22"/>
          <w:szCs w:val="22"/>
          <w:lang w:val="en-US"/>
        </w:rPr>
        <w:t>Evaluation Question:</w:t>
      </w:r>
      <w:r w:rsidRPr="007D272B">
        <w:rPr>
          <w:rFonts w:ascii="Arial" w:hAnsi="Arial" w:cs="Arial"/>
          <w:i/>
          <w:iCs/>
          <w:color w:val="000000"/>
          <w:sz w:val="22"/>
          <w:szCs w:val="22"/>
          <w:lang w:val="en-US"/>
        </w:rPr>
        <w:t xml:space="preserve"> </w:t>
      </w:r>
    </w:p>
    <w:p w14:paraId="6DCD92C6" w14:textId="35DE7D88" w:rsidR="0029366C" w:rsidRPr="007D272B" w:rsidRDefault="0029366C" w:rsidP="00567956">
      <w:pPr>
        <w:pStyle w:val="ListParagraph"/>
        <w:numPr>
          <w:ilvl w:val="0"/>
          <w:numId w:val="13"/>
        </w:numPr>
        <w:spacing w:after="0" w:line="240" w:lineRule="auto"/>
        <w:jc w:val="both"/>
        <w:rPr>
          <w:rFonts w:ascii="Arial" w:eastAsia="Times New Roman" w:hAnsi="Arial" w:cs="Arial"/>
          <w:sz w:val="22"/>
          <w:szCs w:val="22"/>
          <w:lang w:val="en-US" w:eastAsia="de-DE"/>
        </w:rPr>
      </w:pPr>
      <w:r w:rsidRPr="007D272B">
        <w:rPr>
          <w:rFonts w:ascii="Arial" w:hAnsi="Arial" w:cs="Arial"/>
          <w:i/>
          <w:iCs/>
          <w:color w:val="000000"/>
          <w:sz w:val="22"/>
          <w:szCs w:val="22"/>
          <w:lang w:val="en-US"/>
        </w:rPr>
        <w:t xml:space="preserve">To what extent has GP3 support (technical, financial, operational, strategic) been relevant and responsive to the needs and priorities of key UN stakeholders in country (UNDP </w:t>
      </w:r>
      <w:r w:rsidR="00A01D7F" w:rsidRPr="007D272B">
        <w:rPr>
          <w:rFonts w:ascii="Arial" w:hAnsi="Arial" w:cs="Arial"/>
          <w:i/>
          <w:iCs/>
          <w:color w:val="000000"/>
          <w:sz w:val="22"/>
          <w:szCs w:val="22"/>
          <w:lang w:val="en-US"/>
        </w:rPr>
        <w:t>COs</w:t>
      </w:r>
      <w:r w:rsidRPr="007D272B">
        <w:rPr>
          <w:rFonts w:ascii="Arial" w:hAnsi="Arial" w:cs="Arial"/>
          <w:i/>
          <w:iCs/>
          <w:color w:val="000000"/>
          <w:sz w:val="22"/>
          <w:szCs w:val="22"/>
          <w:lang w:val="en-US"/>
        </w:rPr>
        <w:t>, UN Resident Coordinator Offices</w:t>
      </w:r>
      <w:r w:rsidR="00A01D7F" w:rsidRPr="007D272B">
        <w:rPr>
          <w:rFonts w:ascii="Arial" w:hAnsi="Arial" w:cs="Arial"/>
          <w:i/>
          <w:iCs/>
          <w:color w:val="000000"/>
          <w:sz w:val="22"/>
          <w:szCs w:val="22"/>
          <w:lang w:val="en-US"/>
        </w:rPr>
        <w:t xml:space="preserve"> (RCOs)</w:t>
      </w:r>
      <w:r w:rsidRPr="007D272B">
        <w:rPr>
          <w:rFonts w:ascii="Arial" w:hAnsi="Arial" w:cs="Arial"/>
          <w:i/>
          <w:iCs/>
          <w:color w:val="000000"/>
          <w:sz w:val="22"/>
          <w:szCs w:val="22"/>
          <w:lang w:val="en-US"/>
        </w:rPr>
        <w:t>; UN Country Teams (UNCT); and peacekeeping Missions as relevant) as well as key national counterparts?</w:t>
      </w:r>
    </w:p>
    <w:p w14:paraId="0284AF51" w14:textId="77777777" w:rsidR="0029366C" w:rsidRPr="000254B3" w:rsidRDefault="0029366C" w:rsidP="0029366C">
      <w:pPr>
        <w:spacing w:after="0" w:line="240" w:lineRule="auto"/>
        <w:ind w:hanging="2"/>
        <w:jc w:val="both"/>
        <w:rPr>
          <w:rFonts w:ascii="Arial" w:eastAsia="Times New Roman" w:hAnsi="Arial" w:cs="Arial"/>
          <w:lang w:val="en-US" w:eastAsia="de-DE"/>
        </w:rPr>
      </w:pPr>
    </w:p>
    <w:p w14:paraId="374673CB" w14:textId="5662F064" w:rsidR="0029366C" w:rsidRPr="002A6E99" w:rsidRDefault="0029366C" w:rsidP="00E80114">
      <w:pPr>
        <w:spacing w:line="240" w:lineRule="auto"/>
        <w:rPr>
          <w:rFonts w:ascii="Arial" w:eastAsia="Times New Roman" w:hAnsi="Arial" w:cs="Arial"/>
          <w:sz w:val="22"/>
          <w:szCs w:val="22"/>
          <w:lang w:val="en-US" w:eastAsia="de-DE"/>
        </w:rPr>
      </w:pPr>
      <w:r w:rsidRPr="002A6E99">
        <w:rPr>
          <w:rFonts w:ascii="Arial" w:eastAsia="Times New Roman" w:hAnsi="Arial" w:cs="Arial"/>
          <w:sz w:val="22"/>
          <w:szCs w:val="22"/>
          <w:lang w:val="en-US" w:eastAsia="de-DE"/>
        </w:rPr>
        <w:t>GP3 lays special emphasis on providing support at country level, in GP and/or GFP priority contexts and beyond</w:t>
      </w:r>
      <w:r w:rsidR="007C12E4">
        <w:rPr>
          <w:rFonts w:ascii="Arial" w:eastAsia="Times New Roman" w:hAnsi="Arial" w:cs="Arial"/>
          <w:sz w:val="22"/>
          <w:szCs w:val="22"/>
          <w:lang w:val="en-US" w:eastAsia="de-DE"/>
        </w:rPr>
        <w:t xml:space="preserve">, </w:t>
      </w:r>
      <w:r w:rsidRPr="002A6E99">
        <w:rPr>
          <w:rFonts w:ascii="Arial" w:eastAsia="Times New Roman" w:hAnsi="Arial" w:cs="Arial"/>
          <w:sz w:val="22"/>
          <w:szCs w:val="22"/>
          <w:lang w:val="en-US" w:eastAsia="de-DE"/>
        </w:rPr>
        <w:t xml:space="preserve">in different ways including technical, financial, operational assistance and/or strategic advice. Via the country case studies, the evaluation has found evidence indicating GP relevance in that it successfully addressed and thus was responsive to specific needs and priorities of UNDP </w:t>
      </w:r>
      <w:r w:rsidR="007C12E4">
        <w:rPr>
          <w:rFonts w:ascii="Arial" w:eastAsia="Times New Roman" w:hAnsi="Arial" w:cs="Arial"/>
          <w:sz w:val="22"/>
          <w:szCs w:val="22"/>
          <w:lang w:val="en-US" w:eastAsia="de-DE"/>
        </w:rPr>
        <w:t>COs</w:t>
      </w:r>
      <w:r w:rsidRPr="002A6E99">
        <w:rPr>
          <w:rFonts w:ascii="Arial" w:eastAsia="Times New Roman" w:hAnsi="Arial" w:cs="Arial"/>
          <w:sz w:val="22"/>
          <w:szCs w:val="22"/>
          <w:lang w:val="en-US" w:eastAsia="de-DE"/>
        </w:rPr>
        <w:t>, UN Resident Coordinator Offices</w:t>
      </w:r>
      <w:r w:rsidR="00A01D7F">
        <w:rPr>
          <w:rFonts w:ascii="Arial" w:eastAsia="Times New Roman" w:hAnsi="Arial" w:cs="Arial"/>
          <w:sz w:val="22"/>
          <w:szCs w:val="22"/>
          <w:lang w:val="en-US" w:eastAsia="de-DE"/>
        </w:rPr>
        <w:t xml:space="preserve"> and</w:t>
      </w:r>
      <w:r w:rsidRPr="002A6E99">
        <w:rPr>
          <w:rFonts w:ascii="Arial" w:eastAsia="Times New Roman" w:hAnsi="Arial" w:cs="Arial"/>
          <w:sz w:val="22"/>
          <w:szCs w:val="22"/>
          <w:lang w:val="en-US" w:eastAsia="de-DE"/>
        </w:rPr>
        <w:t xml:space="preserve"> Country Teams; and peacekeeping Missions</w:t>
      </w:r>
      <w:r w:rsidR="00A01D7F">
        <w:rPr>
          <w:rFonts w:ascii="Arial" w:eastAsia="Times New Roman" w:hAnsi="Arial" w:cs="Arial"/>
          <w:sz w:val="22"/>
          <w:szCs w:val="22"/>
          <w:lang w:val="en-US" w:eastAsia="de-DE"/>
        </w:rPr>
        <w:t>,</w:t>
      </w:r>
      <w:r w:rsidRPr="002A6E99">
        <w:rPr>
          <w:rFonts w:ascii="Arial" w:eastAsia="Times New Roman" w:hAnsi="Arial" w:cs="Arial"/>
          <w:sz w:val="22"/>
          <w:szCs w:val="22"/>
          <w:lang w:val="en-US" w:eastAsia="de-DE"/>
        </w:rPr>
        <w:t xml:space="preserve"> as well as key national counterparts. </w:t>
      </w:r>
    </w:p>
    <w:p w14:paraId="1AF4EED1" w14:textId="33D364B4" w:rsidR="0029366C" w:rsidRPr="002A6E99" w:rsidRDefault="0029366C" w:rsidP="007C12E4">
      <w:pPr>
        <w:spacing w:line="240" w:lineRule="auto"/>
        <w:rPr>
          <w:rFonts w:ascii="Arial" w:hAnsi="Arial" w:cs="Arial"/>
          <w:color w:val="000000"/>
          <w:sz w:val="22"/>
          <w:szCs w:val="22"/>
          <w:lang w:val="en-US"/>
        </w:rPr>
      </w:pPr>
      <w:r w:rsidRPr="002A6E99">
        <w:rPr>
          <w:rFonts w:ascii="Arial" w:eastAsia="Times New Roman" w:hAnsi="Arial" w:cs="Arial"/>
          <w:sz w:val="22"/>
          <w:szCs w:val="22"/>
          <w:lang w:val="en-US" w:eastAsia="de-DE"/>
        </w:rPr>
        <w:t>GP’s relatively modest funding allocations proved relevant to serve purposes across a span of various constellations, from stop-gap funding and bridging arrangements to catalytic seed funding. All six case study countries yielded evidence of GP3’s role as a strategic stepping</w:t>
      </w:r>
      <w:r w:rsidR="007C12E4">
        <w:rPr>
          <w:rFonts w:ascii="Arial" w:eastAsia="Times New Roman" w:hAnsi="Arial" w:cs="Arial"/>
          <w:sz w:val="22"/>
          <w:szCs w:val="22"/>
          <w:lang w:val="en-US" w:eastAsia="de-DE"/>
        </w:rPr>
        <w:t>-</w:t>
      </w:r>
      <w:r w:rsidRPr="002A6E99">
        <w:rPr>
          <w:rFonts w:ascii="Arial" w:eastAsia="Times New Roman" w:hAnsi="Arial" w:cs="Arial"/>
          <w:sz w:val="22"/>
          <w:szCs w:val="22"/>
          <w:lang w:val="en-US" w:eastAsia="de-DE"/>
        </w:rPr>
        <w:t xml:space="preserve">stone to introduce, scale up or consolidate </w:t>
      </w:r>
      <w:r w:rsidR="007C12E4" w:rsidRPr="002A6E99">
        <w:rPr>
          <w:rFonts w:ascii="Arial" w:eastAsia="Times New Roman" w:hAnsi="Arial" w:cs="Arial"/>
          <w:sz w:val="22"/>
          <w:szCs w:val="22"/>
          <w:lang w:val="en-US" w:eastAsia="de-DE"/>
        </w:rPr>
        <w:t>R</w:t>
      </w:r>
      <w:r w:rsidR="00B17B90">
        <w:rPr>
          <w:rFonts w:ascii="Arial" w:eastAsia="Times New Roman" w:hAnsi="Arial" w:cs="Arial"/>
          <w:sz w:val="22"/>
          <w:szCs w:val="22"/>
          <w:lang w:val="en-US" w:eastAsia="de-DE"/>
        </w:rPr>
        <w:t>O</w:t>
      </w:r>
      <w:r w:rsidR="007C12E4" w:rsidRPr="002A6E99">
        <w:rPr>
          <w:rFonts w:ascii="Arial" w:eastAsia="Times New Roman" w:hAnsi="Arial" w:cs="Arial"/>
          <w:sz w:val="22"/>
          <w:szCs w:val="22"/>
          <w:lang w:val="en-US" w:eastAsia="de-DE"/>
        </w:rPr>
        <w:t xml:space="preserve">LSHR </w:t>
      </w:r>
      <w:r w:rsidRPr="002A6E99">
        <w:rPr>
          <w:rFonts w:ascii="Arial" w:eastAsia="Times New Roman" w:hAnsi="Arial" w:cs="Arial"/>
          <w:sz w:val="22"/>
          <w:szCs w:val="22"/>
          <w:lang w:val="en-US" w:eastAsia="de-DE"/>
        </w:rPr>
        <w:t xml:space="preserve">work </w:t>
      </w:r>
      <w:r w:rsidR="007C12E4">
        <w:rPr>
          <w:rFonts w:ascii="Arial" w:eastAsia="Times New Roman" w:hAnsi="Arial" w:cs="Arial"/>
          <w:sz w:val="22"/>
          <w:szCs w:val="22"/>
          <w:lang w:val="en-US" w:eastAsia="de-DE"/>
        </w:rPr>
        <w:t xml:space="preserve">that </w:t>
      </w:r>
      <w:r w:rsidRPr="002A6E99">
        <w:rPr>
          <w:rFonts w:ascii="Arial" w:eastAsia="Times New Roman" w:hAnsi="Arial" w:cs="Arial"/>
          <w:sz w:val="22"/>
          <w:szCs w:val="22"/>
          <w:lang w:val="en-US" w:eastAsia="de-DE"/>
        </w:rPr>
        <w:t xml:space="preserve">otherwise might have been suspended or overlooked.  </w:t>
      </w:r>
      <w:r w:rsidRPr="002A6E99">
        <w:rPr>
          <w:rFonts w:ascii="Arial" w:hAnsi="Arial" w:cs="Arial"/>
          <w:color w:val="000000"/>
          <w:sz w:val="22"/>
          <w:szCs w:val="22"/>
          <w:lang w:val="en-US"/>
        </w:rPr>
        <w:t xml:space="preserve">The following are specific examples </w:t>
      </w:r>
      <w:r w:rsidR="007C12E4">
        <w:rPr>
          <w:rFonts w:ascii="Arial" w:hAnsi="Arial" w:cs="Arial"/>
          <w:color w:val="000000"/>
          <w:sz w:val="22"/>
          <w:szCs w:val="22"/>
          <w:lang w:val="en-US"/>
        </w:rPr>
        <w:t>describing</w:t>
      </w:r>
      <w:r w:rsidRPr="002A6E99">
        <w:rPr>
          <w:rFonts w:ascii="Arial" w:hAnsi="Arial" w:cs="Arial"/>
          <w:color w:val="000000"/>
          <w:sz w:val="22"/>
          <w:szCs w:val="22"/>
          <w:lang w:val="en-US"/>
        </w:rPr>
        <w:t xml:space="preserve"> the relevance of GP support in different case study countries during the period under evaluation</w:t>
      </w:r>
      <w:r w:rsidR="007C12E4">
        <w:rPr>
          <w:rFonts w:ascii="Arial" w:hAnsi="Arial" w:cs="Arial"/>
          <w:color w:val="000000"/>
          <w:sz w:val="22"/>
          <w:szCs w:val="22"/>
          <w:lang w:val="en-US"/>
        </w:rPr>
        <w:t>.</w:t>
      </w:r>
      <w:r w:rsidRPr="002A6E99">
        <w:rPr>
          <w:rFonts w:ascii="Arial" w:hAnsi="Arial" w:cs="Arial"/>
          <w:color w:val="000000"/>
          <w:sz w:val="22"/>
          <w:szCs w:val="22"/>
          <w:lang w:val="en-US"/>
        </w:rPr>
        <w:t xml:space="preserve"> </w:t>
      </w:r>
    </w:p>
    <w:p w14:paraId="172CBE6E" w14:textId="72BA2B9B" w:rsidR="0029366C" w:rsidRPr="002A6E99" w:rsidRDefault="0029366C" w:rsidP="00E80114">
      <w:pPr>
        <w:spacing w:line="240" w:lineRule="auto"/>
        <w:rPr>
          <w:rFonts w:ascii="Arial" w:hAnsi="Arial" w:cs="Arial"/>
          <w:b/>
          <w:bCs/>
          <w:sz w:val="22"/>
          <w:szCs w:val="22"/>
          <w:lang w:val="en-US"/>
        </w:rPr>
      </w:pPr>
      <w:r w:rsidRPr="44A265BC">
        <w:rPr>
          <w:rFonts w:ascii="Arial" w:eastAsia="Times New Roman" w:hAnsi="Arial" w:cs="Arial"/>
          <w:b/>
          <w:bCs/>
          <w:color w:val="000000" w:themeColor="text1"/>
          <w:sz w:val="22"/>
          <w:szCs w:val="22"/>
          <w:lang w:val="en-US" w:eastAsia="de-DE"/>
        </w:rPr>
        <w:t>Kyrgyzstan</w:t>
      </w:r>
      <w:r w:rsidRPr="44A265BC">
        <w:rPr>
          <w:rFonts w:ascii="Arial" w:eastAsia="Times New Roman" w:hAnsi="Arial" w:cs="Arial"/>
          <w:color w:val="000000" w:themeColor="text1"/>
          <w:sz w:val="22"/>
          <w:szCs w:val="22"/>
          <w:lang w:val="en-US" w:eastAsia="de-DE"/>
        </w:rPr>
        <w:t xml:space="preserve"> benefited from </w:t>
      </w:r>
      <w:r w:rsidRPr="44A265BC">
        <w:rPr>
          <w:rFonts w:ascii="Arial" w:hAnsi="Arial" w:cs="Arial"/>
          <w:color w:val="000000" w:themeColor="text1"/>
          <w:sz w:val="22"/>
          <w:szCs w:val="22"/>
          <w:lang w:val="en-US"/>
        </w:rPr>
        <w:t xml:space="preserve">several GP allocations, initially </w:t>
      </w:r>
      <w:r w:rsidR="160F8DEC" w:rsidRPr="44A265BC">
        <w:rPr>
          <w:rFonts w:ascii="Arial" w:hAnsi="Arial" w:cs="Arial"/>
          <w:color w:val="000000" w:themeColor="text1"/>
          <w:sz w:val="22"/>
          <w:szCs w:val="22"/>
          <w:lang w:val="en-US"/>
        </w:rPr>
        <w:t xml:space="preserve">receiving </w:t>
      </w:r>
      <w:r w:rsidRPr="44A265BC">
        <w:rPr>
          <w:rFonts w:ascii="Arial" w:hAnsi="Arial" w:cs="Arial"/>
          <w:color w:val="000000" w:themeColor="text1"/>
          <w:sz w:val="22"/>
          <w:szCs w:val="22"/>
          <w:lang w:val="en-US"/>
        </w:rPr>
        <w:t xml:space="preserve">resources to hire a </w:t>
      </w:r>
      <w:r w:rsidR="00A01D7F" w:rsidRPr="44A265BC">
        <w:rPr>
          <w:rFonts w:ascii="Arial" w:hAnsi="Arial" w:cs="Arial"/>
          <w:color w:val="000000" w:themeColor="text1"/>
          <w:sz w:val="22"/>
          <w:szCs w:val="22"/>
          <w:lang w:val="en-US"/>
        </w:rPr>
        <w:t>Chief Technical Advisor (</w:t>
      </w:r>
      <w:r w:rsidRPr="44A265BC">
        <w:rPr>
          <w:rFonts w:ascii="Arial" w:hAnsi="Arial" w:cs="Arial"/>
          <w:color w:val="000000" w:themeColor="text1"/>
          <w:sz w:val="22"/>
          <w:szCs w:val="22"/>
          <w:lang w:val="en-US"/>
        </w:rPr>
        <w:t>CTA</w:t>
      </w:r>
      <w:r w:rsidR="00A01D7F" w:rsidRPr="44A265BC">
        <w:rPr>
          <w:rFonts w:ascii="Arial" w:hAnsi="Arial" w:cs="Arial"/>
          <w:color w:val="000000" w:themeColor="text1"/>
          <w:sz w:val="22"/>
          <w:szCs w:val="22"/>
          <w:lang w:val="en-US"/>
        </w:rPr>
        <w:t>)</w:t>
      </w:r>
      <w:r w:rsidRPr="44A265BC">
        <w:rPr>
          <w:rFonts w:ascii="Arial" w:hAnsi="Arial" w:cs="Arial"/>
          <w:color w:val="000000" w:themeColor="text1"/>
          <w:sz w:val="22"/>
          <w:szCs w:val="22"/>
          <w:lang w:val="en-US"/>
        </w:rPr>
        <w:t xml:space="preserve"> who went on to successfully design and establish a comprehensive R</w:t>
      </w:r>
      <w:r w:rsidR="00B17B90">
        <w:rPr>
          <w:rFonts w:ascii="Arial" w:hAnsi="Arial" w:cs="Arial"/>
          <w:color w:val="000000" w:themeColor="text1"/>
          <w:sz w:val="22"/>
          <w:szCs w:val="22"/>
          <w:lang w:val="en-US"/>
        </w:rPr>
        <w:t>O</w:t>
      </w:r>
      <w:r w:rsidRPr="44A265BC">
        <w:rPr>
          <w:rFonts w:ascii="Arial" w:hAnsi="Arial" w:cs="Arial"/>
          <w:color w:val="000000" w:themeColor="text1"/>
          <w:sz w:val="22"/>
          <w:szCs w:val="22"/>
          <w:lang w:val="en-US"/>
        </w:rPr>
        <w:t>LSHR portfolio at country level. Later strategic GP support helped to implement long-term judicial reforms, introduce legal aid services</w:t>
      </w:r>
      <w:r w:rsidR="00B17B90">
        <w:rPr>
          <w:rFonts w:ascii="Arial" w:hAnsi="Arial" w:cs="Arial"/>
          <w:color w:val="000000" w:themeColor="text1"/>
          <w:sz w:val="22"/>
          <w:szCs w:val="22"/>
          <w:lang w:val="en-US"/>
        </w:rPr>
        <w:t>,</w:t>
      </w:r>
      <w:r w:rsidRPr="44A265BC">
        <w:rPr>
          <w:rFonts w:ascii="Arial" w:hAnsi="Arial" w:cs="Arial"/>
          <w:color w:val="000000" w:themeColor="text1"/>
          <w:sz w:val="22"/>
          <w:szCs w:val="22"/>
          <w:lang w:val="en-US"/>
        </w:rPr>
        <w:t xml:space="preserve"> and set up a restorative justice pilot project. All these investments were </w:t>
      </w:r>
      <w:r w:rsidR="001A057B" w:rsidRPr="44A265BC">
        <w:rPr>
          <w:rFonts w:ascii="Arial" w:hAnsi="Arial" w:cs="Arial"/>
          <w:color w:val="000000" w:themeColor="text1"/>
          <w:sz w:val="22"/>
          <w:szCs w:val="22"/>
          <w:lang w:val="en-US"/>
        </w:rPr>
        <w:t>highly relevant</w:t>
      </w:r>
      <w:r w:rsidRPr="44A265BC">
        <w:rPr>
          <w:rFonts w:ascii="Arial" w:hAnsi="Arial" w:cs="Arial"/>
          <w:color w:val="000000" w:themeColor="text1"/>
          <w:sz w:val="22"/>
          <w:szCs w:val="22"/>
          <w:lang w:val="en-US"/>
        </w:rPr>
        <w:t xml:space="preserve"> and useful, according to in-country informants from UNDP, other UN entities, and national counterparts. </w:t>
      </w:r>
      <w:r w:rsidRPr="44A265BC">
        <w:rPr>
          <w:rFonts w:ascii="Arial" w:eastAsia="Times New Roman" w:hAnsi="Arial" w:cs="Arial"/>
          <w:color w:val="000000" w:themeColor="text1"/>
          <w:sz w:val="22"/>
          <w:szCs w:val="22"/>
          <w:lang w:val="en-US" w:eastAsia="de-DE"/>
        </w:rPr>
        <w:t xml:space="preserve">Technical expertise of the UNDP team (including the Istanbul-based Focal Point) and financial inputs from the GP are valued by government and civil society actors, with </w:t>
      </w:r>
      <w:r w:rsidRPr="44A265BC">
        <w:rPr>
          <w:rFonts w:ascii="Arial" w:hAnsi="Arial" w:cs="Arial"/>
          <w:color w:val="000000" w:themeColor="text1"/>
          <w:sz w:val="22"/>
          <w:szCs w:val="22"/>
          <w:lang w:val="en-US"/>
        </w:rPr>
        <w:t>the only caveat being concerns over sustainability due to lack of other interested donors and</w:t>
      </w:r>
      <w:r w:rsidR="001A057B" w:rsidRPr="44A265BC">
        <w:rPr>
          <w:rFonts w:ascii="Arial" w:hAnsi="Arial" w:cs="Arial"/>
          <w:color w:val="000000" w:themeColor="text1"/>
          <w:sz w:val="22"/>
          <w:szCs w:val="22"/>
          <w:lang w:val="en-US"/>
        </w:rPr>
        <w:t xml:space="preserve"> the</w:t>
      </w:r>
      <w:r w:rsidRPr="44A265BC">
        <w:rPr>
          <w:rFonts w:ascii="Arial" w:hAnsi="Arial" w:cs="Arial"/>
          <w:color w:val="000000" w:themeColor="text1"/>
          <w:sz w:val="22"/>
          <w:szCs w:val="22"/>
          <w:lang w:val="en-US"/>
        </w:rPr>
        <w:t xml:space="preserve"> recent political crisis. Overall, </w:t>
      </w:r>
      <w:r w:rsidRPr="44A265BC">
        <w:rPr>
          <w:rFonts w:ascii="Arial" w:eastAsia="Times New Roman" w:hAnsi="Arial" w:cs="Arial"/>
          <w:color w:val="000000" w:themeColor="text1"/>
          <w:sz w:val="22"/>
          <w:szCs w:val="22"/>
          <w:lang w:val="en-US" w:eastAsia="de-DE"/>
        </w:rPr>
        <w:t xml:space="preserve">GP support helped the UNDP </w:t>
      </w:r>
      <w:r w:rsidR="001A057B" w:rsidRPr="44A265BC">
        <w:rPr>
          <w:rFonts w:ascii="Arial" w:eastAsia="Times New Roman" w:hAnsi="Arial" w:cs="Arial"/>
          <w:color w:val="000000" w:themeColor="text1"/>
          <w:sz w:val="22"/>
          <w:szCs w:val="22"/>
          <w:lang w:val="en-US" w:eastAsia="de-DE"/>
        </w:rPr>
        <w:t>CO</w:t>
      </w:r>
      <w:r w:rsidRPr="44A265BC">
        <w:rPr>
          <w:rFonts w:ascii="Arial" w:eastAsia="Times New Roman" w:hAnsi="Arial" w:cs="Arial"/>
          <w:color w:val="000000" w:themeColor="text1"/>
          <w:sz w:val="22"/>
          <w:szCs w:val="22"/>
          <w:lang w:val="en-US" w:eastAsia="de-DE"/>
        </w:rPr>
        <w:t xml:space="preserve"> to solidify its position as a key protagonist in the ROLSHR sector, in which relatively few international actors are engaged. </w:t>
      </w:r>
    </w:p>
    <w:p w14:paraId="2A9251C3" w14:textId="49DA9B6D" w:rsidR="0029366C" w:rsidRPr="002A6E99" w:rsidRDefault="0029366C" w:rsidP="00E80114">
      <w:pPr>
        <w:spacing w:line="240" w:lineRule="auto"/>
        <w:rPr>
          <w:rFonts w:ascii="Arial" w:eastAsia="Times New Roman" w:hAnsi="Arial" w:cs="Arial"/>
          <w:sz w:val="22"/>
          <w:szCs w:val="22"/>
          <w:lang w:val="en-US"/>
        </w:rPr>
      </w:pPr>
      <w:r w:rsidRPr="002A6E99">
        <w:rPr>
          <w:rFonts w:ascii="Arial" w:eastAsia="Times New Roman" w:hAnsi="Arial" w:cs="Arial"/>
          <w:sz w:val="22"/>
          <w:szCs w:val="22"/>
          <w:lang w:val="en-US" w:eastAsia="de-DE"/>
        </w:rPr>
        <w:t xml:space="preserve">In </w:t>
      </w:r>
      <w:r w:rsidRPr="002A6E99">
        <w:rPr>
          <w:rFonts w:ascii="Arial" w:eastAsia="Times New Roman" w:hAnsi="Arial" w:cs="Arial"/>
          <w:b/>
          <w:bCs/>
          <w:sz w:val="22"/>
          <w:szCs w:val="22"/>
          <w:lang w:val="en-US" w:eastAsia="de-DE"/>
        </w:rPr>
        <w:t>Colombia</w:t>
      </w:r>
      <w:r w:rsidRPr="002A6E99">
        <w:rPr>
          <w:rFonts w:ascii="Arial" w:eastAsia="Times New Roman" w:hAnsi="Arial" w:cs="Arial"/>
          <w:sz w:val="22"/>
          <w:szCs w:val="22"/>
          <w:lang w:val="en-US" w:eastAsia="de-DE"/>
        </w:rPr>
        <w:t xml:space="preserve">, </w:t>
      </w:r>
      <w:r w:rsidRPr="002A6E99">
        <w:rPr>
          <w:rFonts w:ascii="Arial" w:hAnsi="Arial" w:cs="Arial"/>
          <w:sz w:val="22"/>
          <w:szCs w:val="22"/>
          <w:lang w:val="en-US"/>
        </w:rPr>
        <w:t xml:space="preserve">three years of GP funding in 2016-18 focused on upgrading the ROLSHR team’s skills and expertise (including initial support for the </w:t>
      </w:r>
      <w:r w:rsidRPr="002A6E99">
        <w:rPr>
          <w:rFonts w:ascii="Arial" w:eastAsia="Times New Roman" w:hAnsi="Arial" w:cs="Arial"/>
          <w:sz w:val="22"/>
          <w:szCs w:val="22"/>
          <w:lang w:val="en-US"/>
        </w:rPr>
        <w:t xml:space="preserve">CTA’s salary) and funding small activities selected by the team to fill programming gaps and try out new approaches. In-country UNDP staff described this as </w:t>
      </w:r>
      <w:r w:rsidRPr="002A6E99">
        <w:rPr>
          <w:rFonts w:ascii="Arial" w:hAnsi="Arial" w:cs="Arial"/>
          <w:sz w:val="22"/>
          <w:szCs w:val="22"/>
          <w:lang w:val="en-US"/>
        </w:rPr>
        <w:t xml:space="preserve">a </w:t>
      </w:r>
      <w:r w:rsidR="001A057B" w:rsidRPr="002A6E99">
        <w:rPr>
          <w:rFonts w:ascii="Arial" w:eastAsia="Times New Roman" w:hAnsi="Arial" w:cs="Arial"/>
          <w:sz w:val="22"/>
          <w:szCs w:val="22"/>
          <w:lang w:val="en-US"/>
        </w:rPr>
        <w:t xml:space="preserve">highly </w:t>
      </w:r>
      <w:r w:rsidR="001A057B" w:rsidRPr="002A6E99">
        <w:rPr>
          <w:rFonts w:ascii="Arial" w:hAnsi="Arial" w:cs="Arial"/>
          <w:sz w:val="22"/>
          <w:szCs w:val="22"/>
          <w:lang w:val="en-US"/>
        </w:rPr>
        <w:t xml:space="preserve">suitable </w:t>
      </w:r>
      <w:r w:rsidRPr="002A6E99">
        <w:rPr>
          <w:rFonts w:ascii="Arial" w:hAnsi="Arial" w:cs="Arial"/>
          <w:sz w:val="22"/>
          <w:szCs w:val="22"/>
          <w:lang w:val="en-US"/>
        </w:rPr>
        <w:t>strategic approach, given the extensive ROLSHR portfolio and the highly complex and competitive country and donor environment of Colombia.</w:t>
      </w:r>
      <w:r w:rsidRPr="002A6E99">
        <w:rPr>
          <w:rFonts w:ascii="Arial" w:eastAsia="Times New Roman" w:hAnsi="Arial" w:cs="Arial"/>
          <w:sz w:val="22"/>
          <w:szCs w:val="22"/>
          <w:lang w:val="en-US"/>
        </w:rPr>
        <w:t xml:space="preserve"> Although not visible to external stakeholders as related to GP support, </w:t>
      </w:r>
      <w:r w:rsidRPr="002A6E99">
        <w:rPr>
          <w:rFonts w:ascii="Arial" w:hAnsi="Arial" w:cs="Arial"/>
          <w:sz w:val="22"/>
          <w:szCs w:val="22"/>
          <w:lang w:val="en-US"/>
        </w:rPr>
        <w:t xml:space="preserve">several remarked on how strong </w:t>
      </w:r>
      <w:r w:rsidRPr="002A6E99">
        <w:rPr>
          <w:rFonts w:ascii="Arial" w:eastAsia="Times New Roman" w:hAnsi="Arial" w:cs="Arial"/>
          <w:sz w:val="22"/>
          <w:szCs w:val="22"/>
          <w:lang w:val="en-US"/>
        </w:rPr>
        <w:t xml:space="preserve">capacity during the relevant period had allowed the UNDP team to effectively design, adapt and oversee a complex set of interventions in the sector, while sustaining and developing valuable relationships. </w:t>
      </w:r>
      <w:r w:rsidRPr="002A6E99">
        <w:rPr>
          <w:rFonts w:ascii="Arial" w:hAnsi="Arial" w:cs="Arial"/>
          <w:sz w:val="22"/>
          <w:szCs w:val="22"/>
          <w:lang w:val="en-US"/>
        </w:rPr>
        <w:t xml:space="preserve">Interviewees affirmed the importance of “keeping a seat at the table” for UNDP, which could quickly lose its strategic position or relevance in a certain thematic area if inactive for even a year. </w:t>
      </w:r>
      <w:r w:rsidRPr="002A6E99">
        <w:rPr>
          <w:rFonts w:ascii="Arial" w:eastAsia="Times New Roman" w:hAnsi="Arial" w:cs="Arial"/>
          <w:sz w:val="22"/>
          <w:szCs w:val="22"/>
          <w:lang w:val="en-US"/>
        </w:rPr>
        <w:t xml:space="preserve">Generally, UNDP’s ROLSHR work was seen as responsive to local priorities and sensitive to the fragile conditions prevailing in Colombia. </w:t>
      </w:r>
    </w:p>
    <w:p w14:paraId="4A576A79" w14:textId="22DF3617" w:rsidR="0029366C" w:rsidRPr="002A6E99" w:rsidRDefault="0029366C" w:rsidP="006F770A">
      <w:pPr>
        <w:spacing w:line="240" w:lineRule="auto"/>
        <w:ind w:left="567" w:right="571"/>
        <w:jc w:val="center"/>
        <w:rPr>
          <w:rFonts w:ascii="Arial" w:eastAsia="Times New Roman" w:hAnsi="Arial" w:cs="Arial"/>
          <w:color w:val="4A66AC" w:themeColor="accent1"/>
          <w:sz w:val="22"/>
          <w:szCs w:val="22"/>
          <w:lang w:val="en-US"/>
        </w:rPr>
      </w:pPr>
      <w:r w:rsidRPr="002A6E99">
        <w:rPr>
          <w:rFonts w:ascii="Arial" w:hAnsi="Arial" w:cs="Arial"/>
          <w:color w:val="4A66AC" w:themeColor="accent1"/>
          <w:sz w:val="22"/>
          <w:szCs w:val="22"/>
          <w:lang w:val="en-US"/>
        </w:rPr>
        <w:t>“</w:t>
      </w:r>
      <w:r w:rsidRPr="002A6E99">
        <w:rPr>
          <w:rFonts w:ascii="Arial" w:hAnsi="Arial" w:cs="Arial"/>
          <w:i/>
          <w:iCs/>
          <w:color w:val="4A66AC" w:themeColor="accent1"/>
          <w:sz w:val="22"/>
          <w:szCs w:val="22"/>
          <w:lang w:val="en-US"/>
        </w:rPr>
        <w:t>To have a say here is not possible with small money. But a capable team can use GP inputs to leverage other sources, build a portfolio…in that way, one can generate results with small money</w:t>
      </w:r>
      <w:r w:rsidRPr="002A6E99">
        <w:rPr>
          <w:rFonts w:ascii="Arial" w:hAnsi="Arial" w:cs="Arial"/>
          <w:color w:val="4A66AC" w:themeColor="accent1"/>
          <w:sz w:val="22"/>
          <w:szCs w:val="22"/>
          <w:lang w:val="en-US"/>
        </w:rPr>
        <w:t>”.</w:t>
      </w:r>
      <w:r w:rsidR="001A057B">
        <w:rPr>
          <w:rFonts w:ascii="Arial" w:hAnsi="Arial" w:cs="Arial"/>
          <w:color w:val="4A66AC" w:themeColor="accent1"/>
          <w:sz w:val="22"/>
          <w:szCs w:val="22"/>
          <w:lang w:val="en-US"/>
        </w:rPr>
        <w:t xml:space="preserve"> ~</w:t>
      </w:r>
      <w:r w:rsidR="001A057B" w:rsidRPr="001A057B">
        <w:rPr>
          <w:rFonts w:ascii="Arial" w:hAnsi="Arial" w:cs="Arial"/>
          <w:color w:val="4A66AC" w:themeColor="accent1"/>
          <w:sz w:val="22"/>
          <w:szCs w:val="22"/>
          <w:lang w:val="en-US"/>
        </w:rPr>
        <w:t xml:space="preserve"> </w:t>
      </w:r>
      <w:r w:rsidR="001A057B" w:rsidRPr="002A6E99">
        <w:rPr>
          <w:rFonts w:ascii="Arial" w:hAnsi="Arial" w:cs="Arial"/>
          <w:color w:val="4A66AC" w:themeColor="accent1"/>
          <w:sz w:val="22"/>
          <w:szCs w:val="22"/>
          <w:lang w:val="en-US"/>
        </w:rPr>
        <w:t>UNDP Colombia staff</w:t>
      </w:r>
    </w:p>
    <w:p w14:paraId="169C8C7C" w14:textId="6BF9CF88" w:rsidR="0029366C" w:rsidRPr="002A6E99" w:rsidRDefault="0029366C" w:rsidP="00E80114">
      <w:pPr>
        <w:spacing w:line="240" w:lineRule="auto"/>
        <w:rPr>
          <w:rFonts w:ascii="Arial" w:hAnsi="Arial" w:cs="Arial"/>
          <w:color w:val="000000"/>
          <w:sz w:val="22"/>
          <w:szCs w:val="22"/>
          <w:lang w:val="en-US"/>
        </w:rPr>
      </w:pPr>
      <w:r w:rsidRPr="002A6E99">
        <w:rPr>
          <w:rFonts w:ascii="Arial" w:eastAsia="Times New Roman" w:hAnsi="Arial" w:cs="Arial"/>
          <w:sz w:val="22"/>
          <w:szCs w:val="22"/>
          <w:lang w:val="en-US" w:eastAsia="de-DE"/>
        </w:rPr>
        <w:t xml:space="preserve">In </w:t>
      </w:r>
      <w:r w:rsidRPr="002A6E99">
        <w:rPr>
          <w:rFonts w:ascii="Arial" w:eastAsia="Times New Roman" w:hAnsi="Arial" w:cs="Arial"/>
          <w:b/>
          <w:bCs/>
          <w:sz w:val="22"/>
          <w:szCs w:val="22"/>
          <w:lang w:val="en-US" w:eastAsia="de-DE"/>
        </w:rPr>
        <w:t>Pakistan</w:t>
      </w:r>
      <w:r w:rsidRPr="002A6E99">
        <w:rPr>
          <w:rFonts w:ascii="Arial" w:eastAsia="Times New Roman" w:hAnsi="Arial" w:cs="Arial"/>
          <w:sz w:val="22"/>
          <w:szCs w:val="22"/>
          <w:lang w:val="en-US" w:eastAsia="de-DE"/>
        </w:rPr>
        <w:t>, the GP allocated pipeline</w:t>
      </w:r>
      <w:r w:rsidRPr="002A6E99">
        <w:rPr>
          <w:rFonts w:ascii="Arial" w:hAnsi="Arial" w:cs="Arial"/>
          <w:color w:val="000000"/>
          <w:sz w:val="22"/>
          <w:szCs w:val="22"/>
          <w:lang w:val="en-US"/>
        </w:rPr>
        <w:t xml:space="preserve"> funding only once during 2016-19, although the Focal Point in Bangkok</w:t>
      </w:r>
      <w:r w:rsidR="001A057B">
        <w:rPr>
          <w:rFonts w:ascii="Arial" w:hAnsi="Arial" w:cs="Arial"/>
          <w:color w:val="000000"/>
          <w:sz w:val="22"/>
          <w:szCs w:val="22"/>
          <w:lang w:val="en-US"/>
        </w:rPr>
        <w:t xml:space="preserve"> has</w:t>
      </w:r>
      <w:r w:rsidRPr="002A6E99">
        <w:rPr>
          <w:rFonts w:ascii="Arial" w:hAnsi="Arial" w:cs="Arial"/>
          <w:color w:val="000000"/>
          <w:sz w:val="22"/>
          <w:szCs w:val="22"/>
          <w:lang w:val="en-US"/>
        </w:rPr>
        <w:t xml:space="preserve"> regularly provide</w:t>
      </w:r>
      <w:r w:rsidR="001A057B">
        <w:rPr>
          <w:rFonts w:ascii="Arial" w:hAnsi="Arial" w:cs="Arial"/>
          <w:color w:val="000000"/>
          <w:sz w:val="22"/>
          <w:szCs w:val="22"/>
          <w:lang w:val="en-US"/>
        </w:rPr>
        <w:t>d</w:t>
      </w:r>
      <w:r w:rsidRPr="002A6E99">
        <w:rPr>
          <w:rFonts w:ascii="Arial" w:hAnsi="Arial" w:cs="Arial"/>
          <w:color w:val="000000"/>
          <w:sz w:val="22"/>
          <w:szCs w:val="22"/>
          <w:lang w:val="en-US"/>
        </w:rPr>
        <w:t xml:space="preserve"> technical advice to the ROLSHR team (and INL funding via the GP has been significant). </w:t>
      </w:r>
      <w:r w:rsidR="001A057B">
        <w:rPr>
          <w:rFonts w:ascii="Arial" w:hAnsi="Arial" w:cs="Arial"/>
          <w:color w:val="000000"/>
          <w:sz w:val="22"/>
          <w:szCs w:val="22"/>
          <w:lang w:val="en-US"/>
        </w:rPr>
        <w:t>Notably, t</w:t>
      </w:r>
      <w:r w:rsidRPr="002A6E99">
        <w:rPr>
          <w:rFonts w:ascii="Arial" w:hAnsi="Arial" w:cs="Arial"/>
          <w:color w:val="000000"/>
          <w:sz w:val="22"/>
          <w:szCs w:val="22"/>
          <w:lang w:val="en-US"/>
        </w:rPr>
        <w:t xml:space="preserve">he GP stepped in to provide bridge funding to fill what would have been a long gap in activities in Balochistan, after </w:t>
      </w:r>
      <w:r w:rsidR="00A01D7F">
        <w:rPr>
          <w:rFonts w:ascii="Arial" w:hAnsi="Arial" w:cs="Arial"/>
          <w:color w:val="000000"/>
          <w:sz w:val="22"/>
          <w:szCs w:val="22"/>
          <w:lang w:val="en-US"/>
        </w:rPr>
        <w:t>a bilateral donor</w:t>
      </w:r>
      <w:r w:rsidRPr="002A6E99">
        <w:rPr>
          <w:rFonts w:ascii="Arial" w:hAnsi="Arial" w:cs="Arial"/>
          <w:color w:val="000000"/>
          <w:sz w:val="22"/>
          <w:szCs w:val="22"/>
          <w:lang w:val="en-US"/>
        </w:rPr>
        <w:t xml:space="preserve"> terminated its financial support to implement a provincial ROL Roadmap developed with UNDP, UNODC and UN Women. GP funding enabled UNDP to keep up its presence in the province, boost its profile</w:t>
      </w:r>
      <w:r w:rsidR="001A057B">
        <w:rPr>
          <w:rFonts w:ascii="Arial" w:hAnsi="Arial" w:cs="Arial"/>
          <w:color w:val="000000"/>
          <w:sz w:val="22"/>
          <w:szCs w:val="22"/>
          <w:lang w:val="en-US"/>
        </w:rPr>
        <w:t>,</w:t>
      </w:r>
      <w:r w:rsidRPr="002A6E99">
        <w:rPr>
          <w:rFonts w:ascii="Arial" w:hAnsi="Arial" w:cs="Arial"/>
          <w:color w:val="000000"/>
          <w:sz w:val="22"/>
          <w:szCs w:val="22"/>
          <w:lang w:val="en-US"/>
        </w:rPr>
        <w:t xml:space="preserve"> and consolidate contacts, including a range of government and civil society entities. Those counterparts agreed that GP-supported activities were in line with local needs defined in the recently completed comprehensive Roadmap, and relevant to provide a kick-start to Roadmap implementation.</w:t>
      </w:r>
    </w:p>
    <w:p w14:paraId="0EC63370" w14:textId="7C5AFCFA" w:rsidR="0029366C" w:rsidRPr="002A6E99" w:rsidRDefault="0029366C" w:rsidP="00E80114">
      <w:pPr>
        <w:pStyle w:val="CommentText"/>
        <w:rPr>
          <w:sz w:val="22"/>
          <w:szCs w:val="22"/>
          <w:lang w:val="en-US"/>
        </w:rPr>
      </w:pPr>
      <w:r w:rsidRPr="7FB3149D">
        <w:rPr>
          <w:rFonts w:ascii="Arial" w:hAnsi="Arial" w:cs="Arial"/>
          <w:color w:val="000000" w:themeColor="text1"/>
          <w:sz w:val="22"/>
          <w:szCs w:val="22"/>
          <w:lang w:val="en-US"/>
        </w:rPr>
        <w:t xml:space="preserve">In </w:t>
      </w:r>
      <w:r w:rsidRPr="7FB3149D">
        <w:rPr>
          <w:rFonts w:ascii="Arial" w:hAnsi="Arial" w:cs="Arial"/>
          <w:b/>
          <w:bCs/>
          <w:color w:val="000000" w:themeColor="text1"/>
          <w:sz w:val="22"/>
          <w:szCs w:val="22"/>
          <w:lang w:val="en-US"/>
        </w:rPr>
        <w:t>Burkina Faso</w:t>
      </w:r>
      <w:r w:rsidRPr="7FB3149D">
        <w:rPr>
          <w:rFonts w:ascii="Arial" w:hAnsi="Arial" w:cs="Arial"/>
          <w:color w:val="000000" w:themeColor="text1"/>
          <w:sz w:val="22"/>
          <w:szCs w:val="22"/>
          <w:lang w:val="en-US"/>
        </w:rPr>
        <w:t xml:space="preserve">, the GP provided strategic </w:t>
      </w:r>
      <w:r w:rsidR="001D2A53" w:rsidRPr="7FB3149D">
        <w:rPr>
          <w:rFonts w:ascii="Arial" w:hAnsi="Arial" w:cs="Arial"/>
          <w:color w:val="000000" w:themeColor="text1"/>
          <w:sz w:val="22"/>
          <w:szCs w:val="22"/>
          <w:lang w:val="en-US"/>
        </w:rPr>
        <w:t xml:space="preserve">funding </w:t>
      </w:r>
      <w:r w:rsidRPr="7FB3149D">
        <w:rPr>
          <w:rFonts w:ascii="Arial" w:hAnsi="Arial" w:cs="Arial"/>
          <w:color w:val="000000" w:themeColor="text1"/>
          <w:sz w:val="22"/>
          <w:szCs w:val="22"/>
          <w:lang w:val="en-US"/>
        </w:rPr>
        <w:t xml:space="preserve">for the </w:t>
      </w:r>
      <w:r w:rsidRPr="7FB3149D">
        <w:rPr>
          <w:rFonts w:ascii="Arial" w:eastAsia="Times New Roman" w:hAnsi="Arial" w:cs="Arial"/>
          <w:color w:val="000000" w:themeColor="text1"/>
          <w:sz w:val="22"/>
          <w:szCs w:val="22"/>
          <w:lang w:val="en-US" w:eastAsia="de-DE"/>
        </w:rPr>
        <w:t xml:space="preserve">CTA/ROLSHR’s salary and an </w:t>
      </w:r>
      <w:r w:rsidR="00A01D7F" w:rsidRPr="7FB3149D">
        <w:rPr>
          <w:rFonts w:ascii="Arial" w:eastAsia="Times New Roman" w:hAnsi="Arial" w:cs="Arial"/>
          <w:color w:val="000000" w:themeColor="text1"/>
          <w:sz w:val="22"/>
          <w:szCs w:val="22"/>
          <w:lang w:val="en-US" w:eastAsia="de-DE"/>
        </w:rPr>
        <w:t>access to justice (</w:t>
      </w:r>
      <w:r w:rsidRPr="7FB3149D">
        <w:rPr>
          <w:rFonts w:ascii="Arial" w:eastAsia="Times New Roman" w:hAnsi="Arial" w:cs="Arial"/>
          <w:color w:val="000000" w:themeColor="text1"/>
          <w:sz w:val="22"/>
          <w:szCs w:val="22"/>
          <w:lang w:val="en-US" w:eastAsia="de-DE"/>
        </w:rPr>
        <w:t>A2J</w:t>
      </w:r>
      <w:r w:rsidR="00A01D7F" w:rsidRPr="7FB3149D">
        <w:rPr>
          <w:rFonts w:ascii="Arial" w:eastAsia="Times New Roman" w:hAnsi="Arial" w:cs="Arial"/>
          <w:color w:val="000000" w:themeColor="text1"/>
          <w:sz w:val="22"/>
          <w:szCs w:val="22"/>
          <w:lang w:val="en-US" w:eastAsia="de-DE"/>
        </w:rPr>
        <w:t>)</w:t>
      </w:r>
      <w:r w:rsidRPr="7FB3149D">
        <w:rPr>
          <w:rFonts w:ascii="Arial" w:eastAsia="Times New Roman" w:hAnsi="Arial" w:cs="Arial"/>
          <w:color w:val="000000" w:themeColor="text1"/>
          <w:sz w:val="22"/>
          <w:szCs w:val="22"/>
          <w:lang w:val="en-US" w:eastAsia="de-DE"/>
        </w:rPr>
        <w:t xml:space="preserve"> pilot project </w:t>
      </w:r>
      <w:r w:rsidR="001D2A53" w:rsidRPr="7FB3149D">
        <w:rPr>
          <w:rFonts w:ascii="Arial" w:eastAsia="Times New Roman" w:hAnsi="Arial" w:cs="Arial"/>
          <w:color w:val="000000" w:themeColor="text1"/>
          <w:sz w:val="22"/>
          <w:szCs w:val="22"/>
          <w:lang w:val="en-US" w:eastAsia="de-DE"/>
        </w:rPr>
        <w:t>that</w:t>
      </w:r>
      <w:r w:rsidRPr="7FB3149D">
        <w:rPr>
          <w:rFonts w:ascii="Arial" w:eastAsia="Times New Roman" w:hAnsi="Arial" w:cs="Arial"/>
          <w:color w:val="000000" w:themeColor="text1"/>
          <w:sz w:val="22"/>
          <w:szCs w:val="22"/>
          <w:lang w:val="en-US" w:eastAsia="de-DE"/>
        </w:rPr>
        <w:t xml:space="preserve"> served as stepping</w:t>
      </w:r>
      <w:r w:rsidR="00A01D7F" w:rsidRPr="7FB3149D">
        <w:rPr>
          <w:rFonts w:ascii="Arial" w:eastAsia="Times New Roman" w:hAnsi="Arial" w:cs="Arial"/>
          <w:color w:val="000000" w:themeColor="text1"/>
          <w:sz w:val="22"/>
          <w:szCs w:val="22"/>
          <w:lang w:val="en-US" w:eastAsia="de-DE"/>
        </w:rPr>
        <w:t>-</w:t>
      </w:r>
      <w:r w:rsidRPr="7FB3149D">
        <w:rPr>
          <w:rFonts w:ascii="Arial" w:eastAsia="Times New Roman" w:hAnsi="Arial" w:cs="Arial"/>
          <w:color w:val="000000" w:themeColor="text1"/>
          <w:sz w:val="22"/>
          <w:szCs w:val="22"/>
          <w:lang w:val="en-US" w:eastAsia="de-DE"/>
        </w:rPr>
        <w:t xml:space="preserve">stone for subsequent portfolio growth. In addition, the GP </w:t>
      </w:r>
      <w:r w:rsidRPr="7FB3149D">
        <w:rPr>
          <w:rFonts w:ascii="Arial" w:hAnsi="Arial" w:cs="Arial"/>
          <w:color w:val="000000" w:themeColor="text1"/>
          <w:sz w:val="22"/>
          <w:szCs w:val="22"/>
          <w:lang w:val="en-US"/>
        </w:rPr>
        <w:t xml:space="preserve">contributed to the </w:t>
      </w:r>
      <w:r w:rsidR="001D2A53" w:rsidRPr="7FB3149D">
        <w:rPr>
          <w:rFonts w:ascii="Arial" w:hAnsi="Arial" w:cs="Arial"/>
          <w:color w:val="000000" w:themeColor="text1"/>
          <w:sz w:val="22"/>
          <w:szCs w:val="22"/>
          <w:lang w:val="en-US"/>
        </w:rPr>
        <w:t>SG</w:t>
      </w:r>
      <w:r w:rsidRPr="7FB3149D">
        <w:rPr>
          <w:rFonts w:ascii="Arial" w:hAnsi="Arial" w:cs="Arial"/>
          <w:color w:val="000000" w:themeColor="text1"/>
          <w:sz w:val="22"/>
          <w:szCs w:val="22"/>
          <w:lang w:val="en-US"/>
        </w:rPr>
        <w:t>’s</w:t>
      </w:r>
      <w:r w:rsidRPr="7FB3149D">
        <w:rPr>
          <w:rFonts w:ascii="Arial" w:eastAsia="Times New Roman" w:hAnsi="Arial" w:cs="Arial"/>
          <w:color w:val="000000" w:themeColor="text1"/>
          <w:sz w:val="22"/>
          <w:szCs w:val="22"/>
          <w:lang w:val="en-US" w:eastAsia="de-DE"/>
        </w:rPr>
        <w:t xml:space="preserve"> Sustaining Peace Agenda mission through deployment of a sector expert. Th</w:t>
      </w:r>
      <w:r w:rsidR="001D2A53" w:rsidRPr="7FB3149D">
        <w:rPr>
          <w:rFonts w:ascii="Arial" w:eastAsia="Times New Roman" w:hAnsi="Arial" w:cs="Arial"/>
          <w:color w:val="000000" w:themeColor="text1"/>
          <w:sz w:val="22"/>
          <w:szCs w:val="22"/>
          <w:lang w:val="en-US" w:eastAsia="de-DE"/>
        </w:rPr>
        <w:t>at</w:t>
      </w:r>
      <w:r w:rsidRPr="7FB3149D">
        <w:rPr>
          <w:rFonts w:ascii="Arial" w:eastAsia="Times New Roman" w:hAnsi="Arial" w:cs="Arial"/>
          <w:color w:val="000000" w:themeColor="text1"/>
          <w:sz w:val="22"/>
          <w:szCs w:val="22"/>
          <w:lang w:val="en-US" w:eastAsia="de-DE"/>
        </w:rPr>
        <w:t xml:space="preserve"> multi-entity mission provided planning support that led to consolidation of the </w:t>
      </w:r>
      <w:r w:rsidR="00B70D09" w:rsidRPr="7FB3149D">
        <w:rPr>
          <w:rFonts w:ascii="Arial" w:eastAsia="Times New Roman" w:hAnsi="Arial" w:cs="Arial"/>
          <w:color w:val="000000" w:themeColor="text1"/>
          <w:sz w:val="22"/>
          <w:szCs w:val="22"/>
          <w:lang w:val="en-US" w:eastAsia="de-DE"/>
        </w:rPr>
        <w:t>Security Sector Reform (SSR)</w:t>
      </w:r>
      <w:r w:rsidRPr="7FB3149D">
        <w:rPr>
          <w:rFonts w:ascii="Arial" w:eastAsia="Times New Roman" w:hAnsi="Arial" w:cs="Arial"/>
          <w:color w:val="000000" w:themeColor="text1"/>
          <w:sz w:val="22"/>
          <w:szCs w:val="22"/>
          <w:lang w:val="en-US" w:eastAsia="de-DE"/>
        </w:rPr>
        <w:t xml:space="preserve"> project. Th</w:t>
      </w:r>
      <w:r w:rsidR="001D2A53" w:rsidRPr="7FB3149D">
        <w:rPr>
          <w:rFonts w:ascii="Arial" w:eastAsia="Times New Roman" w:hAnsi="Arial" w:cs="Arial"/>
          <w:color w:val="000000" w:themeColor="text1"/>
          <w:sz w:val="22"/>
          <w:szCs w:val="22"/>
          <w:lang w:val="en-US" w:eastAsia="de-DE"/>
        </w:rPr>
        <w:t>at</w:t>
      </w:r>
      <w:r w:rsidRPr="7FB3149D">
        <w:rPr>
          <w:rFonts w:ascii="Arial" w:eastAsia="Times New Roman" w:hAnsi="Arial" w:cs="Arial"/>
          <w:color w:val="000000" w:themeColor="text1"/>
          <w:sz w:val="22"/>
          <w:szCs w:val="22"/>
          <w:lang w:val="en-US" w:eastAsia="de-DE"/>
        </w:rPr>
        <w:t xml:space="preserve"> was followed by the new UNDP flagship programme combining RoL and social cohesion (“COSED” project). COSED was designed </w:t>
      </w:r>
      <w:r w:rsidRPr="7FB3149D">
        <w:rPr>
          <w:rFonts w:ascii="Arial" w:hAnsi="Arial" w:cs="Arial"/>
          <w:sz w:val="22"/>
          <w:szCs w:val="22"/>
          <w:lang w:val="en-US"/>
        </w:rPr>
        <w:t xml:space="preserve">as an integrated holistic </w:t>
      </w:r>
      <w:r w:rsidRPr="009D0986">
        <w:rPr>
          <w:rFonts w:ascii="Arial" w:hAnsi="Arial" w:cs="Arial"/>
          <w:sz w:val="22"/>
          <w:szCs w:val="22"/>
          <w:lang w:val="en-US"/>
        </w:rPr>
        <w:t xml:space="preserve">platform to ensure synergies, reduce transaction costs, achieve higher levels of impact. </w:t>
      </w:r>
      <w:r w:rsidRPr="7FB3149D">
        <w:rPr>
          <w:rFonts w:ascii="Arial" w:hAnsi="Arial" w:cs="Arial"/>
          <w:sz w:val="22"/>
          <w:szCs w:val="22"/>
          <w:lang w:val="en-US"/>
        </w:rPr>
        <w:t>Social cohesion is a key additional dimension taking the approach beyond conventional RoL approach</w:t>
      </w:r>
      <w:r w:rsidR="001D2A53" w:rsidRPr="7FB3149D">
        <w:rPr>
          <w:rFonts w:ascii="Arial" w:hAnsi="Arial" w:cs="Arial"/>
          <w:sz w:val="22"/>
          <w:szCs w:val="22"/>
          <w:lang w:val="en-US"/>
        </w:rPr>
        <w:t>es</w:t>
      </w:r>
      <w:r w:rsidRPr="7FB3149D">
        <w:rPr>
          <w:rFonts w:ascii="Arial" w:hAnsi="Arial" w:cs="Arial"/>
          <w:sz w:val="22"/>
          <w:szCs w:val="22"/>
          <w:lang w:val="en-US"/>
        </w:rPr>
        <w:t>.</w:t>
      </w:r>
      <w:r w:rsidR="005C7F28">
        <w:rPr>
          <w:rFonts w:ascii="Arial" w:hAnsi="Arial" w:cs="Arial"/>
          <w:sz w:val="22"/>
          <w:szCs w:val="22"/>
          <w:lang w:val="en-US"/>
        </w:rPr>
        <w:t xml:space="preserve"> </w:t>
      </w:r>
      <w:r w:rsidRPr="7FB3149D">
        <w:rPr>
          <w:rFonts w:ascii="Arial" w:hAnsi="Arial" w:cs="Arial"/>
          <w:sz w:val="22"/>
          <w:szCs w:val="22"/>
          <w:lang w:val="en-US"/>
        </w:rPr>
        <w:t>This</w:t>
      </w:r>
      <w:r w:rsidRPr="7FB3149D">
        <w:rPr>
          <w:rFonts w:ascii="Arial" w:eastAsia="Times New Roman" w:hAnsi="Arial" w:cs="Arial"/>
          <w:color w:val="000000" w:themeColor="text1"/>
          <w:sz w:val="22"/>
          <w:szCs w:val="22"/>
          <w:lang w:val="en-US" w:eastAsia="de-DE"/>
        </w:rPr>
        <w:t xml:space="preserve"> innovative formula is presently being groomed for sub-regional up-scaling based on the Burkina Faso blueprint, </w:t>
      </w:r>
      <w:r w:rsidR="001D2A53" w:rsidRPr="7FB3149D">
        <w:rPr>
          <w:rFonts w:ascii="Arial" w:eastAsia="Times New Roman" w:hAnsi="Arial" w:cs="Arial"/>
          <w:color w:val="000000" w:themeColor="text1"/>
          <w:sz w:val="22"/>
          <w:szCs w:val="22"/>
          <w:lang w:val="en-US" w:eastAsia="de-DE"/>
        </w:rPr>
        <w:t xml:space="preserve">with interest shown by </w:t>
      </w:r>
      <w:r w:rsidR="001D2A53" w:rsidRPr="7FB3149D">
        <w:rPr>
          <w:rFonts w:ascii="Arial" w:hAnsi="Arial" w:cs="Arial"/>
          <w:color w:val="000000" w:themeColor="text1"/>
          <w:sz w:val="22"/>
          <w:szCs w:val="22"/>
          <w:lang w:val="en-US"/>
        </w:rPr>
        <w:t>COs</w:t>
      </w:r>
      <w:r w:rsidR="001D2A53" w:rsidRPr="7FB3149D">
        <w:rPr>
          <w:rFonts w:ascii="Arial" w:eastAsia="Times New Roman" w:hAnsi="Arial" w:cs="Arial"/>
          <w:color w:val="000000" w:themeColor="text1"/>
          <w:sz w:val="22"/>
          <w:szCs w:val="22"/>
          <w:lang w:val="en-US" w:eastAsia="de-DE"/>
        </w:rPr>
        <w:t xml:space="preserve"> in both</w:t>
      </w:r>
      <w:r w:rsidRPr="7FB3149D">
        <w:rPr>
          <w:rFonts w:ascii="Arial" w:hAnsi="Arial" w:cs="Arial"/>
          <w:color w:val="000000" w:themeColor="text1"/>
          <w:sz w:val="22"/>
          <w:szCs w:val="22"/>
          <w:lang w:val="en-US"/>
        </w:rPr>
        <w:t xml:space="preserve"> Mali and Niger. Burkina Faso is unusual as a de facto mission context with complex programming needs including cross-sectoral nexus challenges (cross-border </w:t>
      </w:r>
      <w:r w:rsidR="00B70D09" w:rsidRPr="7FB3149D">
        <w:rPr>
          <w:rStyle w:val="acopre"/>
          <w:rFonts w:ascii="Arial" w:hAnsi="Arial" w:cs="Arial"/>
          <w:sz w:val="22"/>
          <w:szCs w:val="22"/>
          <w:lang w:val="en-US"/>
        </w:rPr>
        <w:t>p</w:t>
      </w:r>
      <w:r w:rsidR="00B70D09" w:rsidRPr="7FB3149D">
        <w:rPr>
          <w:rStyle w:val="acopre"/>
          <w:rFonts w:ascii="Arial" w:hAnsi="Arial" w:cs="Arial"/>
          <w:sz w:val="22"/>
          <w:szCs w:val="22"/>
        </w:rPr>
        <w:t>revent</w:t>
      </w:r>
      <w:r w:rsidR="00F710AB">
        <w:rPr>
          <w:rStyle w:val="acopre"/>
          <w:rFonts w:ascii="Arial" w:hAnsi="Arial" w:cs="Arial"/>
          <w:sz w:val="22"/>
          <w:szCs w:val="22"/>
        </w:rPr>
        <w:t>ion</w:t>
      </w:r>
      <w:r w:rsidR="00B70D09" w:rsidRPr="7FB3149D">
        <w:rPr>
          <w:rStyle w:val="acopre"/>
          <w:rFonts w:ascii="Arial" w:hAnsi="Arial" w:cs="Arial"/>
          <w:sz w:val="22"/>
          <w:szCs w:val="22"/>
        </w:rPr>
        <w:t xml:space="preserve"> and countering violent extremism</w:t>
      </w:r>
      <w:r w:rsidR="00B70D09" w:rsidRPr="7FB3149D">
        <w:rPr>
          <w:rFonts w:ascii="Arial" w:hAnsi="Arial" w:cs="Arial"/>
          <w:color w:val="000000" w:themeColor="text1"/>
          <w:sz w:val="22"/>
          <w:szCs w:val="22"/>
          <w:lang w:val="en-US"/>
        </w:rPr>
        <w:t xml:space="preserve"> (</w:t>
      </w:r>
      <w:r w:rsidRPr="7FB3149D">
        <w:rPr>
          <w:rFonts w:ascii="Arial" w:hAnsi="Arial" w:cs="Arial"/>
          <w:color w:val="000000" w:themeColor="text1"/>
          <w:sz w:val="22"/>
          <w:szCs w:val="22"/>
          <w:lang w:val="en-US"/>
        </w:rPr>
        <w:t>P-CVE</w:t>
      </w:r>
      <w:r w:rsidR="00B70D09" w:rsidRPr="7FB3149D">
        <w:rPr>
          <w:rFonts w:ascii="Arial" w:hAnsi="Arial" w:cs="Arial"/>
          <w:color w:val="000000" w:themeColor="text1"/>
          <w:sz w:val="22"/>
          <w:szCs w:val="22"/>
          <w:lang w:val="en-US"/>
        </w:rPr>
        <w:t>)</w:t>
      </w:r>
      <w:r w:rsidRPr="7FB3149D">
        <w:rPr>
          <w:rFonts w:ascii="Arial" w:hAnsi="Arial" w:cs="Arial"/>
          <w:color w:val="000000" w:themeColor="text1"/>
          <w:sz w:val="22"/>
          <w:szCs w:val="22"/>
          <w:lang w:val="en-US"/>
        </w:rPr>
        <w:t xml:space="preserve">, A2J for </w:t>
      </w:r>
      <w:r w:rsidR="00B70D09" w:rsidRPr="7FB3149D">
        <w:rPr>
          <w:rFonts w:ascii="Arial" w:hAnsi="Arial" w:cs="Arial"/>
          <w:color w:val="000000" w:themeColor="text1"/>
          <w:sz w:val="22"/>
          <w:szCs w:val="22"/>
          <w:lang w:val="en-US"/>
        </w:rPr>
        <w:t>displaced person</w:t>
      </w:r>
      <w:r w:rsidRPr="7FB3149D">
        <w:rPr>
          <w:rFonts w:ascii="Arial" w:hAnsi="Arial" w:cs="Arial"/>
          <w:color w:val="000000" w:themeColor="text1"/>
          <w:sz w:val="22"/>
          <w:szCs w:val="22"/>
          <w:lang w:val="en-US"/>
        </w:rPr>
        <w:t>s, climate justice etc.) resulting in a complex donor landscape. The comparative attractiveness of GP funding is currently rather low since it is overshadowed by high levels of donor interest to fund RoL</w:t>
      </w:r>
      <w:r w:rsidR="001D2A53" w:rsidRPr="7FB3149D">
        <w:rPr>
          <w:rFonts w:ascii="Arial" w:hAnsi="Arial" w:cs="Arial"/>
          <w:color w:val="000000" w:themeColor="text1"/>
          <w:sz w:val="22"/>
          <w:szCs w:val="22"/>
          <w:lang w:val="en-US"/>
        </w:rPr>
        <w:t>-related</w:t>
      </w:r>
      <w:r w:rsidRPr="7FB3149D">
        <w:rPr>
          <w:rFonts w:ascii="Arial" w:hAnsi="Arial" w:cs="Arial"/>
          <w:color w:val="000000" w:themeColor="text1"/>
          <w:sz w:val="22"/>
          <w:szCs w:val="22"/>
          <w:lang w:val="en-US"/>
        </w:rPr>
        <w:t xml:space="preserve"> activities. </w:t>
      </w:r>
    </w:p>
    <w:p w14:paraId="64B0009D" w14:textId="7E538D87" w:rsidR="0029366C" w:rsidRPr="002A6E99" w:rsidRDefault="0029366C" w:rsidP="00E80114">
      <w:pPr>
        <w:spacing w:line="240" w:lineRule="auto"/>
        <w:rPr>
          <w:rFonts w:ascii="Arial" w:hAnsi="Arial" w:cs="Arial"/>
          <w:color w:val="000000"/>
          <w:sz w:val="22"/>
          <w:szCs w:val="22"/>
          <w:lang w:val="en-US"/>
        </w:rPr>
      </w:pPr>
      <w:r w:rsidRPr="002A6E99">
        <w:rPr>
          <w:rFonts w:ascii="Arial" w:hAnsi="Arial" w:cs="Arial"/>
          <w:color w:val="000000"/>
          <w:sz w:val="22"/>
          <w:szCs w:val="22"/>
          <w:lang w:val="en-US"/>
        </w:rPr>
        <w:t xml:space="preserve">In the </w:t>
      </w:r>
      <w:r w:rsidR="00650DB5" w:rsidRPr="00650DB5">
        <w:rPr>
          <w:rFonts w:ascii="Arial" w:hAnsi="Arial" w:cs="Arial"/>
          <w:b/>
          <w:bCs/>
          <w:color w:val="000000"/>
          <w:sz w:val="22"/>
          <w:szCs w:val="22"/>
          <w:lang w:val="en-US"/>
        </w:rPr>
        <w:t>C</w:t>
      </w:r>
      <w:r w:rsidRPr="00650DB5">
        <w:rPr>
          <w:rFonts w:ascii="Arial" w:hAnsi="Arial" w:cs="Arial"/>
          <w:b/>
          <w:bCs/>
          <w:color w:val="000000"/>
          <w:sz w:val="22"/>
          <w:szCs w:val="22"/>
          <w:lang w:val="en-US"/>
        </w:rPr>
        <w:t>AR</w:t>
      </w:r>
      <w:r w:rsidRPr="002A6E99">
        <w:rPr>
          <w:rFonts w:ascii="Arial" w:hAnsi="Arial" w:cs="Arial"/>
          <w:color w:val="000000"/>
          <w:sz w:val="22"/>
          <w:szCs w:val="22"/>
          <w:lang w:val="en-US"/>
        </w:rPr>
        <w:t>, GP3 provided seed funding to a</w:t>
      </w:r>
      <w:r w:rsidRPr="002A6E99">
        <w:rPr>
          <w:rFonts w:ascii="Arial" w:eastAsia="Times New Roman" w:hAnsi="Arial" w:cs="Arial"/>
          <w:color w:val="000000"/>
          <w:sz w:val="22"/>
          <w:szCs w:val="22"/>
          <w:lang w:val="en-US" w:eastAsia="de-DE"/>
        </w:rPr>
        <w:t xml:space="preserve"> </w:t>
      </w:r>
      <w:r w:rsidR="00B70D09">
        <w:rPr>
          <w:rFonts w:ascii="Arial" w:eastAsia="Times New Roman" w:hAnsi="Arial" w:cs="Arial"/>
          <w:color w:val="000000"/>
          <w:sz w:val="22"/>
          <w:szCs w:val="22"/>
          <w:lang w:val="en-US" w:eastAsia="de-DE"/>
        </w:rPr>
        <w:t>sexual and gender-based violence (</w:t>
      </w:r>
      <w:r w:rsidRPr="002A6E99">
        <w:rPr>
          <w:rFonts w:ascii="Arial" w:eastAsia="Times New Roman" w:hAnsi="Arial" w:cs="Arial"/>
          <w:color w:val="000000"/>
          <w:sz w:val="22"/>
          <w:szCs w:val="22"/>
          <w:lang w:val="en-US" w:eastAsia="de-DE"/>
        </w:rPr>
        <w:t>SGBV</w:t>
      </w:r>
      <w:r w:rsidR="00B70D09">
        <w:rPr>
          <w:rFonts w:ascii="Arial" w:eastAsia="Times New Roman" w:hAnsi="Arial" w:cs="Arial"/>
          <w:color w:val="000000"/>
          <w:sz w:val="22"/>
          <w:szCs w:val="22"/>
          <w:lang w:val="en-US" w:eastAsia="de-DE"/>
        </w:rPr>
        <w:t>)</w:t>
      </w:r>
      <w:r w:rsidRPr="002A6E99">
        <w:rPr>
          <w:rFonts w:ascii="Arial" w:eastAsia="Times New Roman" w:hAnsi="Arial" w:cs="Arial"/>
          <w:color w:val="000000"/>
          <w:sz w:val="22"/>
          <w:szCs w:val="22"/>
          <w:lang w:val="en-US" w:eastAsia="de-DE"/>
        </w:rPr>
        <w:t xml:space="preserve">/A2J project for vulnerable communities, addressing a </w:t>
      </w:r>
      <w:r w:rsidR="00650DB5">
        <w:rPr>
          <w:rFonts w:ascii="Arial" w:eastAsia="Times New Roman" w:hAnsi="Arial" w:cs="Arial"/>
          <w:color w:val="000000"/>
          <w:sz w:val="22"/>
          <w:szCs w:val="22"/>
          <w:lang w:val="en-US" w:eastAsia="de-DE"/>
        </w:rPr>
        <w:t>critical</w:t>
      </w:r>
      <w:r w:rsidRPr="002A6E99">
        <w:rPr>
          <w:rFonts w:ascii="Arial" w:eastAsia="Times New Roman" w:hAnsi="Arial" w:cs="Arial"/>
          <w:color w:val="000000"/>
          <w:sz w:val="22"/>
          <w:szCs w:val="22"/>
          <w:lang w:val="en-US" w:eastAsia="de-DE"/>
        </w:rPr>
        <w:t xml:space="preserve"> funding gap in a way that was both timely and responsive to national/local needs and priorities</w:t>
      </w:r>
      <w:r w:rsidRPr="002A6E99">
        <w:rPr>
          <w:rFonts w:ascii="Arial" w:eastAsia="Times New Roman" w:hAnsi="Arial" w:cs="Arial"/>
          <w:sz w:val="22"/>
          <w:szCs w:val="22"/>
          <w:lang w:val="en-US" w:eastAsia="de-DE"/>
        </w:rPr>
        <w:t>. The design, establishment and functioning of the Special Criminal Court has been heavily supported by GP/GFP high-level strategic policy and planning, international coordination and operational ramp-up</w:t>
      </w:r>
      <w:r w:rsidRPr="002A6E99">
        <w:rPr>
          <w:rFonts w:ascii="Arial" w:eastAsia="Times New Roman" w:hAnsi="Arial" w:cs="Arial"/>
          <w:color w:val="000000"/>
          <w:sz w:val="22"/>
          <w:szCs w:val="22"/>
          <w:lang w:val="en-US" w:eastAsia="de-DE"/>
        </w:rPr>
        <w:t xml:space="preserve"> support. CAR is a m</w:t>
      </w:r>
      <w:r w:rsidRPr="002A6E99">
        <w:rPr>
          <w:rFonts w:ascii="Arial" w:hAnsi="Arial" w:cs="Arial"/>
          <w:color w:val="000000"/>
          <w:sz w:val="22"/>
          <w:szCs w:val="22"/>
          <w:lang w:val="en-US"/>
        </w:rPr>
        <w:t xml:space="preserve">ultidimensional integrated peacekeeping mission context where the GFP modality proved of particularly high relevance. </w:t>
      </w:r>
    </w:p>
    <w:p w14:paraId="4F147853" w14:textId="00E0B3FF" w:rsidR="0029366C" w:rsidRDefault="0029366C" w:rsidP="00E80114">
      <w:pPr>
        <w:spacing w:line="240" w:lineRule="auto"/>
        <w:rPr>
          <w:rFonts w:ascii="Arial" w:hAnsi="Arial" w:cs="Arial"/>
          <w:color w:val="000000"/>
          <w:sz w:val="22"/>
          <w:szCs w:val="22"/>
          <w:lang w:val="en-US"/>
        </w:rPr>
      </w:pPr>
      <w:r w:rsidRPr="002A6E99">
        <w:rPr>
          <w:rFonts w:ascii="Arial" w:hAnsi="Arial" w:cs="Arial"/>
          <w:color w:val="000000"/>
          <w:sz w:val="22"/>
          <w:szCs w:val="22"/>
          <w:lang w:val="en-US"/>
        </w:rPr>
        <w:t xml:space="preserve">In </w:t>
      </w:r>
      <w:r w:rsidRPr="002A6E99">
        <w:rPr>
          <w:rFonts w:ascii="Arial" w:hAnsi="Arial" w:cs="Arial"/>
          <w:b/>
          <w:bCs/>
          <w:color w:val="000000"/>
          <w:sz w:val="22"/>
          <w:szCs w:val="22"/>
          <w:lang w:val="en-US"/>
        </w:rPr>
        <w:t>Somalia</w:t>
      </w:r>
      <w:r w:rsidRPr="002A6E99">
        <w:rPr>
          <w:rFonts w:ascii="Arial" w:hAnsi="Arial" w:cs="Arial"/>
          <w:color w:val="000000"/>
          <w:sz w:val="22"/>
          <w:szCs w:val="22"/>
          <w:lang w:val="en-US"/>
        </w:rPr>
        <w:t xml:space="preserve">, the GP supported development of innovative approaches and best practices through two funding rounds in 2017 and 2018. This included: a) a strategic assessment leading to design of the SSR </w:t>
      </w:r>
      <w:r w:rsidR="00B70D09">
        <w:rPr>
          <w:rFonts w:ascii="Arial" w:hAnsi="Arial" w:cs="Arial"/>
          <w:color w:val="000000"/>
          <w:sz w:val="22"/>
          <w:szCs w:val="22"/>
          <w:lang w:val="en-US"/>
        </w:rPr>
        <w:t>Joint Programme (</w:t>
      </w:r>
      <w:r w:rsidRPr="002A6E99">
        <w:rPr>
          <w:rFonts w:ascii="Arial" w:hAnsi="Arial" w:cs="Arial"/>
          <w:color w:val="000000"/>
          <w:sz w:val="22"/>
          <w:szCs w:val="22"/>
          <w:lang w:val="en-US"/>
        </w:rPr>
        <w:t>JP</w:t>
      </w:r>
      <w:r w:rsidR="00B70D09">
        <w:rPr>
          <w:rFonts w:ascii="Arial" w:hAnsi="Arial" w:cs="Arial"/>
          <w:color w:val="000000"/>
          <w:sz w:val="22"/>
          <w:szCs w:val="22"/>
          <w:lang w:val="en-US"/>
        </w:rPr>
        <w:t>)</w:t>
      </w:r>
      <w:r w:rsidRPr="002A6E99">
        <w:rPr>
          <w:rFonts w:ascii="Arial" w:hAnsi="Arial" w:cs="Arial"/>
          <w:color w:val="000000"/>
          <w:sz w:val="22"/>
          <w:szCs w:val="22"/>
          <w:lang w:val="en-US"/>
        </w:rPr>
        <w:t xml:space="preserve"> run by an integrated UNDP-</w:t>
      </w:r>
      <w:r w:rsidR="00B70D09">
        <w:rPr>
          <w:rFonts w:ascii="Arial" w:hAnsi="Arial" w:cs="Arial"/>
          <w:color w:val="000000"/>
          <w:sz w:val="22"/>
          <w:szCs w:val="22"/>
          <w:lang w:val="en-US"/>
        </w:rPr>
        <w:t>Mission</w:t>
      </w:r>
      <w:r w:rsidRPr="002A6E99">
        <w:rPr>
          <w:rFonts w:ascii="Arial" w:hAnsi="Arial" w:cs="Arial"/>
          <w:color w:val="000000"/>
          <w:sz w:val="22"/>
          <w:szCs w:val="22"/>
          <w:lang w:val="en-US"/>
        </w:rPr>
        <w:t xml:space="preserve"> team; and b) piloting of an innovative SDG16 </w:t>
      </w:r>
      <w:r w:rsidR="00B70D09">
        <w:rPr>
          <w:rFonts w:ascii="Arial" w:hAnsi="Arial" w:cs="Arial"/>
          <w:color w:val="000000"/>
          <w:sz w:val="22"/>
          <w:szCs w:val="22"/>
          <w:lang w:val="en-US"/>
        </w:rPr>
        <w:t xml:space="preserve">monitoring </w:t>
      </w:r>
      <w:r w:rsidRPr="002A6E99">
        <w:rPr>
          <w:rFonts w:ascii="Arial" w:hAnsi="Arial" w:cs="Arial"/>
          <w:color w:val="000000"/>
          <w:sz w:val="22"/>
          <w:szCs w:val="22"/>
          <w:lang w:val="en-US"/>
        </w:rPr>
        <w:t>laboratory that is collecting data at community level. The SSR project is of regional and potentially global relevance in that it is run by an integrated team supporting civilian governance (!) in and for the security sector. The SDG16 pilot responds to CO and UNDP corporate interest</w:t>
      </w:r>
      <w:r w:rsidR="00650DB5">
        <w:rPr>
          <w:rFonts w:ascii="Arial" w:hAnsi="Arial" w:cs="Arial"/>
          <w:color w:val="000000"/>
          <w:sz w:val="22"/>
          <w:szCs w:val="22"/>
          <w:lang w:val="en-US"/>
        </w:rPr>
        <w:t>s</w:t>
      </w:r>
      <w:r w:rsidRPr="002A6E99">
        <w:rPr>
          <w:rFonts w:ascii="Arial" w:hAnsi="Arial" w:cs="Arial"/>
          <w:color w:val="000000"/>
          <w:sz w:val="22"/>
          <w:szCs w:val="22"/>
          <w:lang w:val="en-US"/>
        </w:rPr>
        <w:t xml:space="preserve"> in testing innovative ways of gauging the effects of ROLSHR interventions among end beneficiaries and communities. Moreover, the GFP mechanism </w:t>
      </w:r>
      <w:r w:rsidR="00383CF0">
        <w:rPr>
          <w:rFonts w:ascii="Arial" w:hAnsi="Arial" w:cs="Arial"/>
          <w:color w:val="000000"/>
          <w:sz w:val="22"/>
          <w:szCs w:val="22"/>
          <w:lang w:val="en-US"/>
        </w:rPr>
        <w:t>was reported as a</w:t>
      </w:r>
      <w:r w:rsidRPr="002A6E99">
        <w:rPr>
          <w:rFonts w:ascii="Arial" w:hAnsi="Arial" w:cs="Arial"/>
          <w:color w:val="000000"/>
          <w:sz w:val="22"/>
          <w:szCs w:val="22"/>
          <w:lang w:val="en-US"/>
        </w:rPr>
        <w:t xml:space="preserve"> relevant stepping</w:t>
      </w:r>
      <w:r w:rsidR="00650DB5">
        <w:rPr>
          <w:rFonts w:ascii="Arial" w:hAnsi="Arial" w:cs="Arial"/>
          <w:color w:val="000000"/>
          <w:sz w:val="22"/>
          <w:szCs w:val="22"/>
          <w:lang w:val="en-US"/>
        </w:rPr>
        <w:t>-</w:t>
      </w:r>
      <w:r w:rsidRPr="002A6E99">
        <w:rPr>
          <w:rFonts w:ascii="Arial" w:hAnsi="Arial" w:cs="Arial"/>
          <w:color w:val="000000"/>
          <w:sz w:val="22"/>
          <w:szCs w:val="22"/>
          <w:lang w:val="en-US"/>
        </w:rPr>
        <w:t>stone and “think tank” for key ROLSHR initiatives such as the Joint Justice Programme (JJP) including alternative dispute resolution cent</w:t>
      </w:r>
      <w:r w:rsidR="00650DB5">
        <w:rPr>
          <w:rFonts w:ascii="Arial" w:hAnsi="Arial" w:cs="Arial"/>
          <w:color w:val="000000"/>
          <w:sz w:val="22"/>
          <w:szCs w:val="22"/>
          <w:lang w:val="en-US"/>
        </w:rPr>
        <w:t>er</w:t>
      </w:r>
      <w:r w:rsidRPr="002A6E99">
        <w:rPr>
          <w:rFonts w:ascii="Arial" w:hAnsi="Arial" w:cs="Arial"/>
          <w:color w:val="000000"/>
          <w:sz w:val="22"/>
          <w:szCs w:val="22"/>
          <w:lang w:val="en-US"/>
        </w:rPr>
        <w:t xml:space="preserve">s; and responded to external and UN-internal calls for enhanced coordination among UNCT member entities. </w:t>
      </w:r>
    </w:p>
    <w:tbl>
      <w:tblPr>
        <w:tblStyle w:val="TableGrid"/>
        <w:tblW w:w="0" w:type="auto"/>
        <w:tblLook w:val="04A0" w:firstRow="1" w:lastRow="0" w:firstColumn="1" w:lastColumn="0" w:noHBand="0" w:noVBand="1"/>
      </w:tblPr>
      <w:tblGrid>
        <w:gridCol w:w="9350"/>
      </w:tblGrid>
      <w:tr w:rsidR="00EF4658" w:rsidRPr="00EF4658" w14:paraId="41AE5839" w14:textId="77777777" w:rsidTr="008D3E98">
        <w:tc>
          <w:tcPr>
            <w:tcW w:w="9350" w:type="dxa"/>
            <w:shd w:val="clear" w:color="auto" w:fill="C0D7EC" w:themeFill="accent2" w:themeFillTint="66"/>
          </w:tcPr>
          <w:p w14:paraId="77B042C3" w14:textId="56298479" w:rsidR="00EF4658" w:rsidRPr="002272B6" w:rsidRDefault="006F770A" w:rsidP="006F770A">
            <w:pPr>
              <w:pStyle w:val="ydp61d22b85yiv0876918039msonormal"/>
              <w:spacing w:before="0" w:beforeAutospacing="0" w:after="120" w:afterAutospacing="0"/>
              <w:jc w:val="center"/>
              <w:rPr>
                <w:b/>
                <w:bCs/>
                <w:sz w:val="24"/>
                <w:szCs w:val="24"/>
              </w:rPr>
            </w:pPr>
            <w:r w:rsidRPr="002272B6">
              <w:rPr>
                <w:b/>
                <w:bCs/>
                <w:sz w:val="24"/>
                <w:szCs w:val="24"/>
              </w:rPr>
              <w:t xml:space="preserve">Spotlight on SDG16 Monitoring in </w:t>
            </w:r>
            <w:r w:rsidR="00EF4658" w:rsidRPr="002272B6">
              <w:rPr>
                <w:b/>
                <w:bCs/>
                <w:sz w:val="24"/>
                <w:szCs w:val="24"/>
              </w:rPr>
              <w:t xml:space="preserve">Somalia </w:t>
            </w:r>
          </w:p>
          <w:p w14:paraId="46E9716D" w14:textId="4FDF501E" w:rsidR="00EF4658" w:rsidRPr="002272B6" w:rsidRDefault="00EF4658" w:rsidP="008F3623">
            <w:pPr>
              <w:pStyle w:val="ydp61d22b85yiv0876918039msonormal"/>
              <w:spacing w:before="0" w:beforeAutospacing="0" w:after="120" w:afterAutospacing="0"/>
              <w:rPr>
                <w:rFonts w:ascii="Arial" w:hAnsi="Arial" w:cs="Arial"/>
                <w:sz w:val="20"/>
                <w:szCs w:val="20"/>
              </w:rPr>
            </w:pPr>
            <w:r w:rsidRPr="002272B6">
              <w:rPr>
                <w:rFonts w:ascii="Arial" w:hAnsi="Arial" w:cs="Arial"/>
                <w:sz w:val="20"/>
                <w:szCs w:val="20"/>
              </w:rPr>
              <w:t>In 2018, the SDG16 Monitoring &amp; Evaluation Project for Somalia was initiated to measure the impact of the UN</w:t>
            </w:r>
            <w:r w:rsidR="008F3623" w:rsidRPr="002272B6">
              <w:rPr>
                <w:rFonts w:ascii="Arial" w:hAnsi="Arial" w:cs="Arial"/>
                <w:sz w:val="20"/>
                <w:szCs w:val="20"/>
              </w:rPr>
              <w:t>’s</w:t>
            </w:r>
            <w:r w:rsidRPr="002272B6">
              <w:rPr>
                <w:rFonts w:ascii="Arial" w:hAnsi="Arial" w:cs="Arial"/>
                <w:sz w:val="20"/>
                <w:szCs w:val="20"/>
              </w:rPr>
              <w:t xml:space="preserve"> and international community’s investment in rule of law. Since inception, the project has focused on developing innovative methodologies for monitoring the sector in this fragile context, as well as making sustainable contributions to Somalia’s data landscape through capacity-building. To date, the project has conducted pilot assessments relating to </w:t>
            </w:r>
            <w:r w:rsidR="00383CF0">
              <w:rPr>
                <w:rFonts w:ascii="Arial" w:hAnsi="Arial" w:cs="Arial"/>
                <w:sz w:val="20"/>
                <w:szCs w:val="20"/>
              </w:rPr>
              <w:t>A2J</w:t>
            </w:r>
            <w:r w:rsidRPr="002272B6">
              <w:rPr>
                <w:rFonts w:ascii="Arial" w:hAnsi="Arial" w:cs="Arial"/>
                <w:sz w:val="20"/>
                <w:szCs w:val="20"/>
              </w:rPr>
              <w:t xml:space="preserve">, SGBV, and sentencing in detention, and </w:t>
            </w:r>
            <w:r w:rsidR="00383CF0">
              <w:rPr>
                <w:rFonts w:ascii="Arial" w:hAnsi="Arial" w:cs="Arial"/>
                <w:sz w:val="20"/>
                <w:szCs w:val="20"/>
              </w:rPr>
              <w:t>enabled</w:t>
            </w:r>
            <w:r w:rsidRPr="002272B6">
              <w:rPr>
                <w:rFonts w:ascii="Arial" w:hAnsi="Arial" w:cs="Arial"/>
                <w:sz w:val="20"/>
                <w:szCs w:val="20"/>
              </w:rPr>
              <w:t xml:space="preserve"> the Ministry of Justice to collect and analyze data for SDG16 Target 3 indicators. Over </w:t>
            </w:r>
            <w:r w:rsidR="008F3623" w:rsidRPr="002272B6">
              <w:rPr>
                <w:rFonts w:ascii="Arial" w:hAnsi="Arial" w:cs="Arial"/>
                <w:sz w:val="20"/>
                <w:szCs w:val="20"/>
              </w:rPr>
              <w:t>50</w:t>
            </w:r>
            <w:r w:rsidRPr="002272B6">
              <w:rPr>
                <w:rFonts w:ascii="Arial" w:hAnsi="Arial" w:cs="Arial"/>
                <w:sz w:val="20"/>
                <w:szCs w:val="20"/>
              </w:rPr>
              <w:t xml:space="preserve"> civil servants in Somali </w:t>
            </w:r>
            <w:r w:rsidR="00383CF0">
              <w:rPr>
                <w:rFonts w:ascii="Arial" w:hAnsi="Arial" w:cs="Arial"/>
                <w:sz w:val="20"/>
                <w:szCs w:val="20"/>
              </w:rPr>
              <w:t>ROL</w:t>
            </w:r>
            <w:r w:rsidRPr="002272B6">
              <w:rPr>
                <w:rFonts w:ascii="Arial" w:hAnsi="Arial" w:cs="Arial"/>
                <w:sz w:val="20"/>
                <w:szCs w:val="20"/>
              </w:rPr>
              <w:t xml:space="preserve"> institutions have participated in training</w:t>
            </w:r>
            <w:r w:rsidR="00383CF0">
              <w:rPr>
                <w:rFonts w:ascii="Arial" w:hAnsi="Arial" w:cs="Arial"/>
                <w:sz w:val="20"/>
                <w:szCs w:val="20"/>
              </w:rPr>
              <w:t xml:space="preserve"> </w:t>
            </w:r>
            <w:r w:rsidRPr="002272B6">
              <w:rPr>
                <w:rFonts w:ascii="Arial" w:hAnsi="Arial" w:cs="Arial"/>
                <w:sz w:val="20"/>
                <w:szCs w:val="20"/>
              </w:rPr>
              <w:t xml:space="preserve">aimed to address the substantial gap in data and monitoring capacity. Since </w:t>
            </w:r>
            <w:r w:rsidR="008F3623" w:rsidRPr="002272B6">
              <w:rPr>
                <w:rFonts w:ascii="Arial" w:hAnsi="Arial" w:cs="Arial"/>
                <w:sz w:val="20"/>
                <w:szCs w:val="20"/>
              </w:rPr>
              <w:t>2020</w:t>
            </w:r>
            <w:r w:rsidRPr="002272B6">
              <w:rPr>
                <w:rFonts w:ascii="Arial" w:hAnsi="Arial" w:cs="Arial"/>
                <w:sz w:val="20"/>
                <w:szCs w:val="20"/>
              </w:rPr>
              <w:t xml:space="preserve">, these trainings have continued </w:t>
            </w:r>
            <w:r w:rsidR="00383CF0" w:rsidRPr="002272B6">
              <w:rPr>
                <w:rFonts w:ascii="Arial" w:hAnsi="Arial" w:cs="Arial"/>
                <w:sz w:val="20"/>
                <w:szCs w:val="20"/>
              </w:rPr>
              <w:t xml:space="preserve">virtually </w:t>
            </w:r>
            <w:r w:rsidRPr="002272B6">
              <w:rPr>
                <w:rFonts w:ascii="Arial" w:hAnsi="Arial" w:cs="Arial"/>
                <w:sz w:val="20"/>
                <w:szCs w:val="20"/>
              </w:rPr>
              <w:t>throughout Somalia’s Federal Member State</w:t>
            </w:r>
            <w:r w:rsidR="00383CF0">
              <w:rPr>
                <w:rFonts w:ascii="Arial" w:hAnsi="Arial" w:cs="Arial"/>
                <w:sz w:val="20"/>
                <w:szCs w:val="20"/>
              </w:rPr>
              <w:t>s</w:t>
            </w:r>
            <w:r w:rsidRPr="002272B6">
              <w:rPr>
                <w:rFonts w:ascii="Arial" w:hAnsi="Arial" w:cs="Arial"/>
                <w:sz w:val="20"/>
                <w:szCs w:val="20"/>
              </w:rPr>
              <w:t>.</w:t>
            </w:r>
          </w:p>
          <w:p w14:paraId="0AE0DAA6" w14:textId="451181D7" w:rsidR="00EF4658" w:rsidRPr="002272B6" w:rsidRDefault="00320177" w:rsidP="008F3623">
            <w:pPr>
              <w:pStyle w:val="ydp61d22b85yiv0876918039msonormal"/>
              <w:spacing w:before="0" w:beforeAutospacing="0" w:after="120" w:afterAutospacing="0"/>
              <w:rPr>
                <w:rFonts w:ascii="Arial" w:hAnsi="Arial" w:cs="Arial"/>
                <w:sz w:val="20"/>
                <w:szCs w:val="20"/>
              </w:rPr>
            </w:pPr>
            <w:r w:rsidRPr="002272B6">
              <w:rPr>
                <w:rFonts w:ascii="Arial" w:hAnsi="Arial" w:cs="Arial"/>
                <w:sz w:val="20"/>
                <w:szCs w:val="20"/>
              </w:rPr>
              <w:t xml:space="preserve">In response to Covid-19, the SDG16 M&amp;E Project developed an assessment in partnership with the Ministry of Justice, to measure the wide-ranging effects of the pandemic on the justice and security sectors. The aim of the survey was to capture the shifts in the landscape in the wake of Covid-19, highlighting three aspects: </w:t>
            </w:r>
          </w:p>
          <w:p w14:paraId="2D455478" w14:textId="77777777" w:rsidR="00320177" w:rsidRPr="002272B6" w:rsidRDefault="00320177" w:rsidP="00567956">
            <w:pPr>
              <w:pStyle w:val="ydp61d22b85yiv0876918039msonormal"/>
              <w:numPr>
                <w:ilvl w:val="0"/>
                <w:numId w:val="25"/>
              </w:numPr>
              <w:spacing w:before="0" w:beforeAutospacing="0" w:after="120" w:afterAutospacing="0"/>
              <w:rPr>
                <w:rFonts w:ascii="Arial" w:hAnsi="Arial" w:cs="Arial"/>
                <w:sz w:val="20"/>
                <w:szCs w:val="20"/>
              </w:rPr>
            </w:pPr>
            <w:r w:rsidRPr="002272B6">
              <w:rPr>
                <w:rFonts w:ascii="Arial" w:hAnsi="Arial" w:cs="Arial"/>
                <w:sz w:val="20"/>
                <w:szCs w:val="20"/>
              </w:rPr>
              <w:t>perceptions of and behavior towards justice and security institutions</w:t>
            </w:r>
          </w:p>
          <w:p w14:paraId="2CAF34DC" w14:textId="77777777" w:rsidR="00320177" w:rsidRPr="002272B6" w:rsidRDefault="00320177" w:rsidP="00567956">
            <w:pPr>
              <w:pStyle w:val="ydp61d22b85yiv0876918039msonormal"/>
              <w:numPr>
                <w:ilvl w:val="0"/>
                <w:numId w:val="25"/>
              </w:numPr>
              <w:spacing w:before="0" w:beforeAutospacing="0" w:after="120" w:afterAutospacing="0"/>
              <w:rPr>
                <w:rFonts w:ascii="Arial" w:hAnsi="Arial" w:cs="Arial"/>
                <w:sz w:val="20"/>
                <w:szCs w:val="20"/>
              </w:rPr>
            </w:pPr>
            <w:r w:rsidRPr="002272B6">
              <w:rPr>
                <w:rFonts w:ascii="Arial" w:hAnsi="Arial" w:cs="Arial"/>
                <w:sz w:val="20"/>
                <w:szCs w:val="20"/>
              </w:rPr>
              <w:t>impact on the pandemic on existing justice and security services</w:t>
            </w:r>
          </w:p>
          <w:p w14:paraId="2F6149F2" w14:textId="4BAEE102" w:rsidR="00320177" w:rsidRPr="002272B6" w:rsidRDefault="00320177" w:rsidP="00567956">
            <w:pPr>
              <w:pStyle w:val="ydp61d22b85yiv0876918039msonormal"/>
              <w:numPr>
                <w:ilvl w:val="0"/>
                <w:numId w:val="25"/>
              </w:numPr>
              <w:spacing w:before="0" w:beforeAutospacing="0" w:after="120" w:afterAutospacing="0"/>
              <w:rPr>
                <w:rFonts w:ascii="Arial" w:hAnsi="Arial" w:cs="Arial"/>
                <w:sz w:val="20"/>
                <w:szCs w:val="20"/>
              </w:rPr>
            </w:pPr>
            <w:r w:rsidRPr="002272B6">
              <w:rPr>
                <w:rFonts w:ascii="Arial" w:hAnsi="Arial" w:cs="Arial"/>
                <w:sz w:val="20"/>
                <w:szCs w:val="20"/>
              </w:rPr>
              <w:t>insights of what citizens want from their justice institutions</w:t>
            </w:r>
            <w:r w:rsidR="00383CF0">
              <w:rPr>
                <w:rFonts w:ascii="Arial" w:hAnsi="Arial" w:cs="Arial"/>
                <w:sz w:val="20"/>
                <w:szCs w:val="20"/>
              </w:rPr>
              <w:t>.</w:t>
            </w:r>
          </w:p>
          <w:p w14:paraId="1C85522D" w14:textId="50C0BC85" w:rsidR="008F3623" w:rsidRPr="008F3623" w:rsidRDefault="008F3623" w:rsidP="008F3623">
            <w:pPr>
              <w:pStyle w:val="ydp61d22b85yiv0876918039msonormal"/>
              <w:spacing w:before="0" w:beforeAutospacing="0" w:after="120" w:afterAutospacing="0"/>
              <w:rPr>
                <w:color w:val="4A66AC" w:themeColor="accent1"/>
                <w:shd w:val="clear" w:color="auto" w:fill="A0C3E3" w:themeFill="accent2" w:themeFillTint="99"/>
              </w:rPr>
            </w:pPr>
            <w:r w:rsidRPr="002272B6">
              <w:rPr>
                <w:rFonts w:ascii="Arial" w:hAnsi="Arial" w:cs="Arial"/>
                <w:sz w:val="20"/>
                <w:szCs w:val="20"/>
              </w:rPr>
              <w:t xml:space="preserve">The survey used experimental conjoint methodology, asking respondents to imagine they needed to take a case to a justice institution, and offering two hypothetical institutions to help determine what motivates people to choose one institution over another. </w:t>
            </w:r>
            <w:r w:rsidRPr="008D3E98">
              <w:rPr>
                <w:rFonts w:ascii="Arial" w:hAnsi="Arial" w:cs="Arial"/>
                <w:sz w:val="20"/>
                <w:szCs w:val="20"/>
                <w:shd w:val="clear" w:color="auto" w:fill="C0D7EC" w:themeFill="accent2" w:themeFillTint="66"/>
              </w:rPr>
              <w:t>K</w:t>
            </w:r>
            <w:r w:rsidR="00320177" w:rsidRPr="008D3E98">
              <w:rPr>
                <w:rFonts w:ascii="Arial" w:hAnsi="Arial" w:cs="Arial"/>
                <w:sz w:val="20"/>
                <w:szCs w:val="20"/>
                <w:shd w:val="clear" w:color="auto" w:fill="C0D7EC" w:themeFill="accent2" w:themeFillTint="66"/>
              </w:rPr>
              <w:t>ey preliminary findings suggest that women are exposed or witness violence more than men. Further, interviewees confirmed that the highest level of trust of the communities are towards their religious leaders</w:t>
            </w:r>
            <w:r w:rsidRPr="008D3E98">
              <w:rPr>
                <w:rFonts w:ascii="Arial" w:hAnsi="Arial" w:cs="Arial"/>
                <w:sz w:val="20"/>
                <w:szCs w:val="20"/>
                <w:shd w:val="clear" w:color="auto" w:fill="C0D7EC" w:themeFill="accent2" w:themeFillTint="66"/>
              </w:rPr>
              <w:t>,</w:t>
            </w:r>
            <w:r w:rsidR="00320177" w:rsidRPr="008D3E98">
              <w:rPr>
                <w:rFonts w:ascii="Arial" w:hAnsi="Arial" w:cs="Arial"/>
                <w:sz w:val="20"/>
                <w:szCs w:val="20"/>
                <w:shd w:val="clear" w:color="auto" w:fill="C0D7EC" w:themeFill="accent2" w:themeFillTint="66"/>
              </w:rPr>
              <w:t xml:space="preserve"> while trust </w:t>
            </w:r>
            <w:r w:rsidRPr="008D3E98">
              <w:rPr>
                <w:rFonts w:ascii="Arial" w:hAnsi="Arial" w:cs="Arial"/>
                <w:sz w:val="20"/>
                <w:szCs w:val="20"/>
                <w:shd w:val="clear" w:color="auto" w:fill="C0D7EC" w:themeFill="accent2" w:themeFillTint="66"/>
              </w:rPr>
              <w:t>in</w:t>
            </w:r>
            <w:r w:rsidR="00320177" w:rsidRPr="008D3E98">
              <w:rPr>
                <w:rFonts w:ascii="Arial" w:hAnsi="Arial" w:cs="Arial"/>
                <w:sz w:val="20"/>
                <w:szCs w:val="20"/>
                <w:shd w:val="clear" w:color="auto" w:fill="C0D7EC" w:themeFill="accent2" w:themeFillTint="66"/>
              </w:rPr>
              <w:t xml:space="preserve"> the police and clan elders is much lower. The </w:t>
            </w:r>
            <w:r w:rsidR="00383CF0">
              <w:rPr>
                <w:rFonts w:ascii="Arial" w:hAnsi="Arial" w:cs="Arial"/>
                <w:sz w:val="20"/>
                <w:szCs w:val="20"/>
                <w:shd w:val="clear" w:color="auto" w:fill="C0D7EC" w:themeFill="accent2" w:themeFillTint="66"/>
              </w:rPr>
              <w:t>survey</w:t>
            </w:r>
            <w:r w:rsidR="00320177" w:rsidRPr="008D3E98">
              <w:rPr>
                <w:rFonts w:ascii="Arial" w:hAnsi="Arial" w:cs="Arial"/>
                <w:sz w:val="20"/>
                <w:szCs w:val="20"/>
                <w:shd w:val="clear" w:color="auto" w:fill="C0D7EC" w:themeFill="accent2" w:themeFillTint="66"/>
              </w:rPr>
              <w:t xml:space="preserve"> also confirmed that what most people expect from a justice institution is the enforcement of decisions/resolution of the dispute.</w:t>
            </w:r>
          </w:p>
        </w:tc>
      </w:tr>
    </w:tbl>
    <w:p w14:paraId="38FBF9C0" w14:textId="77777777" w:rsidR="008F3623" w:rsidRDefault="008F3623" w:rsidP="004563ED">
      <w:pPr>
        <w:pStyle w:val="Heading2"/>
        <w:rPr>
          <w:rStyle w:val="Strong"/>
          <w:rFonts w:ascii="Arial" w:hAnsi="Arial" w:cs="Arial"/>
          <w:b/>
          <w:bCs w:val="0"/>
        </w:rPr>
      </w:pPr>
    </w:p>
    <w:p w14:paraId="1883CCCE" w14:textId="35A91D48" w:rsidR="001973EA" w:rsidRDefault="00CC707B" w:rsidP="004563ED">
      <w:pPr>
        <w:pStyle w:val="Heading2"/>
        <w:rPr>
          <w:rStyle w:val="Strong"/>
          <w:rFonts w:ascii="Arial" w:hAnsi="Arial" w:cs="Arial"/>
        </w:rPr>
      </w:pPr>
      <w:bookmarkStart w:id="17" w:name="_Toc71701887"/>
      <w:r w:rsidRPr="004563ED">
        <w:rPr>
          <w:rStyle w:val="Strong"/>
          <w:rFonts w:ascii="Arial" w:hAnsi="Arial" w:cs="Arial"/>
          <w:b/>
          <w:bCs w:val="0"/>
        </w:rPr>
        <w:t>Coherence</w:t>
      </w:r>
      <w:r w:rsidR="00E918E0">
        <w:rPr>
          <w:rStyle w:val="Strong"/>
          <w:rFonts w:ascii="Arial" w:hAnsi="Arial" w:cs="Arial"/>
        </w:rPr>
        <w:t xml:space="preserve">: </w:t>
      </w:r>
      <w:r w:rsidR="00E918E0" w:rsidRPr="00231DC1">
        <w:rPr>
          <w:rStyle w:val="Strong"/>
          <w:rFonts w:ascii="Arial" w:hAnsi="Arial" w:cs="Arial"/>
          <w:i/>
          <w:iCs/>
        </w:rPr>
        <w:t>H</w:t>
      </w:r>
      <w:r w:rsidR="003120FC" w:rsidRPr="00231DC1">
        <w:rPr>
          <w:rStyle w:val="Strong"/>
          <w:rFonts w:ascii="Arial" w:hAnsi="Arial" w:cs="Arial"/>
          <w:i/>
          <w:iCs/>
        </w:rPr>
        <w:t xml:space="preserve">ow well does the </w:t>
      </w:r>
      <w:r w:rsidR="00231DC1">
        <w:rPr>
          <w:rStyle w:val="Strong"/>
          <w:rFonts w:ascii="Arial" w:hAnsi="Arial" w:cs="Arial"/>
          <w:i/>
          <w:iCs/>
        </w:rPr>
        <w:t>P</w:t>
      </w:r>
      <w:r w:rsidR="003120FC" w:rsidRPr="00231DC1">
        <w:rPr>
          <w:rStyle w:val="Strong"/>
          <w:rFonts w:ascii="Arial" w:hAnsi="Arial" w:cs="Arial"/>
          <w:i/>
          <w:iCs/>
        </w:rPr>
        <w:t>rogramme fit</w:t>
      </w:r>
      <w:r w:rsidR="007561A1" w:rsidRPr="00231DC1">
        <w:rPr>
          <w:rStyle w:val="Strong"/>
          <w:rFonts w:ascii="Arial" w:hAnsi="Arial" w:cs="Arial"/>
          <w:i/>
          <w:iCs/>
        </w:rPr>
        <w:t xml:space="preserve"> (and coordinate</w:t>
      </w:r>
      <w:r w:rsidR="00231DC1">
        <w:rPr>
          <w:rStyle w:val="Strong"/>
          <w:rFonts w:ascii="Arial" w:hAnsi="Arial" w:cs="Arial"/>
          <w:i/>
          <w:iCs/>
        </w:rPr>
        <w:t>)</w:t>
      </w:r>
      <w:r w:rsidR="009B7F02" w:rsidRPr="00231DC1">
        <w:rPr>
          <w:rStyle w:val="Strong"/>
          <w:rFonts w:ascii="Arial" w:hAnsi="Arial" w:cs="Arial"/>
          <w:i/>
          <w:iCs/>
        </w:rPr>
        <w:t xml:space="preserve"> with other</w:t>
      </w:r>
      <w:r w:rsidR="00231DC1">
        <w:rPr>
          <w:rStyle w:val="Strong"/>
          <w:rFonts w:ascii="Arial" w:hAnsi="Arial" w:cs="Arial"/>
          <w:i/>
          <w:iCs/>
        </w:rPr>
        <w:t xml:space="preserve"> actor</w:t>
      </w:r>
      <w:r w:rsidR="009B7F02" w:rsidRPr="00231DC1">
        <w:rPr>
          <w:rStyle w:val="Strong"/>
          <w:rFonts w:ascii="Arial" w:hAnsi="Arial" w:cs="Arial"/>
          <w:i/>
          <w:iCs/>
        </w:rPr>
        <w:t>s</w:t>
      </w:r>
      <w:r w:rsidR="00231DC1">
        <w:rPr>
          <w:rStyle w:val="Strong"/>
          <w:rFonts w:ascii="Arial" w:hAnsi="Arial" w:cs="Arial"/>
          <w:i/>
          <w:iCs/>
        </w:rPr>
        <w:t xml:space="preserve"> and interventions</w:t>
      </w:r>
      <w:r w:rsidR="007561A1" w:rsidRPr="00231DC1">
        <w:rPr>
          <w:rStyle w:val="Strong"/>
          <w:rFonts w:ascii="Arial" w:hAnsi="Arial" w:cs="Arial"/>
          <w:i/>
          <w:iCs/>
        </w:rPr>
        <w:t>?</w:t>
      </w:r>
      <w:bookmarkEnd w:id="17"/>
      <w:r w:rsidR="007561A1" w:rsidRPr="00231DC1">
        <w:rPr>
          <w:rStyle w:val="Strong"/>
          <w:rFonts w:ascii="Arial" w:hAnsi="Arial" w:cs="Arial"/>
          <w:i/>
          <w:iCs/>
        </w:rPr>
        <w:t xml:space="preserve"> </w:t>
      </w:r>
    </w:p>
    <w:tbl>
      <w:tblPr>
        <w:tblStyle w:val="TableGrid"/>
        <w:tblW w:w="0" w:type="auto"/>
        <w:tblLook w:val="04A0" w:firstRow="1" w:lastRow="0" w:firstColumn="1" w:lastColumn="0" w:noHBand="0" w:noVBand="1"/>
      </w:tblPr>
      <w:tblGrid>
        <w:gridCol w:w="9350"/>
      </w:tblGrid>
      <w:tr w:rsidR="00BE5333" w:rsidRPr="00E80114" w14:paraId="53CE12F3" w14:textId="77777777" w:rsidTr="4F82A3C2">
        <w:tc>
          <w:tcPr>
            <w:tcW w:w="9350" w:type="dxa"/>
            <w:shd w:val="clear" w:color="auto" w:fill="C0D7EC" w:themeFill="accent2" w:themeFillTint="66"/>
          </w:tcPr>
          <w:p w14:paraId="00DA5A7D" w14:textId="5D494AA4" w:rsidR="00BE5333" w:rsidRPr="00E80114" w:rsidRDefault="00BE5333" w:rsidP="006F770A">
            <w:pPr>
              <w:spacing w:after="120"/>
              <w:rPr>
                <w:rStyle w:val="Strong"/>
                <w:rFonts w:ascii="Arial" w:hAnsi="Arial" w:cs="Arial"/>
                <w:color w:val="4A66AC" w:themeColor="accent1"/>
                <w:sz w:val="22"/>
                <w:szCs w:val="22"/>
              </w:rPr>
            </w:pPr>
            <w:r w:rsidRPr="00E80114">
              <w:rPr>
                <w:rStyle w:val="Strong"/>
                <w:rFonts w:ascii="Arial" w:hAnsi="Arial" w:cs="Arial"/>
                <w:color w:val="4A66AC" w:themeColor="accent1"/>
                <w:sz w:val="22"/>
                <w:szCs w:val="22"/>
              </w:rPr>
              <w:t>Conclusions on Coherence</w:t>
            </w:r>
          </w:p>
        </w:tc>
      </w:tr>
      <w:tr w:rsidR="00BE5333" w:rsidRPr="00E80114" w14:paraId="2A2811E8" w14:textId="77777777" w:rsidTr="4F82A3C2">
        <w:tc>
          <w:tcPr>
            <w:tcW w:w="9350" w:type="dxa"/>
          </w:tcPr>
          <w:p w14:paraId="0C462AE3" w14:textId="77777777" w:rsidR="00067B19" w:rsidRPr="00E74333" w:rsidRDefault="00067B19" w:rsidP="00067B19">
            <w:pPr>
              <w:pStyle w:val="ListParagraph"/>
              <w:rPr>
                <w:rStyle w:val="Strong"/>
                <w:rFonts w:ascii="Arial" w:hAnsi="Arial" w:cs="Arial"/>
                <w:b w:val="0"/>
                <w:bCs w:val="0"/>
                <w:color w:val="4A66AC" w:themeColor="accent1"/>
                <w:sz w:val="22"/>
                <w:szCs w:val="22"/>
              </w:rPr>
            </w:pPr>
          </w:p>
          <w:p w14:paraId="37D44CE6" w14:textId="739405C7" w:rsidR="00577E1D" w:rsidRPr="008A227B" w:rsidRDefault="00577E1D" w:rsidP="00E74333">
            <w:pPr>
              <w:rPr>
                <w:rStyle w:val="Strong"/>
                <w:rFonts w:ascii="Arial" w:hAnsi="Arial" w:cs="Arial"/>
                <w:b w:val="0"/>
                <w:bCs w:val="0"/>
                <w:color w:val="4A66AC" w:themeColor="accent1"/>
                <w:sz w:val="22"/>
                <w:szCs w:val="22"/>
              </w:rPr>
            </w:pPr>
            <w:r w:rsidRPr="008A227B">
              <w:rPr>
                <w:rStyle w:val="Strong"/>
                <w:rFonts w:ascii="Arial" w:hAnsi="Arial" w:cs="Arial"/>
                <w:color w:val="4A66AC" w:themeColor="accent1"/>
                <w:sz w:val="22"/>
                <w:szCs w:val="22"/>
              </w:rPr>
              <w:t>Key achievements:</w:t>
            </w:r>
          </w:p>
          <w:p w14:paraId="1033CF39" w14:textId="0736DF10" w:rsidR="00BE5333" w:rsidRPr="00E74333" w:rsidRDefault="0349ED37" w:rsidP="00E52345">
            <w:pPr>
              <w:pStyle w:val="ListParagraph"/>
              <w:numPr>
                <w:ilvl w:val="0"/>
                <w:numId w:val="9"/>
              </w:numPr>
              <w:rPr>
                <w:rStyle w:val="Strong"/>
                <w:b w:val="0"/>
                <w:bCs w:val="0"/>
                <w:color w:val="4A66AC" w:themeColor="accent1"/>
                <w:sz w:val="22"/>
                <w:szCs w:val="22"/>
              </w:rPr>
            </w:pPr>
            <w:r w:rsidRPr="4F82A3C2">
              <w:rPr>
                <w:rStyle w:val="Strong"/>
                <w:rFonts w:ascii="Arial" w:hAnsi="Arial" w:cs="Arial"/>
                <w:b w:val="0"/>
                <w:bCs w:val="0"/>
                <w:color w:val="4A66AC" w:themeColor="accent1"/>
                <w:sz w:val="22"/>
                <w:szCs w:val="22"/>
              </w:rPr>
              <w:t>Overall, the GP and wider ROLSHR team are providing services and support that are complementary to other key actors in the sector</w:t>
            </w:r>
            <w:r w:rsidR="00F92E33">
              <w:rPr>
                <w:rStyle w:val="Strong"/>
                <w:rFonts w:ascii="Arial" w:hAnsi="Arial" w:cs="Arial"/>
                <w:b w:val="0"/>
                <w:bCs w:val="0"/>
                <w:color w:val="4A66AC" w:themeColor="accent1"/>
                <w:sz w:val="22"/>
                <w:szCs w:val="22"/>
              </w:rPr>
              <w:t xml:space="preserve"> </w:t>
            </w:r>
            <w:r w:rsidRPr="4F82A3C2">
              <w:rPr>
                <w:rStyle w:val="Strong"/>
                <w:rFonts w:ascii="Arial" w:hAnsi="Arial" w:cs="Arial"/>
                <w:b w:val="0"/>
                <w:bCs w:val="0"/>
                <w:color w:val="4A66AC" w:themeColor="accent1"/>
                <w:sz w:val="22"/>
                <w:szCs w:val="22"/>
              </w:rPr>
              <w:t>and making consistent efforts to coordinate and seek collaboration within the UN system, especially via the GFP mechanism. However, tensions and potentially growing rivalry between UNDP and DPO were a source of some concern, and interoperability remains a challenge for certain UN</w:t>
            </w:r>
            <w:r w:rsidR="1E3F1547" w:rsidRPr="4F82A3C2">
              <w:rPr>
                <w:rStyle w:val="Strong"/>
                <w:rFonts w:ascii="Arial" w:hAnsi="Arial" w:cs="Arial"/>
                <w:b w:val="0"/>
                <w:bCs w:val="0"/>
                <w:color w:val="4A66AC" w:themeColor="accent1"/>
                <w:sz w:val="22"/>
                <w:szCs w:val="22"/>
              </w:rPr>
              <w:t>-UN</w:t>
            </w:r>
            <w:r w:rsidRPr="4F82A3C2">
              <w:rPr>
                <w:rStyle w:val="Strong"/>
                <w:rFonts w:ascii="Arial" w:hAnsi="Arial" w:cs="Arial"/>
                <w:b w:val="0"/>
                <w:bCs w:val="0"/>
                <w:color w:val="4A66AC" w:themeColor="accent1"/>
                <w:sz w:val="22"/>
                <w:szCs w:val="22"/>
              </w:rPr>
              <w:t xml:space="preserve"> partnerships.</w:t>
            </w:r>
          </w:p>
          <w:p w14:paraId="2EA1668B" w14:textId="2E11F9DC" w:rsidR="00BE5333" w:rsidRPr="00E74333" w:rsidRDefault="00BE5333" w:rsidP="00567956">
            <w:pPr>
              <w:pStyle w:val="ListParagraph"/>
              <w:numPr>
                <w:ilvl w:val="0"/>
                <w:numId w:val="9"/>
              </w:numPr>
              <w:rPr>
                <w:rStyle w:val="Strong"/>
                <w:rFonts w:ascii="Arial" w:hAnsi="Arial" w:cs="Arial"/>
                <w:b w:val="0"/>
                <w:bCs w:val="0"/>
                <w:color w:val="4A66AC" w:themeColor="accent1"/>
                <w:sz w:val="22"/>
                <w:szCs w:val="22"/>
              </w:rPr>
            </w:pPr>
            <w:r w:rsidRPr="00E74333">
              <w:rPr>
                <w:rStyle w:val="Strong"/>
                <w:rFonts w:ascii="Arial" w:hAnsi="Arial" w:cs="Arial"/>
                <w:b w:val="0"/>
                <w:bCs w:val="0"/>
                <w:color w:val="4A66AC" w:themeColor="accent1"/>
                <w:sz w:val="22"/>
                <w:szCs w:val="22"/>
              </w:rPr>
              <w:t>GP-supported programming in country was reasonably well coordinated with other donors as well as national counterpart</w:t>
            </w:r>
            <w:r w:rsidR="00F92E33">
              <w:rPr>
                <w:rStyle w:val="Strong"/>
                <w:rFonts w:ascii="Arial" w:hAnsi="Arial" w:cs="Arial"/>
                <w:b w:val="0"/>
                <w:bCs w:val="0"/>
                <w:color w:val="4A66AC" w:themeColor="accent1"/>
                <w:sz w:val="22"/>
                <w:szCs w:val="22"/>
              </w:rPr>
              <w:t>s</w:t>
            </w:r>
            <w:r w:rsidRPr="00E74333">
              <w:rPr>
                <w:rStyle w:val="Strong"/>
                <w:rFonts w:ascii="Arial" w:hAnsi="Arial" w:cs="Arial"/>
                <w:b w:val="0"/>
                <w:bCs w:val="0"/>
                <w:color w:val="4A66AC" w:themeColor="accent1"/>
                <w:sz w:val="22"/>
                <w:szCs w:val="22"/>
              </w:rPr>
              <w:t xml:space="preserve"> and included various examples of direct collaboration with other UN entities—although actual joint programmes were relatively rare in the case study countries.</w:t>
            </w:r>
          </w:p>
          <w:p w14:paraId="00E7BC1D" w14:textId="4AB9FDD5" w:rsidR="00BE5333" w:rsidRPr="00E74333" w:rsidRDefault="00BE5333" w:rsidP="00567956">
            <w:pPr>
              <w:pStyle w:val="ListParagraph"/>
              <w:numPr>
                <w:ilvl w:val="0"/>
                <w:numId w:val="9"/>
              </w:numPr>
              <w:rPr>
                <w:rStyle w:val="Strong"/>
                <w:rFonts w:ascii="Arial" w:hAnsi="Arial" w:cs="Arial"/>
                <w:b w:val="0"/>
                <w:bCs w:val="0"/>
                <w:color w:val="4A66AC" w:themeColor="accent1"/>
                <w:sz w:val="22"/>
                <w:szCs w:val="22"/>
              </w:rPr>
            </w:pPr>
            <w:r w:rsidRPr="00E74333">
              <w:rPr>
                <w:rFonts w:ascii="Arial" w:hAnsi="Arial" w:cs="Arial"/>
                <w:color w:val="4A66AC" w:themeColor="accent1"/>
                <w:sz w:val="22"/>
                <w:szCs w:val="22"/>
              </w:rPr>
              <w:t xml:space="preserve">The GFP is adding value through its efforts at HQ level to bring together key UN players in the ROLSHR sector, and GP has been an adequate host for the GFP to date. However, the </w:t>
            </w:r>
            <w:r w:rsidRPr="00E74333">
              <w:rPr>
                <w:rStyle w:val="Strong"/>
                <w:rFonts w:ascii="Arial" w:hAnsi="Arial" w:cs="Arial"/>
                <w:b w:val="0"/>
                <w:bCs w:val="0"/>
                <w:color w:val="4A66AC" w:themeColor="accent1"/>
                <w:sz w:val="22"/>
                <w:szCs w:val="22"/>
              </w:rPr>
              <w:t>GFP is little known</w:t>
            </w:r>
            <w:r w:rsidR="00383CF0" w:rsidRPr="00E74333">
              <w:rPr>
                <w:rStyle w:val="Strong"/>
                <w:rFonts w:ascii="Arial" w:hAnsi="Arial" w:cs="Arial"/>
                <w:b w:val="0"/>
                <w:bCs w:val="0"/>
                <w:color w:val="4A66AC" w:themeColor="accent1"/>
                <w:sz w:val="22"/>
                <w:szCs w:val="22"/>
              </w:rPr>
              <w:t>/understood</w:t>
            </w:r>
            <w:r w:rsidRPr="00E74333">
              <w:rPr>
                <w:rStyle w:val="Strong"/>
                <w:rFonts w:ascii="Arial" w:hAnsi="Arial" w:cs="Arial"/>
                <w:b w:val="0"/>
                <w:bCs w:val="0"/>
                <w:color w:val="4A66AC" w:themeColor="accent1"/>
                <w:sz w:val="22"/>
                <w:szCs w:val="22"/>
              </w:rPr>
              <w:t xml:space="preserve"> at country level, and even poorly understood by senior staff of UN agencies at global level. </w:t>
            </w:r>
          </w:p>
          <w:p w14:paraId="20231AC3" w14:textId="5DE03248" w:rsidR="00577E1D" w:rsidRPr="00E74333" w:rsidRDefault="00577E1D" w:rsidP="00577E1D">
            <w:pPr>
              <w:pStyle w:val="ListParagraph"/>
              <w:numPr>
                <w:ilvl w:val="0"/>
                <w:numId w:val="9"/>
              </w:numPr>
              <w:rPr>
                <w:rStyle w:val="Strong"/>
                <w:rFonts w:ascii="Arial" w:hAnsi="Arial" w:cs="Arial"/>
                <w:b w:val="0"/>
                <w:bCs w:val="0"/>
                <w:color w:val="4A66AC" w:themeColor="accent1"/>
                <w:sz w:val="22"/>
                <w:szCs w:val="22"/>
              </w:rPr>
            </w:pPr>
            <w:r w:rsidRPr="00E74333">
              <w:rPr>
                <w:rStyle w:val="Strong"/>
                <w:rFonts w:ascii="Arial" w:hAnsi="Arial" w:cs="Arial"/>
                <w:b w:val="0"/>
                <w:bCs w:val="0"/>
                <w:color w:val="4A66AC" w:themeColor="accent1"/>
                <w:sz w:val="22"/>
                <w:szCs w:val="22"/>
              </w:rPr>
              <w:t xml:space="preserve">At country level, bolstering of team capacity via financing and GP Focal Point expertise has helped to ensure compliance with UNDP corporate standards of practice and consistency with technical guidelines, and supported analytical assessments to feed into programme design and innovation. </w:t>
            </w:r>
          </w:p>
          <w:p w14:paraId="7CF5D543" w14:textId="7E0354C3" w:rsidR="00577E1D" w:rsidRPr="00E74333" w:rsidRDefault="00577E1D" w:rsidP="00577E1D">
            <w:pPr>
              <w:pStyle w:val="ListParagraph"/>
              <w:rPr>
                <w:rStyle w:val="Strong"/>
              </w:rPr>
            </w:pPr>
          </w:p>
          <w:p w14:paraId="60D7AC8E" w14:textId="2FD4C362" w:rsidR="00577E1D" w:rsidRPr="008A227B" w:rsidRDefault="00E74333" w:rsidP="00E74333">
            <w:pPr>
              <w:rPr>
                <w:rStyle w:val="Strong"/>
                <w:rFonts w:ascii="Arial" w:hAnsi="Arial" w:cs="Arial"/>
                <w:b w:val="0"/>
                <w:bCs w:val="0"/>
                <w:color w:val="4A66AC" w:themeColor="accent1"/>
                <w:sz w:val="22"/>
                <w:szCs w:val="22"/>
              </w:rPr>
            </w:pPr>
            <w:r w:rsidRPr="008A227B">
              <w:rPr>
                <w:rStyle w:val="Strong"/>
                <w:rFonts w:ascii="Arial" w:hAnsi="Arial" w:cs="Arial"/>
                <w:color w:val="4A66AC" w:themeColor="accent1"/>
                <w:sz w:val="22"/>
                <w:szCs w:val="22"/>
              </w:rPr>
              <w:t>Primary c</w:t>
            </w:r>
            <w:r w:rsidR="00577E1D" w:rsidRPr="008A227B">
              <w:rPr>
                <w:rStyle w:val="Strong"/>
                <w:rFonts w:ascii="Arial" w:hAnsi="Arial" w:cs="Arial"/>
                <w:color w:val="4A66AC" w:themeColor="accent1"/>
                <w:sz w:val="22"/>
                <w:szCs w:val="22"/>
              </w:rPr>
              <w:t>hallenges:</w:t>
            </w:r>
          </w:p>
          <w:p w14:paraId="5528614D" w14:textId="77777777" w:rsidR="00BE5333" w:rsidRPr="00E74333" w:rsidRDefault="00BE5333" w:rsidP="00567956">
            <w:pPr>
              <w:pStyle w:val="ListParagraph"/>
              <w:numPr>
                <w:ilvl w:val="0"/>
                <w:numId w:val="9"/>
              </w:numPr>
              <w:rPr>
                <w:rStyle w:val="Strong"/>
                <w:rFonts w:ascii="Arial" w:hAnsi="Arial" w:cs="Arial"/>
                <w:b w:val="0"/>
                <w:bCs w:val="0"/>
                <w:color w:val="4A66AC" w:themeColor="accent1"/>
                <w:sz w:val="22"/>
                <w:szCs w:val="22"/>
              </w:rPr>
            </w:pPr>
            <w:r w:rsidRPr="00E74333">
              <w:rPr>
                <w:rStyle w:val="Strong"/>
                <w:rFonts w:ascii="Arial" w:hAnsi="Arial" w:cs="Arial"/>
                <w:b w:val="0"/>
                <w:bCs w:val="0"/>
                <w:color w:val="4A66AC" w:themeColor="accent1"/>
                <w:sz w:val="22"/>
                <w:szCs w:val="22"/>
              </w:rPr>
              <w:t xml:space="preserve">There is considerable ambiguity at global and country levels around how the GP differs from or fits into the wider work of the ROLSHR team, including in what contexts the GP can intervene, which may undermine coordination efforts and overall coherence of the Programme. </w:t>
            </w:r>
          </w:p>
          <w:p w14:paraId="3049E5C7" w14:textId="346C3355" w:rsidR="009F7603" w:rsidRPr="00E74333" w:rsidRDefault="009F7603" w:rsidP="00567956">
            <w:pPr>
              <w:pStyle w:val="ListParagraph"/>
              <w:numPr>
                <w:ilvl w:val="0"/>
                <w:numId w:val="9"/>
              </w:numPr>
              <w:rPr>
                <w:rStyle w:val="Strong"/>
                <w:rFonts w:ascii="Arial" w:hAnsi="Arial" w:cs="Arial"/>
                <w:b w:val="0"/>
                <w:bCs w:val="0"/>
                <w:color w:val="4A66AC" w:themeColor="accent1"/>
                <w:sz w:val="22"/>
                <w:szCs w:val="22"/>
              </w:rPr>
            </w:pPr>
            <w:r w:rsidRPr="00E74333">
              <w:rPr>
                <w:rStyle w:val="Strong"/>
                <w:rFonts w:ascii="Arial" w:hAnsi="Arial" w:cs="Arial"/>
                <w:b w:val="0"/>
                <w:bCs w:val="0"/>
                <w:color w:val="4A66AC" w:themeColor="accent1"/>
                <w:sz w:val="22"/>
                <w:szCs w:val="22"/>
              </w:rPr>
              <w:t>The de-linking of the R</w:t>
            </w:r>
            <w:r w:rsidR="00B70D09" w:rsidRPr="00E74333">
              <w:rPr>
                <w:rStyle w:val="Strong"/>
                <w:rFonts w:ascii="Arial" w:hAnsi="Arial" w:cs="Arial"/>
                <w:b w:val="0"/>
                <w:bCs w:val="0"/>
                <w:color w:val="4A66AC" w:themeColor="accent1"/>
                <w:sz w:val="22"/>
                <w:szCs w:val="22"/>
              </w:rPr>
              <w:t xml:space="preserve">esident </w:t>
            </w:r>
            <w:r w:rsidRPr="00E74333">
              <w:rPr>
                <w:rStyle w:val="Strong"/>
                <w:rFonts w:ascii="Arial" w:hAnsi="Arial" w:cs="Arial"/>
                <w:b w:val="0"/>
                <w:bCs w:val="0"/>
                <w:color w:val="4A66AC" w:themeColor="accent1"/>
                <w:sz w:val="22"/>
                <w:szCs w:val="22"/>
              </w:rPr>
              <w:t>C</w:t>
            </w:r>
            <w:r w:rsidR="00B70D09" w:rsidRPr="00E74333">
              <w:rPr>
                <w:rStyle w:val="Strong"/>
                <w:rFonts w:ascii="Arial" w:hAnsi="Arial" w:cs="Arial"/>
                <w:b w:val="0"/>
                <w:bCs w:val="0"/>
                <w:color w:val="4A66AC" w:themeColor="accent1"/>
                <w:sz w:val="22"/>
                <w:szCs w:val="22"/>
              </w:rPr>
              <w:t>oordinator</w:t>
            </w:r>
            <w:r w:rsidRPr="00E74333">
              <w:rPr>
                <w:rStyle w:val="Strong"/>
                <w:rFonts w:ascii="Arial" w:hAnsi="Arial" w:cs="Arial"/>
                <w:b w:val="0"/>
                <w:bCs w:val="0"/>
                <w:color w:val="4A66AC" w:themeColor="accent1"/>
                <w:sz w:val="22"/>
                <w:szCs w:val="22"/>
              </w:rPr>
              <w:t xml:space="preserve"> </w:t>
            </w:r>
            <w:r w:rsidR="00B70D09" w:rsidRPr="00E74333">
              <w:rPr>
                <w:rStyle w:val="Strong"/>
                <w:rFonts w:ascii="Arial" w:hAnsi="Arial" w:cs="Arial"/>
                <w:b w:val="0"/>
                <w:bCs w:val="0"/>
                <w:color w:val="4A66AC" w:themeColor="accent1"/>
                <w:sz w:val="22"/>
                <w:szCs w:val="22"/>
              </w:rPr>
              <w:t xml:space="preserve">(RC) </w:t>
            </w:r>
            <w:r w:rsidRPr="00E74333">
              <w:rPr>
                <w:rStyle w:val="Strong"/>
                <w:rFonts w:ascii="Arial" w:hAnsi="Arial" w:cs="Arial"/>
                <w:b w:val="0"/>
                <w:bCs w:val="0"/>
                <w:color w:val="4A66AC" w:themeColor="accent1"/>
                <w:sz w:val="22"/>
                <w:szCs w:val="22"/>
              </w:rPr>
              <w:t>and R</w:t>
            </w:r>
            <w:r w:rsidR="00B70D09" w:rsidRPr="00E74333">
              <w:rPr>
                <w:rStyle w:val="Strong"/>
                <w:rFonts w:ascii="Arial" w:hAnsi="Arial" w:cs="Arial"/>
                <w:b w:val="0"/>
                <w:bCs w:val="0"/>
                <w:color w:val="4A66AC" w:themeColor="accent1"/>
                <w:sz w:val="22"/>
                <w:szCs w:val="22"/>
              </w:rPr>
              <w:t xml:space="preserve">esident </w:t>
            </w:r>
            <w:r w:rsidRPr="00E74333">
              <w:rPr>
                <w:rStyle w:val="Strong"/>
                <w:rFonts w:ascii="Arial" w:hAnsi="Arial" w:cs="Arial"/>
                <w:b w:val="0"/>
                <w:bCs w:val="0"/>
                <w:color w:val="4A66AC" w:themeColor="accent1"/>
                <w:sz w:val="22"/>
                <w:szCs w:val="22"/>
              </w:rPr>
              <w:t>R</w:t>
            </w:r>
            <w:r w:rsidR="00B70D09" w:rsidRPr="00E74333">
              <w:rPr>
                <w:rStyle w:val="Strong"/>
                <w:rFonts w:ascii="Arial" w:hAnsi="Arial" w:cs="Arial"/>
                <w:b w:val="0"/>
                <w:bCs w:val="0"/>
                <w:color w:val="4A66AC" w:themeColor="accent1"/>
                <w:sz w:val="22"/>
                <w:szCs w:val="22"/>
              </w:rPr>
              <w:t>epresentative</w:t>
            </w:r>
            <w:r w:rsidRPr="00E74333">
              <w:rPr>
                <w:rStyle w:val="Strong"/>
                <w:rFonts w:ascii="Arial" w:hAnsi="Arial" w:cs="Arial"/>
                <w:b w:val="0"/>
                <w:bCs w:val="0"/>
                <w:color w:val="4A66AC" w:themeColor="accent1"/>
                <w:sz w:val="22"/>
                <w:szCs w:val="22"/>
              </w:rPr>
              <w:t xml:space="preserve"> </w:t>
            </w:r>
            <w:r w:rsidR="00B70D09" w:rsidRPr="00E74333">
              <w:rPr>
                <w:rStyle w:val="Strong"/>
                <w:rFonts w:ascii="Arial" w:hAnsi="Arial" w:cs="Arial"/>
                <w:b w:val="0"/>
                <w:bCs w:val="0"/>
                <w:color w:val="4A66AC" w:themeColor="accent1"/>
                <w:sz w:val="22"/>
                <w:szCs w:val="22"/>
              </w:rPr>
              <w:t xml:space="preserve">(RR) </w:t>
            </w:r>
            <w:r w:rsidRPr="00E74333">
              <w:rPr>
                <w:rStyle w:val="Strong"/>
                <w:rFonts w:ascii="Arial" w:hAnsi="Arial" w:cs="Arial"/>
                <w:b w:val="0"/>
                <w:bCs w:val="0"/>
                <w:color w:val="4A66AC" w:themeColor="accent1"/>
                <w:sz w:val="22"/>
                <w:szCs w:val="22"/>
              </w:rPr>
              <w:t xml:space="preserve">functions </w:t>
            </w:r>
            <w:r w:rsidR="00994D77" w:rsidRPr="00E74333">
              <w:rPr>
                <w:rStyle w:val="Strong"/>
                <w:rFonts w:ascii="Arial" w:hAnsi="Arial" w:cs="Arial"/>
                <w:b w:val="0"/>
                <w:bCs w:val="0"/>
                <w:color w:val="4A66AC" w:themeColor="accent1"/>
                <w:sz w:val="22"/>
                <w:szCs w:val="22"/>
              </w:rPr>
              <w:t>can have</w:t>
            </w:r>
            <w:r w:rsidRPr="00E74333">
              <w:rPr>
                <w:rStyle w:val="Strong"/>
                <w:rFonts w:ascii="Arial" w:hAnsi="Arial" w:cs="Arial"/>
                <w:b w:val="0"/>
                <w:bCs w:val="0"/>
                <w:color w:val="4A66AC" w:themeColor="accent1"/>
                <w:sz w:val="22"/>
                <w:szCs w:val="22"/>
              </w:rPr>
              <w:t xml:space="preserve"> some negative side effects</w:t>
            </w:r>
            <w:r w:rsidR="00994D77" w:rsidRPr="00E74333">
              <w:rPr>
                <w:rStyle w:val="Strong"/>
                <w:rFonts w:ascii="Arial" w:hAnsi="Arial" w:cs="Arial"/>
                <w:b w:val="0"/>
                <w:bCs w:val="0"/>
                <w:color w:val="4A66AC" w:themeColor="accent1"/>
                <w:sz w:val="22"/>
                <w:szCs w:val="22"/>
              </w:rPr>
              <w:t xml:space="preserve"> on UN-internal coherence including on the GP/GFP, </w:t>
            </w:r>
            <w:r w:rsidR="00330B12" w:rsidRPr="00E74333">
              <w:rPr>
                <w:rStyle w:val="Strong"/>
                <w:rFonts w:ascii="Arial" w:hAnsi="Arial" w:cs="Arial"/>
                <w:b w:val="0"/>
                <w:bCs w:val="0"/>
                <w:color w:val="4A66AC" w:themeColor="accent1"/>
                <w:sz w:val="22"/>
                <w:szCs w:val="22"/>
              </w:rPr>
              <w:t>particularly</w:t>
            </w:r>
            <w:r w:rsidR="00330B12" w:rsidRPr="00E74333">
              <w:rPr>
                <w:rStyle w:val="Strong"/>
                <w:rFonts w:ascii="Arial" w:hAnsi="Arial" w:cs="Arial"/>
                <w:color w:val="4A66AC" w:themeColor="accent1"/>
                <w:sz w:val="22"/>
                <w:szCs w:val="22"/>
              </w:rPr>
              <w:t xml:space="preserve"> </w:t>
            </w:r>
            <w:r w:rsidRPr="00E74333">
              <w:rPr>
                <w:rStyle w:val="Strong"/>
                <w:rFonts w:ascii="Arial" w:hAnsi="Arial" w:cs="Arial"/>
                <w:b w:val="0"/>
                <w:bCs w:val="0"/>
                <w:color w:val="4A66AC" w:themeColor="accent1"/>
                <w:sz w:val="22"/>
                <w:szCs w:val="22"/>
              </w:rPr>
              <w:t>in non-mission settings.</w:t>
            </w:r>
          </w:p>
          <w:p w14:paraId="23B9CE32" w14:textId="7AE7F90A" w:rsidR="00067B19" w:rsidRPr="00E74333" w:rsidRDefault="00067B19" w:rsidP="00067B19">
            <w:pPr>
              <w:pStyle w:val="ListParagraph"/>
              <w:rPr>
                <w:rStyle w:val="Strong"/>
                <w:rFonts w:ascii="Arial" w:hAnsi="Arial" w:cs="Arial"/>
                <w:b w:val="0"/>
                <w:bCs w:val="0"/>
                <w:color w:val="4A66AC" w:themeColor="accent1"/>
                <w:sz w:val="22"/>
                <w:szCs w:val="22"/>
              </w:rPr>
            </w:pPr>
          </w:p>
        </w:tc>
      </w:tr>
    </w:tbl>
    <w:p w14:paraId="33E0B707" w14:textId="77777777" w:rsidR="001973EA" w:rsidRDefault="001973EA" w:rsidP="001973EA">
      <w:pPr>
        <w:spacing w:after="0" w:line="240" w:lineRule="auto"/>
        <w:rPr>
          <w:rStyle w:val="Strong"/>
          <w:rFonts w:ascii="Arial" w:hAnsi="Arial" w:cs="Arial"/>
        </w:rPr>
      </w:pPr>
    </w:p>
    <w:p w14:paraId="7C3B767B" w14:textId="3BAF27C1" w:rsidR="0029366C" w:rsidRDefault="001973EA" w:rsidP="0029366C">
      <w:pPr>
        <w:pStyle w:val="Heading2"/>
      </w:pPr>
      <w:bookmarkStart w:id="18" w:name="_Toc71701888"/>
      <w:r w:rsidRPr="009E59F6">
        <w:t xml:space="preserve">Programme/Global Level </w:t>
      </w:r>
      <w:r w:rsidR="0029366C">
        <w:t>Findings on Coherence</w:t>
      </w:r>
      <w:bookmarkEnd w:id="18"/>
    </w:p>
    <w:p w14:paraId="5E6E45D5" w14:textId="103D44DF" w:rsidR="001973EA" w:rsidRPr="00D27FDF" w:rsidRDefault="001973EA" w:rsidP="001973EA">
      <w:pPr>
        <w:spacing w:after="0" w:line="240" w:lineRule="auto"/>
        <w:rPr>
          <w:rFonts w:ascii="Arial" w:eastAsia="Times New Roman" w:hAnsi="Arial" w:cs="Arial"/>
          <w:i/>
          <w:iCs/>
          <w:sz w:val="22"/>
          <w:szCs w:val="22"/>
        </w:rPr>
      </w:pPr>
      <w:r w:rsidRPr="00D27FDF">
        <w:rPr>
          <w:rFonts w:ascii="Arial" w:hAnsi="Arial" w:cs="Arial"/>
          <w:b/>
          <w:i/>
          <w:iCs/>
          <w:color w:val="000000"/>
          <w:sz w:val="22"/>
          <w:szCs w:val="22"/>
        </w:rPr>
        <w:t>Evaluation Questions: </w:t>
      </w:r>
    </w:p>
    <w:p w14:paraId="5834631B" w14:textId="79EC9EEA" w:rsidR="00C56EB7" w:rsidRPr="00D27FDF" w:rsidRDefault="00C56EB7" w:rsidP="00567956">
      <w:pPr>
        <w:pStyle w:val="ListParagraph"/>
        <w:numPr>
          <w:ilvl w:val="0"/>
          <w:numId w:val="5"/>
        </w:numPr>
        <w:spacing w:after="0" w:line="240" w:lineRule="auto"/>
        <w:rPr>
          <w:rFonts w:ascii="Arial" w:eastAsia="Times New Roman" w:hAnsi="Arial" w:cs="Arial"/>
          <w:i/>
          <w:iCs/>
          <w:sz w:val="22"/>
          <w:szCs w:val="22"/>
        </w:rPr>
      </w:pPr>
      <w:r w:rsidRPr="00D27FDF">
        <w:rPr>
          <w:rFonts w:ascii="Arial" w:hAnsi="Arial" w:cs="Arial"/>
          <w:i/>
          <w:iCs/>
          <w:color w:val="000000"/>
          <w:sz w:val="22"/>
          <w:szCs w:val="22"/>
        </w:rPr>
        <w:t>To what extent has GP3 promoted coordination and partnership with national counterparts, donor partners, and across the UN system? </w:t>
      </w:r>
    </w:p>
    <w:p w14:paraId="1EAB462E" w14:textId="77777777" w:rsidR="00A82743" w:rsidRPr="00D27FDF" w:rsidRDefault="00C56EB7" w:rsidP="00567956">
      <w:pPr>
        <w:pStyle w:val="ListParagraph"/>
        <w:numPr>
          <w:ilvl w:val="0"/>
          <w:numId w:val="5"/>
        </w:numPr>
        <w:spacing w:after="0" w:line="240" w:lineRule="auto"/>
        <w:rPr>
          <w:rFonts w:ascii="Arial" w:hAnsi="Arial" w:cs="Arial"/>
          <w:i/>
          <w:iCs/>
          <w:color w:val="000000"/>
          <w:sz w:val="22"/>
          <w:szCs w:val="22"/>
        </w:rPr>
      </w:pPr>
      <w:r w:rsidRPr="00D27FDF">
        <w:rPr>
          <w:rFonts w:ascii="Arial" w:hAnsi="Arial" w:cs="Arial"/>
          <w:i/>
          <w:iCs/>
          <w:color w:val="000000"/>
          <w:sz w:val="22"/>
          <w:szCs w:val="22"/>
        </w:rPr>
        <w:t>How effectively has GP3 supported joint engagement across the UN pillars? </w:t>
      </w:r>
    </w:p>
    <w:p w14:paraId="634AB9D9" w14:textId="5D4E449E" w:rsidR="00C56EB7" w:rsidRPr="00D27FDF" w:rsidRDefault="00C56EB7" w:rsidP="00567956">
      <w:pPr>
        <w:pStyle w:val="ListParagraph"/>
        <w:numPr>
          <w:ilvl w:val="0"/>
          <w:numId w:val="5"/>
        </w:numPr>
        <w:spacing w:after="0" w:line="240" w:lineRule="auto"/>
        <w:rPr>
          <w:rFonts w:ascii="Arial" w:hAnsi="Arial" w:cs="Arial"/>
          <w:i/>
          <w:iCs/>
          <w:color w:val="000000"/>
          <w:sz w:val="22"/>
          <w:szCs w:val="22"/>
        </w:rPr>
      </w:pPr>
      <w:r w:rsidRPr="00D27FDF">
        <w:rPr>
          <w:rFonts w:ascii="Arial" w:hAnsi="Arial" w:cs="Arial"/>
          <w:i/>
          <w:iCs/>
          <w:color w:val="000000"/>
          <w:sz w:val="22"/>
          <w:szCs w:val="22"/>
        </w:rPr>
        <w:t>How effective has the GP3 been as a platform for financially and operationally supporting the GFP for Rule of Law (with DPO and other UN partners)?</w:t>
      </w:r>
    </w:p>
    <w:p w14:paraId="5E9F361A" w14:textId="77777777" w:rsidR="00C56EB7" w:rsidRPr="00D27FDF" w:rsidRDefault="00C56EB7" w:rsidP="00C56EB7">
      <w:pPr>
        <w:spacing w:after="0" w:line="240" w:lineRule="auto"/>
        <w:ind w:hanging="2"/>
        <w:rPr>
          <w:color w:val="000000"/>
          <w:sz w:val="22"/>
          <w:szCs w:val="22"/>
        </w:rPr>
      </w:pPr>
    </w:p>
    <w:p w14:paraId="0866C8FE" w14:textId="1CE2E2DD" w:rsidR="00231DC1" w:rsidRPr="00D27FDF" w:rsidRDefault="00B57D1B" w:rsidP="00E80114">
      <w:pPr>
        <w:spacing w:line="240" w:lineRule="auto"/>
        <w:rPr>
          <w:rFonts w:ascii="Arial" w:hAnsi="Arial" w:cs="Arial"/>
          <w:sz w:val="22"/>
          <w:szCs w:val="22"/>
        </w:rPr>
      </w:pPr>
      <w:r w:rsidRPr="00D27FDF">
        <w:rPr>
          <w:rFonts w:ascii="Arial" w:hAnsi="Arial" w:cs="Arial"/>
          <w:sz w:val="22"/>
          <w:szCs w:val="22"/>
        </w:rPr>
        <w:t>With respect to external coherence, i</w:t>
      </w:r>
      <w:r w:rsidR="00231DC1" w:rsidRPr="00D27FDF">
        <w:rPr>
          <w:rFonts w:ascii="Arial" w:hAnsi="Arial" w:cs="Arial"/>
          <w:sz w:val="22"/>
          <w:szCs w:val="22"/>
        </w:rPr>
        <w:t xml:space="preserve">nformants generally viewed GP support to fragile and crisis-affected contexts as complementary to what other </w:t>
      </w:r>
      <w:r w:rsidR="00A8157F" w:rsidRPr="00D27FDF">
        <w:rPr>
          <w:rFonts w:ascii="Arial" w:hAnsi="Arial" w:cs="Arial"/>
          <w:sz w:val="22"/>
          <w:szCs w:val="22"/>
        </w:rPr>
        <w:t xml:space="preserve">key </w:t>
      </w:r>
      <w:r w:rsidR="00231DC1" w:rsidRPr="00D27FDF">
        <w:rPr>
          <w:rFonts w:ascii="Arial" w:hAnsi="Arial" w:cs="Arial"/>
          <w:sz w:val="22"/>
          <w:szCs w:val="22"/>
        </w:rPr>
        <w:t>actors</w:t>
      </w:r>
      <w:r w:rsidR="00A8157F" w:rsidRPr="00D27FDF">
        <w:rPr>
          <w:rFonts w:ascii="Arial" w:hAnsi="Arial" w:cs="Arial"/>
          <w:sz w:val="22"/>
          <w:szCs w:val="22"/>
        </w:rPr>
        <w:t xml:space="preserve"> and programmes</w:t>
      </w:r>
      <w:r w:rsidR="00231DC1" w:rsidRPr="00D27FDF">
        <w:rPr>
          <w:rFonts w:ascii="Arial" w:hAnsi="Arial" w:cs="Arial"/>
          <w:sz w:val="22"/>
          <w:szCs w:val="22"/>
        </w:rPr>
        <w:t xml:space="preserve"> are doing in relation to those situations (filling a certain niche, as described under Relevance above). </w:t>
      </w:r>
      <w:r w:rsidR="00A8157F" w:rsidRPr="00D27FDF">
        <w:rPr>
          <w:rFonts w:ascii="Arial" w:hAnsi="Arial" w:cs="Arial"/>
          <w:sz w:val="22"/>
          <w:szCs w:val="22"/>
        </w:rPr>
        <w:t>It was</w:t>
      </w:r>
      <w:r w:rsidR="00E62DE1" w:rsidRPr="00D27FDF">
        <w:rPr>
          <w:rFonts w:ascii="Arial" w:hAnsi="Arial" w:cs="Arial"/>
          <w:sz w:val="22"/>
          <w:szCs w:val="22"/>
        </w:rPr>
        <w:t xml:space="preserve"> repeatedly mentioned that GP supports </w:t>
      </w:r>
      <w:r w:rsidR="00383CF0">
        <w:rPr>
          <w:rFonts w:ascii="Arial" w:hAnsi="Arial" w:cs="Arial"/>
          <w:sz w:val="22"/>
          <w:szCs w:val="22"/>
        </w:rPr>
        <w:t xml:space="preserve">COs </w:t>
      </w:r>
      <w:r w:rsidR="00E62DE1" w:rsidRPr="00D27FDF">
        <w:rPr>
          <w:rFonts w:ascii="Arial" w:hAnsi="Arial" w:cs="Arial"/>
          <w:sz w:val="22"/>
          <w:szCs w:val="22"/>
        </w:rPr>
        <w:t>and their programming “</w:t>
      </w:r>
      <w:r w:rsidR="00E62DE1" w:rsidRPr="00D27FDF">
        <w:rPr>
          <w:rFonts w:ascii="Arial" w:hAnsi="Arial" w:cs="Arial"/>
          <w:i/>
          <w:iCs/>
          <w:sz w:val="22"/>
          <w:szCs w:val="22"/>
        </w:rPr>
        <w:t>in a way that other funding sources cannot or will not support</w:t>
      </w:r>
      <w:r w:rsidR="00E62DE1" w:rsidRPr="00D27FDF">
        <w:rPr>
          <w:rFonts w:ascii="Arial" w:hAnsi="Arial" w:cs="Arial"/>
          <w:sz w:val="22"/>
          <w:szCs w:val="22"/>
        </w:rPr>
        <w:t>”, referring to its flexibility</w:t>
      </w:r>
      <w:r w:rsidR="00A8157F" w:rsidRPr="00D27FDF">
        <w:rPr>
          <w:rFonts w:ascii="Arial" w:hAnsi="Arial" w:cs="Arial"/>
          <w:sz w:val="22"/>
          <w:szCs w:val="22"/>
        </w:rPr>
        <w:t>,</w:t>
      </w:r>
      <w:r w:rsidR="00E62DE1" w:rsidRPr="00D27FDF">
        <w:rPr>
          <w:rFonts w:ascii="Arial" w:hAnsi="Arial" w:cs="Arial"/>
          <w:sz w:val="22"/>
          <w:szCs w:val="22"/>
        </w:rPr>
        <w:t xml:space="preserve"> comparatively rapid response capacity</w:t>
      </w:r>
      <w:r w:rsidR="00A8157F" w:rsidRPr="00D27FDF">
        <w:rPr>
          <w:rFonts w:ascii="Arial" w:hAnsi="Arial" w:cs="Arial"/>
          <w:sz w:val="22"/>
          <w:szCs w:val="22"/>
        </w:rPr>
        <w:t>, and combined offer of technical and financial assistance</w:t>
      </w:r>
      <w:r w:rsidRPr="00D27FDF">
        <w:rPr>
          <w:rFonts w:ascii="Arial" w:hAnsi="Arial" w:cs="Arial"/>
          <w:sz w:val="22"/>
          <w:szCs w:val="22"/>
        </w:rPr>
        <w:t xml:space="preserve"> in the ROLSHR sector</w:t>
      </w:r>
      <w:r w:rsidR="00E62DE1" w:rsidRPr="00D27FDF">
        <w:rPr>
          <w:rFonts w:ascii="Arial" w:hAnsi="Arial" w:cs="Arial"/>
          <w:sz w:val="22"/>
          <w:szCs w:val="22"/>
        </w:rPr>
        <w:t>.</w:t>
      </w:r>
      <w:r w:rsidR="00A8157F" w:rsidRPr="00D27FDF">
        <w:rPr>
          <w:rFonts w:ascii="Arial" w:hAnsi="Arial" w:cs="Arial"/>
          <w:sz w:val="22"/>
          <w:szCs w:val="22"/>
        </w:rPr>
        <w:t xml:space="preserve"> </w:t>
      </w:r>
    </w:p>
    <w:p w14:paraId="3326DC72" w14:textId="0E1559A0" w:rsidR="00B57D1B" w:rsidRPr="00D27FDF" w:rsidRDefault="00383CF0" w:rsidP="00E80114">
      <w:pPr>
        <w:spacing w:line="240" w:lineRule="auto"/>
        <w:rPr>
          <w:rFonts w:ascii="Arial" w:hAnsi="Arial" w:cs="Arial"/>
          <w:sz w:val="22"/>
          <w:szCs w:val="22"/>
        </w:rPr>
      </w:pPr>
      <w:r w:rsidRPr="00D27FDF">
        <w:rPr>
          <w:rFonts w:ascii="Arial" w:hAnsi="Arial" w:cs="Arial"/>
          <w:sz w:val="22"/>
          <w:szCs w:val="22"/>
        </w:rPr>
        <w:t>Although this evaluation could not comprehensively investigate the GP</w:t>
      </w:r>
      <w:r>
        <w:rPr>
          <w:rFonts w:ascii="Arial" w:hAnsi="Arial" w:cs="Arial"/>
          <w:sz w:val="22"/>
          <w:szCs w:val="22"/>
        </w:rPr>
        <w:t>’s</w:t>
      </w:r>
      <w:r w:rsidRPr="00D27FDF">
        <w:rPr>
          <w:rFonts w:ascii="Arial" w:hAnsi="Arial" w:cs="Arial"/>
          <w:sz w:val="22"/>
          <w:szCs w:val="22"/>
        </w:rPr>
        <w:t xml:space="preserve"> external relations, interviews with relevant stakeholders indicated that coordination with the </w:t>
      </w:r>
      <w:r>
        <w:rPr>
          <w:rFonts w:ascii="Arial" w:hAnsi="Arial" w:cs="Arial"/>
          <w:sz w:val="22"/>
          <w:szCs w:val="22"/>
        </w:rPr>
        <w:t>Peacebuilding Fund (</w:t>
      </w:r>
      <w:r w:rsidRPr="00D27FDF">
        <w:rPr>
          <w:rFonts w:ascii="Arial" w:hAnsi="Arial" w:cs="Arial"/>
          <w:sz w:val="22"/>
          <w:szCs w:val="22"/>
        </w:rPr>
        <w:t>PBF</w:t>
      </w:r>
      <w:r>
        <w:rPr>
          <w:rFonts w:ascii="Arial" w:hAnsi="Arial" w:cs="Arial"/>
          <w:sz w:val="22"/>
          <w:szCs w:val="22"/>
        </w:rPr>
        <w:t>)</w:t>
      </w:r>
      <w:r w:rsidRPr="00D27FDF">
        <w:rPr>
          <w:rFonts w:ascii="Arial" w:hAnsi="Arial" w:cs="Arial"/>
          <w:sz w:val="22"/>
          <w:szCs w:val="22"/>
        </w:rPr>
        <w:t xml:space="preserve"> is relatively smooth and overlaps are limited, and no major concerns were raised regarding relations and coherence with key UN entities such as UNODC, UN Women, OHCHR, and UNHCR (inter alia). </w:t>
      </w:r>
      <w:r w:rsidR="00B57D1B" w:rsidRPr="00D27FDF">
        <w:rPr>
          <w:rFonts w:ascii="Arial" w:hAnsi="Arial" w:cs="Arial"/>
          <w:sz w:val="22"/>
          <w:szCs w:val="22"/>
        </w:rPr>
        <w:t xml:space="preserve">That said, concerns were raised by various interviewees about a competitive and sometimes tense relationship with the DPO, especially in </w:t>
      </w:r>
      <w:r>
        <w:rPr>
          <w:rFonts w:ascii="Arial" w:hAnsi="Arial" w:cs="Arial"/>
          <w:sz w:val="22"/>
          <w:szCs w:val="22"/>
        </w:rPr>
        <w:t>view</w:t>
      </w:r>
      <w:r w:rsidR="00B57D1B" w:rsidRPr="00D27FDF">
        <w:rPr>
          <w:rFonts w:ascii="Arial" w:hAnsi="Arial" w:cs="Arial"/>
          <w:sz w:val="22"/>
          <w:szCs w:val="22"/>
        </w:rPr>
        <w:t xml:space="preserve"> of </w:t>
      </w:r>
      <w:r>
        <w:rPr>
          <w:rFonts w:ascii="Arial" w:hAnsi="Arial" w:cs="Arial"/>
          <w:sz w:val="22"/>
          <w:szCs w:val="22"/>
        </w:rPr>
        <w:t>the</w:t>
      </w:r>
      <w:r w:rsidR="00B57D1B" w:rsidRPr="00D27FDF">
        <w:rPr>
          <w:rFonts w:ascii="Arial" w:hAnsi="Arial" w:cs="Arial"/>
          <w:sz w:val="22"/>
          <w:szCs w:val="22"/>
        </w:rPr>
        <w:t xml:space="preserve"> recent </w:t>
      </w:r>
      <w:r w:rsidR="00011887" w:rsidRPr="00D27FDF">
        <w:rPr>
          <w:rFonts w:ascii="Arial" w:hAnsi="Arial" w:cs="Arial"/>
          <w:sz w:val="22"/>
          <w:szCs w:val="22"/>
        </w:rPr>
        <w:t>decision to roll out their offer of “system-wide service provision” to</w:t>
      </w:r>
      <w:r w:rsidR="00B57D1B" w:rsidRPr="00D27FDF">
        <w:rPr>
          <w:rFonts w:ascii="Arial" w:hAnsi="Arial" w:cs="Arial"/>
          <w:sz w:val="22"/>
          <w:szCs w:val="22"/>
        </w:rPr>
        <w:t xml:space="preserve"> non-mission contexts</w:t>
      </w:r>
      <w:r w:rsidR="00011887" w:rsidRPr="00D27FDF">
        <w:rPr>
          <w:rFonts w:ascii="Arial" w:hAnsi="Arial" w:cs="Arial"/>
          <w:sz w:val="22"/>
          <w:szCs w:val="22"/>
        </w:rPr>
        <w:t>, in addition to their long-established role in UN mission contexts</w:t>
      </w:r>
      <w:r w:rsidR="00B57D1B" w:rsidRPr="00D27FDF">
        <w:rPr>
          <w:rFonts w:ascii="Arial" w:hAnsi="Arial" w:cs="Arial"/>
          <w:sz w:val="22"/>
          <w:szCs w:val="22"/>
        </w:rPr>
        <w:t xml:space="preserve">. This “rivalry” was noted by informants to be influencing relations at HQ level as well as in contexts where both UNDP and DPO are engaged in ROLSHR work. </w:t>
      </w:r>
    </w:p>
    <w:p w14:paraId="33968095" w14:textId="004B9DAA" w:rsidR="008E0549" w:rsidRPr="00D27FDF" w:rsidRDefault="005E2E61" w:rsidP="00E80114">
      <w:pPr>
        <w:spacing w:line="240" w:lineRule="auto"/>
        <w:rPr>
          <w:rFonts w:ascii="Arial" w:hAnsi="Arial" w:cs="Arial"/>
          <w:sz w:val="22"/>
          <w:szCs w:val="22"/>
        </w:rPr>
      </w:pPr>
      <w:r w:rsidRPr="00D27FDF">
        <w:rPr>
          <w:rFonts w:ascii="Arial" w:hAnsi="Arial" w:cs="Arial"/>
          <w:sz w:val="22"/>
          <w:szCs w:val="22"/>
        </w:rPr>
        <w:t>I</w:t>
      </w:r>
      <w:r w:rsidR="00B86004" w:rsidRPr="00D27FDF">
        <w:rPr>
          <w:rFonts w:ascii="Arial" w:hAnsi="Arial" w:cs="Arial"/>
          <w:sz w:val="22"/>
          <w:szCs w:val="22"/>
        </w:rPr>
        <w:t>n terms of internal coherence of GP3 within UNDP, the evaluators found considerable ambiguity in</w:t>
      </w:r>
      <w:r w:rsidR="00E918E0" w:rsidRPr="00D27FDF">
        <w:rPr>
          <w:rFonts w:ascii="Arial" w:hAnsi="Arial" w:cs="Arial"/>
          <w:sz w:val="22"/>
          <w:szCs w:val="22"/>
        </w:rPr>
        <w:t xml:space="preserve"> </w:t>
      </w:r>
      <w:r w:rsidR="00B86004" w:rsidRPr="00D27FDF">
        <w:rPr>
          <w:rFonts w:ascii="Arial" w:hAnsi="Arial" w:cs="Arial"/>
          <w:sz w:val="22"/>
          <w:szCs w:val="22"/>
        </w:rPr>
        <w:t xml:space="preserve">attempting to distinguish the </w:t>
      </w:r>
      <w:r w:rsidR="00D43BF9" w:rsidRPr="00D27FDF">
        <w:rPr>
          <w:rFonts w:ascii="Arial" w:hAnsi="Arial" w:cs="Arial"/>
          <w:sz w:val="22"/>
          <w:szCs w:val="22"/>
        </w:rPr>
        <w:t xml:space="preserve">GP’s </w:t>
      </w:r>
      <w:r w:rsidR="00B86004" w:rsidRPr="00D27FDF">
        <w:rPr>
          <w:rFonts w:ascii="Arial" w:hAnsi="Arial" w:cs="Arial"/>
          <w:sz w:val="22"/>
          <w:szCs w:val="22"/>
        </w:rPr>
        <w:t xml:space="preserve">work </w:t>
      </w:r>
      <w:r w:rsidR="00D43BF9" w:rsidRPr="00D27FDF">
        <w:rPr>
          <w:rFonts w:ascii="Arial" w:hAnsi="Arial" w:cs="Arial"/>
          <w:sz w:val="22"/>
          <w:szCs w:val="22"/>
        </w:rPr>
        <w:t>from</w:t>
      </w:r>
      <w:r w:rsidR="00E918E0" w:rsidRPr="00D27FDF">
        <w:rPr>
          <w:rFonts w:ascii="Arial" w:hAnsi="Arial" w:cs="Arial"/>
          <w:sz w:val="22"/>
          <w:szCs w:val="22"/>
        </w:rPr>
        <w:t xml:space="preserve"> the wider work of </w:t>
      </w:r>
      <w:r w:rsidR="00B86004" w:rsidRPr="00D27FDF">
        <w:rPr>
          <w:rFonts w:ascii="Arial" w:hAnsi="Arial" w:cs="Arial"/>
          <w:sz w:val="22"/>
          <w:szCs w:val="22"/>
        </w:rPr>
        <w:t xml:space="preserve">the </w:t>
      </w:r>
      <w:r w:rsidR="00E918E0" w:rsidRPr="00D27FDF">
        <w:rPr>
          <w:rFonts w:ascii="Arial" w:hAnsi="Arial" w:cs="Arial"/>
          <w:sz w:val="22"/>
          <w:szCs w:val="22"/>
        </w:rPr>
        <w:t>UNDP ROLSHR team</w:t>
      </w:r>
      <w:r w:rsidR="00B86004" w:rsidRPr="00D27FDF">
        <w:rPr>
          <w:rFonts w:ascii="Arial" w:hAnsi="Arial" w:cs="Arial"/>
          <w:sz w:val="22"/>
          <w:szCs w:val="22"/>
        </w:rPr>
        <w:t>, in which the GP resides.</w:t>
      </w:r>
      <w:r w:rsidR="00E918E0" w:rsidRPr="00D27FDF">
        <w:rPr>
          <w:rFonts w:ascii="Arial" w:hAnsi="Arial" w:cs="Arial"/>
          <w:sz w:val="22"/>
          <w:szCs w:val="22"/>
        </w:rPr>
        <w:t xml:space="preserve"> </w:t>
      </w:r>
      <w:r w:rsidR="008E0549" w:rsidRPr="00D27FDF">
        <w:rPr>
          <w:rFonts w:ascii="Arial" w:hAnsi="Arial" w:cs="Arial"/>
          <w:sz w:val="22"/>
          <w:szCs w:val="22"/>
        </w:rPr>
        <w:t>(This issue as it relates to GP</w:t>
      </w:r>
      <w:r w:rsidR="00ED6293" w:rsidRPr="00D27FDF">
        <w:rPr>
          <w:rFonts w:ascii="Arial" w:hAnsi="Arial" w:cs="Arial"/>
          <w:sz w:val="22"/>
          <w:szCs w:val="22"/>
        </w:rPr>
        <w:t>/UNDP</w:t>
      </w:r>
      <w:r w:rsidR="008E0549" w:rsidRPr="00D27FDF">
        <w:rPr>
          <w:rFonts w:ascii="Arial" w:hAnsi="Arial" w:cs="Arial"/>
          <w:sz w:val="22"/>
          <w:szCs w:val="22"/>
        </w:rPr>
        <w:t xml:space="preserve"> </w:t>
      </w:r>
      <w:r w:rsidR="00ED6293" w:rsidRPr="00D27FDF">
        <w:rPr>
          <w:rFonts w:ascii="Arial" w:hAnsi="Arial" w:cs="Arial"/>
          <w:sz w:val="22"/>
          <w:szCs w:val="22"/>
        </w:rPr>
        <w:t xml:space="preserve">monitoring and </w:t>
      </w:r>
      <w:r w:rsidR="008E0549" w:rsidRPr="00D27FDF">
        <w:rPr>
          <w:rFonts w:ascii="Arial" w:hAnsi="Arial" w:cs="Arial"/>
          <w:sz w:val="22"/>
          <w:szCs w:val="22"/>
        </w:rPr>
        <w:t xml:space="preserve">reporting is further </w:t>
      </w:r>
      <w:r w:rsidR="008E0549" w:rsidRPr="00B37446">
        <w:rPr>
          <w:rFonts w:ascii="Arial" w:hAnsi="Arial" w:cs="Arial"/>
          <w:sz w:val="22"/>
          <w:szCs w:val="22"/>
        </w:rPr>
        <w:t xml:space="preserve">discussed in </w:t>
      </w:r>
      <w:r w:rsidR="00B37446" w:rsidRPr="00B37446">
        <w:rPr>
          <w:rFonts w:ascii="Arial" w:hAnsi="Arial" w:cs="Arial"/>
          <w:i/>
          <w:iCs/>
          <w:color w:val="2B579A"/>
          <w:sz w:val="22"/>
          <w:szCs w:val="22"/>
          <w:highlight w:val="yellow"/>
          <w:shd w:val="clear" w:color="auto" w:fill="E6E6E6"/>
        </w:rPr>
        <w:fldChar w:fldCharType="begin"/>
      </w:r>
      <w:r w:rsidR="00B37446" w:rsidRPr="00B37446">
        <w:rPr>
          <w:rFonts w:ascii="Arial" w:hAnsi="Arial" w:cs="Arial"/>
          <w:i/>
          <w:iCs/>
          <w:sz w:val="22"/>
          <w:szCs w:val="22"/>
        </w:rPr>
        <w:instrText xml:space="preserve"> REF _Ref70154084 \h </w:instrText>
      </w:r>
      <w:r w:rsidR="00B37446" w:rsidRPr="00B37446">
        <w:rPr>
          <w:rFonts w:ascii="Arial" w:hAnsi="Arial" w:cs="Arial"/>
          <w:i/>
          <w:iCs/>
          <w:sz w:val="22"/>
          <w:szCs w:val="22"/>
          <w:highlight w:val="yellow"/>
        </w:rPr>
        <w:instrText xml:space="preserve"> \* MERGEFORMAT </w:instrText>
      </w:r>
      <w:r w:rsidR="00B37446" w:rsidRPr="00B37446">
        <w:rPr>
          <w:rFonts w:ascii="Arial" w:hAnsi="Arial" w:cs="Arial"/>
          <w:i/>
          <w:iCs/>
          <w:color w:val="2B579A"/>
          <w:sz w:val="22"/>
          <w:szCs w:val="22"/>
          <w:highlight w:val="yellow"/>
          <w:shd w:val="clear" w:color="auto" w:fill="E6E6E6"/>
        </w:rPr>
      </w:r>
      <w:r w:rsidR="00B37446" w:rsidRPr="00B37446">
        <w:rPr>
          <w:rFonts w:ascii="Arial" w:hAnsi="Arial" w:cs="Arial"/>
          <w:i/>
          <w:iCs/>
          <w:color w:val="2B579A"/>
          <w:sz w:val="22"/>
          <w:szCs w:val="22"/>
          <w:highlight w:val="yellow"/>
          <w:shd w:val="clear" w:color="auto" w:fill="E6E6E6"/>
        </w:rPr>
        <w:fldChar w:fldCharType="separate"/>
      </w:r>
      <w:r w:rsidR="00036841" w:rsidRPr="00036841">
        <w:rPr>
          <w:rFonts w:ascii="Arial" w:hAnsi="Arial" w:cs="Arial"/>
          <w:i/>
          <w:iCs/>
          <w:sz w:val="22"/>
          <w:szCs w:val="22"/>
          <w:lang w:val="en-US" w:eastAsia="de-DE"/>
        </w:rPr>
        <w:t>Annex 3</w:t>
      </w:r>
      <w:r w:rsidR="00036841">
        <w:rPr>
          <w:lang w:val="en-US" w:eastAsia="de-DE"/>
        </w:rPr>
        <w:t>: Analysis of Results-Based Management</w:t>
      </w:r>
      <w:r w:rsidR="00B37446" w:rsidRPr="00B37446">
        <w:rPr>
          <w:rFonts w:ascii="Arial" w:hAnsi="Arial" w:cs="Arial"/>
          <w:i/>
          <w:iCs/>
          <w:color w:val="2B579A"/>
          <w:sz w:val="22"/>
          <w:szCs w:val="22"/>
          <w:highlight w:val="yellow"/>
          <w:shd w:val="clear" w:color="auto" w:fill="E6E6E6"/>
        </w:rPr>
        <w:fldChar w:fldCharType="end"/>
      </w:r>
      <w:r w:rsidR="008E0549" w:rsidRPr="00B37446">
        <w:rPr>
          <w:rFonts w:ascii="Arial" w:hAnsi="Arial" w:cs="Arial"/>
          <w:sz w:val="22"/>
          <w:szCs w:val="22"/>
        </w:rPr>
        <w:t xml:space="preserve">.) Although this integration </w:t>
      </w:r>
      <w:r w:rsidR="00ED6293" w:rsidRPr="00B37446">
        <w:rPr>
          <w:rFonts w:ascii="Arial" w:hAnsi="Arial" w:cs="Arial"/>
          <w:sz w:val="22"/>
          <w:szCs w:val="22"/>
        </w:rPr>
        <w:t>means that</w:t>
      </w:r>
      <w:r w:rsidR="008E0549" w:rsidRPr="00B37446">
        <w:rPr>
          <w:rFonts w:ascii="Arial" w:hAnsi="Arial" w:cs="Arial"/>
          <w:sz w:val="22"/>
          <w:szCs w:val="22"/>
        </w:rPr>
        <w:t xml:space="preserve"> GP is not operating in a separate silo,</w:t>
      </w:r>
      <w:r w:rsidR="002940AE" w:rsidRPr="00B37446">
        <w:rPr>
          <w:rFonts w:ascii="Arial" w:hAnsi="Arial" w:cs="Arial"/>
          <w:sz w:val="22"/>
          <w:szCs w:val="22"/>
        </w:rPr>
        <w:t xml:space="preserve"> which is a plus,</w:t>
      </w:r>
      <w:r w:rsidR="008E0549" w:rsidRPr="00B37446">
        <w:rPr>
          <w:rFonts w:ascii="Arial" w:hAnsi="Arial" w:cs="Arial"/>
          <w:sz w:val="22"/>
          <w:szCs w:val="22"/>
        </w:rPr>
        <w:t xml:space="preserve"> informants</w:t>
      </w:r>
      <w:r w:rsidR="008E0549" w:rsidRPr="00D27FDF">
        <w:rPr>
          <w:rFonts w:ascii="Arial" w:hAnsi="Arial" w:cs="Arial"/>
          <w:sz w:val="22"/>
          <w:szCs w:val="22"/>
        </w:rPr>
        <w:t xml:space="preserve"> raised concerns about lack of clarity in division of responsibilities—especially in relation to how the ROLSHR team responds to needs and opportunities arising in contexts that are </w:t>
      </w:r>
      <w:r w:rsidR="00B70D09" w:rsidRPr="00B70D09">
        <w:rPr>
          <w:rFonts w:ascii="Arial" w:hAnsi="Arial" w:cs="Arial"/>
          <w:sz w:val="22"/>
          <w:szCs w:val="22"/>
          <w:u w:val="single"/>
        </w:rPr>
        <w:t>not</w:t>
      </w:r>
      <w:r w:rsidR="008E0549" w:rsidRPr="00D27FDF">
        <w:rPr>
          <w:rFonts w:ascii="Arial" w:hAnsi="Arial" w:cs="Arial"/>
          <w:sz w:val="22"/>
          <w:szCs w:val="22"/>
        </w:rPr>
        <w:t xml:space="preserve"> classified as fragile or crisis-affected. </w:t>
      </w:r>
      <w:r w:rsidR="00ED6293" w:rsidRPr="00D27FDF">
        <w:rPr>
          <w:rFonts w:ascii="Arial" w:hAnsi="Arial" w:cs="Arial"/>
          <w:sz w:val="22"/>
          <w:szCs w:val="22"/>
        </w:rPr>
        <w:t xml:space="preserve">It was felt that procedures and communications could be improved to ensure stakeholders understand exactly what the GP can offer and to whom, and to systematically refer countries not qualified for GP support to other more suitable programmes or entities. </w:t>
      </w:r>
    </w:p>
    <w:p w14:paraId="40031855" w14:textId="34CCB2F2" w:rsidR="00E918E0" w:rsidRPr="00D27FDF" w:rsidRDefault="00D43BF9" w:rsidP="00E80114">
      <w:pPr>
        <w:spacing w:line="240" w:lineRule="auto"/>
        <w:rPr>
          <w:rFonts w:ascii="Arial" w:hAnsi="Arial" w:cs="Arial"/>
          <w:sz w:val="22"/>
          <w:szCs w:val="22"/>
        </w:rPr>
      </w:pPr>
      <w:r w:rsidRPr="00D27FDF">
        <w:rPr>
          <w:rFonts w:ascii="Arial" w:hAnsi="Arial" w:cs="Arial"/>
          <w:sz w:val="22"/>
          <w:szCs w:val="22"/>
        </w:rPr>
        <w:t xml:space="preserve">There </w:t>
      </w:r>
      <w:r w:rsidR="00B84E88" w:rsidRPr="00D27FDF">
        <w:rPr>
          <w:rFonts w:ascii="Arial" w:hAnsi="Arial" w:cs="Arial"/>
          <w:sz w:val="22"/>
          <w:szCs w:val="22"/>
        </w:rPr>
        <w:t>appears to be no</w:t>
      </w:r>
      <w:r w:rsidRPr="00D27FDF">
        <w:rPr>
          <w:rFonts w:ascii="Arial" w:hAnsi="Arial" w:cs="Arial"/>
          <w:sz w:val="22"/>
          <w:szCs w:val="22"/>
        </w:rPr>
        <w:t xml:space="preserve"> overarching </w:t>
      </w:r>
      <w:r w:rsidR="00B86004" w:rsidRPr="00D27FDF">
        <w:rPr>
          <w:rFonts w:ascii="Arial" w:hAnsi="Arial" w:cs="Arial"/>
          <w:sz w:val="22"/>
          <w:szCs w:val="22"/>
        </w:rPr>
        <w:t xml:space="preserve">Theory of Change </w:t>
      </w:r>
      <w:r w:rsidRPr="00D27FDF">
        <w:rPr>
          <w:rFonts w:ascii="Arial" w:hAnsi="Arial" w:cs="Arial"/>
          <w:sz w:val="22"/>
          <w:szCs w:val="22"/>
        </w:rPr>
        <w:t xml:space="preserve">or other conceptual framework that </w:t>
      </w:r>
      <w:r w:rsidR="00B86004" w:rsidRPr="00D27FDF">
        <w:rPr>
          <w:rFonts w:ascii="Arial" w:hAnsi="Arial" w:cs="Arial"/>
          <w:sz w:val="22"/>
          <w:szCs w:val="22"/>
        </w:rPr>
        <w:t>demonstrate</w:t>
      </w:r>
      <w:r w:rsidR="00004D5A" w:rsidRPr="00D27FDF">
        <w:rPr>
          <w:rFonts w:ascii="Arial" w:hAnsi="Arial" w:cs="Arial"/>
          <w:sz w:val="22"/>
          <w:szCs w:val="22"/>
        </w:rPr>
        <w:t>s</w:t>
      </w:r>
      <w:r w:rsidR="00B86004" w:rsidRPr="00D27FDF">
        <w:rPr>
          <w:rFonts w:ascii="Arial" w:hAnsi="Arial" w:cs="Arial"/>
          <w:sz w:val="22"/>
          <w:szCs w:val="22"/>
        </w:rPr>
        <w:t xml:space="preserve"> the interconnections and complementarities</w:t>
      </w:r>
      <w:r w:rsidR="00B84E88" w:rsidRPr="00D27FDF">
        <w:rPr>
          <w:rFonts w:ascii="Arial" w:hAnsi="Arial" w:cs="Arial"/>
          <w:sz w:val="22"/>
          <w:szCs w:val="22"/>
        </w:rPr>
        <w:t xml:space="preserve"> between GP and non-GP </w:t>
      </w:r>
      <w:r w:rsidR="00994D77" w:rsidRPr="00D27FDF">
        <w:rPr>
          <w:rFonts w:ascii="Arial" w:hAnsi="Arial" w:cs="Arial"/>
          <w:sz w:val="22"/>
          <w:szCs w:val="22"/>
        </w:rPr>
        <w:t>ROLSH</w:t>
      </w:r>
      <w:r w:rsidR="00A01748" w:rsidRPr="00D27FDF">
        <w:rPr>
          <w:rFonts w:ascii="Arial" w:hAnsi="Arial" w:cs="Arial"/>
          <w:sz w:val="22"/>
          <w:szCs w:val="22"/>
        </w:rPr>
        <w:t>R</w:t>
      </w:r>
      <w:r w:rsidR="00994D77" w:rsidRPr="00D27FDF">
        <w:rPr>
          <w:rFonts w:ascii="Arial" w:hAnsi="Arial" w:cs="Arial"/>
          <w:sz w:val="22"/>
          <w:szCs w:val="22"/>
        </w:rPr>
        <w:t xml:space="preserve"> </w:t>
      </w:r>
      <w:r w:rsidR="00B84E88" w:rsidRPr="00D27FDF">
        <w:rPr>
          <w:rFonts w:ascii="Arial" w:hAnsi="Arial" w:cs="Arial"/>
          <w:sz w:val="22"/>
          <w:szCs w:val="22"/>
        </w:rPr>
        <w:t>programming</w:t>
      </w:r>
      <w:r w:rsidR="00B86004" w:rsidRPr="00D27FDF">
        <w:rPr>
          <w:rFonts w:ascii="Arial" w:hAnsi="Arial" w:cs="Arial"/>
          <w:sz w:val="22"/>
          <w:szCs w:val="22"/>
        </w:rPr>
        <w:t xml:space="preserve"> and </w:t>
      </w:r>
      <w:r w:rsidRPr="00D27FDF">
        <w:rPr>
          <w:rFonts w:ascii="Arial" w:hAnsi="Arial" w:cs="Arial"/>
          <w:sz w:val="22"/>
          <w:szCs w:val="22"/>
        </w:rPr>
        <w:t>describe</w:t>
      </w:r>
      <w:r w:rsidR="00004D5A" w:rsidRPr="00D27FDF">
        <w:rPr>
          <w:rFonts w:ascii="Arial" w:hAnsi="Arial" w:cs="Arial"/>
          <w:sz w:val="22"/>
          <w:szCs w:val="22"/>
        </w:rPr>
        <w:t>s</w:t>
      </w:r>
      <w:r w:rsidR="00B86004" w:rsidRPr="00D27FDF">
        <w:rPr>
          <w:rFonts w:ascii="Arial" w:hAnsi="Arial" w:cs="Arial"/>
          <w:sz w:val="22"/>
          <w:szCs w:val="22"/>
        </w:rPr>
        <w:t xml:space="preserve"> the differences of their mandates and targeted contexts. Although the organigramme for the ROLSHR team shows several staff as assigned entirely to the GP, in reality the picture is complex, as individuals across the team contribute significantly to the GP in diverse ways</w:t>
      </w:r>
      <w:r w:rsidR="005477EF" w:rsidRPr="00D27FDF">
        <w:rPr>
          <w:rFonts w:ascii="Arial" w:hAnsi="Arial" w:cs="Arial"/>
          <w:sz w:val="22"/>
          <w:szCs w:val="22"/>
        </w:rPr>
        <w:t xml:space="preserve"> as part of their wider duties, operating either </w:t>
      </w:r>
      <w:r w:rsidR="00994D77" w:rsidRPr="00D27FDF">
        <w:rPr>
          <w:rFonts w:ascii="Arial" w:hAnsi="Arial" w:cs="Arial"/>
          <w:sz w:val="22"/>
          <w:szCs w:val="22"/>
        </w:rPr>
        <w:t>at</w:t>
      </w:r>
      <w:r w:rsidR="005477EF" w:rsidRPr="00D27FDF">
        <w:rPr>
          <w:rFonts w:ascii="Arial" w:hAnsi="Arial" w:cs="Arial"/>
          <w:sz w:val="22"/>
          <w:szCs w:val="22"/>
        </w:rPr>
        <w:t xml:space="preserve"> HQ or </w:t>
      </w:r>
      <w:r w:rsidR="00994D77" w:rsidRPr="00D27FDF">
        <w:rPr>
          <w:rFonts w:ascii="Arial" w:hAnsi="Arial" w:cs="Arial"/>
          <w:sz w:val="22"/>
          <w:szCs w:val="22"/>
        </w:rPr>
        <w:t>from</w:t>
      </w:r>
      <w:r w:rsidR="005477EF" w:rsidRPr="00D27FDF">
        <w:rPr>
          <w:rFonts w:ascii="Arial" w:hAnsi="Arial" w:cs="Arial"/>
          <w:sz w:val="22"/>
          <w:szCs w:val="22"/>
        </w:rPr>
        <w:t xml:space="preserve"> regional hubs/offices</w:t>
      </w:r>
      <w:r w:rsidR="00B86004" w:rsidRPr="00D27FDF">
        <w:rPr>
          <w:rFonts w:ascii="Arial" w:hAnsi="Arial" w:cs="Arial"/>
          <w:sz w:val="22"/>
          <w:szCs w:val="22"/>
        </w:rPr>
        <w:t xml:space="preserve">. </w:t>
      </w:r>
    </w:p>
    <w:p w14:paraId="0EC3CD3B" w14:textId="48ABD30A" w:rsidR="000366AF" w:rsidRPr="00D27FDF" w:rsidRDefault="00D27FDF" w:rsidP="00E80114">
      <w:pPr>
        <w:spacing w:line="240" w:lineRule="auto"/>
        <w:rPr>
          <w:rFonts w:ascii="Arial" w:hAnsi="Arial" w:cs="Arial"/>
          <w:sz w:val="22"/>
          <w:szCs w:val="22"/>
        </w:rPr>
      </w:pPr>
      <w:r w:rsidRPr="00D27FDF">
        <w:rPr>
          <w:rFonts w:ascii="Arial" w:hAnsi="Arial" w:cs="Arial"/>
          <w:sz w:val="22"/>
          <w:szCs w:val="22"/>
        </w:rPr>
        <w:t xml:space="preserve">With respect to </w:t>
      </w:r>
      <w:r w:rsidR="002404A4" w:rsidRPr="00D27FDF">
        <w:rPr>
          <w:rFonts w:ascii="Arial" w:hAnsi="Arial" w:cs="Arial"/>
          <w:sz w:val="22"/>
          <w:szCs w:val="22"/>
        </w:rPr>
        <w:t xml:space="preserve">the GFP, it is </w:t>
      </w:r>
      <w:r w:rsidR="00383CF0">
        <w:rPr>
          <w:rFonts w:ascii="Arial" w:hAnsi="Arial" w:cs="Arial"/>
          <w:sz w:val="22"/>
          <w:szCs w:val="22"/>
        </w:rPr>
        <w:t>generally seen</w:t>
      </w:r>
      <w:r w:rsidR="002404A4" w:rsidRPr="00D27FDF">
        <w:rPr>
          <w:rFonts w:ascii="Arial" w:hAnsi="Arial" w:cs="Arial"/>
          <w:sz w:val="22"/>
          <w:szCs w:val="22"/>
        </w:rPr>
        <w:t xml:space="preserve"> as an important mechanism for connecting the GP with other key actors in the sector and advancing coherence among them.</w:t>
      </w:r>
      <w:r w:rsidR="00643A27">
        <w:rPr>
          <w:rFonts w:ascii="Arial" w:hAnsi="Arial" w:cs="Arial"/>
          <w:sz w:val="22"/>
          <w:szCs w:val="22"/>
        </w:rPr>
        <w:t xml:space="preserve"> </w:t>
      </w:r>
      <w:r w:rsidR="002404A4" w:rsidRPr="00D27FDF">
        <w:rPr>
          <w:rFonts w:ascii="Arial" w:hAnsi="Arial" w:cs="Arial"/>
          <w:sz w:val="22"/>
          <w:szCs w:val="22"/>
        </w:rPr>
        <w:t xml:space="preserve">While informants expressed </w:t>
      </w:r>
      <w:r w:rsidR="005E2E61" w:rsidRPr="00D27FDF">
        <w:rPr>
          <w:rFonts w:ascii="Arial" w:hAnsi="Arial" w:cs="Arial"/>
          <w:sz w:val="22"/>
          <w:szCs w:val="22"/>
        </w:rPr>
        <w:t xml:space="preserve">mixed </w:t>
      </w:r>
      <w:r w:rsidR="002404A4" w:rsidRPr="00D27FDF">
        <w:rPr>
          <w:rFonts w:ascii="Arial" w:hAnsi="Arial" w:cs="Arial"/>
          <w:sz w:val="22"/>
          <w:szCs w:val="22"/>
        </w:rPr>
        <w:t>opinions</w:t>
      </w:r>
      <w:r w:rsidR="005E2E61" w:rsidRPr="00D27FDF">
        <w:rPr>
          <w:rFonts w:ascii="Arial" w:hAnsi="Arial" w:cs="Arial"/>
          <w:sz w:val="22"/>
          <w:szCs w:val="22"/>
        </w:rPr>
        <w:t xml:space="preserve"> on </w:t>
      </w:r>
      <w:r w:rsidR="002404A4" w:rsidRPr="00D27FDF">
        <w:rPr>
          <w:rFonts w:ascii="Arial" w:hAnsi="Arial" w:cs="Arial"/>
          <w:sz w:val="22"/>
          <w:szCs w:val="22"/>
        </w:rPr>
        <w:t>the optimal institutional arrangement for the GFP, observ</w:t>
      </w:r>
      <w:r w:rsidR="00383CF0">
        <w:rPr>
          <w:rFonts w:ascii="Arial" w:hAnsi="Arial" w:cs="Arial"/>
          <w:sz w:val="22"/>
          <w:szCs w:val="22"/>
        </w:rPr>
        <w:t>ing</w:t>
      </w:r>
      <w:r w:rsidR="002404A4" w:rsidRPr="00D27FDF">
        <w:rPr>
          <w:rFonts w:ascii="Arial" w:hAnsi="Arial" w:cs="Arial"/>
          <w:sz w:val="22"/>
          <w:szCs w:val="22"/>
        </w:rPr>
        <w:t xml:space="preserve"> both pros and cons of the current setup, overall</w:t>
      </w:r>
      <w:r w:rsidR="005E2E61" w:rsidRPr="00D27FDF">
        <w:rPr>
          <w:rFonts w:ascii="Arial" w:hAnsi="Arial" w:cs="Arial"/>
          <w:sz w:val="22"/>
          <w:szCs w:val="22"/>
        </w:rPr>
        <w:t xml:space="preserve"> </w:t>
      </w:r>
      <w:r w:rsidR="002404A4" w:rsidRPr="00D27FDF">
        <w:rPr>
          <w:rFonts w:ascii="Arial" w:hAnsi="Arial" w:cs="Arial"/>
          <w:sz w:val="22"/>
          <w:szCs w:val="22"/>
        </w:rPr>
        <w:t xml:space="preserve">they </w:t>
      </w:r>
      <w:r w:rsidRPr="00D27FDF">
        <w:rPr>
          <w:rFonts w:ascii="Arial" w:hAnsi="Arial" w:cs="Arial"/>
          <w:sz w:val="22"/>
          <w:szCs w:val="22"/>
        </w:rPr>
        <w:t>saw</w:t>
      </w:r>
      <w:r w:rsidR="002404A4" w:rsidRPr="00D27FDF">
        <w:rPr>
          <w:rFonts w:ascii="Arial" w:hAnsi="Arial" w:cs="Arial"/>
          <w:sz w:val="22"/>
          <w:szCs w:val="22"/>
        </w:rPr>
        <w:t xml:space="preserve"> </w:t>
      </w:r>
      <w:r w:rsidR="00011887" w:rsidRPr="00D27FDF">
        <w:rPr>
          <w:rFonts w:ascii="Arial" w:hAnsi="Arial" w:cs="Arial"/>
          <w:sz w:val="22"/>
          <w:szCs w:val="22"/>
        </w:rPr>
        <w:t xml:space="preserve">the </w:t>
      </w:r>
      <w:r w:rsidR="002404A4" w:rsidRPr="00D27FDF">
        <w:rPr>
          <w:rFonts w:ascii="Arial" w:hAnsi="Arial" w:cs="Arial"/>
          <w:sz w:val="22"/>
          <w:szCs w:val="22"/>
        </w:rPr>
        <w:t xml:space="preserve">GP as an adequate “host” to support </w:t>
      </w:r>
      <w:r w:rsidR="00981230">
        <w:rPr>
          <w:rFonts w:ascii="Arial" w:hAnsi="Arial" w:cs="Arial"/>
          <w:sz w:val="22"/>
          <w:szCs w:val="22"/>
        </w:rPr>
        <w:t xml:space="preserve">the </w:t>
      </w:r>
      <w:r w:rsidR="002404A4" w:rsidRPr="00D27FDF">
        <w:rPr>
          <w:rFonts w:ascii="Arial" w:hAnsi="Arial" w:cs="Arial"/>
          <w:sz w:val="22"/>
          <w:szCs w:val="22"/>
        </w:rPr>
        <w:t>operation</w:t>
      </w:r>
      <w:r w:rsidR="00981230">
        <w:rPr>
          <w:rFonts w:ascii="Arial" w:hAnsi="Arial" w:cs="Arial"/>
          <w:sz w:val="22"/>
          <w:szCs w:val="22"/>
        </w:rPr>
        <w:t>s</w:t>
      </w:r>
      <w:r w:rsidR="002404A4" w:rsidRPr="00D27FDF">
        <w:rPr>
          <w:rFonts w:ascii="Arial" w:hAnsi="Arial" w:cs="Arial"/>
          <w:sz w:val="22"/>
          <w:szCs w:val="22"/>
        </w:rPr>
        <w:t xml:space="preserve"> and funding of GFP, and considered this</w:t>
      </w:r>
      <w:r w:rsidRPr="00D27FDF">
        <w:rPr>
          <w:rFonts w:ascii="Arial" w:hAnsi="Arial" w:cs="Arial"/>
          <w:sz w:val="22"/>
          <w:szCs w:val="22"/>
        </w:rPr>
        <w:t xml:space="preserve"> hosting arrangement</w:t>
      </w:r>
      <w:r w:rsidR="002404A4" w:rsidRPr="00D27FDF">
        <w:rPr>
          <w:rFonts w:ascii="Arial" w:hAnsi="Arial" w:cs="Arial"/>
          <w:sz w:val="22"/>
          <w:szCs w:val="22"/>
        </w:rPr>
        <w:t xml:space="preserve"> as a plus for the Programme</w:t>
      </w:r>
      <w:r w:rsidRPr="00D27FDF">
        <w:rPr>
          <w:rFonts w:ascii="Arial" w:hAnsi="Arial" w:cs="Arial"/>
          <w:sz w:val="22"/>
          <w:szCs w:val="22"/>
        </w:rPr>
        <w:t xml:space="preserve"> itself</w:t>
      </w:r>
      <w:r w:rsidR="002404A4" w:rsidRPr="00D27FDF">
        <w:rPr>
          <w:rFonts w:ascii="Arial" w:hAnsi="Arial" w:cs="Arial"/>
          <w:sz w:val="22"/>
          <w:szCs w:val="22"/>
        </w:rPr>
        <w:t xml:space="preserve">. </w:t>
      </w:r>
      <w:r w:rsidR="000366AF" w:rsidRPr="00D27FDF">
        <w:rPr>
          <w:rFonts w:ascii="Arial" w:hAnsi="Arial" w:cs="Arial"/>
          <w:sz w:val="22"/>
          <w:szCs w:val="22"/>
        </w:rPr>
        <w:t xml:space="preserve">Most </w:t>
      </w:r>
      <w:r w:rsidR="002404A4" w:rsidRPr="00D27FDF">
        <w:rPr>
          <w:rFonts w:ascii="Arial" w:hAnsi="Arial" w:cs="Arial"/>
          <w:sz w:val="22"/>
          <w:szCs w:val="22"/>
        </w:rPr>
        <w:t xml:space="preserve">informants </w:t>
      </w:r>
      <w:r w:rsidR="000366AF" w:rsidRPr="00D27FDF">
        <w:rPr>
          <w:rFonts w:ascii="Arial" w:hAnsi="Arial" w:cs="Arial"/>
          <w:sz w:val="22"/>
          <w:szCs w:val="22"/>
        </w:rPr>
        <w:t xml:space="preserve">at </w:t>
      </w:r>
      <w:r w:rsidR="002404A4" w:rsidRPr="00D27FDF">
        <w:rPr>
          <w:rFonts w:ascii="Arial" w:hAnsi="Arial" w:cs="Arial"/>
          <w:sz w:val="22"/>
          <w:szCs w:val="22"/>
        </w:rPr>
        <w:t>global</w:t>
      </w:r>
      <w:r w:rsidR="000366AF" w:rsidRPr="00D27FDF">
        <w:rPr>
          <w:rFonts w:ascii="Arial" w:hAnsi="Arial" w:cs="Arial"/>
          <w:sz w:val="22"/>
          <w:szCs w:val="22"/>
        </w:rPr>
        <w:t xml:space="preserve"> level view GFP as adding value </w:t>
      </w:r>
      <w:r w:rsidR="002404A4" w:rsidRPr="00D27FDF">
        <w:rPr>
          <w:rFonts w:ascii="Arial" w:hAnsi="Arial" w:cs="Arial"/>
          <w:sz w:val="22"/>
          <w:szCs w:val="22"/>
        </w:rPr>
        <w:t xml:space="preserve">through its efforts </w:t>
      </w:r>
      <w:r w:rsidR="00336D96" w:rsidRPr="00D27FDF">
        <w:rPr>
          <w:rFonts w:ascii="Arial" w:hAnsi="Arial" w:cs="Arial"/>
          <w:sz w:val="22"/>
          <w:szCs w:val="22"/>
        </w:rPr>
        <w:t xml:space="preserve">at HQ level </w:t>
      </w:r>
      <w:r w:rsidR="000366AF" w:rsidRPr="00D27FDF">
        <w:rPr>
          <w:rFonts w:ascii="Arial" w:hAnsi="Arial" w:cs="Arial"/>
          <w:sz w:val="22"/>
          <w:szCs w:val="22"/>
        </w:rPr>
        <w:t xml:space="preserve">to bring together key UN players in </w:t>
      </w:r>
      <w:r w:rsidR="002404A4" w:rsidRPr="00D27FDF">
        <w:rPr>
          <w:rFonts w:ascii="Arial" w:hAnsi="Arial" w:cs="Arial"/>
          <w:sz w:val="22"/>
          <w:szCs w:val="22"/>
        </w:rPr>
        <w:t xml:space="preserve">the ROLSHR </w:t>
      </w:r>
      <w:r w:rsidR="000366AF" w:rsidRPr="00D27FDF">
        <w:rPr>
          <w:rFonts w:ascii="Arial" w:hAnsi="Arial" w:cs="Arial"/>
          <w:sz w:val="22"/>
          <w:szCs w:val="22"/>
        </w:rPr>
        <w:t>sector, especially in relation to peacekeeping and transition contexts</w:t>
      </w:r>
      <w:r w:rsidR="002404A4" w:rsidRPr="00D27FDF">
        <w:rPr>
          <w:rFonts w:ascii="Arial" w:hAnsi="Arial" w:cs="Arial"/>
          <w:sz w:val="22"/>
          <w:szCs w:val="22"/>
        </w:rPr>
        <w:t xml:space="preserve">. They highlighted GFP’s contribution to </w:t>
      </w:r>
      <w:r w:rsidR="000366AF" w:rsidRPr="00D27FDF">
        <w:rPr>
          <w:rFonts w:ascii="Arial" w:hAnsi="Arial" w:cs="Arial"/>
          <w:sz w:val="22"/>
          <w:szCs w:val="22"/>
        </w:rPr>
        <w:t>shift</w:t>
      </w:r>
      <w:r w:rsidR="002404A4" w:rsidRPr="00D27FDF">
        <w:rPr>
          <w:rFonts w:ascii="Arial" w:hAnsi="Arial" w:cs="Arial"/>
          <w:sz w:val="22"/>
          <w:szCs w:val="22"/>
        </w:rPr>
        <w:t>ing the</w:t>
      </w:r>
      <w:r w:rsidR="000366AF" w:rsidRPr="00D27FDF">
        <w:rPr>
          <w:rFonts w:ascii="Arial" w:hAnsi="Arial" w:cs="Arial"/>
          <w:sz w:val="22"/>
          <w:szCs w:val="22"/>
        </w:rPr>
        <w:t xml:space="preserve"> focus </w:t>
      </w:r>
      <w:r w:rsidR="00336D96" w:rsidRPr="00D27FDF">
        <w:rPr>
          <w:rFonts w:ascii="Arial" w:hAnsi="Arial" w:cs="Arial"/>
          <w:sz w:val="22"/>
          <w:szCs w:val="22"/>
        </w:rPr>
        <w:t>for</w:t>
      </w:r>
      <w:r w:rsidR="002404A4" w:rsidRPr="00D27FDF">
        <w:rPr>
          <w:rFonts w:ascii="Arial" w:hAnsi="Arial" w:cs="Arial"/>
          <w:sz w:val="22"/>
          <w:szCs w:val="22"/>
        </w:rPr>
        <w:t xml:space="preserve"> those contexts </w:t>
      </w:r>
      <w:r w:rsidR="000366AF" w:rsidRPr="00D27FDF">
        <w:rPr>
          <w:rFonts w:ascii="Arial" w:hAnsi="Arial" w:cs="Arial"/>
          <w:sz w:val="22"/>
          <w:szCs w:val="22"/>
        </w:rPr>
        <w:t>to longer term</w:t>
      </w:r>
      <w:r w:rsidR="00336D96" w:rsidRPr="00D27FDF">
        <w:rPr>
          <w:rFonts w:ascii="Arial" w:hAnsi="Arial" w:cs="Arial"/>
          <w:sz w:val="22"/>
          <w:szCs w:val="22"/>
        </w:rPr>
        <w:t xml:space="preserve"> planning and</w:t>
      </w:r>
      <w:r w:rsidR="000366AF" w:rsidRPr="00D27FDF">
        <w:rPr>
          <w:rFonts w:ascii="Arial" w:hAnsi="Arial" w:cs="Arial"/>
          <w:sz w:val="22"/>
          <w:szCs w:val="22"/>
        </w:rPr>
        <w:t xml:space="preserve"> intervention</w:t>
      </w:r>
      <w:r w:rsidR="00336D96" w:rsidRPr="00D27FDF">
        <w:rPr>
          <w:rFonts w:ascii="Arial" w:hAnsi="Arial" w:cs="Arial"/>
          <w:sz w:val="22"/>
          <w:szCs w:val="22"/>
        </w:rPr>
        <w:t>s</w:t>
      </w:r>
      <w:r w:rsidR="000366AF" w:rsidRPr="00D27FDF">
        <w:rPr>
          <w:rFonts w:ascii="Arial" w:hAnsi="Arial" w:cs="Arial"/>
          <w:sz w:val="22"/>
          <w:szCs w:val="22"/>
        </w:rPr>
        <w:t xml:space="preserve"> by UNDP</w:t>
      </w:r>
      <w:r w:rsidR="00336D96" w:rsidRPr="00D27FDF">
        <w:rPr>
          <w:rFonts w:ascii="Arial" w:hAnsi="Arial" w:cs="Arial"/>
          <w:sz w:val="22"/>
          <w:szCs w:val="22"/>
        </w:rPr>
        <w:t xml:space="preserve"> and </w:t>
      </w:r>
      <w:r w:rsidR="000366AF" w:rsidRPr="00D27FDF">
        <w:rPr>
          <w:rFonts w:ascii="Arial" w:hAnsi="Arial" w:cs="Arial"/>
          <w:sz w:val="22"/>
          <w:szCs w:val="22"/>
        </w:rPr>
        <w:t>DPO</w:t>
      </w:r>
      <w:r w:rsidR="00994D77" w:rsidRPr="00D27FDF">
        <w:rPr>
          <w:rFonts w:ascii="Arial" w:hAnsi="Arial" w:cs="Arial"/>
          <w:sz w:val="22"/>
          <w:szCs w:val="22"/>
        </w:rPr>
        <w:t xml:space="preserve">, and </w:t>
      </w:r>
      <w:r w:rsidR="00A01748" w:rsidRPr="00D27FDF">
        <w:rPr>
          <w:rFonts w:ascii="Arial" w:hAnsi="Arial" w:cs="Arial"/>
          <w:sz w:val="22"/>
          <w:szCs w:val="22"/>
        </w:rPr>
        <w:t xml:space="preserve">by </w:t>
      </w:r>
      <w:r w:rsidR="00994D77" w:rsidRPr="00D27FDF">
        <w:rPr>
          <w:rFonts w:ascii="Arial" w:hAnsi="Arial" w:cs="Arial"/>
          <w:sz w:val="22"/>
          <w:szCs w:val="22"/>
        </w:rPr>
        <w:t>other GFP partne</w:t>
      </w:r>
      <w:r w:rsidR="00A01748" w:rsidRPr="00D27FDF">
        <w:rPr>
          <w:rFonts w:ascii="Arial" w:hAnsi="Arial" w:cs="Arial"/>
          <w:sz w:val="22"/>
          <w:szCs w:val="22"/>
        </w:rPr>
        <w:t>rs</w:t>
      </w:r>
      <w:r w:rsidR="00E918E0" w:rsidRPr="00D27FDF">
        <w:rPr>
          <w:rFonts w:ascii="Arial" w:hAnsi="Arial" w:cs="Arial"/>
          <w:sz w:val="22"/>
          <w:szCs w:val="22"/>
        </w:rPr>
        <w:t>.</w:t>
      </w:r>
      <w:r w:rsidR="000366AF" w:rsidRPr="00D27FDF">
        <w:rPr>
          <w:rFonts w:ascii="Arial" w:hAnsi="Arial" w:cs="Arial"/>
          <w:sz w:val="22"/>
          <w:szCs w:val="22"/>
        </w:rPr>
        <w:t xml:space="preserve"> </w:t>
      </w:r>
      <w:r w:rsidR="00336D96" w:rsidRPr="00D27FDF">
        <w:rPr>
          <w:rFonts w:ascii="Arial" w:hAnsi="Arial" w:cs="Arial"/>
          <w:sz w:val="22"/>
          <w:szCs w:val="22"/>
        </w:rPr>
        <w:t xml:space="preserve">It is worth noting that some global level interviewees had a weak understanding of the GFP, including its relationship with the GP. </w:t>
      </w:r>
    </w:p>
    <w:p w14:paraId="3C2149F0" w14:textId="3C4B6F07" w:rsidR="00D27FDF" w:rsidRPr="002B0376" w:rsidRDefault="00D27FDF" w:rsidP="00E80114">
      <w:pPr>
        <w:pStyle w:val="NormalWeb"/>
        <w:spacing w:before="0" w:beforeAutospacing="0" w:after="120" w:afterAutospacing="0"/>
        <w:rPr>
          <w:rFonts w:ascii="Arial" w:hAnsi="Arial" w:cs="Arial"/>
          <w:sz w:val="22"/>
          <w:szCs w:val="22"/>
          <w:lang w:val="en-US"/>
        </w:rPr>
      </w:pPr>
      <w:r w:rsidRPr="002B0376">
        <w:rPr>
          <w:rFonts w:ascii="Arial" w:eastAsia="Arial" w:hAnsi="Arial" w:cs="Arial"/>
          <w:color w:val="000000"/>
          <w:sz w:val="22"/>
          <w:szCs w:val="22"/>
          <w:lang w:val="en-US"/>
        </w:rPr>
        <w:t xml:space="preserve">Informants pointed out that reports on implementation of GFP-funded activities have to date followed regular UNDP GP requirements: the reports are prepared by UNDP </w:t>
      </w:r>
      <w:r w:rsidR="00B70D09" w:rsidRPr="002B0376">
        <w:rPr>
          <w:rFonts w:ascii="Arial" w:eastAsia="Arial" w:hAnsi="Arial" w:cs="Arial"/>
          <w:color w:val="000000"/>
          <w:sz w:val="22"/>
          <w:szCs w:val="22"/>
          <w:lang w:val="en-US"/>
        </w:rPr>
        <w:t>CO staff</w:t>
      </w:r>
      <w:r w:rsidRPr="002B0376">
        <w:rPr>
          <w:rFonts w:ascii="Arial" w:eastAsia="Arial" w:hAnsi="Arial" w:cs="Arial"/>
          <w:color w:val="000000"/>
          <w:sz w:val="22"/>
          <w:szCs w:val="22"/>
          <w:lang w:val="en-US"/>
        </w:rPr>
        <w:t xml:space="preserve"> and are generally shared within UNDP only. This was explained as a consequence of GFP essentially being funded by the GP until 2020, because it </w:t>
      </w:r>
      <w:r w:rsidR="00B43CAD" w:rsidRPr="002B0376">
        <w:rPr>
          <w:rFonts w:ascii="Arial" w:eastAsia="Arial" w:hAnsi="Arial" w:cs="Arial"/>
          <w:color w:val="000000"/>
          <w:sz w:val="22"/>
          <w:szCs w:val="22"/>
          <w:lang w:val="en-US"/>
        </w:rPr>
        <w:t>lacked</w:t>
      </w:r>
      <w:r w:rsidRPr="002B0376">
        <w:rPr>
          <w:rFonts w:ascii="Arial" w:eastAsia="Arial" w:hAnsi="Arial" w:cs="Arial"/>
          <w:color w:val="000000"/>
          <w:sz w:val="22"/>
          <w:szCs w:val="22"/>
          <w:lang w:val="en-US"/>
        </w:rPr>
        <w:t xml:space="preserve"> its own resources to allocate to countries. Informants commented that this resulted in the views of other GFP partners not being reflected in the reports, and DPO GFP managers had little visibility of the reporting. </w:t>
      </w:r>
      <w:r w:rsidR="0061527A" w:rsidRPr="002B0376">
        <w:rPr>
          <w:rFonts w:ascii="Arial" w:eastAsia="Arial" w:hAnsi="Arial" w:cs="Arial"/>
          <w:color w:val="000000"/>
          <w:sz w:val="22"/>
          <w:szCs w:val="22"/>
          <w:lang w:val="en-US"/>
        </w:rPr>
        <w:t xml:space="preserve">A distinct </w:t>
      </w:r>
      <w:r w:rsidR="00B43CAD" w:rsidRPr="002B0376">
        <w:rPr>
          <w:rFonts w:ascii="Arial" w:eastAsia="Arial" w:hAnsi="Arial" w:cs="Arial"/>
          <w:color w:val="000000"/>
          <w:sz w:val="22"/>
          <w:szCs w:val="22"/>
          <w:lang w:val="en-US"/>
        </w:rPr>
        <w:t xml:space="preserve">reporting </w:t>
      </w:r>
      <w:r w:rsidR="0061527A" w:rsidRPr="002B0376">
        <w:rPr>
          <w:rFonts w:ascii="Arial" w:eastAsia="Arial" w:hAnsi="Arial" w:cs="Arial"/>
          <w:color w:val="000000"/>
          <w:sz w:val="22"/>
          <w:szCs w:val="22"/>
          <w:lang w:val="en-US"/>
        </w:rPr>
        <w:t xml:space="preserve">practice </w:t>
      </w:r>
      <w:r w:rsidR="00B43CAD" w:rsidRPr="002B0376">
        <w:rPr>
          <w:rFonts w:ascii="Arial" w:eastAsia="Arial" w:hAnsi="Arial" w:cs="Arial"/>
          <w:color w:val="000000"/>
          <w:sz w:val="22"/>
          <w:szCs w:val="22"/>
          <w:lang w:val="en-US"/>
        </w:rPr>
        <w:t>exists</w:t>
      </w:r>
      <w:r w:rsidRPr="002B0376">
        <w:rPr>
          <w:rFonts w:ascii="Arial" w:eastAsia="Arial" w:hAnsi="Arial" w:cs="Arial"/>
          <w:color w:val="000000"/>
          <w:sz w:val="22"/>
          <w:szCs w:val="22"/>
          <w:lang w:val="en-US"/>
        </w:rPr>
        <w:t xml:space="preserve"> </w:t>
      </w:r>
      <w:r w:rsidRPr="002B0376">
        <w:rPr>
          <w:rStyle w:val="cf01"/>
          <w:rFonts w:ascii="Arial" w:hAnsi="Arial" w:cs="Arial"/>
          <w:sz w:val="22"/>
          <w:szCs w:val="22"/>
          <w:lang w:val="en-US"/>
        </w:rPr>
        <w:t xml:space="preserve">in relation to </w:t>
      </w:r>
      <w:r w:rsidR="0061527A" w:rsidRPr="002B0376">
        <w:rPr>
          <w:rStyle w:val="cf01"/>
          <w:rFonts w:ascii="Arial" w:hAnsi="Arial" w:cs="Arial"/>
          <w:sz w:val="22"/>
          <w:szCs w:val="22"/>
          <w:lang w:val="en-US"/>
        </w:rPr>
        <w:t xml:space="preserve">reporting to the GFP’s key donor, the government of the United Kingdom, for whom </w:t>
      </w:r>
      <w:r w:rsidRPr="002B0376">
        <w:rPr>
          <w:rStyle w:val="cf01"/>
          <w:rFonts w:ascii="Arial" w:hAnsi="Arial" w:cs="Arial"/>
          <w:sz w:val="22"/>
          <w:szCs w:val="22"/>
          <w:lang w:val="en-US"/>
        </w:rPr>
        <w:t xml:space="preserve">a separate GFP report </w:t>
      </w:r>
      <w:r w:rsidR="0061527A" w:rsidRPr="002B0376">
        <w:rPr>
          <w:rStyle w:val="cf01"/>
          <w:rFonts w:ascii="Arial" w:hAnsi="Arial" w:cs="Arial"/>
          <w:sz w:val="22"/>
          <w:szCs w:val="22"/>
          <w:lang w:val="en-US"/>
        </w:rPr>
        <w:t>is</w:t>
      </w:r>
      <w:r w:rsidRPr="002B0376">
        <w:rPr>
          <w:rStyle w:val="cf01"/>
          <w:rFonts w:ascii="Arial" w:hAnsi="Arial" w:cs="Arial"/>
          <w:sz w:val="22"/>
          <w:szCs w:val="22"/>
          <w:lang w:val="en-US"/>
        </w:rPr>
        <w:t xml:space="preserve"> prepared that includes inputs from </w:t>
      </w:r>
      <w:r w:rsidR="0061527A" w:rsidRPr="002B0376">
        <w:rPr>
          <w:rStyle w:val="cf01"/>
          <w:rFonts w:ascii="Arial" w:hAnsi="Arial" w:cs="Arial"/>
          <w:sz w:val="22"/>
          <w:szCs w:val="22"/>
          <w:lang w:val="en-US"/>
        </w:rPr>
        <w:t>DPO</w:t>
      </w:r>
      <w:r w:rsidR="00470E82" w:rsidRPr="002B0376">
        <w:rPr>
          <w:rStyle w:val="cf01"/>
          <w:rFonts w:ascii="Arial" w:hAnsi="Arial" w:cs="Arial"/>
          <w:sz w:val="22"/>
          <w:szCs w:val="22"/>
          <w:lang w:val="en-US"/>
        </w:rPr>
        <w:t xml:space="preserve"> (including the </w:t>
      </w:r>
      <w:r w:rsidR="00470E82" w:rsidRPr="002B0376">
        <w:rPr>
          <w:rStyle w:val="Emphasis"/>
          <w:rFonts w:ascii="Arial" w:hAnsi="Arial" w:cs="Arial"/>
          <w:i w:val="0"/>
          <w:iCs w:val="0"/>
          <w:sz w:val="22"/>
          <w:szCs w:val="22"/>
          <w:lang w:val="en-US"/>
        </w:rPr>
        <w:t>Office of Rule of Law and Security Institutions</w:t>
      </w:r>
      <w:r w:rsidR="00470E82" w:rsidRPr="002B0376">
        <w:rPr>
          <w:rStyle w:val="cf01"/>
          <w:rFonts w:ascii="Arial" w:hAnsi="Arial" w:cs="Arial"/>
          <w:sz w:val="22"/>
          <w:szCs w:val="22"/>
          <w:lang w:val="en-US"/>
        </w:rPr>
        <w:t xml:space="preserve">, </w:t>
      </w:r>
      <w:r w:rsidRPr="002B0376">
        <w:rPr>
          <w:rStyle w:val="cf01"/>
          <w:rFonts w:ascii="Arial" w:hAnsi="Arial" w:cs="Arial"/>
          <w:sz w:val="22"/>
          <w:szCs w:val="22"/>
          <w:lang w:val="en-US"/>
        </w:rPr>
        <w:t>OROLSI</w:t>
      </w:r>
      <w:r w:rsidR="00470E82" w:rsidRPr="002B0376">
        <w:rPr>
          <w:rStyle w:val="cf01"/>
          <w:rFonts w:ascii="Arial" w:hAnsi="Arial" w:cs="Arial"/>
          <w:sz w:val="22"/>
          <w:szCs w:val="22"/>
          <w:lang w:val="en-US"/>
        </w:rPr>
        <w:t>)</w:t>
      </w:r>
      <w:r w:rsidRPr="002B0376">
        <w:rPr>
          <w:rStyle w:val="cf01"/>
          <w:rFonts w:ascii="Arial" w:hAnsi="Arial" w:cs="Arial"/>
          <w:sz w:val="22"/>
          <w:szCs w:val="22"/>
          <w:lang w:val="en-US"/>
        </w:rPr>
        <w:t xml:space="preserve"> and</w:t>
      </w:r>
      <w:r w:rsidR="0061527A" w:rsidRPr="002B0376">
        <w:rPr>
          <w:rStyle w:val="cf01"/>
          <w:rFonts w:ascii="Arial" w:hAnsi="Arial" w:cs="Arial"/>
          <w:sz w:val="22"/>
          <w:szCs w:val="22"/>
          <w:lang w:val="en-US"/>
        </w:rPr>
        <w:t xml:space="preserve"> the</w:t>
      </w:r>
      <w:r w:rsidRPr="002B0376">
        <w:rPr>
          <w:rStyle w:val="cf01"/>
          <w:rFonts w:ascii="Arial" w:hAnsi="Arial" w:cs="Arial"/>
          <w:sz w:val="22"/>
          <w:szCs w:val="22"/>
          <w:lang w:val="en-US"/>
        </w:rPr>
        <w:t xml:space="preserve"> field</w:t>
      </w:r>
      <w:r w:rsidR="0061527A" w:rsidRPr="002B0376">
        <w:rPr>
          <w:rStyle w:val="cf01"/>
          <w:rFonts w:ascii="Arial" w:hAnsi="Arial" w:cs="Arial"/>
          <w:sz w:val="22"/>
          <w:szCs w:val="22"/>
          <w:lang w:val="en-US"/>
        </w:rPr>
        <w:t>,</w:t>
      </w:r>
      <w:r w:rsidRPr="002B0376">
        <w:rPr>
          <w:rStyle w:val="cf01"/>
          <w:rFonts w:ascii="Arial" w:hAnsi="Arial" w:cs="Arial"/>
          <w:sz w:val="22"/>
          <w:szCs w:val="22"/>
          <w:lang w:val="en-US"/>
        </w:rPr>
        <w:t xml:space="preserve"> and is cleared by all </w:t>
      </w:r>
      <w:r w:rsidR="0061527A" w:rsidRPr="002B0376">
        <w:rPr>
          <w:rStyle w:val="cf01"/>
          <w:rFonts w:ascii="Arial" w:hAnsi="Arial" w:cs="Arial"/>
          <w:sz w:val="22"/>
          <w:szCs w:val="22"/>
          <w:lang w:val="en-US"/>
        </w:rPr>
        <w:t>GFP</w:t>
      </w:r>
      <w:r w:rsidRPr="002B0376">
        <w:rPr>
          <w:rStyle w:val="cf01"/>
          <w:rFonts w:ascii="Arial" w:hAnsi="Arial" w:cs="Arial"/>
          <w:sz w:val="22"/>
          <w:szCs w:val="22"/>
          <w:lang w:val="en-US"/>
        </w:rPr>
        <w:t xml:space="preserve"> managers</w:t>
      </w:r>
      <w:r w:rsidR="0061527A" w:rsidRPr="002B0376">
        <w:rPr>
          <w:rStyle w:val="cf01"/>
          <w:rFonts w:ascii="Arial" w:hAnsi="Arial" w:cs="Arial"/>
          <w:sz w:val="22"/>
          <w:szCs w:val="22"/>
          <w:lang w:val="en-US"/>
        </w:rPr>
        <w:t xml:space="preserve"> before submission</w:t>
      </w:r>
      <w:r w:rsidRPr="002B0376">
        <w:rPr>
          <w:rStyle w:val="cf01"/>
          <w:rFonts w:ascii="Arial" w:hAnsi="Arial" w:cs="Arial"/>
          <w:sz w:val="22"/>
          <w:szCs w:val="22"/>
          <w:lang w:val="en-US"/>
        </w:rPr>
        <w:t>.</w:t>
      </w:r>
    </w:p>
    <w:p w14:paraId="34201277" w14:textId="0CE97436" w:rsidR="0029366C" w:rsidRDefault="0029366C" w:rsidP="0029366C">
      <w:pPr>
        <w:pStyle w:val="Heading2"/>
      </w:pPr>
      <w:bookmarkStart w:id="19" w:name="_Toc71701889"/>
      <w:r w:rsidRPr="0029366C">
        <w:t xml:space="preserve">Country Level </w:t>
      </w:r>
      <w:r>
        <w:t>Findings</w:t>
      </w:r>
      <w:r w:rsidRPr="0029366C">
        <w:t xml:space="preserve"> on </w:t>
      </w:r>
      <w:r>
        <w:t>Cohere</w:t>
      </w:r>
      <w:r w:rsidRPr="0029366C">
        <w:t>nce</w:t>
      </w:r>
      <w:bookmarkEnd w:id="19"/>
    </w:p>
    <w:p w14:paraId="758BD241" w14:textId="100DF097" w:rsidR="0029366C" w:rsidRPr="007D272B" w:rsidRDefault="0029366C" w:rsidP="0029366C">
      <w:pPr>
        <w:spacing w:after="0" w:line="240" w:lineRule="auto"/>
        <w:jc w:val="both"/>
        <w:rPr>
          <w:rFonts w:ascii="Arial" w:hAnsi="Arial" w:cs="Arial"/>
          <w:i/>
          <w:iCs/>
          <w:color w:val="000000"/>
          <w:sz w:val="22"/>
          <w:szCs w:val="22"/>
          <w:lang w:val="en-US"/>
        </w:rPr>
      </w:pPr>
      <w:r w:rsidRPr="007D272B">
        <w:rPr>
          <w:rFonts w:ascii="Arial" w:hAnsi="Arial" w:cs="Arial"/>
          <w:b/>
          <w:bCs/>
          <w:i/>
          <w:iCs/>
          <w:color w:val="000000"/>
          <w:sz w:val="22"/>
          <w:szCs w:val="22"/>
          <w:lang w:val="en-US"/>
        </w:rPr>
        <w:t>Evaluation Questions:</w:t>
      </w:r>
      <w:r w:rsidRPr="007D272B">
        <w:rPr>
          <w:rFonts w:ascii="Arial" w:hAnsi="Arial" w:cs="Arial"/>
          <w:i/>
          <w:iCs/>
          <w:color w:val="000000"/>
          <w:sz w:val="22"/>
          <w:szCs w:val="22"/>
          <w:lang w:val="en-US"/>
        </w:rPr>
        <w:t xml:space="preserve"> </w:t>
      </w:r>
    </w:p>
    <w:p w14:paraId="426D2079" w14:textId="77777777" w:rsidR="0029366C" w:rsidRPr="007D272B" w:rsidRDefault="0029366C" w:rsidP="00567956">
      <w:pPr>
        <w:pStyle w:val="ListParagraph"/>
        <w:numPr>
          <w:ilvl w:val="0"/>
          <w:numId w:val="14"/>
        </w:numPr>
        <w:jc w:val="both"/>
        <w:rPr>
          <w:rFonts w:ascii="Arial" w:hAnsi="Arial" w:cs="Arial"/>
          <w:i/>
          <w:iCs/>
          <w:color w:val="000000"/>
          <w:sz w:val="22"/>
          <w:szCs w:val="22"/>
          <w:lang w:val="en-US"/>
        </w:rPr>
      </w:pPr>
      <w:r w:rsidRPr="007D272B">
        <w:rPr>
          <w:rFonts w:ascii="Arial" w:hAnsi="Arial" w:cs="Arial"/>
          <w:i/>
          <w:iCs/>
          <w:color w:val="000000"/>
          <w:sz w:val="22"/>
          <w:szCs w:val="22"/>
          <w:lang w:val="en-US"/>
        </w:rPr>
        <w:t>To what extent has GP3 promoted coordination and partnership with national counterparts, donor partners, and across the UN system?</w:t>
      </w:r>
    </w:p>
    <w:p w14:paraId="6F83AB74" w14:textId="10423AFF" w:rsidR="0029366C" w:rsidRPr="007D272B" w:rsidRDefault="0029366C" w:rsidP="00567956">
      <w:pPr>
        <w:pStyle w:val="ListParagraph"/>
        <w:numPr>
          <w:ilvl w:val="0"/>
          <w:numId w:val="14"/>
        </w:numPr>
        <w:spacing w:after="0" w:line="240" w:lineRule="auto"/>
        <w:jc w:val="both"/>
        <w:rPr>
          <w:rFonts w:ascii="Arial" w:eastAsia="Times New Roman" w:hAnsi="Arial" w:cs="Arial"/>
          <w:i/>
          <w:iCs/>
          <w:sz w:val="22"/>
          <w:szCs w:val="22"/>
          <w:lang w:val="en-US"/>
        </w:rPr>
      </w:pPr>
      <w:r w:rsidRPr="007D272B">
        <w:rPr>
          <w:rFonts w:ascii="Arial" w:hAnsi="Arial" w:cs="Arial"/>
          <w:i/>
          <w:iCs/>
          <w:color w:val="000000"/>
          <w:sz w:val="22"/>
          <w:szCs w:val="22"/>
          <w:lang w:val="en-US"/>
        </w:rPr>
        <w:t>To what extent has GP3 support at country level been consistent with UNDP corporate standards of practice (e.g., prioritizing Leave No One Behind</w:t>
      </w:r>
      <w:r w:rsidR="00470E82" w:rsidRPr="007D272B">
        <w:rPr>
          <w:rFonts w:ascii="Arial" w:hAnsi="Arial" w:cs="Arial"/>
          <w:i/>
          <w:iCs/>
          <w:color w:val="000000"/>
          <w:sz w:val="22"/>
          <w:szCs w:val="22"/>
          <w:lang w:val="en-US"/>
        </w:rPr>
        <w:t xml:space="preserve"> (LNOB)</w:t>
      </w:r>
      <w:r w:rsidRPr="007D272B">
        <w:rPr>
          <w:rFonts w:ascii="Arial" w:hAnsi="Arial" w:cs="Arial"/>
          <w:i/>
          <w:iCs/>
          <w:color w:val="000000"/>
          <w:sz w:val="22"/>
          <w:szCs w:val="22"/>
          <w:lang w:val="en-US"/>
        </w:rPr>
        <w:t xml:space="preserve">, </w:t>
      </w:r>
      <w:sdt>
        <w:sdtPr>
          <w:rPr>
            <w:color w:val="2B579A"/>
            <w:sz w:val="22"/>
            <w:szCs w:val="22"/>
            <w:shd w:val="clear" w:color="auto" w:fill="E6E6E6"/>
            <w:lang w:val="en-US"/>
          </w:rPr>
          <w:tag w:val="goog_rdk_136"/>
          <w:id w:val="1853759764"/>
        </w:sdtPr>
        <w:sdtEndPr/>
        <w:sdtContent/>
      </w:sdt>
      <w:r w:rsidRPr="007D272B">
        <w:rPr>
          <w:rFonts w:ascii="Arial" w:hAnsi="Arial" w:cs="Arial"/>
          <w:i/>
          <w:iCs/>
          <w:sz w:val="22"/>
          <w:szCs w:val="22"/>
          <w:lang w:val="en-US"/>
        </w:rPr>
        <w:t xml:space="preserve">people-centered </w:t>
      </w:r>
      <w:r w:rsidRPr="007D272B">
        <w:rPr>
          <w:rFonts w:ascii="Arial" w:hAnsi="Arial" w:cs="Arial"/>
          <w:i/>
          <w:iCs/>
          <w:color w:val="000000"/>
          <w:sz w:val="22"/>
          <w:szCs w:val="22"/>
          <w:lang w:val="en-US"/>
        </w:rPr>
        <w:t>human rights-based, nationally-owned, based on analytical assessment, adapted to country context, gender sensitive and conflict-sensitive, supportive of innovation)?</w:t>
      </w:r>
    </w:p>
    <w:p w14:paraId="3505254F" w14:textId="77777777" w:rsidR="007D6022" w:rsidRDefault="007D6022" w:rsidP="00E80114">
      <w:pPr>
        <w:spacing w:line="240" w:lineRule="auto"/>
        <w:jc w:val="both"/>
        <w:rPr>
          <w:rFonts w:ascii="Arial" w:hAnsi="Arial" w:cs="Arial"/>
          <w:lang w:val="en-US"/>
        </w:rPr>
      </w:pPr>
    </w:p>
    <w:p w14:paraId="713EA763" w14:textId="2BA00FD8" w:rsidR="0029366C" w:rsidRPr="002A6E99" w:rsidRDefault="0029366C" w:rsidP="00E80114">
      <w:pPr>
        <w:spacing w:line="240" w:lineRule="auto"/>
        <w:rPr>
          <w:rFonts w:ascii="Arial" w:hAnsi="Arial" w:cs="Arial"/>
          <w:sz w:val="22"/>
          <w:szCs w:val="22"/>
          <w:lang w:val="en-US"/>
        </w:rPr>
      </w:pPr>
      <w:r w:rsidRPr="002A6E99">
        <w:rPr>
          <w:rFonts w:ascii="Arial" w:hAnsi="Arial" w:cs="Arial"/>
          <w:sz w:val="22"/>
          <w:szCs w:val="22"/>
          <w:lang w:val="en-US"/>
        </w:rPr>
        <w:t>While the case studies have shown evidence that previous tensions or poor coordination among UN entities have been successfully alleviated if not overcome in certain cases, there is also evidence that rivalries (</w:t>
      </w:r>
      <w:r w:rsidR="00470E82">
        <w:rPr>
          <w:rFonts w:ascii="Arial" w:hAnsi="Arial" w:cs="Arial"/>
          <w:sz w:val="22"/>
          <w:szCs w:val="22"/>
          <w:lang w:val="en-US"/>
        </w:rPr>
        <w:t>among</w:t>
      </w:r>
      <w:r w:rsidRPr="002A6E99">
        <w:rPr>
          <w:rFonts w:ascii="Arial" w:hAnsi="Arial" w:cs="Arial"/>
          <w:sz w:val="22"/>
          <w:szCs w:val="22"/>
          <w:lang w:val="en-US"/>
        </w:rPr>
        <w:t xml:space="preserve"> </w:t>
      </w:r>
      <w:r w:rsidR="00470E82">
        <w:rPr>
          <w:rFonts w:ascii="Arial" w:hAnsi="Arial" w:cs="Arial"/>
          <w:sz w:val="22"/>
          <w:szCs w:val="22"/>
          <w:lang w:val="en-US"/>
        </w:rPr>
        <w:t>UN entities</w:t>
      </w:r>
      <w:r w:rsidRPr="002A6E99">
        <w:rPr>
          <w:rFonts w:ascii="Arial" w:hAnsi="Arial" w:cs="Arial"/>
          <w:sz w:val="22"/>
          <w:szCs w:val="22"/>
          <w:lang w:val="en-US"/>
        </w:rPr>
        <w:t xml:space="preserve">, in particular UNDP and the Mission, </w:t>
      </w:r>
      <w:r w:rsidR="00470E82">
        <w:rPr>
          <w:rFonts w:ascii="Arial" w:hAnsi="Arial" w:cs="Arial"/>
          <w:sz w:val="22"/>
          <w:szCs w:val="22"/>
          <w:lang w:val="en-US"/>
        </w:rPr>
        <w:t xml:space="preserve">and </w:t>
      </w:r>
      <w:r w:rsidRPr="002A6E99">
        <w:rPr>
          <w:rFonts w:ascii="Arial" w:hAnsi="Arial" w:cs="Arial"/>
          <w:sz w:val="22"/>
          <w:szCs w:val="22"/>
          <w:lang w:val="en-US"/>
        </w:rPr>
        <w:t xml:space="preserve">between UNDP and the de-linked RCO) persist at various levels in </w:t>
      </w:r>
      <w:r w:rsidR="00AE4EF3">
        <w:rPr>
          <w:rFonts w:ascii="Arial" w:hAnsi="Arial" w:cs="Arial"/>
          <w:sz w:val="22"/>
          <w:szCs w:val="22"/>
          <w:lang w:val="en-US"/>
        </w:rPr>
        <w:t>some</w:t>
      </w:r>
      <w:r w:rsidRPr="002A6E99">
        <w:rPr>
          <w:rFonts w:ascii="Arial" w:hAnsi="Arial" w:cs="Arial"/>
          <w:sz w:val="22"/>
          <w:szCs w:val="22"/>
          <w:lang w:val="en-US"/>
        </w:rPr>
        <w:t xml:space="preserve"> countries. It </w:t>
      </w:r>
      <w:r w:rsidR="00AE4EF3">
        <w:rPr>
          <w:rFonts w:ascii="Arial" w:hAnsi="Arial" w:cs="Arial"/>
          <w:sz w:val="22"/>
          <w:szCs w:val="22"/>
          <w:lang w:val="en-US"/>
        </w:rPr>
        <w:t>was reported</w:t>
      </w:r>
      <w:r w:rsidRPr="002A6E99">
        <w:rPr>
          <w:rFonts w:ascii="Arial" w:hAnsi="Arial" w:cs="Arial"/>
          <w:sz w:val="22"/>
          <w:szCs w:val="22"/>
          <w:lang w:val="en-US"/>
        </w:rPr>
        <w:t xml:space="preserve"> that especially in non-mission settings, the de-linking of the Resident Coordinator and Resident Representative functions </w:t>
      </w:r>
      <w:r w:rsidRPr="002A6E99">
        <w:rPr>
          <w:rStyle w:val="FootnoteReference"/>
          <w:rFonts w:ascii="Arial" w:hAnsi="Arial" w:cs="Arial"/>
          <w:sz w:val="22"/>
          <w:szCs w:val="22"/>
          <w:lang w:val="en-US"/>
        </w:rPr>
        <w:footnoteReference w:id="11"/>
      </w:r>
      <w:r w:rsidRPr="002A6E99">
        <w:rPr>
          <w:rFonts w:ascii="Arial" w:hAnsi="Arial" w:cs="Arial"/>
          <w:sz w:val="22"/>
          <w:szCs w:val="22"/>
          <w:lang w:val="en-US"/>
        </w:rPr>
        <w:t xml:space="preserve"> together with the introduction/expansion of “system-wide service provision”</w:t>
      </w:r>
      <w:r w:rsidRPr="002A6E99">
        <w:rPr>
          <w:rStyle w:val="FootnoteReference"/>
          <w:rFonts w:ascii="Arial" w:hAnsi="Arial" w:cs="Arial"/>
          <w:sz w:val="22"/>
          <w:szCs w:val="22"/>
          <w:lang w:val="en-US"/>
        </w:rPr>
        <w:footnoteReference w:id="12"/>
      </w:r>
      <w:r w:rsidRPr="002A6E99">
        <w:rPr>
          <w:rFonts w:ascii="Arial" w:hAnsi="Arial" w:cs="Arial"/>
          <w:sz w:val="22"/>
          <w:szCs w:val="22"/>
          <w:lang w:val="en-US"/>
        </w:rPr>
        <w:t xml:space="preserve"> has added layers of complexity. Also, UN system interoperability issues have been seen to negatively affect RoL implementation, especially in Mission settings. </w:t>
      </w:r>
      <w:r w:rsidR="00E74333" w:rsidRPr="00E74333">
        <w:rPr>
          <w:rFonts w:ascii="Arial" w:hAnsi="Arial" w:cs="Arial"/>
          <w:sz w:val="22"/>
          <w:szCs w:val="22"/>
          <w:lang w:val="en-US"/>
        </w:rPr>
        <w:t xml:space="preserve">As further explained in Annex 7, the administrative and support systems across the Organization (in particular, between UNDP and UN Missions) are not compatible, and personnel contracted by one UN entity do not have access to the systems of others. In one </w:t>
      </w:r>
      <w:r w:rsidR="00E74333">
        <w:rPr>
          <w:rFonts w:ascii="Arial" w:hAnsi="Arial" w:cs="Arial"/>
          <w:sz w:val="22"/>
          <w:szCs w:val="22"/>
          <w:lang w:val="en-US"/>
        </w:rPr>
        <w:t>example</w:t>
      </w:r>
      <w:r w:rsidR="00E74333" w:rsidRPr="00E74333">
        <w:rPr>
          <w:rFonts w:ascii="Arial" w:hAnsi="Arial" w:cs="Arial"/>
          <w:sz w:val="22"/>
          <w:szCs w:val="22"/>
          <w:lang w:val="en-US"/>
        </w:rPr>
        <w:t>, a staff mobilized via the DPO stand-by facility in Brindisi (Italy) as interim ROL CTA was seriously hampered in her work since she lack</w:t>
      </w:r>
      <w:r w:rsidR="00E74333">
        <w:rPr>
          <w:rFonts w:ascii="Arial" w:hAnsi="Arial" w:cs="Arial"/>
          <w:sz w:val="22"/>
          <w:szCs w:val="22"/>
          <w:lang w:val="en-US"/>
        </w:rPr>
        <w:t>ed</w:t>
      </w:r>
      <w:r w:rsidR="00E74333" w:rsidRPr="00E74333">
        <w:rPr>
          <w:rFonts w:ascii="Arial" w:hAnsi="Arial" w:cs="Arial"/>
          <w:sz w:val="22"/>
          <w:szCs w:val="22"/>
          <w:lang w:val="en-US"/>
        </w:rPr>
        <w:t xml:space="preserve"> the necessary contractual credentials (in terms of password attribution</w:t>
      </w:r>
      <w:r w:rsidR="00E74333">
        <w:rPr>
          <w:rFonts w:ascii="Arial" w:hAnsi="Arial" w:cs="Arial"/>
          <w:sz w:val="22"/>
          <w:szCs w:val="22"/>
          <w:lang w:val="en-US"/>
        </w:rPr>
        <w:t>,</w:t>
      </w:r>
      <w:r w:rsidR="00E74333" w:rsidRPr="00E74333">
        <w:rPr>
          <w:rFonts w:ascii="Arial" w:hAnsi="Arial" w:cs="Arial"/>
          <w:sz w:val="22"/>
          <w:szCs w:val="22"/>
          <w:lang w:val="en-US"/>
        </w:rPr>
        <w:t xml:space="preserve"> etc.) to access UNDP’s ATLAS system</w:t>
      </w:r>
      <w:r w:rsidR="00E74333">
        <w:rPr>
          <w:rFonts w:ascii="Arial" w:hAnsi="Arial" w:cs="Arial"/>
          <w:sz w:val="22"/>
          <w:szCs w:val="22"/>
          <w:lang w:val="en-US"/>
        </w:rPr>
        <w:t>,</w:t>
      </w:r>
      <w:r w:rsidR="00E74333" w:rsidRPr="00E74333">
        <w:rPr>
          <w:rFonts w:ascii="Arial" w:hAnsi="Arial" w:cs="Arial"/>
          <w:sz w:val="22"/>
          <w:szCs w:val="22"/>
          <w:lang w:val="en-US"/>
        </w:rPr>
        <w:t xml:space="preserve"> the platform used for managerial tasks such as performance appraisals, recruitment, financial/budgetary management, and contracts.</w:t>
      </w:r>
      <w:r w:rsidR="00E74333" w:rsidRPr="005C7F28">
        <w:rPr>
          <w:rFonts w:ascii="Arial" w:hAnsi="Arial" w:cs="Arial"/>
          <w:sz w:val="22"/>
          <w:szCs w:val="22"/>
          <w:lang w:val="en-US"/>
        </w:rPr>
        <w:t xml:space="preserve">  </w:t>
      </w:r>
    </w:p>
    <w:p w14:paraId="0BA872C9" w14:textId="5B0E101C" w:rsidR="0029366C" w:rsidRPr="002A6E99" w:rsidRDefault="0029366C" w:rsidP="00E80114">
      <w:pPr>
        <w:spacing w:line="240" w:lineRule="auto"/>
        <w:rPr>
          <w:rFonts w:ascii="Arial" w:eastAsia="Times New Roman" w:hAnsi="Arial" w:cs="Arial"/>
          <w:sz w:val="22"/>
          <w:szCs w:val="22"/>
          <w:highlight w:val="yellow"/>
          <w:lang w:val="en-US" w:eastAsia="de-DE"/>
        </w:rPr>
      </w:pPr>
      <w:r w:rsidRPr="002A6E99">
        <w:rPr>
          <w:rFonts w:ascii="Arial" w:eastAsia="Times New Roman" w:hAnsi="Arial" w:cs="Arial"/>
          <w:color w:val="000000"/>
          <w:sz w:val="22"/>
          <w:szCs w:val="22"/>
          <w:lang w:val="en-US" w:eastAsia="de-DE"/>
        </w:rPr>
        <w:t xml:space="preserve">GFP </w:t>
      </w:r>
      <w:r w:rsidR="00DB5EC6" w:rsidRPr="002A6E99">
        <w:rPr>
          <w:rFonts w:ascii="Arial" w:eastAsia="Times New Roman" w:hAnsi="Arial" w:cs="Arial"/>
          <w:color w:val="000000"/>
          <w:sz w:val="22"/>
          <w:szCs w:val="22"/>
          <w:lang w:val="en-US" w:eastAsia="de-DE"/>
        </w:rPr>
        <w:t>has a</w:t>
      </w:r>
      <w:r w:rsidRPr="002A6E99">
        <w:rPr>
          <w:rFonts w:ascii="Arial" w:eastAsia="Times New Roman" w:hAnsi="Arial" w:cs="Arial"/>
          <w:color w:val="000000"/>
          <w:sz w:val="22"/>
          <w:szCs w:val="22"/>
          <w:lang w:val="en-US" w:eastAsia="de-DE"/>
        </w:rPr>
        <w:t xml:space="preserve"> very important</w:t>
      </w:r>
      <w:r w:rsidR="00DB5EC6" w:rsidRPr="002A6E99">
        <w:rPr>
          <w:rFonts w:ascii="Arial" w:eastAsia="Times New Roman" w:hAnsi="Arial" w:cs="Arial"/>
          <w:color w:val="000000"/>
          <w:sz w:val="22"/>
          <w:szCs w:val="22"/>
          <w:lang w:val="en-US" w:eastAsia="de-DE"/>
        </w:rPr>
        <w:t xml:space="preserve"> role to play</w:t>
      </w:r>
      <w:r w:rsidRPr="002A6E99">
        <w:rPr>
          <w:rFonts w:ascii="Arial" w:eastAsia="Times New Roman" w:hAnsi="Arial" w:cs="Arial"/>
          <w:color w:val="000000"/>
          <w:sz w:val="22"/>
          <w:szCs w:val="22"/>
          <w:lang w:val="en-US" w:eastAsia="de-DE"/>
        </w:rPr>
        <w:t xml:space="preserve"> in </w:t>
      </w:r>
      <w:r w:rsidR="00DB5EC6" w:rsidRPr="002A6E99">
        <w:rPr>
          <w:rFonts w:ascii="Arial" w:eastAsia="Times New Roman" w:hAnsi="Arial" w:cs="Arial"/>
          <w:color w:val="000000"/>
          <w:sz w:val="22"/>
          <w:szCs w:val="22"/>
          <w:lang w:val="en-US" w:eastAsia="de-DE"/>
        </w:rPr>
        <w:t xml:space="preserve">ensuring coherence in </w:t>
      </w:r>
      <w:r w:rsidRPr="002A6E99">
        <w:rPr>
          <w:rFonts w:ascii="Arial" w:eastAsia="Times New Roman" w:hAnsi="Arial" w:cs="Arial"/>
          <w:color w:val="000000"/>
          <w:sz w:val="22"/>
          <w:szCs w:val="22"/>
          <w:lang w:val="en-US" w:eastAsia="de-DE"/>
        </w:rPr>
        <w:t>mission settings</w:t>
      </w:r>
      <w:r w:rsidR="00DB5EC6" w:rsidRPr="002A6E99">
        <w:rPr>
          <w:rFonts w:ascii="Arial" w:eastAsia="Times New Roman" w:hAnsi="Arial" w:cs="Arial"/>
          <w:color w:val="000000"/>
          <w:sz w:val="22"/>
          <w:szCs w:val="22"/>
          <w:lang w:val="en-US" w:eastAsia="de-DE"/>
        </w:rPr>
        <w:t>,</w:t>
      </w:r>
      <w:r w:rsidRPr="002A6E99">
        <w:rPr>
          <w:rFonts w:ascii="Arial" w:eastAsia="Times New Roman" w:hAnsi="Arial" w:cs="Arial"/>
          <w:color w:val="000000"/>
          <w:sz w:val="22"/>
          <w:szCs w:val="22"/>
          <w:lang w:val="en-US" w:eastAsia="de-DE"/>
        </w:rPr>
        <w:t xml:space="preserve"> since </w:t>
      </w:r>
      <w:r w:rsidR="00DB5EC6" w:rsidRPr="002A6E99">
        <w:rPr>
          <w:rFonts w:ascii="Arial" w:eastAsia="Times New Roman" w:hAnsi="Arial" w:cs="Arial"/>
          <w:color w:val="000000"/>
          <w:sz w:val="22"/>
          <w:szCs w:val="22"/>
          <w:lang w:val="en-US" w:eastAsia="de-DE"/>
        </w:rPr>
        <w:t xml:space="preserve">the interventions of </w:t>
      </w:r>
      <w:r w:rsidRPr="002A6E99">
        <w:rPr>
          <w:rFonts w:ascii="Arial" w:eastAsia="Times New Roman" w:hAnsi="Arial" w:cs="Arial"/>
          <w:color w:val="000000"/>
          <w:sz w:val="22"/>
          <w:szCs w:val="22"/>
          <w:lang w:val="en-US" w:eastAsia="de-DE"/>
        </w:rPr>
        <w:t xml:space="preserve">UNDP and DPO are </w:t>
      </w:r>
      <w:r w:rsidR="00DB5EC6" w:rsidRPr="002A6E99">
        <w:rPr>
          <w:rFonts w:ascii="Arial" w:eastAsia="Times New Roman" w:hAnsi="Arial" w:cs="Arial"/>
          <w:color w:val="000000"/>
          <w:sz w:val="22"/>
          <w:szCs w:val="22"/>
          <w:lang w:val="en-US" w:eastAsia="de-DE"/>
        </w:rPr>
        <w:t>interfacing and potentially overlapping</w:t>
      </w:r>
      <w:r w:rsidRPr="002A6E99">
        <w:rPr>
          <w:rFonts w:ascii="Arial" w:eastAsia="Times New Roman" w:hAnsi="Arial" w:cs="Arial"/>
          <w:color w:val="000000"/>
          <w:sz w:val="22"/>
          <w:szCs w:val="22"/>
          <w:lang w:val="en-US" w:eastAsia="de-DE"/>
        </w:rPr>
        <w:t xml:space="preserve"> in those countries, with DPO operating under a (renewable) short term mandate. </w:t>
      </w:r>
      <w:r w:rsidRPr="002A6E99">
        <w:rPr>
          <w:rFonts w:ascii="Arial" w:hAnsi="Arial" w:cs="Arial"/>
          <w:sz w:val="22"/>
          <w:szCs w:val="22"/>
          <w:lang w:val="en-US"/>
        </w:rPr>
        <w:t xml:space="preserve">The GFP mechanism follows the general logic of Delivering-as-One, only with a specific thematic focus on RoLSHR. Approaches designed to ensure internal coherence include integrated offices and organigrammes with single-line reporting and oversight, joint programming including </w:t>
      </w:r>
      <w:r w:rsidR="00AE4EF3">
        <w:rPr>
          <w:rFonts w:ascii="Arial" w:hAnsi="Arial" w:cs="Arial"/>
          <w:sz w:val="22"/>
          <w:szCs w:val="22"/>
          <w:lang w:val="en-US"/>
        </w:rPr>
        <w:t>JPs</w:t>
      </w:r>
      <w:r w:rsidRPr="002A6E99">
        <w:rPr>
          <w:rFonts w:ascii="Arial" w:hAnsi="Arial" w:cs="Arial"/>
          <w:sz w:val="22"/>
          <w:szCs w:val="22"/>
          <w:lang w:val="en-US"/>
        </w:rPr>
        <w:t xml:space="preserve">, strategic inter-agency retreats etc. There is sometimes limited awareness of GFP, its purpose, its services, etc. even among technical UNCT staff affecting “uptake” – possibly exacerbated by language barriers in francophone countries (and others). In more than one country, GFP focal points were not enthusiastic about the added value of the approach. </w:t>
      </w:r>
    </w:p>
    <w:p w14:paraId="4F3DDD2E" w14:textId="3C95A2B8" w:rsidR="00AE4EF3" w:rsidRDefault="0029366C" w:rsidP="00AE4EF3">
      <w:pPr>
        <w:spacing w:line="240" w:lineRule="auto"/>
        <w:textAlignment w:val="baseline"/>
        <w:rPr>
          <w:rFonts w:ascii="Arial" w:eastAsia="Times New Roman" w:hAnsi="Arial" w:cs="Arial"/>
          <w:color w:val="000000"/>
          <w:sz w:val="22"/>
          <w:szCs w:val="22"/>
          <w:lang w:val="en-US" w:eastAsia="de-DE"/>
        </w:rPr>
      </w:pPr>
      <w:r w:rsidRPr="002A6E99">
        <w:rPr>
          <w:rFonts w:ascii="Arial" w:eastAsia="Times New Roman" w:hAnsi="Arial" w:cs="Arial"/>
          <w:color w:val="000000"/>
          <w:sz w:val="22"/>
          <w:szCs w:val="22"/>
          <w:lang w:val="en-US" w:eastAsia="de-DE"/>
        </w:rPr>
        <w:t xml:space="preserve">In </w:t>
      </w:r>
      <w:r w:rsidRPr="002A6E99">
        <w:rPr>
          <w:rFonts w:ascii="Arial" w:eastAsia="Times New Roman" w:hAnsi="Arial" w:cs="Arial"/>
          <w:b/>
          <w:bCs/>
          <w:color w:val="000000"/>
          <w:sz w:val="22"/>
          <w:szCs w:val="22"/>
          <w:lang w:val="en-US" w:eastAsia="de-DE"/>
        </w:rPr>
        <w:t>Kyrgyzstan</w:t>
      </w:r>
      <w:r w:rsidRPr="002A6E99">
        <w:rPr>
          <w:rFonts w:ascii="Arial" w:eastAsia="Times New Roman" w:hAnsi="Arial" w:cs="Arial"/>
          <w:color w:val="000000"/>
          <w:sz w:val="22"/>
          <w:szCs w:val="22"/>
          <w:lang w:val="en-US" w:eastAsia="de-DE"/>
        </w:rPr>
        <w:t xml:space="preserve">, the GP’s funding to hire an experienced CTA in 2015-16 provided a strong anchor for the UNDP ROLSHR team to develop its portfolio and forge lasting links with other key actors and programmes. Based on consultations led by the CTA, UNDP identified its strategic niche and gradually assumed a lead role in all ROLSHR-related donor coordination and government relations. Generally, UNDP programming is seen as complementary </w:t>
      </w:r>
      <w:r w:rsidR="00AE4EF3">
        <w:rPr>
          <w:rFonts w:ascii="Arial" w:eastAsia="Times New Roman" w:hAnsi="Arial" w:cs="Arial"/>
          <w:color w:val="000000"/>
          <w:sz w:val="22"/>
          <w:szCs w:val="22"/>
          <w:lang w:val="en-US" w:eastAsia="de-DE"/>
        </w:rPr>
        <w:t>of</w:t>
      </w:r>
      <w:r w:rsidRPr="002A6E99">
        <w:rPr>
          <w:rFonts w:ascii="Arial" w:eastAsia="Times New Roman" w:hAnsi="Arial" w:cs="Arial"/>
          <w:color w:val="000000"/>
          <w:sz w:val="22"/>
          <w:szCs w:val="22"/>
          <w:lang w:val="en-US" w:eastAsia="de-DE"/>
        </w:rPr>
        <w:t xml:space="preserve"> other interventions and part of a coherent division of labor among key donors. With respect to the 2019-2020 GP-funded project specifically analyzed by the evaluation, it was co-funded by INL based on consultations between the teams in country, with funding passed through the GP as an earmarked contribution. There was no involvement of GFP or other UN entities in that project</w:t>
      </w:r>
      <w:r w:rsidR="00AE4EF3">
        <w:rPr>
          <w:rFonts w:ascii="Arial" w:eastAsia="Times New Roman" w:hAnsi="Arial" w:cs="Arial"/>
          <w:color w:val="000000"/>
          <w:sz w:val="22"/>
          <w:szCs w:val="22"/>
          <w:lang w:val="en-US" w:eastAsia="de-DE"/>
        </w:rPr>
        <w:t xml:space="preserve">; in fact, </w:t>
      </w:r>
      <w:r w:rsidR="00AE4EF3" w:rsidRPr="002A6E99">
        <w:rPr>
          <w:rFonts w:ascii="Arial" w:eastAsia="Times New Roman" w:hAnsi="Arial" w:cs="Arial"/>
          <w:color w:val="000000"/>
          <w:sz w:val="22"/>
          <w:szCs w:val="22"/>
          <w:lang w:val="en-US" w:eastAsia="de-DE"/>
        </w:rPr>
        <w:t xml:space="preserve">reservations were expressed about the cost-benefit of GFP and </w:t>
      </w:r>
      <w:r w:rsidR="00AE4EF3">
        <w:rPr>
          <w:rFonts w:ascii="Arial" w:eastAsia="Times New Roman" w:hAnsi="Arial" w:cs="Arial"/>
          <w:color w:val="000000"/>
          <w:sz w:val="22"/>
          <w:szCs w:val="22"/>
          <w:lang w:val="en-US" w:eastAsia="de-DE"/>
        </w:rPr>
        <w:t>joint programme</w:t>
      </w:r>
      <w:r w:rsidR="00AE4EF3" w:rsidRPr="002A6E99">
        <w:rPr>
          <w:rFonts w:ascii="Arial" w:eastAsia="Times New Roman" w:hAnsi="Arial" w:cs="Arial"/>
          <w:color w:val="000000"/>
          <w:sz w:val="22"/>
          <w:szCs w:val="22"/>
          <w:lang w:val="en-US" w:eastAsia="de-DE"/>
        </w:rPr>
        <w:t>s</w:t>
      </w:r>
      <w:r w:rsidR="00AE4EF3">
        <w:rPr>
          <w:rFonts w:ascii="Arial" w:eastAsia="Times New Roman" w:hAnsi="Arial" w:cs="Arial"/>
          <w:color w:val="000000"/>
          <w:sz w:val="22"/>
          <w:szCs w:val="22"/>
          <w:lang w:val="en-US" w:eastAsia="de-DE"/>
        </w:rPr>
        <w:t xml:space="preserve"> generally, with one UNCT staff commenting</w:t>
      </w:r>
      <w:r w:rsidR="00AE4EF3" w:rsidRPr="002A6E99">
        <w:rPr>
          <w:rFonts w:ascii="Arial" w:eastAsia="Times New Roman" w:hAnsi="Arial" w:cs="Arial"/>
          <w:color w:val="000000"/>
          <w:sz w:val="22"/>
          <w:szCs w:val="22"/>
          <w:lang w:val="en-US" w:eastAsia="de-DE"/>
        </w:rPr>
        <w:t xml:space="preserve">: </w:t>
      </w:r>
    </w:p>
    <w:p w14:paraId="135B175D" w14:textId="77777777" w:rsidR="00AE4EF3" w:rsidRPr="002A6E99" w:rsidRDefault="00AE4EF3" w:rsidP="00AE4EF3">
      <w:pPr>
        <w:spacing w:line="240" w:lineRule="auto"/>
        <w:ind w:left="567" w:right="571"/>
        <w:jc w:val="center"/>
        <w:textAlignment w:val="baseline"/>
        <w:rPr>
          <w:rFonts w:ascii="Arial" w:eastAsia="Times New Roman" w:hAnsi="Arial" w:cs="Arial"/>
          <w:color w:val="000000"/>
          <w:sz w:val="22"/>
          <w:szCs w:val="22"/>
          <w:lang w:val="en-US" w:eastAsia="de-DE"/>
        </w:rPr>
      </w:pPr>
      <w:r w:rsidRPr="002272B6">
        <w:rPr>
          <w:rFonts w:ascii="Arial" w:eastAsia="Times New Roman" w:hAnsi="Arial" w:cs="Arial"/>
          <w:i/>
          <w:iCs/>
          <w:color w:val="4A66AC" w:themeColor="accent1"/>
          <w:sz w:val="22"/>
          <w:szCs w:val="22"/>
          <w:lang w:val="en-US" w:eastAsia="de-DE"/>
        </w:rPr>
        <w:t>“Other UN entities here are like little brothers to UNDP. A JP would be less effective, more complicated… GP is much easier, no need to engage formally with other entities to get those funds”.</w:t>
      </w:r>
    </w:p>
    <w:p w14:paraId="58483933" w14:textId="289C029C" w:rsidR="0029366C" w:rsidRPr="002A6E99" w:rsidRDefault="0029366C" w:rsidP="00AE4EF3">
      <w:pPr>
        <w:spacing w:line="240" w:lineRule="auto"/>
        <w:textAlignment w:val="baseline"/>
        <w:rPr>
          <w:rFonts w:ascii="Arial" w:eastAsia="Times New Roman" w:hAnsi="Arial" w:cs="Arial"/>
          <w:color w:val="000000"/>
          <w:sz w:val="22"/>
          <w:szCs w:val="22"/>
          <w:lang w:val="en-US" w:eastAsia="de-DE"/>
        </w:rPr>
      </w:pPr>
      <w:r w:rsidRPr="002A6E99">
        <w:rPr>
          <w:rFonts w:ascii="Arial" w:eastAsia="Times New Roman" w:hAnsi="Arial" w:cs="Arial"/>
          <w:color w:val="000000"/>
          <w:sz w:val="22"/>
          <w:szCs w:val="22"/>
          <w:lang w:val="en-US" w:eastAsia="de-DE"/>
        </w:rPr>
        <w:t>Experienced CTAs on the team contributed to UNDP standards and practices being well-known and applied, though they appreciated specific guidance from the GP Focal Point in Istanbul on issues such as civic space and gender</w:t>
      </w:r>
      <w:r w:rsidR="00AE4EF3">
        <w:rPr>
          <w:rFonts w:ascii="Arial" w:eastAsia="Times New Roman" w:hAnsi="Arial" w:cs="Arial"/>
          <w:color w:val="000000"/>
          <w:sz w:val="22"/>
          <w:szCs w:val="22"/>
          <w:lang w:val="en-US" w:eastAsia="de-DE"/>
        </w:rPr>
        <w:t>,</w:t>
      </w:r>
      <w:r w:rsidRPr="002A6E99">
        <w:rPr>
          <w:rFonts w:ascii="Arial" w:eastAsia="Times New Roman" w:hAnsi="Arial" w:cs="Arial"/>
          <w:color w:val="000000"/>
          <w:sz w:val="22"/>
          <w:szCs w:val="22"/>
          <w:lang w:val="en-US" w:eastAsia="de-DE"/>
        </w:rPr>
        <w:t xml:space="preserve"> and </w:t>
      </w:r>
      <w:r w:rsidR="00AE4EF3">
        <w:rPr>
          <w:rFonts w:ascii="Arial" w:eastAsia="Times New Roman" w:hAnsi="Arial" w:cs="Arial"/>
          <w:color w:val="000000"/>
          <w:sz w:val="22"/>
          <w:szCs w:val="22"/>
          <w:lang w:val="en-US" w:eastAsia="de-DE"/>
        </w:rPr>
        <w:t>noted</w:t>
      </w:r>
      <w:r w:rsidRPr="002A6E99">
        <w:rPr>
          <w:rFonts w:ascii="Arial" w:eastAsia="Times New Roman" w:hAnsi="Arial" w:cs="Arial"/>
          <w:color w:val="000000"/>
          <w:sz w:val="22"/>
          <w:szCs w:val="22"/>
          <w:lang w:val="en-US" w:eastAsia="de-DE"/>
        </w:rPr>
        <w:t xml:space="preserve"> the added value of experts at HQ and regional level. </w:t>
      </w:r>
    </w:p>
    <w:p w14:paraId="65C72B7F" w14:textId="7662D3ED" w:rsidR="0029366C" w:rsidRPr="002A6E99" w:rsidRDefault="0029366C" w:rsidP="00E80114">
      <w:pPr>
        <w:spacing w:line="240" w:lineRule="auto"/>
        <w:rPr>
          <w:rFonts w:ascii="Arial" w:hAnsi="Arial" w:cs="Arial"/>
          <w:color w:val="000000"/>
          <w:sz w:val="22"/>
          <w:szCs w:val="22"/>
          <w:lang w:val="en-US"/>
        </w:rPr>
      </w:pPr>
      <w:r w:rsidRPr="002A6E99">
        <w:rPr>
          <w:rFonts w:ascii="Arial" w:eastAsia="Times New Roman" w:hAnsi="Arial" w:cs="Arial"/>
          <w:sz w:val="22"/>
          <w:szCs w:val="22"/>
          <w:lang w:val="en-US" w:eastAsia="de-DE"/>
        </w:rPr>
        <w:t xml:space="preserve">In </w:t>
      </w:r>
      <w:r w:rsidRPr="002A6E99">
        <w:rPr>
          <w:rFonts w:ascii="Arial" w:eastAsia="Times New Roman" w:hAnsi="Arial" w:cs="Arial"/>
          <w:b/>
          <w:bCs/>
          <w:sz w:val="22"/>
          <w:szCs w:val="22"/>
          <w:lang w:val="en-US" w:eastAsia="de-DE"/>
        </w:rPr>
        <w:t>Colombia</w:t>
      </w:r>
      <w:r w:rsidRPr="002A6E99">
        <w:rPr>
          <w:rFonts w:ascii="Arial" w:eastAsia="Times New Roman" w:hAnsi="Arial" w:cs="Arial"/>
          <w:sz w:val="22"/>
          <w:szCs w:val="22"/>
          <w:lang w:val="en-US" w:eastAsia="de-DE"/>
        </w:rPr>
        <w:t xml:space="preserve">, </w:t>
      </w:r>
      <w:r w:rsidRPr="002A6E99">
        <w:rPr>
          <w:rFonts w:ascii="Arial" w:eastAsia="Times New Roman" w:hAnsi="Arial" w:cs="Arial"/>
          <w:color w:val="000000"/>
          <w:sz w:val="22"/>
          <w:szCs w:val="22"/>
          <w:lang w:val="en-US" w:eastAsia="de-DE"/>
        </w:rPr>
        <w:t>GP funds were not used specifically to support inter-UN cooperation and the GFP has not been active</w:t>
      </w:r>
      <w:r w:rsidR="002E2414">
        <w:rPr>
          <w:rFonts w:ascii="Arial" w:eastAsia="Times New Roman" w:hAnsi="Arial" w:cs="Arial"/>
          <w:color w:val="000000"/>
          <w:sz w:val="22"/>
          <w:szCs w:val="22"/>
          <w:lang w:val="en-US" w:eastAsia="de-DE"/>
        </w:rPr>
        <w:t>, although generally</w:t>
      </w:r>
      <w:r w:rsidR="002E2414" w:rsidRPr="002A6E99">
        <w:rPr>
          <w:rFonts w:ascii="Arial" w:eastAsia="Times New Roman" w:hAnsi="Arial" w:cs="Arial"/>
          <w:color w:val="000000"/>
          <w:sz w:val="22"/>
          <w:szCs w:val="22"/>
          <w:lang w:val="en-US" w:eastAsia="de-DE"/>
        </w:rPr>
        <w:t xml:space="preserve"> interagency work by UNDP is seen as effective. </w:t>
      </w:r>
      <w:r w:rsidRPr="002A6E99">
        <w:rPr>
          <w:rFonts w:ascii="Arial" w:eastAsia="Times New Roman" w:hAnsi="Arial" w:cs="Arial"/>
          <w:color w:val="000000"/>
          <w:sz w:val="22"/>
          <w:szCs w:val="22"/>
          <w:lang w:val="en-US" w:eastAsia="de-DE"/>
        </w:rPr>
        <w:t xml:space="preserve">There may have been less need for GFP-supported coordination since the Colombia Mission focuses on verification issues, resulting in less overlap and potential for tensions about leadership and roles than in </w:t>
      </w:r>
      <w:r w:rsidR="00AE4EF3">
        <w:rPr>
          <w:rFonts w:ascii="Arial" w:eastAsia="Times New Roman" w:hAnsi="Arial" w:cs="Arial"/>
          <w:color w:val="000000"/>
          <w:sz w:val="22"/>
          <w:szCs w:val="22"/>
          <w:lang w:val="en-US" w:eastAsia="de-DE"/>
        </w:rPr>
        <w:t>peacekeeping mission</w:t>
      </w:r>
      <w:r w:rsidRPr="002A6E99">
        <w:rPr>
          <w:rFonts w:ascii="Arial" w:eastAsia="Times New Roman" w:hAnsi="Arial" w:cs="Arial"/>
          <w:color w:val="000000"/>
          <w:sz w:val="22"/>
          <w:szCs w:val="22"/>
          <w:lang w:val="en-US" w:eastAsia="de-DE"/>
        </w:rPr>
        <w:t xml:space="preserve"> settings. The UN Multi-Partner Trust Fund already strongly encourages joint programming, though UNDP staff doubted this was always the best approach. The CTA and team have facilitated positive connections with other UN entities, government and civil society. UNDP has worked hand-in-hand with</w:t>
      </w:r>
      <w:r w:rsidRPr="002A6E99">
        <w:rPr>
          <w:rFonts w:ascii="Arial" w:hAnsi="Arial" w:cs="Arial"/>
          <w:color w:val="000000"/>
          <w:sz w:val="22"/>
          <w:szCs w:val="22"/>
          <w:lang w:val="en-US"/>
        </w:rPr>
        <w:t xml:space="preserve"> OHCHR, notably during ramp-up of the special criminal court and selection of </w:t>
      </w:r>
      <w:r w:rsidR="002E2414">
        <w:rPr>
          <w:rFonts w:ascii="Arial" w:hAnsi="Arial" w:cs="Arial"/>
          <w:color w:val="000000"/>
          <w:sz w:val="22"/>
          <w:szCs w:val="22"/>
          <w:lang w:val="en-US"/>
        </w:rPr>
        <w:t>civil society organizations</w:t>
      </w:r>
      <w:r w:rsidRPr="002A6E99">
        <w:rPr>
          <w:rFonts w:ascii="Arial" w:hAnsi="Arial" w:cs="Arial"/>
          <w:color w:val="000000"/>
          <w:sz w:val="22"/>
          <w:szCs w:val="22"/>
          <w:lang w:val="en-US"/>
        </w:rPr>
        <w:t xml:space="preserve"> </w:t>
      </w:r>
      <w:r w:rsidR="002E2414">
        <w:rPr>
          <w:rFonts w:ascii="Arial" w:hAnsi="Arial" w:cs="Arial"/>
          <w:color w:val="000000"/>
          <w:sz w:val="22"/>
          <w:szCs w:val="22"/>
          <w:lang w:val="en-US"/>
        </w:rPr>
        <w:t xml:space="preserve">(CSOs) </w:t>
      </w:r>
      <w:r w:rsidRPr="002A6E99">
        <w:rPr>
          <w:rFonts w:ascii="Arial" w:hAnsi="Arial" w:cs="Arial"/>
          <w:color w:val="000000"/>
          <w:sz w:val="22"/>
          <w:szCs w:val="22"/>
          <w:lang w:val="en-US"/>
        </w:rPr>
        <w:t xml:space="preserve">to represent victims. UNODC and UNDP have recently overcome trust issues to forge a new relationship based on respect for each other’s key competencies; they now have joint programming in the field of local access to justice, which is highly appreciated by the Ministry of Justice. </w:t>
      </w:r>
    </w:p>
    <w:p w14:paraId="24DC9C67" w14:textId="77777777" w:rsidR="0029366C" w:rsidRPr="002A6E99" w:rsidRDefault="0029366C" w:rsidP="00E80114">
      <w:pPr>
        <w:spacing w:line="240" w:lineRule="auto"/>
        <w:rPr>
          <w:rFonts w:ascii="Arial" w:eastAsia="Times New Roman" w:hAnsi="Arial" w:cs="Arial"/>
          <w:color w:val="000000"/>
          <w:sz w:val="22"/>
          <w:szCs w:val="22"/>
          <w:lang w:val="en-US" w:eastAsia="de-DE"/>
        </w:rPr>
      </w:pPr>
      <w:r w:rsidRPr="002A6E99">
        <w:rPr>
          <w:rFonts w:ascii="Arial" w:hAnsi="Arial" w:cs="Arial"/>
          <w:color w:val="000000"/>
          <w:sz w:val="22"/>
          <w:szCs w:val="22"/>
          <w:lang w:val="en-US"/>
        </w:rPr>
        <w:t xml:space="preserve">CSOs remarked on how UNDP is accompanying them rather than simply providing funding and monitoring: </w:t>
      </w:r>
      <w:r w:rsidRPr="002A6E99">
        <w:rPr>
          <w:rFonts w:ascii="Arial" w:hAnsi="Arial" w:cs="Arial"/>
          <w:i/>
          <w:iCs/>
          <w:color w:val="000000"/>
          <w:sz w:val="22"/>
          <w:szCs w:val="22"/>
          <w:lang w:val="en-US"/>
        </w:rPr>
        <w:t xml:space="preserve">“It is a joint effort, so we all arrive at expected results. They organized meetings to share experiences across organizations who are representing victims. These exchanges were a good strategy.”) </w:t>
      </w:r>
      <w:r w:rsidRPr="002A6E99">
        <w:rPr>
          <w:rFonts w:ascii="Arial" w:hAnsi="Arial" w:cs="Arial"/>
          <w:color w:val="000000"/>
          <w:sz w:val="22"/>
          <w:szCs w:val="22"/>
          <w:lang w:val="en-US"/>
        </w:rPr>
        <w:t>These findings are corroborated by ISSAT’s country study, which identified a “</w:t>
      </w:r>
      <w:r w:rsidRPr="002A6E99">
        <w:rPr>
          <w:rFonts w:ascii="Arial" w:eastAsia="Times New Roman" w:hAnsi="Arial" w:cs="Arial"/>
          <w:i/>
          <w:iCs/>
          <w:sz w:val="22"/>
          <w:szCs w:val="22"/>
          <w:lang w:val="en-US" w:eastAsia="de-DE"/>
        </w:rPr>
        <w:t>coherent holistic approach, relevant to context and adaptable</w:t>
      </w:r>
      <w:r w:rsidRPr="002A6E99">
        <w:rPr>
          <w:rFonts w:ascii="Arial" w:eastAsia="Times New Roman" w:hAnsi="Arial" w:cs="Arial"/>
          <w:sz w:val="22"/>
          <w:szCs w:val="22"/>
          <w:lang w:val="en-US" w:eastAsia="de-DE"/>
        </w:rPr>
        <w:t>” and interventions that “</w:t>
      </w:r>
      <w:r w:rsidRPr="002A6E99">
        <w:rPr>
          <w:rFonts w:ascii="Arial" w:eastAsia="Times New Roman" w:hAnsi="Arial" w:cs="Arial"/>
          <w:i/>
          <w:iCs/>
          <w:color w:val="000000"/>
          <w:sz w:val="22"/>
          <w:szCs w:val="22"/>
          <w:lang w:val="en-US" w:eastAsia="de-DE"/>
        </w:rPr>
        <w:t>contributed to linkages across peacebuilding initiatives at local level, mainly involving civil society and local government, and national level</w:t>
      </w:r>
      <w:r w:rsidRPr="002A6E99">
        <w:rPr>
          <w:rFonts w:ascii="Arial" w:eastAsia="Times New Roman" w:hAnsi="Arial" w:cs="Arial"/>
          <w:color w:val="000000"/>
          <w:sz w:val="22"/>
          <w:szCs w:val="22"/>
          <w:lang w:val="en-US" w:eastAsia="de-DE"/>
        </w:rPr>
        <w:t>”.</w:t>
      </w:r>
    </w:p>
    <w:p w14:paraId="3E68D929" w14:textId="4A031EA2" w:rsidR="0029366C" w:rsidRPr="002A6E99" w:rsidRDefault="0029366C" w:rsidP="00E80114">
      <w:pPr>
        <w:spacing w:line="240" w:lineRule="auto"/>
        <w:rPr>
          <w:rFonts w:ascii="Arial" w:hAnsi="Arial" w:cs="Arial"/>
          <w:color w:val="000000"/>
          <w:sz w:val="22"/>
          <w:szCs w:val="22"/>
          <w:lang w:val="en-US"/>
        </w:rPr>
      </w:pPr>
      <w:r w:rsidRPr="002A6E99">
        <w:rPr>
          <w:rFonts w:ascii="Arial" w:eastAsia="Times New Roman" w:hAnsi="Arial" w:cs="Arial"/>
          <w:sz w:val="22"/>
          <w:szCs w:val="22"/>
          <w:lang w:val="en-US" w:eastAsia="de-DE"/>
        </w:rPr>
        <w:t xml:space="preserve">In </w:t>
      </w:r>
      <w:r w:rsidRPr="002A6E99">
        <w:rPr>
          <w:rFonts w:ascii="Arial" w:eastAsia="Times New Roman" w:hAnsi="Arial" w:cs="Arial"/>
          <w:b/>
          <w:bCs/>
          <w:sz w:val="22"/>
          <w:szCs w:val="22"/>
          <w:lang w:val="en-US" w:eastAsia="de-DE"/>
        </w:rPr>
        <w:t>Pakistan</w:t>
      </w:r>
      <w:r w:rsidRPr="002A6E99">
        <w:rPr>
          <w:rFonts w:ascii="Arial" w:eastAsia="Times New Roman" w:hAnsi="Arial" w:cs="Arial"/>
          <w:sz w:val="22"/>
          <w:szCs w:val="22"/>
          <w:lang w:val="en-US" w:eastAsia="de-DE"/>
        </w:rPr>
        <w:t>, with respect to the specific intervention in Balochistan that was studied, external coherence was ensured through close</w:t>
      </w:r>
      <w:r w:rsidRPr="002A6E99">
        <w:rPr>
          <w:rFonts w:ascii="Arial" w:hAnsi="Arial" w:cs="Arial"/>
          <w:color w:val="000000"/>
          <w:sz w:val="22"/>
          <w:szCs w:val="22"/>
          <w:lang w:val="en-US"/>
        </w:rPr>
        <w:t xml:space="preserve"> coordination with the </w:t>
      </w:r>
      <w:r w:rsidR="002E2414" w:rsidRPr="002A6E99">
        <w:rPr>
          <w:rFonts w:ascii="Arial" w:hAnsi="Arial" w:cs="Arial"/>
          <w:color w:val="000000"/>
          <w:sz w:val="22"/>
          <w:szCs w:val="22"/>
          <w:lang w:val="en-US"/>
        </w:rPr>
        <w:t xml:space="preserve">Balochistan </w:t>
      </w:r>
      <w:r w:rsidRPr="002A6E99">
        <w:rPr>
          <w:rFonts w:ascii="Arial" w:hAnsi="Arial" w:cs="Arial"/>
          <w:color w:val="000000"/>
          <w:sz w:val="22"/>
          <w:szCs w:val="22"/>
          <w:lang w:val="en-US"/>
        </w:rPr>
        <w:t xml:space="preserve">government and legal profession as well as </w:t>
      </w:r>
      <w:r w:rsidR="00470E82">
        <w:rPr>
          <w:rFonts w:ascii="Arial" w:hAnsi="Arial" w:cs="Arial"/>
          <w:color w:val="000000"/>
          <w:sz w:val="22"/>
          <w:szCs w:val="22"/>
          <w:lang w:val="en-US"/>
        </w:rPr>
        <w:t xml:space="preserve">with </w:t>
      </w:r>
      <w:r w:rsidR="00470E82" w:rsidRPr="00470E82">
        <w:rPr>
          <w:rFonts w:ascii="Arial" w:hAnsi="Arial" w:cs="Arial"/>
          <w:color w:val="000000"/>
          <w:sz w:val="22"/>
          <w:szCs w:val="22"/>
          <w:lang w:val="en-US"/>
        </w:rPr>
        <w:t>the</w:t>
      </w:r>
      <w:r w:rsidR="00470E82" w:rsidRPr="00470E82">
        <w:rPr>
          <w:rFonts w:ascii="Arial" w:hAnsi="Arial" w:cs="Arial"/>
          <w:i/>
          <w:iCs/>
          <w:color w:val="000000"/>
          <w:sz w:val="22"/>
          <w:szCs w:val="22"/>
          <w:lang w:val="en-US"/>
        </w:rPr>
        <w:t xml:space="preserve"> </w:t>
      </w:r>
      <w:r w:rsidR="00470E82" w:rsidRPr="00470E82">
        <w:rPr>
          <w:rStyle w:val="Emphasis"/>
          <w:rFonts w:ascii="Arial" w:hAnsi="Arial" w:cs="Arial"/>
          <w:i w:val="0"/>
          <w:iCs w:val="0"/>
          <w:sz w:val="22"/>
          <w:szCs w:val="22"/>
        </w:rPr>
        <w:t>Bureau of International Narcotics</w:t>
      </w:r>
      <w:r w:rsidR="00470E82" w:rsidRPr="00470E82">
        <w:rPr>
          <w:rStyle w:val="acopre"/>
          <w:rFonts w:ascii="Arial" w:hAnsi="Arial" w:cs="Arial"/>
          <w:i/>
          <w:iCs/>
          <w:sz w:val="22"/>
          <w:szCs w:val="22"/>
        </w:rPr>
        <w:t xml:space="preserve"> </w:t>
      </w:r>
      <w:r w:rsidR="00470E82" w:rsidRPr="00470E82">
        <w:rPr>
          <w:rStyle w:val="acopre"/>
          <w:rFonts w:ascii="Arial" w:hAnsi="Arial" w:cs="Arial"/>
          <w:sz w:val="22"/>
          <w:szCs w:val="22"/>
        </w:rPr>
        <w:t>and Law Enforcement Affairs</w:t>
      </w:r>
      <w:r w:rsidR="00470E82" w:rsidRPr="002A6E99">
        <w:rPr>
          <w:rFonts w:ascii="Arial" w:hAnsi="Arial" w:cs="Arial"/>
          <w:color w:val="000000"/>
          <w:sz w:val="22"/>
          <w:szCs w:val="22"/>
          <w:lang w:val="en-US"/>
        </w:rPr>
        <w:t xml:space="preserve"> </w:t>
      </w:r>
      <w:r w:rsidR="00470E82">
        <w:rPr>
          <w:rFonts w:ascii="Arial" w:hAnsi="Arial" w:cs="Arial"/>
          <w:color w:val="000000"/>
          <w:sz w:val="22"/>
          <w:szCs w:val="22"/>
          <w:lang w:val="en-US"/>
        </w:rPr>
        <w:t>(</w:t>
      </w:r>
      <w:r w:rsidRPr="002A6E99">
        <w:rPr>
          <w:rFonts w:ascii="Arial" w:hAnsi="Arial" w:cs="Arial"/>
          <w:color w:val="000000"/>
          <w:sz w:val="22"/>
          <w:szCs w:val="22"/>
          <w:lang w:val="en-US"/>
        </w:rPr>
        <w:t>INL</w:t>
      </w:r>
      <w:r w:rsidR="00470E82">
        <w:rPr>
          <w:rFonts w:ascii="Arial" w:hAnsi="Arial" w:cs="Arial"/>
          <w:color w:val="000000"/>
          <w:sz w:val="22"/>
          <w:szCs w:val="22"/>
          <w:lang w:val="en-US"/>
        </w:rPr>
        <w:t>) of the U.S Government</w:t>
      </w:r>
      <w:r w:rsidRPr="002A6E99">
        <w:rPr>
          <w:rFonts w:ascii="Arial" w:hAnsi="Arial" w:cs="Arial"/>
          <w:color w:val="000000"/>
          <w:sz w:val="22"/>
          <w:szCs w:val="22"/>
          <w:lang w:val="en-US"/>
        </w:rPr>
        <w:t>, wh</w:t>
      </w:r>
      <w:r w:rsidR="002E2414">
        <w:rPr>
          <w:rFonts w:ascii="Arial" w:hAnsi="Arial" w:cs="Arial"/>
          <w:color w:val="000000"/>
          <w:sz w:val="22"/>
          <w:szCs w:val="22"/>
          <w:lang w:val="en-US"/>
        </w:rPr>
        <w:t>ich</w:t>
      </w:r>
      <w:r w:rsidRPr="002A6E99">
        <w:rPr>
          <w:rFonts w:ascii="Arial" w:hAnsi="Arial" w:cs="Arial"/>
          <w:color w:val="000000"/>
          <w:sz w:val="22"/>
          <w:szCs w:val="22"/>
          <w:lang w:val="en-US"/>
        </w:rPr>
        <w:t xml:space="preserve"> funded distinct but complementary activities in a similar time frame. UNDP has actively collaborated with UN Women and UNODC throughout the project’s life span, and injection of GP funds allowed that partnership to be reinvigorated after the core funder had withdrawn. The experience showed how these agencies can work together effectively, but there remains a common resistance to the JP approach due to reluctance to share control and deal with procedural barriers. Thus, although collaboration wi</w:t>
      </w:r>
      <w:r w:rsidR="002E2414">
        <w:rPr>
          <w:rFonts w:ascii="Arial" w:hAnsi="Arial" w:cs="Arial"/>
          <w:color w:val="000000"/>
          <w:sz w:val="22"/>
          <w:szCs w:val="22"/>
          <w:lang w:val="en-US"/>
        </w:rPr>
        <w:t>ll</w:t>
      </w:r>
      <w:r w:rsidRPr="002A6E99">
        <w:rPr>
          <w:rFonts w:ascii="Arial" w:hAnsi="Arial" w:cs="Arial"/>
          <w:color w:val="000000"/>
          <w:sz w:val="22"/>
          <w:szCs w:val="22"/>
          <w:lang w:val="en-US"/>
        </w:rPr>
        <w:t xml:space="preserve"> continue, the new </w:t>
      </w:r>
      <w:r w:rsidR="00470E82">
        <w:rPr>
          <w:rFonts w:ascii="Arial" w:hAnsi="Arial" w:cs="Arial"/>
          <w:color w:val="000000"/>
          <w:sz w:val="22"/>
          <w:szCs w:val="22"/>
          <w:lang w:val="en-US"/>
        </w:rPr>
        <w:t>European Union (</w:t>
      </w:r>
      <w:r w:rsidRPr="002A6E99">
        <w:rPr>
          <w:rFonts w:ascii="Arial" w:hAnsi="Arial" w:cs="Arial"/>
          <w:color w:val="000000"/>
          <w:sz w:val="22"/>
          <w:szCs w:val="22"/>
          <w:lang w:val="en-US"/>
        </w:rPr>
        <w:t>EU</w:t>
      </w:r>
      <w:r w:rsidR="00470E82">
        <w:rPr>
          <w:rFonts w:ascii="Arial" w:hAnsi="Arial" w:cs="Arial"/>
          <w:color w:val="000000"/>
          <w:sz w:val="22"/>
          <w:szCs w:val="22"/>
          <w:lang w:val="en-US"/>
        </w:rPr>
        <w:t>)</w:t>
      </w:r>
      <w:r w:rsidRPr="002A6E99">
        <w:rPr>
          <w:rFonts w:ascii="Arial" w:hAnsi="Arial" w:cs="Arial"/>
          <w:color w:val="000000"/>
          <w:sz w:val="22"/>
          <w:szCs w:val="22"/>
          <w:lang w:val="en-US"/>
        </w:rPr>
        <w:t xml:space="preserve"> funding for the work in Balochistan will provide independent funding to each agency. A JP was explored</w:t>
      </w:r>
      <w:r w:rsidR="002E2414">
        <w:rPr>
          <w:rFonts w:ascii="Arial" w:hAnsi="Arial" w:cs="Arial"/>
          <w:color w:val="000000"/>
          <w:sz w:val="22"/>
          <w:szCs w:val="22"/>
          <w:lang w:val="en-US"/>
        </w:rPr>
        <w:t xml:space="preserve"> with</w:t>
      </w:r>
      <w:r w:rsidRPr="002A6E99">
        <w:rPr>
          <w:rFonts w:ascii="Arial" w:hAnsi="Arial" w:cs="Arial"/>
          <w:color w:val="000000"/>
          <w:sz w:val="22"/>
          <w:szCs w:val="22"/>
          <w:lang w:val="en-US"/>
        </w:rPr>
        <w:t xml:space="preserve"> </w:t>
      </w:r>
      <w:r w:rsidR="002E2414" w:rsidRPr="002A6E99">
        <w:rPr>
          <w:rFonts w:ascii="Arial" w:hAnsi="Arial" w:cs="Arial"/>
          <w:color w:val="000000"/>
          <w:sz w:val="22"/>
          <w:szCs w:val="22"/>
          <w:lang w:val="en-US"/>
        </w:rPr>
        <w:t xml:space="preserve">involvement of the GFP team </w:t>
      </w:r>
      <w:r w:rsidRPr="002A6E99">
        <w:rPr>
          <w:rFonts w:ascii="Arial" w:hAnsi="Arial" w:cs="Arial"/>
          <w:color w:val="000000"/>
          <w:sz w:val="22"/>
          <w:szCs w:val="22"/>
          <w:lang w:val="en-US"/>
        </w:rPr>
        <w:t>to develop a similar Roadmap in Gilgit-Baltistan. However, GP/GFP seed fund</w:t>
      </w:r>
      <w:r w:rsidR="002E2414">
        <w:rPr>
          <w:rFonts w:ascii="Arial" w:hAnsi="Arial" w:cs="Arial"/>
          <w:color w:val="000000"/>
          <w:sz w:val="22"/>
          <w:szCs w:val="22"/>
          <w:lang w:val="en-US"/>
        </w:rPr>
        <w:t>ing limit</w:t>
      </w:r>
      <w:r w:rsidRPr="002A6E99">
        <w:rPr>
          <w:rFonts w:ascii="Arial" w:hAnsi="Arial" w:cs="Arial"/>
          <w:color w:val="000000"/>
          <w:sz w:val="22"/>
          <w:szCs w:val="22"/>
          <w:lang w:val="en-US"/>
        </w:rPr>
        <w:t xml:space="preserve">s were </w:t>
      </w:r>
      <w:r w:rsidR="002E2414">
        <w:rPr>
          <w:rFonts w:ascii="Arial" w:hAnsi="Arial" w:cs="Arial"/>
          <w:color w:val="000000"/>
          <w:sz w:val="22"/>
          <w:szCs w:val="22"/>
          <w:lang w:val="en-US"/>
        </w:rPr>
        <w:t xml:space="preserve">seen as </w:t>
      </w:r>
      <w:r w:rsidRPr="002A6E99">
        <w:rPr>
          <w:rFonts w:ascii="Arial" w:hAnsi="Arial" w:cs="Arial"/>
          <w:color w:val="000000"/>
          <w:sz w:val="22"/>
          <w:szCs w:val="22"/>
          <w:lang w:val="en-US"/>
        </w:rPr>
        <w:t xml:space="preserve">too </w:t>
      </w:r>
      <w:r w:rsidR="002E2414">
        <w:rPr>
          <w:rFonts w:ascii="Arial" w:hAnsi="Arial" w:cs="Arial"/>
          <w:color w:val="000000"/>
          <w:sz w:val="22"/>
          <w:szCs w:val="22"/>
          <w:lang w:val="en-US"/>
        </w:rPr>
        <w:t>low</w:t>
      </w:r>
      <w:r w:rsidRPr="002A6E99">
        <w:rPr>
          <w:rFonts w:ascii="Arial" w:hAnsi="Arial" w:cs="Arial"/>
          <w:color w:val="000000"/>
          <w:sz w:val="22"/>
          <w:szCs w:val="22"/>
          <w:lang w:val="en-US"/>
        </w:rPr>
        <w:t xml:space="preserve"> for more than one agency to establish </w:t>
      </w:r>
      <w:r w:rsidR="002E2414">
        <w:rPr>
          <w:rFonts w:ascii="Arial" w:hAnsi="Arial" w:cs="Arial"/>
          <w:color w:val="000000"/>
          <w:sz w:val="22"/>
          <w:szCs w:val="22"/>
          <w:lang w:val="en-US"/>
        </w:rPr>
        <w:t xml:space="preserve">its </w:t>
      </w:r>
      <w:r w:rsidRPr="002A6E99">
        <w:rPr>
          <w:rFonts w:ascii="Arial" w:hAnsi="Arial" w:cs="Arial"/>
          <w:color w:val="000000"/>
          <w:sz w:val="22"/>
          <w:szCs w:val="22"/>
          <w:lang w:val="en-US"/>
        </w:rPr>
        <w:t>presence in that region. Some stakeholders criticized the lack of information about the GFP mechanism: “</w:t>
      </w:r>
      <w:r w:rsidRPr="002A6E99">
        <w:rPr>
          <w:rFonts w:ascii="Arial" w:hAnsi="Arial" w:cs="Arial"/>
          <w:i/>
          <w:iCs/>
          <w:color w:val="000000"/>
          <w:sz w:val="22"/>
          <w:szCs w:val="22"/>
          <w:lang w:val="en-US"/>
        </w:rPr>
        <w:t>GFP should be closer to country level: Nobody really knows about it on the ground in UN family, only the experts</w:t>
      </w:r>
      <w:r w:rsidRPr="002A6E99">
        <w:rPr>
          <w:rFonts w:ascii="Arial" w:hAnsi="Arial" w:cs="Arial"/>
          <w:color w:val="000000"/>
          <w:sz w:val="22"/>
          <w:szCs w:val="22"/>
          <w:lang w:val="en-US"/>
        </w:rPr>
        <w:t xml:space="preserve">”. </w:t>
      </w:r>
    </w:p>
    <w:p w14:paraId="1FB37931" w14:textId="46073778" w:rsidR="0029366C" w:rsidRPr="002A6E99" w:rsidRDefault="0029366C" w:rsidP="00E80114">
      <w:pPr>
        <w:spacing w:line="240" w:lineRule="auto"/>
        <w:rPr>
          <w:rFonts w:ascii="Arial" w:eastAsia="Times New Roman" w:hAnsi="Arial" w:cs="Arial"/>
          <w:color w:val="000000"/>
          <w:sz w:val="22"/>
          <w:szCs w:val="22"/>
          <w:lang w:val="en-US" w:eastAsia="de-DE"/>
        </w:rPr>
      </w:pPr>
      <w:r w:rsidRPr="002A6E99">
        <w:rPr>
          <w:rFonts w:ascii="Arial" w:eastAsia="Times New Roman" w:hAnsi="Arial" w:cs="Arial"/>
          <w:color w:val="000000"/>
          <w:sz w:val="22"/>
          <w:szCs w:val="22"/>
          <w:lang w:val="en-US" w:eastAsia="de-DE"/>
        </w:rPr>
        <w:t xml:space="preserve">In </w:t>
      </w:r>
      <w:r w:rsidRPr="002A6E99">
        <w:rPr>
          <w:rFonts w:ascii="Arial" w:eastAsia="Times New Roman" w:hAnsi="Arial" w:cs="Arial"/>
          <w:b/>
          <w:bCs/>
          <w:color w:val="000000"/>
          <w:sz w:val="22"/>
          <w:szCs w:val="22"/>
          <w:lang w:val="en-US" w:eastAsia="de-DE"/>
        </w:rPr>
        <w:t>Burkina Faso</w:t>
      </w:r>
      <w:r w:rsidRPr="002A6E99">
        <w:rPr>
          <w:rFonts w:ascii="Arial" w:eastAsia="Times New Roman" w:hAnsi="Arial" w:cs="Arial"/>
          <w:color w:val="000000"/>
          <w:sz w:val="22"/>
          <w:szCs w:val="22"/>
          <w:lang w:val="en-US" w:eastAsia="de-DE"/>
        </w:rPr>
        <w:t xml:space="preserve">, the UNDP ROLSHR portfolio includes upstream policy support and capacity building measures in support of national institutions like the Ministry of Justice. In terms of UN-internal coordination, UNDP has established strong relationships with </w:t>
      </w:r>
      <w:r w:rsidR="00846C34">
        <w:rPr>
          <w:rFonts w:ascii="Arial" w:eastAsia="Times New Roman" w:hAnsi="Arial" w:cs="Arial"/>
          <w:color w:val="000000"/>
          <w:sz w:val="22"/>
          <w:szCs w:val="22"/>
          <w:lang w:val="en-US" w:eastAsia="de-DE"/>
        </w:rPr>
        <w:t xml:space="preserve">the </w:t>
      </w:r>
      <w:r w:rsidR="00470E82" w:rsidRPr="00846C34">
        <w:rPr>
          <w:rFonts w:ascii="Arial" w:hAnsi="Arial" w:cs="Arial"/>
          <w:sz w:val="22"/>
          <w:szCs w:val="22"/>
        </w:rPr>
        <w:t>United Nations Mine Action Service</w:t>
      </w:r>
      <w:r w:rsidR="00470E82" w:rsidRPr="00846C34">
        <w:rPr>
          <w:rFonts w:ascii="Arial" w:eastAsia="Times New Roman" w:hAnsi="Arial" w:cs="Arial"/>
          <w:color w:val="000000"/>
          <w:sz w:val="22"/>
          <w:szCs w:val="22"/>
          <w:lang w:val="en-US" w:eastAsia="de-DE"/>
        </w:rPr>
        <w:t xml:space="preserve"> (</w:t>
      </w:r>
      <w:r w:rsidRPr="002A6E99">
        <w:rPr>
          <w:rFonts w:ascii="Arial" w:eastAsia="Times New Roman" w:hAnsi="Arial" w:cs="Arial"/>
          <w:color w:val="000000"/>
          <w:sz w:val="22"/>
          <w:szCs w:val="22"/>
          <w:lang w:val="en-US" w:eastAsia="de-DE"/>
        </w:rPr>
        <w:t>UNMAS</w:t>
      </w:r>
      <w:r w:rsidR="00470E82">
        <w:rPr>
          <w:rFonts w:ascii="Arial" w:eastAsia="Times New Roman" w:hAnsi="Arial" w:cs="Arial"/>
          <w:color w:val="000000"/>
          <w:sz w:val="22"/>
          <w:szCs w:val="22"/>
          <w:lang w:val="en-US" w:eastAsia="de-DE"/>
        </w:rPr>
        <w:t>)</w:t>
      </w:r>
      <w:r w:rsidRPr="002A6E99">
        <w:rPr>
          <w:rFonts w:ascii="Arial" w:eastAsia="Times New Roman" w:hAnsi="Arial" w:cs="Arial"/>
          <w:color w:val="000000"/>
          <w:sz w:val="22"/>
          <w:szCs w:val="22"/>
          <w:lang w:val="en-US" w:eastAsia="de-DE"/>
        </w:rPr>
        <w:t xml:space="preserve"> and UNODC, integrating to the point of inserting their in-country activities into the UNDP annual work plan. UNDP offered both agencies co-location status, hosting their staff when on mission to Burkina Faso. UNDP’s COSED programme incorporates an innovative holistic formula integrating RoL and social cohesion</w:t>
      </w:r>
      <w:r w:rsidR="00846C34">
        <w:rPr>
          <w:rFonts w:ascii="Arial" w:eastAsia="Times New Roman" w:hAnsi="Arial" w:cs="Arial"/>
          <w:color w:val="000000"/>
          <w:sz w:val="22"/>
          <w:szCs w:val="22"/>
          <w:lang w:val="en-US" w:eastAsia="de-DE"/>
        </w:rPr>
        <w:t>; as noted above, t</w:t>
      </w:r>
      <w:r w:rsidRPr="002A6E99">
        <w:rPr>
          <w:rFonts w:ascii="Arial" w:eastAsia="Times New Roman" w:hAnsi="Arial" w:cs="Arial"/>
          <w:color w:val="000000"/>
          <w:sz w:val="22"/>
          <w:szCs w:val="22"/>
          <w:lang w:val="en-US" w:eastAsia="de-DE"/>
        </w:rPr>
        <w:t xml:space="preserve">his model is being considered for replication in neighboring countries, which would promote </w:t>
      </w:r>
      <w:r w:rsidR="00846C34">
        <w:rPr>
          <w:rFonts w:ascii="Arial" w:eastAsia="Times New Roman" w:hAnsi="Arial" w:cs="Arial"/>
          <w:color w:val="000000"/>
          <w:sz w:val="22"/>
          <w:szCs w:val="22"/>
          <w:lang w:val="en-US" w:eastAsia="de-DE"/>
        </w:rPr>
        <w:t xml:space="preserve">programmatic </w:t>
      </w:r>
      <w:r w:rsidRPr="002A6E99">
        <w:rPr>
          <w:rFonts w:ascii="Arial" w:eastAsia="Times New Roman" w:hAnsi="Arial" w:cs="Arial"/>
          <w:color w:val="000000"/>
          <w:sz w:val="22"/>
          <w:szCs w:val="22"/>
          <w:lang w:val="en-US" w:eastAsia="de-DE"/>
        </w:rPr>
        <w:t xml:space="preserve">coherence within the sub-region. Although COSED seems inherently suited for an integrated multi-agency approach, it remains a single-agency, UNDP-only programme. GFP stakeholders voiced concerns about this, and several UNDP staff acknowledged that not incorporating other agencies in the design was probably a misstep. </w:t>
      </w:r>
    </w:p>
    <w:p w14:paraId="1B455BA9" w14:textId="73D1C77A" w:rsidR="0029366C" w:rsidRPr="002A6E99" w:rsidRDefault="457E1069" w:rsidP="00E80114">
      <w:pPr>
        <w:spacing w:line="240" w:lineRule="auto"/>
        <w:rPr>
          <w:rFonts w:ascii="Arial" w:eastAsia="Times New Roman" w:hAnsi="Arial" w:cs="Arial"/>
          <w:color w:val="000000"/>
          <w:sz w:val="22"/>
          <w:szCs w:val="22"/>
          <w:highlight w:val="yellow"/>
          <w:lang w:val="en-US" w:eastAsia="de-DE"/>
        </w:rPr>
      </w:pPr>
      <w:r w:rsidRPr="4F82A3C2">
        <w:rPr>
          <w:rFonts w:ascii="Arial" w:eastAsia="Times New Roman" w:hAnsi="Arial" w:cs="Arial"/>
          <w:color w:val="000000" w:themeColor="text1"/>
          <w:sz w:val="22"/>
          <w:szCs w:val="22"/>
          <w:lang w:val="en-US" w:eastAsia="de-DE"/>
        </w:rPr>
        <w:t xml:space="preserve">The case study brought to the fore UN-internal governance and management issues </w:t>
      </w:r>
      <w:r w:rsidR="6E3D6330" w:rsidRPr="4F82A3C2">
        <w:rPr>
          <w:rFonts w:ascii="Arial" w:eastAsia="Times New Roman" w:hAnsi="Arial" w:cs="Arial"/>
          <w:color w:val="000000" w:themeColor="text1"/>
          <w:sz w:val="22"/>
          <w:szCs w:val="22"/>
          <w:lang w:val="en-US" w:eastAsia="de-DE"/>
        </w:rPr>
        <w:t>triggered by the de-linking of the RC and RR functions</w:t>
      </w:r>
      <w:r w:rsidRPr="4F82A3C2">
        <w:rPr>
          <w:rFonts w:ascii="Arial" w:eastAsia="Times New Roman" w:hAnsi="Arial" w:cs="Arial"/>
          <w:color w:val="000000" w:themeColor="text1"/>
          <w:sz w:val="22"/>
          <w:szCs w:val="22"/>
          <w:lang w:val="en-US" w:eastAsia="de-DE"/>
        </w:rPr>
        <w:t>. Prior to the de-linking, internal coherence was stronger; a senior</w:t>
      </w:r>
      <w:r w:rsidR="6E3D6330" w:rsidRPr="4F82A3C2">
        <w:rPr>
          <w:rFonts w:ascii="Arial" w:eastAsia="Times New Roman" w:hAnsi="Arial" w:cs="Arial"/>
          <w:color w:val="000000" w:themeColor="text1"/>
          <w:sz w:val="22"/>
          <w:szCs w:val="22"/>
          <w:lang w:val="en-US" w:eastAsia="de-DE"/>
        </w:rPr>
        <w:t xml:space="preserve"> UNDP</w:t>
      </w:r>
      <w:r w:rsidRPr="4F82A3C2">
        <w:rPr>
          <w:rFonts w:ascii="Arial" w:eastAsia="Times New Roman" w:hAnsi="Arial" w:cs="Arial"/>
          <w:color w:val="000000" w:themeColor="text1"/>
          <w:sz w:val="22"/>
          <w:szCs w:val="22"/>
          <w:lang w:val="en-US" w:eastAsia="de-DE"/>
        </w:rPr>
        <w:t xml:space="preserve"> </w:t>
      </w:r>
      <w:r w:rsidR="6E3D6330" w:rsidRPr="4F82A3C2">
        <w:rPr>
          <w:rFonts w:ascii="Arial" w:eastAsia="Times New Roman" w:hAnsi="Arial" w:cs="Arial"/>
          <w:color w:val="000000" w:themeColor="text1"/>
          <w:sz w:val="22"/>
          <w:szCs w:val="22"/>
          <w:lang w:val="en-US" w:eastAsia="de-DE"/>
        </w:rPr>
        <w:t>SSR</w:t>
      </w:r>
      <w:r w:rsidR="19E03E5B" w:rsidRPr="4F82A3C2">
        <w:rPr>
          <w:rFonts w:ascii="Arial" w:eastAsia="Times New Roman" w:hAnsi="Arial" w:cs="Arial"/>
          <w:color w:val="000000" w:themeColor="text1"/>
          <w:sz w:val="22"/>
          <w:szCs w:val="22"/>
          <w:lang w:val="en-US" w:eastAsia="de-DE"/>
        </w:rPr>
        <w:t xml:space="preserve"> </w:t>
      </w:r>
      <w:r w:rsidRPr="4F82A3C2">
        <w:rPr>
          <w:rFonts w:ascii="Arial" w:eastAsia="Times New Roman" w:hAnsi="Arial" w:cs="Arial"/>
          <w:color w:val="000000" w:themeColor="text1"/>
          <w:sz w:val="22"/>
          <w:szCs w:val="22"/>
          <w:lang w:val="en-US" w:eastAsia="de-DE"/>
        </w:rPr>
        <w:t xml:space="preserve">advisor </w:t>
      </w:r>
      <w:r w:rsidR="6E3D6330" w:rsidRPr="4F82A3C2">
        <w:rPr>
          <w:rFonts w:ascii="Arial" w:eastAsia="Times New Roman" w:hAnsi="Arial" w:cs="Arial"/>
          <w:color w:val="000000" w:themeColor="text1"/>
          <w:sz w:val="22"/>
          <w:szCs w:val="22"/>
          <w:lang w:val="en-US" w:eastAsia="de-DE"/>
        </w:rPr>
        <w:t>with a direct reporting line to the RC</w:t>
      </w:r>
      <w:r w:rsidRPr="4F82A3C2">
        <w:rPr>
          <w:rFonts w:ascii="Arial" w:eastAsia="Times New Roman" w:hAnsi="Arial" w:cs="Arial"/>
          <w:color w:val="000000" w:themeColor="text1"/>
          <w:sz w:val="22"/>
          <w:szCs w:val="22"/>
          <w:lang w:val="en-US" w:eastAsia="de-DE"/>
        </w:rPr>
        <w:t xml:space="preserve"> used to supervise UNDP </w:t>
      </w:r>
      <w:r w:rsidR="6E3D6330" w:rsidRPr="4F82A3C2">
        <w:rPr>
          <w:rFonts w:ascii="Arial" w:eastAsia="Times New Roman" w:hAnsi="Arial" w:cs="Arial"/>
          <w:color w:val="000000" w:themeColor="text1"/>
          <w:sz w:val="22"/>
          <w:szCs w:val="22"/>
          <w:lang w:val="en-US" w:eastAsia="de-DE"/>
        </w:rPr>
        <w:t xml:space="preserve">ROL </w:t>
      </w:r>
      <w:r w:rsidRPr="4F82A3C2">
        <w:rPr>
          <w:rFonts w:ascii="Arial" w:eastAsia="Times New Roman" w:hAnsi="Arial" w:cs="Arial"/>
          <w:color w:val="000000" w:themeColor="text1"/>
          <w:sz w:val="22"/>
          <w:szCs w:val="22"/>
          <w:lang w:val="en-US" w:eastAsia="de-DE"/>
        </w:rPr>
        <w:t>project staff and</w:t>
      </w:r>
      <w:r w:rsidR="6E3D6330" w:rsidRPr="4F82A3C2">
        <w:rPr>
          <w:rFonts w:ascii="Arial" w:eastAsia="Times New Roman" w:hAnsi="Arial" w:cs="Arial"/>
          <w:color w:val="000000" w:themeColor="text1"/>
          <w:sz w:val="22"/>
          <w:szCs w:val="22"/>
          <w:lang w:val="en-US" w:eastAsia="de-DE"/>
        </w:rPr>
        <w:t xml:space="preserve"> was thus at least indirectly involved </w:t>
      </w:r>
      <w:r w:rsidRPr="4F82A3C2">
        <w:rPr>
          <w:rFonts w:ascii="Arial" w:eastAsia="Times New Roman" w:hAnsi="Arial" w:cs="Arial"/>
          <w:color w:val="000000" w:themeColor="text1"/>
          <w:sz w:val="22"/>
          <w:szCs w:val="22"/>
          <w:lang w:val="en-US" w:eastAsia="de-DE"/>
        </w:rPr>
        <w:t xml:space="preserve">in programme management. With the de-linking, this connection was severed. </w:t>
      </w:r>
      <w:r w:rsidR="2568D2A7" w:rsidRPr="4F82A3C2">
        <w:rPr>
          <w:rFonts w:ascii="Arial" w:eastAsia="Times New Roman" w:hAnsi="Arial" w:cs="Arial"/>
          <w:color w:val="000000" w:themeColor="text1"/>
          <w:sz w:val="22"/>
          <w:szCs w:val="22"/>
          <w:lang w:val="en-US" w:eastAsia="de-DE"/>
        </w:rPr>
        <w:t xml:space="preserve">The RCO argues that human </w:t>
      </w:r>
      <w:r w:rsidR="74C91A30" w:rsidRPr="4F82A3C2">
        <w:rPr>
          <w:rFonts w:ascii="Arial" w:eastAsia="Times New Roman" w:hAnsi="Arial" w:cs="Arial"/>
          <w:color w:val="000000" w:themeColor="text1"/>
          <w:sz w:val="22"/>
          <w:szCs w:val="22"/>
          <w:lang w:val="en-US" w:eastAsia="de-DE"/>
        </w:rPr>
        <w:t>rights</w:t>
      </w:r>
      <w:r w:rsidR="2568D2A7" w:rsidRPr="4F82A3C2">
        <w:rPr>
          <w:rFonts w:ascii="Arial" w:eastAsia="Times New Roman" w:hAnsi="Arial" w:cs="Arial"/>
          <w:color w:val="000000" w:themeColor="text1"/>
          <w:sz w:val="22"/>
          <w:szCs w:val="22"/>
          <w:lang w:val="en-US" w:eastAsia="de-DE"/>
        </w:rPr>
        <w:t xml:space="preserve"> and </w:t>
      </w:r>
      <w:r w:rsidR="3336294E" w:rsidRPr="4F82A3C2">
        <w:rPr>
          <w:rFonts w:ascii="Arial" w:eastAsia="Times New Roman" w:hAnsi="Arial" w:cs="Arial"/>
          <w:color w:val="000000" w:themeColor="text1"/>
          <w:sz w:val="22"/>
          <w:szCs w:val="22"/>
          <w:lang w:val="en-US" w:eastAsia="de-DE"/>
        </w:rPr>
        <w:t>social</w:t>
      </w:r>
      <w:r w:rsidR="2568D2A7" w:rsidRPr="4F82A3C2">
        <w:rPr>
          <w:rFonts w:ascii="Arial" w:eastAsia="Times New Roman" w:hAnsi="Arial" w:cs="Arial"/>
          <w:color w:val="000000" w:themeColor="text1"/>
          <w:sz w:val="22"/>
          <w:szCs w:val="22"/>
          <w:lang w:val="en-US" w:eastAsia="de-DE"/>
        </w:rPr>
        <w:t xml:space="preserve"> cohesion</w:t>
      </w:r>
      <w:r w:rsidR="0F0ED9DF" w:rsidRPr="4F82A3C2">
        <w:rPr>
          <w:rFonts w:ascii="Arial" w:eastAsia="Times New Roman" w:hAnsi="Arial" w:cs="Arial"/>
          <w:color w:val="000000" w:themeColor="text1"/>
          <w:sz w:val="22"/>
          <w:szCs w:val="22"/>
          <w:lang w:val="en-US" w:eastAsia="de-DE"/>
        </w:rPr>
        <w:t xml:space="preserve"> are cross cutting issues under the remit of UN internal coordination, and as such </w:t>
      </w:r>
      <w:r w:rsidR="215809F2" w:rsidRPr="4F82A3C2">
        <w:rPr>
          <w:rFonts w:ascii="Arial" w:eastAsia="Times New Roman" w:hAnsi="Arial" w:cs="Arial"/>
          <w:color w:val="000000" w:themeColor="text1"/>
          <w:sz w:val="22"/>
          <w:szCs w:val="22"/>
          <w:lang w:val="en-US" w:eastAsia="de-DE"/>
        </w:rPr>
        <w:t>claims a convening role for the GFP</w:t>
      </w:r>
      <w:r w:rsidRPr="4F82A3C2">
        <w:rPr>
          <w:rFonts w:ascii="Arial" w:eastAsia="Times New Roman" w:hAnsi="Arial" w:cs="Arial"/>
          <w:color w:val="000000" w:themeColor="text1"/>
          <w:sz w:val="22"/>
          <w:szCs w:val="22"/>
          <w:lang w:val="en-US" w:eastAsia="de-DE"/>
        </w:rPr>
        <w:t xml:space="preserve">. Meanwhile, UNDP are at this point not actively pursuing the GFP agenda either in terms of funding </w:t>
      </w:r>
      <w:r w:rsidR="15F0EC25" w:rsidRPr="4F82A3C2">
        <w:rPr>
          <w:rFonts w:ascii="Arial" w:eastAsia="Times New Roman" w:hAnsi="Arial" w:cs="Arial"/>
          <w:color w:val="000000" w:themeColor="text1"/>
          <w:sz w:val="22"/>
          <w:szCs w:val="22"/>
          <w:lang w:val="en-US" w:eastAsia="de-DE"/>
        </w:rPr>
        <w:t>or</w:t>
      </w:r>
      <w:r w:rsidRPr="4F82A3C2">
        <w:rPr>
          <w:rFonts w:ascii="Arial" w:eastAsia="Times New Roman" w:hAnsi="Arial" w:cs="Arial"/>
          <w:color w:val="000000" w:themeColor="text1"/>
          <w:sz w:val="22"/>
          <w:szCs w:val="22"/>
          <w:lang w:val="en-US" w:eastAsia="de-DE"/>
        </w:rPr>
        <w:t xml:space="preserve"> </w:t>
      </w:r>
      <w:r w:rsidR="15F0EC25" w:rsidRPr="4F82A3C2">
        <w:rPr>
          <w:rFonts w:ascii="Arial" w:eastAsia="Times New Roman" w:hAnsi="Arial" w:cs="Arial"/>
          <w:color w:val="000000" w:themeColor="text1"/>
          <w:sz w:val="22"/>
          <w:szCs w:val="22"/>
          <w:lang w:val="en-US" w:eastAsia="de-DE"/>
        </w:rPr>
        <w:t>other</w:t>
      </w:r>
      <w:r w:rsidRPr="4F82A3C2">
        <w:rPr>
          <w:rFonts w:ascii="Arial" w:eastAsia="Times New Roman" w:hAnsi="Arial" w:cs="Arial"/>
          <w:color w:val="000000" w:themeColor="text1"/>
          <w:sz w:val="22"/>
          <w:szCs w:val="22"/>
          <w:lang w:val="en-US" w:eastAsia="de-DE"/>
        </w:rPr>
        <w:t xml:space="preserve"> support</w:t>
      </w:r>
      <w:r w:rsidR="009169E7">
        <w:rPr>
          <w:rFonts w:ascii="Arial" w:eastAsia="Times New Roman" w:hAnsi="Arial" w:cs="Arial"/>
          <w:color w:val="000000" w:themeColor="text1"/>
          <w:sz w:val="22"/>
          <w:szCs w:val="22"/>
          <w:lang w:val="en-US" w:eastAsia="de-DE"/>
        </w:rPr>
        <w:t xml:space="preserve"> </w:t>
      </w:r>
      <w:r w:rsidRPr="4F82A3C2">
        <w:rPr>
          <w:rFonts w:ascii="Arial" w:eastAsia="Times New Roman" w:hAnsi="Arial" w:cs="Arial"/>
          <w:color w:val="000000" w:themeColor="text1"/>
          <w:sz w:val="22"/>
          <w:szCs w:val="22"/>
          <w:lang w:val="en-US" w:eastAsia="de-DE"/>
        </w:rPr>
        <w:t>since there is no real incentive to do so. Therefore,</w:t>
      </w:r>
      <w:r w:rsidR="49FD79B8" w:rsidRPr="4F82A3C2">
        <w:rPr>
          <w:rFonts w:ascii="Arial" w:eastAsia="Times New Roman" w:hAnsi="Arial" w:cs="Arial"/>
          <w:color w:val="000000" w:themeColor="text1"/>
          <w:sz w:val="22"/>
          <w:szCs w:val="22"/>
          <w:lang w:val="en-US" w:eastAsia="de-DE"/>
        </w:rPr>
        <w:t xml:space="preserve"> for the time being</w:t>
      </w:r>
      <w:r w:rsidRPr="4F82A3C2">
        <w:rPr>
          <w:rFonts w:ascii="Arial" w:eastAsia="Times New Roman" w:hAnsi="Arial" w:cs="Arial"/>
          <w:color w:val="000000" w:themeColor="text1"/>
          <w:sz w:val="22"/>
          <w:szCs w:val="22"/>
          <w:lang w:val="en-US" w:eastAsia="de-DE"/>
        </w:rPr>
        <w:t xml:space="preserve"> the GFP mechanism remains dormant</w:t>
      </w:r>
      <w:r w:rsidR="4EC6651C" w:rsidRPr="4F82A3C2">
        <w:rPr>
          <w:rFonts w:ascii="Arial" w:eastAsia="Times New Roman" w:hAnsi="Arial" w:cs="Arial"/>
          <w:color w:val="000000" w:themeColor="text1"/>
          <w:sz w:val="22"/>
          <w:szCs w:val="22"/>
          <w:lang w:val="en-US" w:eastAsia="de-DE"/>
        </w:rPr>
        <w:t xml:space="preserve"> in Burkina Faso</w:t>
      </w:r>
      <w:r w:rsidRPr="4F82A3C2">
        <w:rPr>
          <w:rFonts w:ascii="Arial" w:eastAsia="Times New Roman" w:hAnsi="Arial" w:cs="Arial"/>
          <w:color w:val="000000" w:themeColor="text1"/>
          <w:sz w:val="22"/>
          <w:szCs w:val="22"/>
          <w:lang w:val="en-US" w:eastAsia="de-DE"/>
        </w:rPr>
        <w:t>. Social cohesion and mainstreaming human rights across ROLSHR are at the center of the discussion about how to frame the nexus/</w:t>
      </w:r>
      <w:r w:rsidR="734B22E4" w:rsidRPr="4F82A3C2">
        <w:rPr>
          <w:rFonts w:ascii="Arial" w:eastAsia="Times New Roman" w:hAnsi="Arial" w:cs="Arial"/>
          <w:color w:val="000000" w:themeColor="text1"/>
          <w:sz w:val="22"/>
          <w:szCs w:val="22"/>
          <w:lang w:val="en-US" w:eastAsia="de-DE"/>
        </w:rPr>
        <w:t>New Way of Working</w:t>
      </w:r>
      <w:r w:rsidRPr="4F82A3C2">
        <w:rPr>
          <w:rFonts w:ascii="Arial" w:eastAsia="Times New Roman" w:hAnsi="Arial" w:cs="Arial"/>
          <w:color w:val="000000" w:themeColor="text1"/>
          <w:sz w:val="22"/>
          <w:szCs w:val="22"/>
          <w:lang w:val="en-US" w:eastAsia="de-DE"/>
        </w:rPr>
        <w:t xml:space="preserve"> and operationalize the peace(building) and security architecture in this context. Coherence could be improved via clear rules and </w:t>
      </w:r>
      <w:r w:rsidR="734B22E4" w:rsidRPr="4F82A3C2">
        <w:rPr>
          <w:rFonts w:ascii="Arial" w:eastAsia="Times New Roman" w:hAnsi="Arial" w:cs="Arial"/>
          <w:color w:val="000000" w:themeColor="text1"/>
          <w:sz w:val="22"/>
          <w:szCs w:val="22"/>
          <w:lang w:val="en-US" w:eastAsia="de-DE"/>
        </w:rPr>
        <w:t>standard operating procedures</w:t>
      </w:r>
      <w:r w:rsidRPr="4F82A3C2">
        <w:rPr>
          <w:rFonts w:ascii="Arial" w:eastAsia="Times New Roman" w:hAnsi="Arial" w:cs="Arial"/>
          <w:color w:val="000000" w:themeColor="text1"/>
          <w:sz w:val="22"/>
          <w:szCs w:val="22"/>
          <w:lang w:val="en-US" w:eastAsia="de-DE"/>
        </w:rPr>
        <w:t xml:space="preserve"> (SOPs) or at least, general guidance on who is convening the GFP. </w:t>
      </w:r>
    </w:p>
    <w:p w14:paraId="4EDA14BF" w14:textId="0B22534E" w:rsidR="0029366C" w:rsidRPr="002A6E99" w:rsidRDefault="0029366C" w:rsidP="00E80114">
      <w:pPr>
        <w:spacing w:line="240" w:lineRule="auto"/>
        <w:rPr>
          <w:rFonts w:ascii="Arial" w:eastAsia="Times New Roman" w:hAnsi="Arial" w:cs="Arial"/>
          <w:sz w:val="22"/>
          <w:szCs w:val="22"/>
          <w:lang w:val="en-US" w:eastAsia="de-DE"/>
        </w:rPr>
      </w:pPr>
      <w:r w:rsidRPr="002A6E99">
        <w:rPr>
          <w:rFonts w:ascii="Arial" w:eastAsia="Times New Roman" w:hAnsi="Arial" w:cs="Arial"/>
          <w:color w:val="000000"/>
          <w:sz w:val="22"/>
          <w:szCs w:val="22"/>
          <w:lang w:val="en-US" w:eastAsia="de-DE"/>
        </w:rPr>
        <w:t xml:space="preserve">In </w:t>
      </w:r>
      <w:r w:rsidRPr="002A6E99">
        <w:rPr>
          <w:rFonts w:ascii="Arial" w:eastAsia="Times New Roman" w:hAnsi="Arial" w:cs="Arial"/>
          <w:b/>
          <w:bCs/>
          <w:color w:val="000000"/>
          <w:sz w:val="22"/>
          <w:szCs w:val="22"/>
          <w:lang w:val="en-US" w:eastAsia="de-DE"/>
        </w:rPr>
        <w:t>CAR,</w:t>
      </w:r>
      <w:r w:rsidRPr="002A6E99">
        <w:rPr>
          <w:rFonts w:ascii="Arial" w:eastAsia="Times New Roman" w:hAnsi="Arial" w:cs="Arial"/>
          <w:color w:val="000000"/>
          <w:sz w:val="22"/>
          <w:szCs w:val="22"/>
          <w:lang w:val="en-US" w:eastAsia="de-DE"/>
        </w:rPr>
        <w:t xml:space="preserve"> similarly to Somalia, the external perception of coherence between UN ROLSHR stakeholders</w:t>
      </w:r>
      <w:r w:rsidRPr="002A6E99">
        <w:rPr>
          <w:rFonts w:ascii="Arial" w:eastAsia="Times New Roman" w:hAnsi="Arial" w:cs="Arial"/>
          <w:sz w:val="22"/>
          <w:szCs w:val="22"/>
          <w:lang w:val="en-US" w:eastAsia="de-DE"/>
        </w:rPr>
        <w:t xml:space="preserve"> benefits from the donors being aware of both the GP and GFP. However, in terms of genuine internal coherence, there are serious concerns </w:t>
      </w:r>
      <w:r w:rsidR="007F3C79">
        <w:rPr>
          <w:rFonts w:ascii="Arial" w:eastAsia="Times New Roman" w:hAnsi="Arial" w:cs="Arial"/>
          <w:sz w:val="22"/>
          <w:szCs w:val="22"/>
          <w:lang w:val="en-US" w:eastAsia="de-DE"/>
        </w:rPr>
        <w:t xml:space="preserve">that </w:t>
      </w:r>
      <w:r w:rsidRPr="002A6E99">
        <w:rPr>
          <w:rFonts w:ascii="Arial" w:eastAsia="Times New Roman" w:hAnsi="Arial" w:cs="Arial"/>
          <w:sz w:val="22"/>
          <w:szCs w:val="22"/>
          <w:lang w:val="en-US" w:eastAsia="de-DE"/>
        </w:rPr>
        <w:t>“</w:t>
      </w:r>
      <w:r w:rsidRPr="002A6E99">
        <w:rPr>
          <w:rFonts w:ascii="Arial" w:eastAsia="Times New Roman" w:hAnsi="Arial" w:cs="Arial"/>
          <w:i/>
          <w:iCs/>
          <w:sz w:val="22"/>
          <w:szCs w:val="22"/>
          <w:lang w:val="en-US" w:eastAsia="de-DE"/>
        </w:rPr>
        <w:t>the Mission and UNDP at times seem to be speaking two different languages</w:t>
      </w:r>
      <w:r w:rsidRPr="002A6E99">
        <w:rPr>
          <w:rFonts w:ascii="Arial" w:eastAsia="Times New Roman" w:hAnsi="Arial" w:cs="Arial"/>
          <w:sz w:val="22"/>
          <w:szCs w:val="22"/>
          <w:lang w:val="en-US" w:eastAsia="de-DE"/>
        </w:rPr>
        <w:t>”</w:t>
      </w:r>
      <w:r w:rsidR="007F3C79">
        <w:rPr>
          <w:rFonts w:ascii="Arial" w:eastAsia="Times New Roman" w:hAnsi="Arial" w:cs="Arial"/>
          <w:sz w:val="22"/>
          <w:szCs w:val="22"/>
          <w:lang w:val="en-US" w:eastAsia="de-DE"/>
        </w:rPr>
        <w:t>,</w:t>
      </w:r>
      <w:r w:rsidRPr="002A6E99">
        <w:rPr>
          <w:rFonts w:ascii="Arial" w:eastAsia="Times New Roman" w:hAnsi="Arial" w:cs="Arial"/>
          <w:sz w:val="22"/>
          <w:szCs w:val="22"/>
          <w:lang w:val="en-US" w:eastAsia="de-DE"/>
        </w:rPr>
        <w:t xml:space="preserve"> as one informant put it. UN cross-agency coordination in support of the hybrid Special Criminal Court has been quite poor, with informants commenting on unclear division of responsibilities, differences in perception, divergent approaches embedded in disparate organizational cultures, etc. </w:t>
      </w:r>
    </w:p>
    <w:p w14:paraId="1F5ABFA0" w14:textId="18601C8E" w:rsidR="0029366C" w:rsidRPr="002A6E99" w:rsidRDefault="0029366C" w:rsidP="00E80114">
      <w:pPr>
        <w:spacing w:line="240" w:lineRule="auto"/>
        <w:rPr>
          <w:rFonts w:ascii="Arial" w:eastAsia="Times New Roman" w:hAnsi="Arial" w:cs="Arial"/>
          <w:sz w:val="22"/>
          <w:szCs w:val="22"/>
          <w:lang w:val="en-US" w:eastAsia="de-DE"/>
        </w:rPr>
      </w:pPr>
      <w:r w:rsidRPr="002A6E99">
        <w:rPr>
          <w:rFonts w:ascii="Arial" w:eastAsia="Times New Roman" w:hAnsi="Arial" w:cs="Arial"/>
          <w:sz w:val="22"/>
          <w:szCs w:val="22"/>
          <w:lang w:val="en-US" w:eastAsia="de-DE"/>
        </w:rPr>
        <w:t xml:space="preserve">The ISSAT 2018 evaluation found that UN informants recognized the added value of GP in advocacy and mobilization of resources, but low visibility of GP’s high-level policy support meant that stakeholders were not aware of any effect on coherence or coordination. CAR is infamous among GFP insiders for the interoperability challenges faced by an expert deployed from the Standing Capacity from Brindisi, detailed to temporarily serve as ROL CTA but not able to utilize </w:t>
      </w:r>
      <w:r w:rsidR="00470E82">
        <w:rPr>
          <w:rFonts w:ascii="Arial" w:eastAsia="Times New Roman" w:hAnsi="Arial" w:cs="Arial"/>
          <w:sz w:val="22"/>
          <w:szCs w:val="22"/>
          <w:lang w:val="en-US" w:eastAsia="de-DE"/>
        </w:rPr>
        <w:t xml:space="preserve">the </w:t>
      </w:r>
      <w:r w:rsidRPr="002A6E99">
        <w:rPr>
          <w:rFonts w:ascii="Arial" w:eastAsia="Times New Roman" w:hAnsi="Arial" w:cs="Arial"/>
          <w:sz w:val="22"/>
          <w:szCs w:val="22"/>
          <w:lang w:val="en-US" w:eastAsia="de-DE"/>
        </w:rPr>
        <w:t xml:space="preserve">ATLAS </w:t>
      </w:r>
      <w:r w:rsidR="00470E82">
        <w:rPr>
          <w:rFonts w:ascii="Arial" w:eastAsia="Times New Roman" w:hAnsi="Arial" w:cs="Arial"/>
          <w:sz w:val="22"/>
          <w:szCs w:val="22"/>
          <w:lang w:val="en-US" w:eastAsia="de-DE"/>
        </w:rPr>
        <w:t xml:space="preserve">system </w:t>
      </w:r>
      <w:r w:rsidRPr="002A6E99">
        <w:rPr>
          <w:rFonts w:ascii="Arial" w:eastAsia="Times New Roman" w:hAnsi="Arial" w:cs="Arial"/>
          <w:sz w:val="22"/>
          <w:szCs w:val="22"/>
          <w:lang w:val="en-US" w:eastAsia="de-DE"/>
        </w:rPr>
        <w:t xml:space="preserve">due to access set-up issues. </w:t>
      </w:r>
    </w:p>
    <w:p w14:paraId="0ADA2DEB" w14:textId="5E4A684B" w:rsidR="0029366C" w:rsidRPr="002A6E99" w:rsidRDefault="0029366C" w:rsidP="00E80114">
      <w:pPr>
        <w:spacing w:line="240" w:lineRule="auto"/>
        <w:rPr>
          <w:rFonts w:ascii="Arial" w:hAnsi="Arial" w:cs="Arial"/>
          <w:color w:val="000000"/>
          <w:sz w:val="22"/>
          <w:szCs w:val="22"/>
          <w:lang w:val="en-US"/>
        </w:rPr>
      </w:pPr>
      <w:r w:rsidRPr="002A6E99">
        <w:rPr>
          <w:rFonts w:ascii="Arial" w:hAnsi="Arial" w:cs="Arial"/>
          <w:color w:val="000000"/>
          <w:sz w:val="22"/>
          <w:szCs w:val="22"/>
          <w:lang w:val="en-US"/>
        </w:rPr>
        <w:t xml:space="preserve">In </w:t>
      </w:r>
      <w:r w:rsidRPr="002A6E99">
        <w:rPr>
          <w:rFonts w:ascii="Arial" w:hAnsi="Arial" w:cs="Arial"/>
          <w:b/>
          <w:bCs/>
          <w:color w:val="000000"/>
          <w:sz w:val="22"/>
          <w:szCs w:val="22"/>
          <w:lang w:val="en-US"/>
        </w:rPr>
        <w:t xml:space="preserve">Somalia, </w:t>
      </w:r>
      <w:r w:rsidRPr="002A6E99">
        <w:rPr>
          <w:rFonts w:ascii="Arial" w:hAnsi="Arial" w:cs="Arial"/>
          <w:color w:val="000000"/>
          <w:sz w:val="22"/>
          <w:szCs w:val="22"/>
          <w:lang w:val="en-US"/>
        </w:rPr>
        <w:t>stakeholders including UNDP, other UN entities, the D</w:t>
      </w:r>
      <w:r w:rsidR="00470E82">
        <w:rPr>
          <w:rFonts w:ascii="Arial" w:hAnsi="Arial" w:cs="Arial"/>
          <w:color w:val="000000"/>
          <w:sz w:val="22"/>
          <w:szCs w:val="22"/>
          <w:lang w:val="en-US"/>
        </w:rPr>
        <w:t xml:space="preserve">eputy </w:t>
      </w:r>
      <w:r w:rsidRPr="002A6E99">
        <w:rPr>
          <w:rFonts w:ascii="Arial" w:hAnsi="Arial" w:cs="Arial"/>
          <w:color w:val="000000"/>
          <w:sz w:val="22"/>
          <w:szCs w:val="22"/>
          <w:lang w:val="en-US"/>
        </w:rPr>
        <w:t>S</w:t>
      </w:r>
      <w:r w:rsidR="00470E82">
        <w:rPr>
          <w:rFonts w:ascii="Arial" w:hAnsi="Arial" w:cs="Arial"/>
          <w:color w:val="000000"/>
          <w:sz w:val="22"/>
          <w:szCs w:val="22"/>
          <w:lang w:val="en-US"/>
        </w:rPr>
        <w:t xml:space="preserve">pecial Representative of the </w:t>
      </w:r>
      <w:r w:rsidRPr="002A6E99">
        <w:rPr>
          <w:rFonts w:ascii="Arial" w:hAnsi="Arial" w:cs="Arial"/>
          <w:color w:val="000000"/>
          <w:sz w:val="22"/>
          <w:szCs w:val="22"/>
          <w:lang w:val="en-US"/>
        </w:rPr>
        <w:t>S</w:t>
      </w:r>
      <w:r w:rsidR="00470E82">
        <w:rPr>
          <w:rFonts w:ascii="Arial" w:hAnsi="Arial" w:cs="Arial"/>
          <w:color w:val="000000"/>
          <w:sz w:val="22"/>
          <w:szCs w:val="22"/>
          <w:lang w:val="en-US"/>
        </w:rPr>
        <w:t>ecretary General (DSRSG)</w:t>
      </w:r>
      <w:r w:rsidRPr="002A6E99">
        <w:rPr>
          <w:rFonts w:ascii="Arial" w:hAnsi="Arial" w:cs="Arial"/>
          <w:color w:val="000000"/>
          <w:sz w:val="22"/>
          <w:szCs w:val="22"/>
          <w:lang w:val="en-US"/>
        </w:rPr>
        <w:t xml:space="preserve">/RC (Development), </w:t>
      </w:r>
      <w:r w:rsidR="00470E82" w:rsidRPr="00ED3E5C">
        <w:rPr>
          <w:rFonts w:ascii="Arial" w:hAnsi="Arial" w:cs="Arial"/>
          <w:color w:val="000000"/>
          <w:sz w:val="22"/>
          <w:szCs w:val="22"/>
          <w:lang w:val="en-US"/>
        </w:rPr>
        <w:t xml:space="preserve">the </w:t>
      </w:r>
      <w:r w:rsidR="00470E82" w:rsidRPr="00ED3E5C">
        <w:rPr>
          <w:rFonts w:ascii="Arial" w:hAnsi="Arial" w:cs="Arial"/>
          <w:sz w:val="22"/>
          <w:szCs w:val="22"/>
        </w:rPr>
        <w:t>United Nations Assistance Mission in Somalia</w:t>
      </w:r>
      <w:r w:rsidR="00470E82" w:rsidRPr="00ED3E5C">
        <w:rPr>
          <w:rFonts w:ascii="Arial" w:hAnsi="Arial" w:cs="Arial"/>
          <w:color w:val="000000"/>
          <w:sz w:val="22"/>
          <w:szCs w:val="22"/>
          <w:lang w:val="en-US"/>
        </w:rPr>
        <w:t xml:space="preserve"> (</w:t>
      </w:r>
      <w:r w:rsidRPr="00ED3E5C">
        <w:rPr>
          <w:rFonts w:ascii="Arial" w:hAnsi="Arial" w:cs="Arial"/>
          <w:color w:val="000000"/>
          <w:sz w:val="22"/>
          <w:szCs w:val="22"/>
          <w:lang w:val="en-US"/>
        </w:rPr>
        <w:t>UNSOM</w:t>
      </w:r>
      <w:r w:rsidR="00470E82" w:rsidRPr="00ED3E5C">
        <w:rPr>
          <w:rFonts w:ascii="Arial" w:hAnsi="Arial" w:cs="Arial"/>
          <w:color w:val="000000"/>
          <w:sz w:val="22"/>
          <w:szCs w:val="22"/>
          <w:lang w:val="en-US"/>
        </w:rPr>
        <w:t xml:space="preserve">), </w:t>
      </w:r>
      <w:r w:rsidRPr="00ED3E5C">
        <w:rPr>
          <w:rFonts w:ascii="Arial" w:hAnsi="Arial" w:cs="Arial"/>
          <w:color w:val="000000"/>
          <w:sz w:val="22"/>
          <w:szCs w:val="22"/>
          <w:lang w:val="en-US"/>
        </w:rPr>
        <w:t>DPO</w:t>
      </w:r>
      <w:r w:rsidRPr="002A6E99">
        <w:rPr>
          <w:rFonts w:ascii="Arial" w:hAnsi="Arial" w:cs="Arial"/>
          <w:color w:val="000000"/>
          <w:sz w:val="22"/>
          <w:szCs w:val="22"/>
          <w:lang w:val="en-US"/>
        </w:rPr>
        <w:t>-OROLSI</w:t>
      </w:r>
      <w:r w:rsidR="00ED3E5C">
        <w:rPr>
          <w:rFonts w:ascii="Arial" w:hAnsi="Arial" w:cs="Arial"/>
          <w:color w:val="000000"/>
          <w:sz w:val="22"/>
          <w:szCs w:val="22"/>
          <w:lang w:val="en-US"/>
        </w:rPr>
        <w:t>,</w:t>
      </w:r>
      <w:r w:rsidRPr="002A6E99">
        <w:rPr>
          <w:rFonts w:ascii="Arial" w:hAnsi="Arial" w:cs="Arial"/>
          <w:color w:val="000000"/>
          <w:sz w:val="22"/>
          <w:szCs w:val="22"/>
          <w:lang w:val="en-US"/>
        </w:rPr>
        <w:t xml:space="preserve"> as well as key national counterparts </w:t>
      </w:r>
      <w:r w:rsidR="00470E82">
        <w:rPr>
          <w:rFonts w:ascii="Arial" w:hAnsi="Arial" w:cs="Arial"/>
          <w:color w:val="000000"/>
          <w:sz w:val="22"/>
          <w:szCs w:val="22"/>
          <w:lang w:val="en-US"/>
        </w:rPr>
        <w:t>generally</w:t>
      </w:r>
      <w:r w:rsidRPr="002A6E99">
        <w:rPr>
          <w:rFonts w:ascii="Arial" w:hAnsi="Arial" w:cs="Arial"/>
          <w:color w:val="000000"/>
          <w:sz w:val="22"/>
          <w:szCs w:val="22"/>
          <w:lang w:val="en-US"/>
        </w:rPr>
        <w:t xml:space="preserve"> acknowledged the </w:t>
      </w:r>
      <w:r w:rsidR="00512D35">
        <w:rPr>
          <w:rFonts w:ascii="Arial" w:hAnsi="Arial" w:cs="Arial"/>
          <w:color w:val="000000"/>
          <w:sz w:val="22"/>
          <w:szCs w:val="22"/>
          <w:lang w:val="en-US"/>
        </w:rPr>
        <w:t>vital</w:t>
      </w:r>
      <w:r w:rsidRPr="002A6E99">
        <w:rPr>
          <w:rFonts w:ascii="Arial" w:hAnsi="Arial" w:cs="Arial"/>
          <w:color w:val="000000"/>
          <w:sz w:val="22"/>
          <w:szCs w:val="22"/>
          <w:lang w:val="en-US"/>
        </w:rPr>
        <w:t xml:space="preserve"> </w:t>
      </w:r>
      <w:r w:rsidR="00ED3E5C">
        <w:rPr>
          <w:rFonts w:ascii="Arial" w:hAnsi="Arial" w:cs="Arial"/>
          <w:color w:val="000000"/>
          <w:sz w:val="22"/>
          <w:szCs w:val="22"/>
          <w:lang w:val="en-US"/>
        </w:rPr>
        <w:t>nature</w:t>
      </w:r>
      <w:r w:rsidRPr="002A6E99">
        <w:rPr>
          <w:rFonts w:ascii="Arial" w:hAnsi="Arial" w:cs="Arial"/>
          <w:color w:val="000000"/>
          <w:sz w:val="22"/>
          <w:szCs w:val="22"/>
          <w:lang w:val="en-US"/>
        </w:rPr>
        <w:t xml:space="preserve"> of UNDP’s coordination function via its broadly defined RoL portfolio. Somalia is one of the stand-out global test beds for the GFP mechanism. </w:t>
      </w:r>
      <w:r w:rsidRPr="002A6E99">
        <w:rPr>
          <w:rFonts w:ascii="Arial" w:eastAsia="Times New Roman" w:hAnsi="Arial" w:cs="Arial"/>
          <w:sz w:val="22"/>
          <w:szCs w:val="22"/>
          <w:lang w:val="en-US" w:eastAsia="de-DE"/>
        </w:rPr>
        <w:t xml:space="preserve">GFP has demonstrated positive impact on UN-internal collaboration across the ROLSHR portfolio with a strong focus on joint programmes. The Joint Justice Programme (JJP) counts UNDP, UNSOM, UN Women, UNICEF and </w:t>
      </w:r>
      <w:r w:rsidR="00512D35">
        <w:rPr>
          <w:rFonts w:ascii="Arial" w:eastAsia="Times New Roman" w:hAnsi="Arial" w:cs="Arial"/>
          <w:sz w:val="22"/>
          <w:szCs w:val="22"/>
          <w:lang w:val="en-US" w:eastAsia="de-DE"/>
        </w:rPr>
        <w:t>the International Development Law Organization (</w:t>
      </w:r>
      <w:r w:rsidRPr="002A6E99">
        <w:rPr>
          <w:rFonts w:ascii="Arial" w:eastAsia="Times New Roman" w:hAnsi="Arial" w:cs="Arial"/>
          <w:sz w:val="22"/>
          <w:szCs w:val="22"/>
          <w:lang w:val="en-US" w:eastAsia="de-DE"/>
        </w:rPr>
        <w:t>IDLO</w:t>
      </w:r>
      <w:r w:rsidR="00512D35">
        <w:rPr>
          <w:rFonts w:ascii="Arial" w:eastAsia="Times New Roman" w:hAnsi="Arial" w:cs="Arial"/>
          <w:sz w:val="22"/>
          <w:szCs w:val="22"/>
          <w:lang w:val="en-US" w:eastAsia="de-DE"/>
        </w:rPr>
        <w:t>)</w:t>
      </w:r>
      <w:r w:rsidRPr="002A6E99">
        <w:rPr>
          <w:rFonts w:ascii="Arial" w:eastAsia="Times New Roman" w:hAnsi="Arial" w:cs="Arial"/>
          <w:sz w:val="22"/>
          <w:szCs w:val="22"/>
          <w:lang w:val="en-US" w:eastAsia="de-DE"/>
        </w:rPr>
        <w:t xml:space="preserve"> among its partners. As well, t</w:t>
      </w:r>
      <w:r w:rsidRPr="002A6E99">
        <w:rPr>
          <w:rFonts w:ascii="Arial" w:hAnsi="Arial" w:cs="Arial"/>
          <w:color w:val="000000"/>
          <w:sz w:val="22"/>
          <w:szCs w:val="22"/>
          <w:lang w:val="en-US"/>
        </w:rPr>
        <w:t>he GP</w:t>
      </w:r>
      <w:r w:rsidR="00ED3E5C">
        <w:rPr>
          <w:rFonts w:ascii="Arial" w:hAnsi="Arial" w:cs="Arial"/>
          <w:color w:val="000000"/>
          <w:sz w:val="22"/>
          <w:szCs w:val="22"/>
          <w:lang w:val="en-US"/>
        </w:rPr>
        <w:t>-</w:t>
      </w:r>
      <w:r w:rsidRPr="002A6E99">
        <w:rPr>
          <w:rFonts w:ascii="Arial" w:hAnsi="Arial" w:cs="Arial"/>
          <w:color w:val="000000"/>
          <w:sz w:val="22"/>
          <w:szCs w:val="22"/>
          <w:lang w:val="en-US"/>
        </w:rPr>
        <w:t>support</w:t>
      </w:r>
      <w:r w:rsidR="00ED3E5C">
        <w:rPr>
          <w:rFonts w:ascii="Arial" w:hAnsi="Arial" w:cs="Arial"/>
          <w:color w:val="000000"/>
          <w:sz w:val="22"/>
          <w:szCs w:val="22"/>
          <w:lang w:val="en-US"/>
        </w:rPr>
        <w:t>ed</w:t>
      </w:r>
      <w:r w:rsidRPr="002A6E99">
        <w:rPr>
          <w:rFonts w:ascii="Arial" w:hAnsi="Arial" w:cs="Arial"/>
          <w:color w:val="000000"/>
          <w:sz w:val="22"/>
          <w:szCs w:val="22"/>
          <w:lang w:val="en-US"/>
        </w:rPr>
        <w:t xml:space="preserve"> SDG16+ </w:t>
      </w:r>
      <w:r w:rsidR="00512D35">
        <w:rPr>
          <w:rFonts w:ascii="Arial" w:hAnsi="Arial" w:cs="Arial"/>
          <w:color w:val="000000"/>
          <w:sz w:val="22"/>
          <w:szCs w:val="22"/>
          <w:lang w:val="en-US"/>
        </w:rPr>
        <w:t>monitoring</w:t>
      </w:r>
      <w:r w:rsidRPr="002A6E99">
        <w:rPr>
          <w:rFonts w:ascii="Arial" w:hAnsi="Arial" w:cs="Arial"/>
          <w:color w:val="000000"/>
          <w:sz w:val="22"/>
          <w:szCs w:val="22"/>
          <w:lang w:val="en-US"/>
        </w:rPr>
        <w:t xml:space="preserve"> </w:t>
      </w:r>
      <w:r w:rsidR="00ED3E5C">
        <w:rPr>
          <w:rFonts w:ascii="Arial" w:hAnsi="Arial" w:cs="Arial"/>
          <w:color w:val="000000"/>
          <w:sz w:val="22"/>
          <w:szCs w:val="22"/>
          <w:lang w:val="en-US"/>
        </w:rPr>
        <w:t xml:space="preserve">project </w:t>
      </w:r>
      <w:r w:rsidRPr="002A6E99">
        <w:rPr>
          <w:rFonts w:ascii="Arial" w:hAnsi="Arial" w:cs="Arial"/>
          <w:color w:val="000000"/>
          <w:sz w:val="22"/>
          <w:szCs w:val="22"/>
          <w:lang w:val="en-US"/>
        </w:rPr>
        <w:t xml:space="preserve">and small arms survey were deliberately designed through a holistic prism to overcome traditional silo logic. However, a key lesson learned from the previous RoL programme was that cross-agency collaboration can be overdone by </w:t>
      </w:r>
      <w:r w:rsidR="00ED3E5C">
        <w:rPr>
          <w:rFonts w:ascii="Arial" w:hAnsi="Arial" w:cs="Arial"/>
          <w:color w:val="000000"/>
          <w:sz w:val="22"/>
          <w:szCs w:val="22"/>
          <w:lang w:val="en-US"/>
        </w:rPr>
        <w:t>crowding</w:t>
      </w:r>
      <w:r w:rsidRPr="002A6E99">
        <w:rPr>
          <w:rFonts w:ascii="Arial" w:hAnsi="Arial" w:cs="Arial"/>
          <w:color w:val="000000"/>
          <w:sz w:val="22"/>
          <w:szCs w:val="22"/>
          <w:lang w:val="en-US"/>
        </w:rPr>
        <w:t xml:space="preserve"> too many stakeholders under the umbrella of </w:t>
      </w:r>
      <w:r w:rsidR="00ED3E5C">
        <w:rPr>
          <w:rFonts w:ascii="Arial" w:hAnsi="Arial" w:cs="Arial"/>
          <w:color w:val="000000"/>
          <w:sz w:val="22"/>
          <w:szCs w:val="22"/>
          <w:lang w:val="en-US"/>
        </w:rPr>
        <w:t>one</w:t>
      </w:r>
      <w:r w:rsidRPr="002A6E99">
        <w:rPr>
          <w:rFonts w:ascii="Arial" w:hAnsi="Arial" w:cs="Arial"/>
          <w:color w:val="000000"/>
          <w:sz w:val="22"/>
          <w:szCs w:val="22"/>
          <w:lang w:val="en-US"/>
        </w:rPr>
        <w:t xml:space="preserve"> overly complex JP. During the recent completed programme cycle, the pendulum swung back in the opposite direction of creating siloes, e.g., </w:t>
      </w:r>
      <w:r w:rsidR="00ED3E5C">
        <w:rPr>
          <w:rFonts w:ascii="Arial" w:hAnsi="Arial" w:cs="Arial"/>
          <w:color w:val="000000"/>
          <w:sz w:val="22"/>
          <w:szCs w:val="22"/>
          <w:lang w:val="en-US"/>
        </w:rPr>
        <w:t>in</w:t>
      </w:r>
      <w:r w:rsidRPr="002A6E99">
        <w:rPr>
          <w:rFonts w:ascii="Arial" w:hAnsi="Arial" w:cs="Arial"/>
          <w:color w:val="000000"/>
          <w:sz w:val="22"/>
          <w:szCs w:val="22"/>
          <w:lang w:val="en-US"/>
        </w:rPr>
        <w:t xml:space="preserve"> the </w:t>
      </w:r>
      <w:r w:rsidR="00817804" w:rsidRPr="002A6E99">
        <w:rPr>
          <w:rFonts w:ascii="Arial" w:hAnsi="Arial" w:cs="Arial"/>
          <w:color w:val="000000"/>
          <w:sz w:val="22"/>
          <w:szCs w:val="22"/>
          <w:lang w:val="en-US"/>
        </w:rPr>
        <w:t xml:space="preserve">justice </w:t>
      </w:r>
      <w:r w:rsidRPr="002A6E99">
        <w:rPr>
          <w:rFonts w:ascii="Arial" w:hAnsi="Arial" w:cs="Arial"/>
          <w:color w:val="000000"/>
          <w:sz w:val="22"/>
          <w:szCs w:val="22"/>
          <w:lang w:val="en-US"/>
        </w:rPr>
        <w:t>chain where Court</w:t>
      </w:r>
      <w:r w:rsidR="00512D35">
        <w:rPr>
          <w:rFonts w:ascii="Arial" w:hAnsi="Arial" w:cs="Arial"/>
          <w:color w:val="000000"/>
          <w:sz w:val="22"/>
          <w:szCs w:val="22"/>
          <w:lang w:val="en-US"/>
        </w:rPr>
        <w:t>s</w:t>
      </w:r>
      <w:r w:rsidRPr="002A6E99">
        <w:rPr>
          <w:rFonts w:ascii="Arial" w:hAnsi="Arial" w:cs="Arial"/>
          <w:color w:val="000000"/>
          <w:sz w:val="22"/>
          <w:szCs w:val="22"/>
          <w:lang w:val="en-US"/>
        </w:rPr>
        <w:t xml:space="preserve">, Police and Corrections work got severed from one another. </w:t>
      </w:r>
    </w:p>
    <w:p w14:paraId="24DF64F4" w14:textId="71AFC388" w:rsidR="007D6022" w:rsidRPr="000254B3" w:rsidRDefault="0029366C" w:rsidP="00E80114">
      <w:pPr>
        <w:spacing w:line="240" w:lineRule="auto"/>
        <w:rPr>
          <w:rFonts w:ascii="Arial" w:hAnsi="Arial" w:cs="Arial"/>
          <w:color w:val="000000"/>
          <w:lang w:val="en-US"/>
        </w:rPr>
      </w:pPr>
      <w:r w:rsidRPr="002A6E99">
        <w:rPr>
          <w:rFonts w:ascii="Arial" w:hAnsi="Arial" w:cs="Arial"/>
          <w:color w:val="000000"/>
          <w:sz w:val="22"/>
          <w:szCs w:val="22"/>
          <w:lang w:val="en-US"/>
        </w:rPr>
        <w:t xml:space="preserve">Senior UN management acknowledged the persistent challenge of “scatteredness” and </w:t>
      </w:r>
      <w:r w:rsidRPr="002A6E99">
        <w:rPr>
          <w:rFonts w:ascii="Arial" w:hAnsi="Arial" w:cs="Arial"/>
          <w:sz w:val="22"/>
          <w:szCs w:val="22"/>
          <w:lang w:val="en-US"/>
        </w:rPr>
        <w:t xml:space="preserve">even potential over-abundance of UNCT-wide RoL programming elements in an extremely complex environment with very high operational costs, marked by regional and clan interests conflicting with centralized State building attempts, shifting alliances across states, large areas inaccessible, several (quasi-)statal entities, etc.). </w:t>
      </w:r>
      <w:r w:rsidRPr="002A6E99">
        <w:rPr>
          <w:rFonts w:ascii="Arial" w:eastAsia="Times New Roman" w:hAnsi="Arial" w:cs="Arial"/>
          <w:sz w:val="22"/>
          <w:szCs w:val="22"/>
          <w:lang w:val="en-US" w:eastAsia="de-DE"/>
        </w:rPr>
        <w:t xml:space="preserve">Both </w:t>
      </w:r>
      <w:r w:rsidRPr="002A6E99">
        <w:rPr>
          <w:rFonts w:ascii="Arial" w:hAnsi="Arial" w:cs="Arial"/>
          <w:sz w:val="22"/>
          <w:szCs w:val="22"/>
          <w:lang w:val="en-US"/>
        </w:rPr>
        <w:t>UNSOM and UNDP are committed to enhancing programmatic coherence by linking R</w:t>
      </w:r>
      <w:r w:rsidR="00817804">
        <w:rPr>
          <w:rFonts w:ascii="Arial" w:hAnsi="Arial" w:cs="Arial"/>
          <w:sz w:val="22"/>
          <w:szCs w:val="22"/>
          <w:lang w:val="en-US"/>
        </w:rPr>
        <w:t>O</w:t>
      </w:r>
      <w:r w:rsidRPr="002A6E99">
        <w:rPr>
          <w:rFonts w:ascii="Arial" w:hAnsi="Arial" w:cs="Arial"/>
          <w:sz w:val="22"/>
          <w:szCs w:val="22"/>
          <w:lang w:val="en-US"/>
        </w:rPr>
        <w:t>L</w:t>
      </w:r>
      <w:r w:rsidR="00817804">
        <w:rPr>
          <w:rFonts w:ascii="Arial" w:hAnsi="Arial" w:cs="Arial"/>
          <w:sz w:val="22"/>
          <w:szCs w:val="22"/>
          <w:lang w:val="en-US"/>
        </w:rPr>
        <w:t>SHR</w:t>
      </w:r>
      <w:r w:rsidRPr="002A6E99">
        <w:rPr>
          <w:rFonts w:ascii="Arial" w:hAnsi="Arial" w:cs="Arial"/>
          <w:sz w:val="22"/>
          <w:szCs w:val="22"/>
          <w:lang w:val="en-US"/>
        </w:rPr>
        <w:t xml:space="preserve"> work with interventions in Inclusive Governance to overcome UN siloes. In terms of interoperability and implementation of GFP, Somalia has historically had various challenges (as detailed in </w:t>
      </w:r>
      <w:r w:rsidR="00B37446" w:rsidRPr="00817804">
        <w:rPr>
          <w:rFonts w:ascii="Arial" w:hAnsi="Arial" w:cs="Arial"/>
          <w:i/>
          <w:iCs/>
          <w:color w:val="2B579A"/>
          <w:sz w:val="22"/>
          <w:szCs w:val="22"/>
          <w:highlight w:val="yellow"/>
          <w:shd w:val="clear" w:color="auto" w:fill="E6E6E6"/>
          <w:lang w:val="en-US"/>
        </w:rPr>
        <w:fldChar w:fldCharType="begin"/>
      </w:r>
      <w:r w:rsidR="00B37446" w:rsidRPr="00817804">
        <w:rPr>
          <w:rFonts w:ascii="Arial" w:hAnsi="Arial" w:cs="Arial"/>
          <w:i/>
          <w:iCs/>
          <w:sz w:val="22"/>
          <w:szCs w:val="22"/>
          <w:lang w:val="en-US"/>
        </w:rPr>
        <w:instrText xml:space="preserve"> REF _Ref70154546 \h </w:instrText>
      </w:r>
      <w:r w:rsidR="00817804" w:rsidRPr="00817804">
        <w:rPr>
          <w:rFonts w:ascii="Arial" w:hAnsi="Arial" w:cs="Arial"/>
          <w:i/>
          <w:iCs/>
          <w:sz w:val="22"/>
          <w:szCs w:val="22"/>
          <w:highlight w:val="yellow"/>
          <w:lang w:val="en-US"/>
        </w:rPr>
        <w:instrText xml:space="preserve"> \* MERGEFORMAT </w:instrText>
      </w:r>
      <w:r w:rsidR="00B37446" w:rsidRPr="00817804">
        <w:rPr>
          <w:rFonts w:ascii="Arial" w:hAnsi="Arial" w:cs="Arial"/>
          <w:i/>
          <w:iCs/>
          <w:color w:val="2B579A"/>
          <w:sz w:val="22"/>
          <w:szCs w:val="22"/>
          <w:highlight w:val="yellow"/>
          <w:shd w:val="clear" w:color="auto" w:fill="E6E6E6"/>
          <w:lang w:val="en-US"/>
        </w:rPr>
      </w:r>
      <w:r w:rsidR="00B37446" w:rsidRPr="00817804">
        <w:rPr>
          <w:rFonts w:ascii="Arial" w:hAnsi="Arial" w:cs="Arial"/>
          <w:i/>
          <w:iCs/>
          <w:color w:val="2B579A"/>
          <w:sz w:val="22"/>
          <w:szCs w:val="22"/>
          <w:highlight w:val="yellow"/>
          <w:shd w:val="clear" w:color="auto" w:fill="E6E6E6"/>
          <w:lang w:val="en-US"/>
        </w:rPr>
        <w:fldChar w:fldCharType="separate"/>
      </w:r>
      <w:r w:rsidR="00036841" w:rsidRPr="00036841">
        <w:rPr>
          <w:rFonts w:ascii="Arial" w:hAnsi="Arial" w:cs="Arial"/>
          <w:i/>
          <w:iCs/>
          <w:sz w:val="22"/>
          <w:szCs w:val="22"/>
          <w:lang w:eastAsia="de-DE"/>
        </w:rPr>
        <w:t xml:space="preserve">Annex 7: </w:t>
      </w:r>
      <w:r w:rsidR="00036841" w:rsidRPr="00036841">
        <w:rPr>
          <w:rFonts w:ascii="Arial" w:hAnsi="Arial" w:cs="Arial"/>
          <w:i/>
          <w:iCs/>
          <w:sz w:val="22"/>
          <w:szCs w:val="22"/>
          <w:lang w:val="en-US"/>
        </w:rPr>
        <w:t>Challenges related to GFP in Somalia (2013-14)</w:t>
      </w:r>
      <w:r w:rsidR="00B37446" w:rsidRPr="00817804">
        <w:rPr>
          <w:rFonts w:ascii="Arial" w:hAnsi="Arial" w:cs="Arial"/>
          <w:i/>
          <w:iCs/>
          <w:color w:val="2B579A"/>
          <w:sz w:val="22"/>
          <w:szCs w:val="22"/>
          <w:highlight w:val="yellow"/>
          <w:shd w:val="clear" w:color="auto" w:fill="E6E6E6"/>
          <w:lang w:val="en-US"/>
        </w:rPr>
        <w:fldChar w:fldCharType="end"/>
      </w:r>
      <w:r w:rsidR="00B37446">
        <w:rPr>
          <w:rFonts w:ascii="Arial" w:hAnsi="Arial" w:cs="Arial"/>
          <w:sz w:val="22"/>
          <w:szCs w:val="22"/>
          <w:lang w:val="en-US"/>
        </w:rPr>
        <w:t xml:space="preserve">. </w:t>
      </w:r>
      <w:r w:rsidRPr="002A6E99">
        <w:rPr>
          <w:rFonts w:ascii="Arial" w:hAnsi="Arial" w:cs="Arial"/>
          <w:sz w:val="22"/>
          <w:szCs w:val="22"/>
          <w:lang w:val="en-US"/>
        </w:rPr>
        <w:t xml:space="preserve">Some stakeholders insisted there was still a </w:t>
      </w:r>
      <w:r w:rsidR="00817804">
        <w:rPr>
          <w:rFonts w:ascii="Arial" w:hAnsi="Arial" w:cs="Arial"/>
          <w:sz w:val="22"/>
          <w:szCs w:val="22"/>
          <w:lang w:val="en-US"/>
        </w:rPr>
        <w:t xml:space="preserve">major </w:t>
      </w:r>
      <w:r w:rsidRPr="002A6E99">
        <w:rPr>
          <w:rFonts w:ascii="Arial" w:hAnsi="Arial" w:cs="Arial"/>
          <w:sz w:val="22"/>
          <w:szCs w:val="22"/>
          <w:lang w:val="en-US"/>
        </w:rPr>
        <w:t xml:space="preserve">gap between the institutional cultures of the Mission and UNCT. </w:t>
      </w:r>
    </w:p>
    <w:p w14:paraId="0FD10783" w14:textId="2C4EA470" w:rsidR="008F3623" w:rsidRDefault="008F3623">
      <w:pPr>
        <w:rPr>
          <w:rStyle w:val="Strong"/>
          <w:rFonts w:ascii="Arial" w:eastAsiaTheme="majorEastAsia" w:hAnsi="Arial" w:cs="Arial"/>
          <w:bCs w:val="0"/>
          <w:color w:val="404040" w:themeColor="text1" w:themeTint="BF"/>
          <w:sz w:val="28"/>
          <w:szCs w:val="28"/>
        </w:rPr>
      </w:pPr>
    </w:p>
    <w:p w14:paraId="316262CF" w14:textId="49DBC994" w:rsidR="00950BE9" w:rsidRDefault="00950BE9" w:rsidP="00677AEE">
      <w:pPr>
        <w:pStyle w:val="Heading2"/>
        <w:rPr>
          <w:rStyle w:val="Strong"/>
          <w:rFonts w:ascii="Arial" w:hAnsi="Arial" w:cs="Arial"/>
          <w:i/>
          <w:iCs/>
        </w:rPr>
      </w:pPr>
      <w:bookmarkStart w:id="20" w:name="_Toc71701890"/>
      <w:r w:rsidRPr="004563ED">
        <w:rPr>
          <w:rStyle w:val="Strong"/>
          <w:rFonts w:ascii="Arial" w:hAnsi="Arial" w:cs="Arial"/>
          <w:b/>
          <w:bCs w:val="0"/>
        </w:rPr>
        <w:t>Efficiency</w:t>
      </w:r>
      <w:r>
        <w:rPr>
          <w:rStyle w:val="Strong"/>
          <w:rFonts w:ascii="Arial" w:hAnsi="Arial" w:cs="Arial"/>
        </w:rPr>
        <w:t xml:space="preserve"> – </w:t>
      </w:r>
      <w:r w:rsidR="00231DC1">
        <w:rPr>
          <w:rStyle w:val="Strong"/>
          <w:rFonts w:ascii="Arial" w:hAnsi="Arial" w:cs="Arial"/>
          <w:i/>
          <w:iCs/>
        </w:rPr>
        <w:t xml:space="preserve">How </w:t>
      </w:r>
      <w:r w:rsidR="00A23F93" w:rsidRPr="00231DC1">
        <w:rPr>
          <w:rStyle w:val="Strong"/>
          <w:rFonts w:ascii="Arial" w:hAnsi="Arial" w:cs="Arial"/>
          <w:i/>
          <w:iCs/>
        </w:rPr>
        <w:t xml:space="preserve">well are resources used and </w:t>
      </w:r>
      <w:r w:rsidR="00F707ED">
        <w:rPr>
          <w:rStyle w:val="Strong"/>
          <w:rFonts w:ascii="Arial" w:hAnsi="Arial" w:cs="Arial"/>
          <w:i/>
          <w:iCs/>
        </w:rPr>
        <w:t>operations</w:t>
      </w:r>
      <w:r w:rsidR="00A23F93" w:rsidRPr="00231DC1">
        <w:rPr>
          <w:rStyle w:val="Strong"/>
          <w:rFonts w:ascii="Arial" w:hAnsi="Arial" w:cs="Arial"/>
          <w:i/>
          <w:iCs/>
        </w:rPr>
        <w:t xml:space="preserve"> managed?</w:t>
      </w:r>
      <w:bookmarkEnd w:id="20"/>
      <w:r w:rsidR="00A23F93" w:rsidRPr="00231DC1">
        <w:rPr>
          <w:rStyle w:val="Strong"/>
          <w:rFonts w:ascii="Arial" w:hAnsi="Arial" w:cs="Arial"/>
          <w:i/>
          <w:iCs/>
        </w:rPr>
        <w:t xml:space="preserve"> </w:t>
      </w:r>
    </w:p>
    <w:tbl>
      <w:tblPr>
        <w:tblStyle w:val="TableGrid"/>
        <w:tblW w:w="0" w:type="auto"/>
        <w:tblLook w:val="04A0" w:firstRow="1" w:lastRow="0" w:firstColumn="1" w:lastColumn="0" w:noHBand="0" w:noVBand="1"/>
      </w:tblPr>
      <w:tblGrid>
        <w:gridCol w:w="9350"/>
      </w:tblGrid>
      <w:tr w:rsidR="00BE5333" w:rsidRPr="00E80114" w14:paraId="1F2FF8DC" w14:textId="77777777" w:rsidTr="4F82A3C2">
        <w:tc>
          <w:tcPr>
            <w:tcW w:w="9350" w:type="dxa"/>
            <w:shd w:val="clear" w:color="auto" w:fill="C0D7EC" w:themeFill="accent2" w:themeFillTint="66"/>
          </w:tcPr>
          <w:p w14:paraId="6C233EE0" w14:textId="175B5067" w:rsidR="00BE5333" w:rsidRPr="00E80114" w:rsidRDefault="00BE5333" w:rsidP="006F770A">
            <w:pPr>
              <w:spacing w:after="120"/>
              <w:rPr>
                <w:rFonts w:ascii="Arial" w:hAnsi="Arial" w:cs="Arial"/>
                <w:b/>
                <w:color w:val="4A66AC" w:themeColor="accent1"/>
                <w:sz w:val="22"/>
                <w:szCs w:val="22"/>
              </w:rPr>
            </w:pPr>
            <w:r w:rsidRPr="00E80114">
              <w:rPr>
                <w:rFonts w:ascii="Arial" w:hAnsi="Arial" w:cs="Arial"/>
                <w:b/>
                <w:color w:val="4A66AC" w:themeColor="accent1"/>
                <w:sz w:val="22"/>
                <w:szCs w:val="22"/>
              </w:rPr>
              <w:t>Conclusions on Efficiency</w:t>
            </w:r>
          </w:p>
        </w:tc>
      </w:tr>
      <w:tr w:rsidR="00BE5333" w:rsidRPr="00E80114" w14:paraId="32A89CC7" w14:textId="77777777" w:rsidTr="4F82A3C2">
        <w:tc>
          <w:tcPr>
            <w:tcW w:w="9350" w:type="dxa"/>
          </w:tcPr>
          <w:p w14:paraId="1E0E629E" w14:textId="77777777" w:rsidR="00067B19" w:rsidRPr="00E80114" w:rsidRDefault="00067B19" w:rsidP="00211A40">
            <w:pPr>
              <w:rPr>
                <w:rFonts w:ascii="Arial" w:hAnsi="Arial" w:cs="Arial"/>
                <w:bCs/>
                <w:color w:val="4A66AC" w:themeColor="accent1"/>
                <w:sz w:val="22"/>
                <w:szCs w:val="22"/>
              </w:rPr>
            </w:pPr>
          </w:p>
          <w:p w14:paraId="3B9B2367" w14:textId="43F67312" w:rsidR="00BE5333" w:rsidRPr="00E80114" w:rsidRDefault="00BE5333" w:rsidP="00211A40">
            <w:pPr>
              <w:rPr>
                <w:rFonts w:ascii="Arial" w:hAnsi="Arial" w:cs="Arial"/>
                <w:bCs/>
                <w:color w:val="4A66AC" w:themeColor="accent1"/>
                <w:sz w:val="22"/>
                <w:szCs w:val="22"/>
              </w:rPr>
            </w:pPr>
            <w:r w:rsidRPr="00E80114">
              <w:rPr>
                <w:rFonts w:ascii="Arial" w:hAnsi="Arial" w:cs="Arial"/>
                <w:bCs/>
                <w:color w:val="4A66AC" w:themeColor="accent1"/>
                <w:sz w:val="22"/>
                <w:szCs w:val="22"/>
              </w:rPr>
              <w:t xml:space="preserve">This </w:t>
            </w:r>
            <w:r w:rsidR="00817804">
              <w:rPr>
                <w:rFonts w:ascii="Arial" w:hAnsi="Arial" w:cs="Arial"/>
                <w:bCs/>
                <w:color w:val="4A66AC" w:themeColor="accent1"/>
                <w:sz w:val="22"/>
                <w:szCs w:val="22"/>
              </w:rPr>
              <w:t xml:space="preserve">criterion is where </w:t>
            </w:r>
            <w:r w:rsidRPr="00E80114">
              <w:rPr>
                <w:rFonts w:ascii="Arial" w:hAnsi="Arial" w:cs="Arial"/>
                <w:bCs/>
                <w:color w:val="4A66AC" w:themeColor="accent1"/>
                <w:sz w:val="22"/>
                <w:szCs w:val="22"/>
              </w:rPr>
              <w:t xml:space="preserve">the GP demonstrates </w:t>
            </w:r>
            <w:r w:rsidR="00817804">
              <w:rPr>
                <w:rFonts w:ascii="Arial" w:hAnsi="Arial" w:cs="Arial"/>
                <w:bCs/>
                <w:color w:val="4A66AC" w:themeColor="accent1"/>
                <w:sz w:val="22"/>
                <w:szCs w:val="22"/>
              </w:rPr>
              <w:t xml:space="preserve">its most </w:t>
            </w:r>
            <w:r w:rsidRPr="00E80114">
              <w:rPr>
                <w:rFonts w:ascii="Arial" w:hAnsi="Arial" w:cs="Arial"/>
                <w:bCs/>
                <w:color w:val="4A66AC" w:themeColor="accent1"/>
                <w:sz w:val="22"/>
                <w:szCs w:val="22"/>
              </w:rPr>
              <w:t>serious challenges, primarily in relation to results-based management, and more specifically, in terms of weak monitoring and reporting systems and practices at Programme/global level (also reflected at country level)</w:t>
            </w:r>
            <w:r w:rsidR="00817804">
              <w:rPr>
                <w:rFonts w:ascii="Arial" w:hAnsi="Arial" w:cs="Arial"/>
                <w:bCs/>
                <w:color w:val="4A66AC" w:themeColor="accent1"/>
                <w:sz w:val="22"/>
                <w:szCs w:val="22"/>
              </w:rPr>
              <w:t>. The intertwined difficulties are multiple</w:t>
            </w:r>
            <w:r w:rsidR="00994D77" w:rsidRPr="00E80114">
              <w:rPr>
                <w:rFonts w:ascii="Arial" w:hAnsi="Arial" w:cs="Arial"/>
                <w:bCs/>
                <w:color w:val="4A66AC" w:themeColor="accent1"/>
                <w:sz w:val="22"/>
                <w:szCs w:val="22"/>
              </w:rPr>
              <w:t>:</w:t>
            </w:r>
          </w:p>
          <w:p w14:paraId="49AA0700" w14:textId="1AD4CAEC" w:rsidR="00BE5333" w:rsidRPr="00E80114" w:rsidRDefault="00BE5333" w:rsidP="00567956">
            <w:pPr>
              <w:pStyle w:val="ListParagraph"/>
              <w:numPr>
                <w:ilvl w:val="0"/>
                <w:numId w:val="10"/>
              </w:numPr>
              <w:rPr>
                <w:rFonts w:ascii="Arial" w:hAnsi="Arial" w:cs="Arial"/>
                <w:bCs/>
                <w:color w:val="4A66AC" w:themeColor="accent1"/>
                <w:sz w:val="22"/>
                <w:szCs w:val="22"/>
              </w:rPr>
            </w:pPr>
            <w:r w:rsidRPr="00E80114">
              <w:rPr>
                <w:rFonts w:ascii="Arial" w:hAnsi="Arial" w:cs="Arial"/>
                <w:bCs/>
                <w:color w:val="4A66AC" w:themeColor="accent1"/>
                <w:sz w:val="22"/>
                <w:szCs w:val="22"/>
              </w:rPr>
              <w:t xml:space="preserve">The </w:t>
            </w:r>
            <w:r w:rsidR="00503A77">
              <w:rPr>
                <w:rFonts w:ascii="Arial" w:hAnsi="Arial" w:cs="Arial"/>
                <w:bCs/>
                <w:color w:val="4A66AC" w:themeColor="accent1"/>
                <w:sz w:val="22"/>
                <w:szCs w:val="22"/>
              </w:rPr>
              <w:t xml:space="preserve">GP3 </w:t>
            </w:r>
            <w:r w:rsidRPr="00E80114">
              <w:rPr>
                <w:rFonts w:ascii="Arial" w:hAnsi="Arial" w:cs="Arial"/>
                <w:bCs/>
                <w:color w:val="4A66AC" w:themeColor="accent1"/>
                <w:sz w:val="22"/>
                <w:szCs w:val="22"/>
              </w:rPr>
              <w:t xml:space="preserve">performance indicators and the </w:t>
            </w:r>
            <w:r w:rsidR="00503A77">
              <w:rPr>
                <w:rFonts w:ascii="Arial" w:hAnsi="Arial" w:cs="Arial"/>
                <w:bCs/>
                <w:color w:val="4A66AC" w:themeColor="accent1"/>
                <w:sz w:val="22"/>
                <w:szCs w:val="22"/>
              </w:rPr>
              <w:t xml:space="preserve">overall </w:t>
            </w:r>
            <w:r w:rsidRPr="00E80114">
              <w:rPr>
                <w:rFonts w:ascii="Arial" w:hAnsi="Arial" w:cs="Arial"/>
                <w:bCs/>
                <w:color w:val="4A66AC" w:themeColor="accent1"/>
                <w:sz w:val="22"/>
                <w:szCs w:val="22"/>
              </w:rPr>
              <w:t xml:space="preserve">results framework are not well designed, have been poorly implemented, and do not generate </w:t>
            </w:r>
            <w:r w:rsidR="00994D77" w:rsidRPr="00E80114">
              <w:rPr>
                <w:rFonts w:ascii="Arial" w:hAnsi="Arial" w:cs="Arial"/>
                <w:bCs/>
                <w:color w:val="4A66AC" w:themeColor="accent1"/>
                <w:sz w:val="22"/>
                <w:szCs w:val="22"/>
              </w:rPr>
              <w:t xml:space="preserve">particularly </w:t>
            </w:r>
            <w:r w:rsidRPr="00E80114">
              <w:rPr>
                <w:rFonts w:ascii="Arial" w:hAnsi="Arial" w:cs="Arial"/>
                <w:bCs/>
                <w:color w:val="4A66AC" w:themeColor="accent1"/>
                <w:sz w:val="22"/>
                <w:szCs w:val="22"/>
              </w:rPr>
              <w:t xml:space="preserve">useful information. </w:t>
            </w:r>
            <w:r w:rsidR="00503A77">
              <w:rPr>
                <w:rFonts w:ascii="Arial" w:hAnsi="Arial" w:cs="Arial"/>
                <w:bCs/>
                <w:color w:val="4A66AC" w:themeColor="accent1"/>
                <w:sz w:val="22"/>
                <w:szCs w:val="22"/>
              </w:rPr>
              <w:t>N</w:t>
            </w:r>
            <w:r w:rsidRPr="00E80114">
              <w:rPr>
                <w:rFonts w:ascii="Arial" w:hAnsi="Arial" w:cs="Arial"/>
                <w:bCs/>
                <w:color w:val="4A66AC" w:themeColor="accent1"/>
                <w:sz w:val="22"/>
                <w:szCs w:val="22"/>
              </w:rPr>
              <w:t xml:space="preserve">otably, there is no systematic attempt to measure outcomes of the Programme, and output tracking is severely limited in both design and execution. </w:t>
            </w:r>
          </w:p>
          <w:p w14:paraId="1ADB6A03" w14:textId="707989C3" w:rsidR="00BE5333" w:rsidRPr="00E80114" w:rsidRDefault="00BE5333" w:rsidP="00567956">
            <w:pPr>
              <w:pStyle w:val="ListParagraph"/>
              <w:numPr>
                <w:ilvl w:val="0"/>
                <w:numId w:val="10"/>
              </w:numPr>
              <w:rPr>
                <w:rFonts w:ascii="Arial" w:hAnsi="Arial" w:cs="Arial"/>
                <w:bCs/>
                <w:color w:val="4A66AC" w:themeColor="accent1"/>
                <w:sz w:val="22"/>
                <w:szCs w:val="22"/>
              </w:rPr>
            </w:pPr>
            <w:r w:rsidRPr="00E80114">
              <w:rPr>
                <w:rFonts w:ascii="Arial" w:hAnsi="Arial" w:cs="Arial"/>
                <w:bCs/>
                <w:color w:val="4A66AC" w:themeColor="accent1"/>
                <w:sz w:val="22"/>
                <w:szCs w:val="22"/>
              </w:rPr>
              <w:t>GP annual reports are the primary vehicle for external and internal sharing of results, and while they narrate an impressive array of activities and outputs across targeted contexts, the contribution made by GP inputs (financial or otherwise) is not clearly explained. In effect, these reports tend to conflate inputs, outputs and outcomes of overall UNDP programming in ROLSHR with those that could realistically be linked to the</w:t>
            </w:r>
            <w:r w:rsidR="0018046A" w:rsidRPr="00E80114">
              <w:rPr>
                <w:rFonts w:ascii="Arial" w:hAnsi="Arial" w:cs="Arial"/>
                <w:bCs/>
                <w:color w:val="4A66AC" w:themeColor="accent1"/>
                <w:sz w:val="22"/>
                <w:szCs w:val="22"/>
              </w:rPr>
              <w:t xml:space="preserve"> </w:t>
            </w:r>
            <w:r w:rsidRPr="00E80114">
              <w:rPr>
                <w:rFonts w:ascii="Arial" w:hAnsi="Arial" w:cs="Arial"/>
                <w:bCs/>
                <w:color w:val="4A66AC" w:themeColor="accent1"/>
                <w:sz w:val="22"/>
                <w:szCs w:val="22"/>
              </w:rPr>
              <w:t xml:space="preserve">relatively modest </w:t>
            </w:r>
            <w:r w:rsidR="00211A40" w:rsidRPr="00E80114">
              <w:rPr>
                <w:rFonts w:ascii="Arial" w:hAnsi="Arial" w:cs="Arial"/>
                <w:bCs/>
                <w:color w:val="4A66AC" w:themeColor="accent1"/>
                <w:sz w:val="22"/>
                <w:szCs w:val="22"/>
              </w:rPr>
              <w:t xml:space="preserve">financial </w:t>
            </w:r>
            <w:r w:rsidRPr="00E80114">
              <w:rPr>
                <w:rFonts w:ascii="Arial" w:hAnsi="Arial" w:cs="Arial"/>
                <w:bCs/>
                <w:color w:val="4A66AC" w:themeColor="accent1"/>
                <w:sz w:val="22"/>
                <w:szCs w:val="22"/>
              </w:rPr>
              <w:t xml:space="preserve">contributions of the GP. </w:t>
            </w:r>
          </w:p>
          <w:p w14:paraId="6E7EB4DA" w14:textId="207DCB20" w:rsidR="00BE5333" w:rsidRPr="00E80114" w:rsidRDefault="00BE5333" w:rsidP="00567956">
            <w:pPr>
              <w:pStyle w:val="ListParagraph"/>
              <w:numPr>
                <w:ilvl w:val="0"/>
                <w:numId w:val="10"/>
              </w:numPr>
              <w:rPr>
                <w:rFonts w:ascii="Arial" w:hAnsi="Arial" w:cs="Arial"/>
                <w:bCs/>
                <w:color w:val="4A66AC" w:themeColor="accent1"/>
                <w:sz w:val="22"/>
                <w:szCs w:val="22"/>
              </w:rPr>
            </w:pPr>
            <w:r w:rsidRPr="00E80114">
              <w:rPr>
                <w:rFonts w:ascii="Arial" w:hAnsi="Arial" w:cs="Arial"/>
                <w:bCs/>
                <w:color w:val="4A66AC" w:themeColor="accent1"/>
                <w:sz w:val="22"/>
                <w:szCs w:val="22"/>
              </w:rPr>
              <w:t>Although in theory, GP</w:t>
            </w:r>
            <w:r w:rsidR="00503A77">
              <w:rPr>
                <w:rFonts w:ascii="Arial" w:hAnsi="Arial" w:cs="Arial"/>
                <w:bCs/>
                <w:color w:val="4A66AC" w:themeColor="accent1"/>
                <w:sz w:val="22"/>
                <w:szCs w:val="22"/>
              </w:rPr>
              <w:t>3</w:t>
            </w:r>
            <w:r w:rsidRPr="00E80114">
              <w:rPr>
                <w:rFonts w:ascii="Arial" w:hAnsi="Arial" w:cs="Arial"/>
                <w:bCs/>
                <w:color w:val="4A66AC" w:themeColor="accent1"/>
                <w:sz w:val="22"/>
                <w:szCs w:val="22"/>
              </w:rPr>
              <w:t xml:space="preserve"> attention was to focus on a priority list of 32 countries (</w:t>
            </w:r>
            <w:r w:rsidR="002F0F63">
              <w:rPr>
                <w:rFonts w:ascii="Arial" w:hAnsi="Arial" w:cs="Arial"/>
                <w:bCs/>
                <w:color w:val="4A66AC" w:themeColor="accent1"/>
                <w:sz w:val="22"/>
                <w:szCs w:val="22"/>
              </w:rPr>
              <w:t>with</w:t>
            </w:r>
            <w:r w:rsidRPr="00E80114">
              <w:rPr>
                <w:rFonts w:ascii="Arial" w:hAnsi="Arial" w:cs="Arial"/>
                <w:bCs/>
                <w:color w:val="4A66AC" w:themeColor="accent1"/>
                <w:sz w:val="22"/>
                <w:szCs w:val="22"/>
              </w:rPr>
              <w:t xml:space="preserve"> exceptions </w:t>
            </w:r>
            <w:r w:rsidR="002F0F63">
              <w:rPr>
                <w:rFonts w:ascii="Arial" w:hAnsi="Arial" w:cs="Arial"/>
                <w:bCs/>
                <w:color w:val="4A66AC" w:themeColor="accent1"/>
                <w:sz w:val="22"/>
                <w:szCs w:val="22"/>
              </w:rPr>
              <w:t>for emerging</w:t>
            </w:r>
            <w:r w:rsidRPr="00E80114">
              <w:rPr>
                <w:rFonts w:ascii="Arial" w:hAnsi="Arial" w:cs="Arial"/>
                <w:bCs/>
                <w:color w:val="4A66AC" w:themeColor="accent1"/>
                <w:sz w:val="22"/>
                <w:szCs w:val="22"/>
              </w:rPr>
              <w:t xml:space="preserve"> needs), </w:t>
            </w:r>
            <w:r w:rsidR="002F0F63">
              <w:rPr>
                <w:rFonts w:ascii="Arial" w:hAnsi="Arial" w:cs="Arial"/>
                <w:bCs/>
                <w:color w:val="4A66AC" w:themeColor="accent1"/>
                <w:sz w:val="22"/>
                <w:szCs w:val="22"/>
              </w:rPr>
              <w:t>its finite</w:t>
            </w:r>
            <w:r w:rsidRPr="00E80114">
              <w:rPr>
                <w:rFonts w:ascii="Arial" w:hAnsi="Arial" w:cs="Arial"/>
                <w:bCs/>
                <w:color w:val="4A66AC" w:themeColor="accent1"/>
                <w:sz w:val="22"/>
                <w:szCs w:val="22"/>
              </w:rPr>
              <w:t xml:space="preserve"> human and financial resources have in reality been spread over a much larger number of contexts. Prioritization processes are unclear</w:t>
            </w:r>
            <w:r w:rsidR="002F0F63">
              <w:rPr>
                <w:rFonts w:ascii="Arial" w:hAnsi="Arial" w:cs="Arial"/>
                <w:bCs/>
                <w:color w:val="4A66AC" w:themeColor="accent1"/>
                <w:sz w:val="22"/>
                <w:szCs w:val="22"/>
              </w:rPr>
              <w:t xml:space="preserve"> and undocumented</w:t>
            </w:r>
            <w:r w:rsidRPr="00E80114">
              <w:rPr>
                <w:rFonts w:ascii="Arial" w:hAnsi="Arial" w:cs="Arial"/>
                <w:bCs/>
                <w:color w:val="4A66AC" w:themeColor="accent1"/>
                <w:sz w:val="22"/>
                <w:szCs w:val="22"/>
              </w:rPr>
              <w:t xml:space="preserve">, both geographically and thematically across seven thematic areas outlined in the Prodoc. </w:t>
            </w:r>
          </w:p>
          <w:p w14:paraId="0DECFF24" w14:textId="58DB638E" w:rsidR="00BE5333" w:rsidRPr="00E80114" w:rsidRDefault="0349ED37" w:rsidP="410C252A">
            <w:pPr>
              <w:pStyle w:val="ListParagraph"/>
              <w:numPr>
                <w:ilvl w:val="0"/>
                <w:numId w:val="10"/>
              </w:numPr>
              <w:rPr>
                <w:rFonts w:ascii="Arial" w:hAnsi="Arial" w:cs="Arial"/>
                <w:color w:val="4A66AC" w:themeColor="accent1"/>
                <w:sz w:val="22"/>
                <w:szCs w:val="22"/>
              </w:rPr>
            </w:pPr>
            <w:r w:rsidRPr="4F82A3C2">
              <w:rPr>
                <w:rFonts w:ascii="Arial" w:hAnsi="Arial" w:cs="Arial"/>
                <w:color w:val="4A66AC" w:themeColor="accent1"/>
                <w:sz w:val="22"/>
                <w:szCs w:val="22"/>
              </w:rPr>
              <w:t xml:space="preserve">The process for allocating funds to COs is undoubtedly the </w:t>
            </w:r>
            <w:r w:rsidR="6B91004E" w:rsidRPr="4F82A3C2">
              <w:rPr>
                <w:rFonts w:ascii="Arial" w:hAnsi="Arial" w:cs="Arial"/>
                <w:color w:val="4A66AC" w:themeColor="accent1"/>
                <w:sz w:val="22"/>
                <w:szCs w:val="22"/>
              </w:rPr>
              <w:t xml:space="preserve">GP’s </w:t>
            </w:r>
            <w:r w:rsidRPr="4F82A3C2">
              <w:rPr>
                <w:rFonts w:ascii="Arial" w:hAnsi="Arial" w:cs="Arial"/>
                <w:color w:val="4A66AC" w:themeColor="accent1"/>
                <w:sz w:val="22"/>
                <w:szCs w:val="22"/>
              </w:rPr>
              <w:t xml:space="preserve">most important business process. It </w:t>
            </w:r>
            <w:r w:rsidR="6B91004E" w:rsidRPr="4F82A3C2">
              <w:rPr>
                <w:rFonts w:ascii="Arial" w:hAnsi="Arial" w:cs="Arial"/>
                <w:color w:val="4A66AC" w:themeColor="accent1"/>
                <w:sz w:val="22"/>
                <w:szCs w:val="22"/>
              </w:rPr>
              <w:t>is</w:t>
            </w:r>
            <w:r w:rsidRPr="4F82A3C2">
              <w:rPr>
                <w:rFonts w:ascii="Arial" w:hAnsi="Arial" w:cs="Arial"/>
                <w:color w:val="4A66AC" w:themeColor="accent1"/>
                <w:sz w:val="22"/>
                <w:szCs w:val="22"/>
              </w:rPr>
              <w:t xml:space="preserve"> a relatively easy and quick way for UNDP teams in certain countries to flexibly access modest amounts for short-term needs, which is widely appreciated. However, the process is </w:t>
            </w:r>
            <w:r w:rsidR="00BE5333" w:rsidRPr="4F82A3C2">
              <w:rPr>
                <w:rFonts w:ascii="Arial" w:hAnsi="Arial" w:cs="Arial"/>
                <w:color w:val="4A66AC" w:themeColor="accent1"/>
                <w:sz w:val="22"/>
                <w:szCs w:val="22"/>
              </w:rPr>
              <w:t xml:space="preserve">characterized by </w:t>
            </w:r>
            <w:r w:rsidR="006E1B2A">
              <w:rPr>
                <w:rFonts w:ascii="Arial" w:hAnsi="Arial" w:cs="Arial"/>
                <w:color w:val="4A66AC" w:themeColor="accent1"/>
                <w:sz w:val="22"/>
                <w:szCs w:val="22"/>
              </w:rPr>
              <w:t>a complex array of</w:t>
            </w:r>
            <w:r w:rsidR="006E1B2A" w:rsidRPr="4F82A3C2">
              <w:rPr>
                <w:rFonts w:ascii="Arial" w:hAnsi="Arial" w:cs="Arial"/>
                <w:color w:val="4A66AC" w:themeColor="accent1"/>
                <w:sz w:val="22"/>
                <w:szCs w:val="22"/>
              </w:rPr>
              <w:t xml:space="preserve"> criteria and priorities</w:t>
            </w:r>
            <w:r w:rsidR="006E1B2A">
              <w:rPr>
                <w:rFonts w:ascii="Arial" w:hAnsi="Arial" w:cs="Arial"/>
                <w:color w:val="4A66AC" w:themeColor="accent1"/>
                <w:sz w:val="22"/>
                <w:szCs w:val="22"/>
              </w:rPr>
              <w:t xml:space="preserve"> that are not </w:t>
            </w:r>
            <w:r w:rsidR="006B2351">
              <w:rPr>
                <w:rFonts w:ascii="Arial" w:hAnsi="Arial" w:cs="Arial"/>
                <w:color w:val="4A66AC" w:themeColor="accent1"/>
                <w:sz w:val="22"/>
                <w:szCs w:val="22"/>
              </w:rPr>
              <w:t xml:space="preserve">clearly and </w:t>
            </w:r>
            <w:r w:rsidR="00BE5333" w:rsidRPr="4F82A3C2">
              <w:rPr>
                <w:rFonts w:ascii="Arial" w:hAnsi="Arial" w:cs="Arial"/>
                <w:color w:val="4A66AC" w:themeColor="accent1"/>
                <w:sz w:val="22"/>
                <w:szCs w:val="22"/>
              </w:rPr>
              <w:t>systematic</w:t>
            </w:r>
            <w:r w:rsidR="006E1B2A">
              <w:rPr>
                <w:rFonts w:ascii="Arial" w:hAnsi="Arial" w:cs="Arial"/>
                <w:color w:val="4A66AC" w:themeColor="accent1"/>
                <w:sz w:val="22"/>
                <w:szCs w:val="22"/>
              </w:rPr>
              <w:t>ally defined and applied to select COs and regional projects for funding.</w:t>
            </w:r>
            <w:r w:rsidR="00BE5333" w:rsidRPr="4F82A3C2">
              <w:rPr>
                <w:rFonts w:ascii="Arial" w:hAnsi="Arial" w:cs="Arial"/>
                <w:color w:val="4A66AC" w:themeColor="accent1"/>
                <w:sz w:val="22"/>
                <w:szCs w:val="22"/>
              </w:rPr>
              <w:t xml:space="preserve"> </w:t>
            </w:r>
            <w:r w:rsidR="006E1B2A">
              <w:rPr>
                <w:rFonts w:ascii="Arial" w:hAnsi="Arial" w:cs="Arial"/>
                <w:color w:val="4A66AC" w:themeColor="accent1"/>
                <w:sz w:val="22"/>
                <w:szCs w:val="22"/>
              </w:rPr>
              <w:t xml:space="preserve"> The GP would benefit from </w:t>
            </w:r>
            <w:r w:rsidRPr="4F82A3C2">
              <w:rPr>
                <w:rFonts w:ascii="Arial" w:hAnsi="Arial" w:cs="Arial"/>
                <w:color w:val="4A66AC" w:themeColor="accent1"/>
                <w:sz w:val="22"/>
                <w:szCs w:val="22"/>
              </w:rPr>
              <w:t>a detailed decision tree set</w:t>
            </w:r>
            <w:r w:rsidR="6B91004E" w:rsidRPr="4F82A3C2">
              <w:rPr>
                <w:rFonts w:ascii="Arial" w:hAnsi="Arial" w:cs="Arial"/>
                <w:color w:val="4A66AC" w:themeColor="accent1"/>
                <w:sz w:val="22"/>
                <w:szCs w:val="22"/>
              </w:rPr>
              <w:t>ting</w:t>
            </w:r>
            <w:r w:rsidRPr="4F82A3C2">
              <w:rPr>
                <w:rFonts w:ascii="Arial" w:hAnsi="Arial" w:cs="Arial"/>
                <w:color w:val="4A66AC" w:themeColor="accent1"/>
                <w:sz w:val="22"/>
                <w:szCs w:val="22"/>
              </w:rPr>
              <w:t xml:space="preserve"> out who is responsible for vetting or selection at each step and the factors guiding those decisions</w:t>
            </w:r>
            <w:r w:rsidR="006E1B2A">
              <w:rPr>
                <w:rFonts w:ascii="Arial" w:hAnsi="Arial" w:cs="Arial"/>
                <w:color w:val="4A66AC" w:themeColor="accent1"/>
                <w:sz w:val="22"/>
                <w:szCs w:val="22"/>
              </w:rPr>
              <w:t xml:space="preserve"> at each level</w:t>
            </w:r>
            <w:r w:rsidRPr="4F82A3C2">
              <w:rPr>
                <w:rFonts w:ascii="Arial" w:hAnsi="Arial" w:cs="Arial"/>
                <w:color w:val="4A66AC" w:themeColor="accent1"/>
                <w:sz w:val="22"/>
                <w:szCs w:val="22"/>
              </w:rPr>
              <w:t>, specifically including broader strategic objectives of the GP.</w:t>
            </w:r>
          </w:p>
          <w:p w14:paraId="3646D2A6" w14:textId="383ED29D" w:rsidR="00BE5333" w:rsidRPr="00E80114" w:rsidRDefault="00BE5333" w:rsidP="00567956">
            <w:pPr>
              <w:pStyle w:val="ListParagraph"/>
              <w:numPr>
                <w:ilvl w:val="0"/>
                <w:numId w:val="10"/>
              </w:numPr>
              <w:rPr>
                <w:rFonts w:ascii="Arial" w:hAnsi="Arial" w:cs="Arial"/>
                <w:bCs/>
                <w:color w:val="4A66AC" w:themeColor="accent1"/>
                <w:sz w:val="22"/>
                <w:szCs w:val="22"/>
              </w:rPr>
            </w:pPr>
            <w:r w:rsidRPr="00E80114">
              <w:rPr>
                <w:rFonts w:ascii="Arial" w:hAnsi="Arial" w:cs="Arial"/>
                <w:bCs/>
                <w:color w:val="4A66AC" w:themeColor="accent1"/>
                <w:sz w:val="22"/>
                <w:szCs w:val="22"/>
              </w:rPr>
              <w:t>The GP/ROLSHR team is insufficiently staffed, given the current vast scope of worldwide programming and level of funding being managed. This poses various risks</w:t>
            </w:r>
            <w:r w:rsidR="00D06B8D">
              <w:rPr>
                <w:rFonts w:ascii="Arial" w:hAnsi="Arial" w:cs="Arial"/>
                <w:bCs/>
                <w:color w:val="4A66AC" w:themeColor="accent1"/>
                <w:sz w:val="22"/>
                <w:szCs w:val="22"/>
              </w:rPr>
              <w:t>,</w:t>
            </w:r>
            <w:r w:rsidRPr="00E80114">
              <w:rPr>
                <w:rFonts w:ascii="Arial" w:hAnsi="Arial" w:cs="Arial"/>
                <w:bCs/>
                <w:color w:val="4A66AC" w:themeColor="accent1"/>
                <w:sz w:val="22"/>
                <w:szCs w:val="22"/>
              </w:rPr>
              <w:t xml:space="preserve"> including: </w:t>
            </w:r>
            <w:r w:rsidR="0018046A" w:rsidRPr="00E80114">
              <w:rPr>
                <w:rFonts w:ascii="Arial" w:hAnsi="Arial" w:cs="Arial"/>
                <w:bCs/>
                <w:color w:val="4A66AC" w:themeColor="accent1"/>
                <w:sz w:val="22"/>
                <w:szCs w:val="22"/>
              </w:rPr>
              <w:t>increased</w:t>
            </w:r>
            <w:r w:rsidRPr="00E80114">
              <w:rPr>
                <w:rFonts w:ascii="Arial" w:hAnsi="Arial" w:cs="Arial"/>
                <w:bCs/>
                <w:color w:val="4A66AC" w:themeColor="accent1"/>
                <w:sz w:val="22"/>
                <w:szCs w:val="22"/>
              </w:rPr>
              <w:t xml:space="preserve"> staff turnover, sidelining of countries in need that escape the attention of stretched Focal Points, continuation of unsystematic results-based management and funding allocation processes, and insufficient </w:t>
            </w:r>
            <w:r w:rsidR="00D06B8D">
              <w:rPr>
                <w:rFonts w:ascii="Arial" w:hAnsi="Arial" w:cs="Arial"/>
                <w:bCs/>
                <w:color w:val="4A66AC" w:themeColor="accent1"/>
                <w:sz w:val="22"/>
                <w:szCs w:val="22"/>
              </w:rPr>
              <w:t>use of</w:t>
            </w:r>
            <w:r w:rsidRPr="00E80114">
              <w:rPr>
                <w:rFonts w:ascii="Arial" w:hAnsi="Arial" w:cs="Arial"/>
                <w:bCs/>
                <w:color w:val="4A66AC" w:themeColor="accent1"/>
                <w:sz w:val="22"/>
                <w:szCs w:val="22"/>
              </w:rPr>
              <w:t xml:space="preserve"> lessons learned to inform decision-making. The burden of work is exacerbated for the tiny GP team of two (at present) by </w:t>
            </w:r>
            <w:r w:rsidR="0018046A" w:rsidRPr="00E80114">
              <w:rPr>
                <w:rFonts w:ascii="Arial" w:hAnsi="Arial" w:cs="Arial"/>
                <w:bCs/>
                <w:color w:val="4A66AC" w:themeColor="accent1"/>
                <w:sz w:val="22"/>
                <w:szCs w:val="22"/>
              </w:rPr>
              <w:t xml:space="preserve">also </w:t>
            </w:r>
            <w:r w:rsidRPr="00E80114">
              <w:rPr>
                <w:rFonts w:ascii="Arial" w:hAnsi="Arial" w:cs="Arial"/>
                <w:bCs/>
                <w:color w:val="4A66AC" w:themeColor="accent1"/>
                <w:sz w:val="22"/>
                <w:szCs w:val="22"/>
              </w:rPr>
              <w:t>manag</w:t>
            </w:r>
            <w:r w:rsidR="00D06B8D">
              <w:rPr>
                <w:rFonts w:ascii="Arial" w:hAnsi="Arial" w:cs="Arial"/>
                <w:bCs/>
                <w:color w:val="4A66AC" w:themeColor="accent1"/>
                <w:sz w:val="22"/>
                <w:szCs w:val="22"/>
              </w:rPr>
              <w:t>ing</w:t>
            </w:r>
            <w:r w:rsidRPr="00E80114">
              <w:rPr>
                <w:rFonts w:ascii="Arial" w:hAnsi="Arial" w:cs="Arial"/>
                <w:bCs/>
                <w:color w:val="4A66AC" w:themeColor="accent1"/>
                <w:sz w:val="22"/>
                <w:szCs w:val="22"/>
              </w:rPr>
              <w:t xml:space="preserve"> the significant flow of </w:t>
            </w:r>
            <w:r w:rsidR="00D06B8D" w:rsidRPr="00E80114">
              <w:rPr>
                <w:rFonts w:ascii="Arial" w:hAnsi="Arial" w:cs="Arial"/>
                <w:bCs/>
                <w:color w:val="4A66AC" w:themeColor="accent1"/>
                <w:sz w:val="22"/>
                <w:szCs w:val="22"/>
              </w:rPr>
              <w:t xml:space="preserve">INL </w:t>
            </w:r>
            <w:r w:rsidRPr="00E80114">
              <w:rPr>
                <w:rFonts w:ascii="Arial" w:hAnsi="Arial" w:cs="Arial"/>
                <w:bCs/>
                <w:color w:val="4A66AC" w:themeColor="accent1"/>
                <w:sz w:val="22"/>
                <w:szCs w:val="22"/>
              </w:rPr>
              <w:t>earmarked funding, which does not augment the resources available to cover HQ staff.</w:t>
            </w:r>
          </w:p>
          <w:p w14:paraId="0E6ACF8A" w14:textId="28EA0ECF" w:rsidR="00067B19" w:rsidRPr="00E80114" w:rsidRDefault="00067B19" w:rsidP="00067B19">
            <w:pPr>
              <w:pStyle w:val="ListParagraph"/>
              <w:rPr>
                <w:rFonts w:ascii="Arial" w:hAnsi="Arial" w:cs="Arial"/>
                <w:bCs/>
                <w:color w:val="4A66AC" w:themeColor="accent1"/>
                <w:sz w:val="22"/>
                <w:szCs w:val="22"/>
              </w:rPr>
            </w:pPr>
          </w:p>
        </w:tc>
      </w:tr>
    </w:tbl>
    <w:p w14:paraId="6F011BED" w14:textId="77777777" w:rsidR="001973EA" w:rsidRDefault="001973EA" w:rsidP="001973EA">
      <w:pPr>
        <w:spacing w:after="0" w:line="240" w:lineRule="auto"/>
        <w:rPr>
          <w:rFonts w:ascii="Arial" w:hAnsi="Arial" w:cs="Arial"/>
          <w:b/>
          <w:color w:val="000000"/>
        </w:rPr>
      </w:pPr>
    </w:p>
    <w:p w14:paraId="5FBB7DF3" w14:textId="77777777" w:rsidR="00A20CB4" w:rsidRDefault="00A20CB4" w:rsidP="005B2D40">
      <w:pPr>
        <w:pStyle w:val="Heading2"/>
      </w:pPr>
      <w:bookmarkStart w:id="21" w:name="_Toc71701891"/>
    </w:p>
    <w:p w14:paraId="57EAD7A9" w14:textId="1121FB89" w:rsidR="005B2D40" w:rsidRDefault="001973EA" w:rsidP="005B2D40">
      <w:pPr>
        <w:pStyle w:val="Heading2"/>
      </w:pPr>
      <w:r w:rsidRPr="009E59F6">
        <w:t xml:space="preserve">Programme/Global Level </w:t>
      </w:r>
      <w:r w:rsidR="005B2D40">
        <w:t>Findings on Efficiency</w:t>
      </w:r>
      <w:bookmarkEnd w:id="21"/>
    </w:p>
    <w:p w14:paraId="2B31FB20" w14:textId="676049A8" w:rsidR="001973EA" w:rsidRPr="002A6E99" w:rsidRDefault="001973EA" w:rsidP="001973EA">
      <w:pPr>
        <w:spacing w:after="0" w:line="240" w:lineRule="auto"/>
        <w:rPr>
          <w:rFonts w:ascii="Arial" w:eastAsia="Times New Roman" w:hAnsi="Arial" w:cs="Arial"/>
          <w:i/>
          <w:iCs/>
          <w:sz w:val="22"/>
          <w:szCs w:val="22"/>
        </w:rPr>
      </w:pPr>
      <w:r w:rsidRPr="002A6E99">
        <w:rPr>
          <w:rFonts w:ascii="Arial" w:hAnsi="Arial" w:cs="Arial"/>
          <w:b/>
          <w:i/>
          <w:iCs/>
          <w:color w:val="000000"/>
          <w:sz w:val="22"/>
          <w:szCs w:val="22"/>
        </w:rPr>
        <w:t>Evaluation Questions: </w:t>
      </w:r>
    </w:p>
    <w:p w14:paraId="06CFCCEB" w14:textId="64B2FA7D" w:rsidR="00C56EB7" w:rsidRPr="007D272B" w:rsidRDefault="00C56EB7" w:rsidP="00567956">
      <w:pPr>
        <w:pStyle w:val="ListParagraph"/>
        <w:numPr>
          <w:ilvl w:val="0"/>
          <w:numId w:val="6"/>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To what extent have GP3’s management, operational, financial and administrative systems and structures (including SOPs, business processes) affected programme implementation?  </w:t>
      </w:r>
    </w:p>
    <w:p w14:paraId="6CF4F84F" w14:textId="267D1FBA" w:rsidR="00C56EB7" w:rsidRPr="007D272B" w:rsidRDefault="00C56EB7" w:rsidP="00567956">
      <w:pPr>
        <w:pStyle w:val="ListParagraph"/>
        <w:numPr>
          <w:ilvl w:val="0"/>
          <w:numId w:val="6"/>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 xml:space="preserve">Are existing SOPs helpful or would additional or better guidance be useful; if so, how could they be improved?  </w:t>
      </w:r>
    </w:p>
    <w:p w14:paraId="772810E1" w14:textId="4699C965" w:rsidR="002C0C78" w:rsidRPr="007D272B" w:rsidRDefault="002C0C78" w:rsidP="00567956">
      <w:pPr>
        <w:pStyle w:val="ListParagraph"/>
        <w:numPr>
          <w:ilvl w:val="0"/>
          <w:numId w:val="6"/>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 xml:space="preserve">Does GP3 have the required resources (human and financial) to achieve its objectives? </w:t>
      </w:r>
    </w:p>
    <w:p w14:paraId="571C7DF9" w14:textId="54A016DF" w:rsidR="002C0C78" w:rsidRPr="007D272B" w:rsidRDefault="002C0C78" w:rsidP="00567956">
      <w:pPr>
        <w:pStyle w:val="ListParagraph"/>
        <w:numPr>
          <w:ilvl w:val="0"/>
          <w:numId w:val="6"/>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To what extent has GP3 management met its key donors’ expectations?</w:t>
      </w:r>
    </w:p>
    <w:p w14:paraId="7B19AB92" w14:textId="77777777" w:rsidR="002C0C78" w:rsidRPr="007D272B" w:rsidRDefault="002C0C78" w:rsidP="00567956">
      <w:pPr>
        <w:pStyle w:val="ListParagraph"/>
        <w:numPr>
          <w:ilvl w:val="0"/>
          <w:numId w:val="6"/>
        </w:numPr>
        <w:spacing w:after="0"/>
        <w:rPr>
          <w:rFonts w:ascii="Arial" w:hAnsi="Arial" w:cs="Arial"/>
          <w:i/>
          <w:iCs/>
          <w:color w:val="000000"/>
          <w:sz w:val="22"/>
          <w:szCs w:val="22"/>
        </w:rPr>
      </w:pPr>
      <w:r w:rsidRPr="007D272B">
        <w:rPr>
          <w:rFonts w:ascii="Arial" w:hAnsi="Arial" w:cs="Arial"/>
          <w:i/>
          <w:iCs/>
          <w:color w:val="000000"/>
          <w:sz w:val="22"/>
          <w:szCs w:val="22"/>
          <w:highlight w:val="white"/>
        </w:rPr>
        <w:t>To what extent does GP3 integrate results-based management?</w:t>
      </w:r>
    </w:p>
    <w:p w14:paraId="22D7F262" w14:textId="77777777" w:rsidR="002C0C78" w:rsidRPr="007D272B" w:rsidRDefault="002C0C78" w:rsidP="00567956">
      <w:pPr>
        <w:pStyle w:val="ListParagraph"/>
        <w:numPr>
          <w:ilvl w:val="0"/>
          <w:numId w:val="6"/>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 xml:space="preserve">How well has Monitoring, Evaluation and Learning been carried out in GP3?  </w:t>
      </w:r>
    </w:p>
    <w:p w14:paraId="517A5445" w14:textId="77777777" w:rsidR="002C0C78" w:rsidRPr="007D272B" w:rsidRDefault="002C0C78" w:rsidP="00567956">
      <w:pPr>
        <w:pStyle w:val="ListParagraph"/>
        <w:numPr>
          <w:ilvl w:val="0"/>
          <w:numId w:val="6"/>
        </w:numPr>
        <w:spacing w:after="0" w:line="240" w:lineRule="auto"/>
        <w:rPr>
          <w:rFonts w:ascii="Arial" w:eastAsia="Times New Roman" w:hAnsi="Arial" w:cs="Arial"/>
          <w:i/>
          <w:iCs/>
          <w:sz w:val="22"/>
          <w:szCs w:val="22"/>
        </w:rPr>
      </w:pPr>
      <w:r w:rsidRPr="007D272B">
        <w:rPr>
          <w:rFonts w:ascii="Arial" w:hAnsi="Arial" w:cs="Arial"/>
          <w:i/>
          <w:iCs/>
          <w:color w:val="000000"/>
          <w:sz w:val="22"/>
          <w:szCs w:val="22"/>
        </w:rPr>
        <w:t>How effectively has GP3 contributed to results outlined in the UNDP Integrated Results and Resources Framework (2014-17) and Strategic Plan (2018-21)? </w:t>
      </w:r>
    </w:p>
    <w:p w14:paraId="0CE6DD99" w14:textId="4CAAA88A" w:rsidR="00C56EB7" w:rsidRPr="007D272B" w:rsidRDefault="00C56EB7" w:rsidP="00567956">
      <w:pPr>
        <w:pStyle w:val="ListParagraph"/>
        <w:numPr>
          <w:ilvl w:val="0"/>
          <w:numId w:val="6"/>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What have been the efficiencies and synergies, or negative and unintended consequences, if any, of the GP also managing non-pipeline, earmarked funding streams on behalf of non-GP funding vehicles?  </w:t>
      </w:r>
      <w:r w:rsidR="00067B19" w:rsidRPr="007D272B">
        <w:rPr>
          <w:rFonts w:ascii="Arial" w:hAnsi="Arial" w:cs="Arial"/>
          <w:i/>
          <w:iCs/>
          <w:color w:val="000000"/>
          <w:sz w:val="22"/>
          <w:szCs w:val="22"/>
          <w:highlight w:val="white"/>
        </w:rPr>
        <w:t>(discussed under Sustainability due to cross-cutting nature of this question)</w:t>
      </w:r>
    </w:p>
    <w:p w14:paraId="11A5412C" w14:textId="77777777" w:rsidR="00C56EB7" w:rsidRPr="002A6E99" w:rsidRDefault="00C56EB7" w:rsidP="00C56EB7">
      <w:pPr>
        <w:spacing w:after="0"/>
        <w:rPr>
          <w:rFonts w:ascii="Arial" w:hAnsi="Arial" w:cs="Arial"/>
          <w:sz w:val="22"/>
          <w:szCs w:val="22"/>
        </w:rPr>
      </w:pPr>
    </w:p>
    <w:p w14:paraId="461C8D06" w14:textId="1B5BE27D" w:rsidR="007B3998" w:rsidRPr="002A6E99" w:rsidRDefault="007B3998" w:rsidP="00D06B8D">
      <w:pPr>
        <w:spacing w:after="0" w:line="240" w:lineRule="auto"/>
        <w:rPr>
          <w:rFonts w:ascii="Arial" w:hAnsi="Arial" w:cs="Arial"/>
          <w:sz w:val="22"/>
          <w:szCs w:val="22"/>
        </w:rPr>
      </w:pPr>
      <w:r w:rsidRPr="002A6E99">
        <w:rPr>
          <w:rFonts w:ascii="Arial" w:hAnsi="Arial" w:cs="Arial"/>
          <w:sz w:val="22"/>
          <w:szCs w:val="22"/>
        </w:rPr>
        <w:t xml:space="preserve">In collecting and analyzing data for this criterion, the evaluators faced a particular challenge in obtaining a clear picture of the operational side of GP in the early years of Phase 3, due to </w:t>
      </w:r>
      <w:r w:rsidR="00011887" w:rsidRPr="002A6E99">
        <w:rPr>
          <w:rFonts w:ascii="Arial" w:hAnsi="Arial" w:cs="Arial"/>
          <w:sz w:val="22"/>
          <w:szCs w:val="22"/>
        </w:rPr>
        <w:t xml:space="preserve">staff turnover and </w:t>
      </w:r>
      <w:r w:rsidRPr="002A6E99">
        <w:rPr>
          <w:rFonts w:ascii="Arial" w:hAnsi="Arial" w:cs="Arial"/>
          <w:sz w:val="22"/>
          <w:szCs w:val="22"/>
        </w:rPr>
        <w:t>limited documentation</w:t>
      </w:r>
      <w:r w:rsidR="00D06B8D">
        <w:rPr>
          <w:rFonts w:ascii="Arial" w:hAnsi="Arial" w:cs="Arial"/>
          <w:sz w:val="22"/>
          <w:szCs w:val="22"/>
        </w:rPr>
        <w:t xml:space="preserve"> from that time</w:t>
      </w:r>
      <w:r w:rsidRPr="002A6E99">
        <w:rPr>
          <w:rFonts w:ascii="Arial" w:hAnsi="Arial" w:cs="Arial"/>
          <w:sz w:val="22"/>
          <w:szCs w:val="22"/>
        </w:rPr>
        <w:t xml:space="preserve">. Therefore, </w:t>
      </w:r>
      <w:r w:rsidR="00D06B8D">
        <w:rPr>
          <w:rFonts w:ascii="Arial" w:hAnsi="Arial" w:cs="Arial"/>
          <w:sz w:val="22"/>
          <w:szCs w:val="22"/>
        </w:rPr>
        <w:t>unless</w:t>
      </w:r>
      <w:r w:rsidRPr="002A6E99">
        <w:rPr>
          <w:rFonts w:ascii="Arial" w:hAnsi="Arial" w:cs="Arial"/>
          <w:sz w:val="22"/>
          <w:szCs w:val="22"/>
        </w:rPr>
        <w:t xml:space="preserve"> otherwise noted, the focus </w:t>
      </w:r>
      <w:r w:rsidR="00D06B8D">
        <w:rPr>
          <w:rFonts w:ascii="Arial" w:hAnsi="Arial" w:cs="Arial"/>
          <w:sz w:val="22"/>
          <w:szCs w:val="22"/>
        </w:rPr>
        <w:t xml:space="preserve">of this analysis </w:t>
      </w:r>
      <w:r w:rsidRPr="002A6E99">
        <w:rPr>
          <w:rFonts w:ascii="Arial" w:hAnsi="Arial" w:cs="Arial"/>
          <w:sz w:val="22"/>
          <w:szCs w:val="22"/>
        </w:rPr>
        <w:t>is on recent and/or current procedures, systems</w:t>
      </w:r>
      <w:r w:rsidR="001D0E1D">
        <w:rPr>
          <w:rFonts w:ascii="Arial" w:hAnsi="Arial" w:cs="Arial"/>
          <w:sz w:val="22"/>
          <w:szCs w:val="22"/>
        </w:rPr>
        <w:t>,</w:t>
      </w:r>
      <w:r w:rsidRPr="002A6E99">
        <w:rPr>
          <w:rFonts w:ascii="Arial" w:hAnsi="Arial" w:cs="Arial"/>
          <w:sz w:val="22"/>
          <w:szCs w:val="22"/>
        </w:rPr>
        <w:t xml:space="preserve"> and operations. </w:t>
      </w:r>
    </w:p>
    <w:p w14:paraId="2C72F737" w14:textId="3B048A12" w:rsidR="007B3998" w:rsidRDefault="007B3998" w:rsidP="007B3998">
      <w:pPr>
        <w:spacing w:after="0"/>
        <w:rPr>
          <w:rFonts w:ascii="Arial" w:hAnsi="Arial" w:cs="Arial"/>
        </w:rPr>
      </w:pPr>
    </w:p>
    <w:p w14:paraId="74491B7E" w14:textId="37CD2770" w:rsidR="000F6665" w:rsidRPr="005B2D40" w:rsidRDefault="000F6665" w:rsidP="00567956">
      <w:pPr>
        <w:pStyle w:val="ListParagraph"/>
        <w:numPr>
          <w:ilvl w:val="0"/>
          <w:numId w:val="1"/>
        </w:numPr>
        <w:rPr>
          <w:rFonts w:ascii="Arial" w:hAnsi="Arial" w:cs="Arial"/>
          <w:b/>
          <w:bCs/>
        </w:rPr>
      </w:pPr>
      <w:r w:rsidRPr="005B2D40">
        <w:rPr>
          <w:rFonts w:ascii="Arial" w:hAnsi="Arial" w:cs="Arial"/>
          <w:b/>
          <w:bCs/>
        </w:rPr>
        <w:t xml:space="preserve">Business processes </w:t>
      </w:r>
      <w:r w:rsidR="00983B52" w:rsidRPr="005B2D40">
        <w:rPr>
          <w:rFonts w:ascii="Arial" w:hAnsi="Arial" w:cs="Arial"/>
          <w:b/>
          <w:bCs/>
        </w:rPr>
        <w:t>and SOPs</w:t>
      </w:r>
    </w:p>
    <w:p w14:paraId="5BF3B988" w14:textId="3269767C" w:rsidR="004D4172" w:rsidRDefault="00E503F8" w:rsidP="000F47BF">
      <w:pPr>
        <w:pStyle w:val="Default"/>
        <w:spacing w:after="120"/>
        <w:rPr>
          <w:rFonts w:ascii="Arial" w:hAnsi="Arial" w:cs="Arial"/>
          <w:sz w:val="22"/>
          <w:szCs w:val="22"/>
        </w:rPr>
      </w:pPr>
      <w:r w:rsidRPr="00A87B85">
        <w:rPr>
          <w:rFonts w:ascii="Arial" w:hAnsi="Arial" w:cs="Arial"/>
          <w:sz w:val="22"/>
          <w:szCs w:val="22"/>
        </w:rPr>
        <w:t xml:space="preserve">The most significant business process of the GP is its </w:t>
      </w:r>
      <w:r w:rsidR="0087776F">
        <w:rPr>
          <w:rFonts w:ascii="Arial" w:hAnsi="Arial" w:cs="Arial"/>
          <w:sz w:val="22"/>
          <w:szCs w:val="22"/>
        </w:rPr>
        <w:t xml:space="preserve">direct </w:t>
      </w:r>
      <w:r w:rsidRPr="00A87B85">
        <w:rPr>
          <w:rFonts w:ascii="Arial" w:hAnsi="Arial" w:cs="Arial"/>
          <w:sz w:val="22"/>
          <w:szCs w:val="22"/>
        </w:rPr>
        <w:t>funding allocation to requesting countries (known as the “pipeline”), which is coordinated by the HQ team two or three</w:t>
      </w:r>
      <w:r w:rsidR="000F6665" w:rsidRPr="00A87B85">
        <w:rPr>
          <w:rFonts w:ascii="Arial" w:hAnsi="Arial" w:cs="Arial"/>
          <w:sz w:val="22"/>
          <w:szCs w:val="22"/>
        </w:rPr>
        <w:t xml:space="preserve"> times per year</w:t>
      </w:r>
      <w:r w:rsidRPr="00A87B85">
        <w:rPr>
          <w:rFonts w:ascii="Arial" w:hAnsi="Arial" w:cs="Arial"/>
          <w:sz w:val="22"/>
          <w:szCs w:val="22"/>
        </w:rPr>
        <w:t>. Between 2017 and 2019, more than $1</w:t>
      </w:r>
      <w:r w:rsidR="006C28D2">
        <w:rPr>
          <w:rFonts w:ascii="Arial" w:hAnsi="Arial" w:cs="Arial"/>
          <w:sz w:val="22"/>
          <w:szCs w:val="22"/>
        </w:rPr>
        <w:t>8</w:t>
      </w:r>
      <w:r w:rsidRPr="00A87B85">
        <w:rPr>
          <w:rFonts w:ascii="Arial" w:hAnsi="Arial" w:cs="Arial"/>
          <w:sz w:val="22"/>
          <w:szCs w:val="22"/>
        </w:rPr>
        <w:t xml:space="preserve"> million was awarded to </w:t>
      </w:r>
      <w:r w:rsidR="00D06B8D">
        <w:rPr>
          <w:rFonts w:ascii="Arial" w:hAnsi="Arial" w:cs="Arial"/>
          <w:sz w:val="22"/>
          <w:szCs w:val="22"/>
        </w:rPr>
        <w:t xml:space="preserve">at least </w:t>
      </w:r>
      <w:r w:rsidRPr="00A87B85">
        <w:rPr>
          <w:rFonts w:ascii="Arial" w:hAnsi="Arial" w:cs="Arial"/>
          <w:sz w:val="22"/>
          <w:szCs w:val="22"/>
        </w:rPr>
        <w:t>4</w:t>
      </w:r>
      <w:r w:rsidR="006C28D2">
        <w:rPr>
          <w:rFonts w:ascii="Arial" w:hAnsi="Arial" w:cs="Arial"/>
          <w:sz w:val="22"/>
          <w:szCs w:val="22"/>
        </w:rPr>
        <w:t>6</w:t>
      </w:r>
      <w:r w:rsidRPr="00A87B85">
        <w:rPr>
          <w:rFonts w:ascii="Arial" w:hAnsi="Arial" w:cs="Arial"/>
          <w:sz w:val="22"/>
          <w:szCs w:val="22"/>
        </w:rPr>
        <w:t xml:space="preserve"> </w:t>
      </w:r>
      <w:r w:rsidR="004D4172">
        <w:rPr>
          <w:rFonts w:ascii="Arial" w:hAnsi="Arial" w:cs="Arial"/>
          <w:sz w:val="22"/>
          <w:szCs w:val="22"/>
        </w:rPr>
        <w:t xml:space="preserve">individual UNDP </w:t>
      </w:r>
      <w:r w:rsidRPr="00A87B85">
        <w:rPr>
          <w:rFonts w:ascii="Arial" w:hAnsi="Arial" w:cs="Arial"/>
          <w:sz w:val="22"/>
          <w:szCs w:val="22"/>
        </w:rPr>
        <w:t>countr</w:t>
      </w:r>
      <w:r w:rsidR="004D4172">
        <w:rPr>
          <w:rFonts w:ascii="Arial" w:hAnsi="Arial" w:cs="Arial"/>
          <w:sz w:val="22"/>
          <w:szCs w:val="22"/>
        </w:rPr>
        <w:t>y offices</w:t>
      </w:r>
      <w:r w:rsidRPr="00A87B85">
        <w:rPr>
          <w:rFonts w:ascii="Arial" w:hAnsi="Arial" w:cs="Arial"/>
          <w:sz w:val="22"/>
          <w:szCs w:val="22"/>
        </w:rPr>
        <w:t xml:space="preserve"> via this process</w:t>
      </w:r>
      <w:r w:rsidR="00A77301">
        <w:rPr>
          <w:rFonts w:ascii="Arial" w:hAnsi="Arial" w:cs="Arial"/>
          <w:sz w:val="22"/>
          <w:szCs w:val="22"/>
        </w:rPr>
        <w:t xml:space="preserve">, </w:t>
      </w:r>
      <w:r w:rsidR="00512D35">
        <w:rPr>
          <w:rFonts w:ascii="Arial" w:hAnsi="Arial" w:cs="Arial"/>
          <w:sz w:val="22"/>
          <w:szCs w:val="22"/>
        </w:rPr>
        <w:t>plus</w:t>
      </w:r>
      <w:r w:rsidR="00A77301">
        <w:rPr>
          <w:rFonts w:ascii="Arial" w:hAnsi="Arial" w:cs="Arial"/>
          <w:sz w:val="22"/>
          <w:szCs w:val="22"/>
        </w:rPr>
        <w:t xml:space="preserve"> approximately $1 million for regional projects. </w:t>
      </w:r>
      <w:r w:rsidR="000C15FE">
        <w:rPr>
          <w:rFonts w:ascii="Arial" w:hAnsi="Arial" w:cs="Arial"/>
          <w:sz w:val="22"/>
          <w:szCs w:val="22"/>
        </w:rPr>
        <w:t>In all, about 38% of contributions to the GP were channeled to countries in this way.</w:t>
      </w:r>
      <w:r w:rsidR="000C15FE">
        <w:rPr>
          <w:rStyle w:val="FootnoteReference"/>
          <w:rFonts w:ascii="Arial" w:hAnsi="Arial" w:cs="Arial"/>
          <w:sz w:val="22"/>
          <w:szCs w:val="22"/>
        </w:rPr>
        <w:footnoteReference w:id="13"/>
      </w:r>
      <w:r w:rsidR="000C15FE">
        <w:rPr>
          <w:rFonts w:ascii="Arial" w:hAnsi="Arial" w:cs="Arial"/>
          <w:sz w:val="22"/>
          <w:szCs w:val="22"/>
        </w:rPr>
        <w:t xml:space="preserve"> </w:t>
      </w:r>
      <w:r w:rsidR="00A77301">
        <w:rPr>
          <w:rFonts w:ascii="Arial" w:hAnsi="Arial" w:cs="Arial"/>
          <w:sz w:val="22"/>
          <w:szCs w:val="22"/>
        </w:rPr>
        <w:t xml:space="preserve">The </w:t>
      </w:r>
      <w:r w:rsidRPr="00A87B85">
        <w:rPr>
          <w:rFonts w:ascii="Arial" w:hAnsi="Arial" w:cs="Arial"/>
          <w:sz w:val="22"/>
          <w:szCs w:val="22"/>
        </w:rPr>
        <w:t>6</w:t>
      </w:r>
      <w:r w:rsidR="006C28D2">
        <w:rPr>
          <w:rFonts w:ascii="Arial" w:hAnsi="Arial" w:cs="Arial"/>
          <w:sz w:val="22"/>
          <w:szCs w:val="22"/>
        </w:rPr>
        <w:t>8</w:t>
      </w:r>
      <w:r w:rsidRPr="00A87B85">
        <w:rPr>
          <w:rFonts w:ascii="Arial" w:hAnsi="Arial" w:cs="Arial"/>
          <w:sz w:val="22"/>
          <w:szCs w:val="22"/>
        </w:rPr>
        <w:t xml:space="preserve"> allocations </w:t>
      </w:r>
      <w:r w:rsidR="00A77301">
        <w:rPr>
          <w:rFonts w:ascii="Arial" w:hAnsi="Arial" w:cs="Arial"/>
          <w:sz w:val="22"/>
          <w:szCs w:val="22"/>
        </w:rPr>
        <w:t>to country offices</w:t>
      </w:r>
      <w:r w:rsidRPr="00A87B85">
        <w:rPr>
          <w:rFonts w:ascii="Arial" w:hAnsi="Arial" w:cs="Arial"/>
          <w:sz w:val="22"/>
          <w:szCs w:val="22"/>
        </w:rPr>
        <w:t xml:space="preserve"> </w:t>
      </w:r>
      <w:r w:rsidR="00A77301">
        <w:rPr>
          <w:rFonts w:ascii="Arial" w:hAnsi="Arial" w:cs="Arial"/>
          <w:sz w:val="22"/>
          <w:szCs w:val="22"/>
        </w:rPr>
        <w:t xml:space="preserve">are subject to </w:t>
      </w:r>
      <w:r w:rsidR="00A77301" w:rsidRPr="00A87B85">
        <w:rPr>
          <w:rFonts w:ascii="Arial" w:hAnsi="Arial" w:cs="Arial"/>
          <w:sz w:val="22"/>
          <w:szCs w:val="22"/>
        </w:rPr>
        <w:t xml:space="preserve">a maximum of </w:t>
      </w:r>
      <w:r w:rsidR="00A77301" w:rsidRPr="008D019A">
        <w:rPr>
          <w:rFonts w:ascii="Arial" w:hAnsi="Arial" w:cs="Arial"/>
          <w:sz w:val="22"/>
          <w:szCs w:val="22"/>
        </w:rPr>
        <w:t>$500,000</w:t>
      </w:r>
      <w:r w:rsidR="00F54FB4">
        <w:rPr>
          <w:rFonts w:ascii="Arial" w:hAnsi="Arial" w:cs="Arial"/>
          <w:sz w:val="22"/>
          <w:szCs w:val="22"/>
        </w:rPr>
        <w:t xml:space="preserve"> </w:t>
      </w:r>
      <w:r w:rsidR="00D06B8D">
        <w:rPr>
          <w:rFonts w:ascii="Arial" w:hAnsi="Arial" w:cs="Arial"/>
          <w:sz w:val="22"/>
          <w:szCs w:val="22"/>
        </w:rPr>
        <w:t>but</w:t>
      </w:r>
      <w:r w:rsidR="00A77301">
        <w:rPr>
          <w:rFonts w:ascii="Arial" w:hAnsi="Arial" w:cs="Arial"/>
          <w:sz w:val="22"/>
          <w:szCs w:val="22"/>
        </w:rPr>
        <w:t xml:space="preserve"> </w:t>
      </w:r>
      <w:r w:rsidR="00A87B85" w:rsidRPr="00A87B85">
        <w:rPr>
          <w:rFonts w:ascii="Arial" w:hAnsi="Arial" w:cs="Arial"/>
          <w:sz w:val="22"/>
          <w:szCs w:val="22"/>
        </w:rPr>
        <w:t>averag</w:t>
      </w:r>
      <w:r w:rsidR="00A77301">
        <w:rPr>
          <w:rFonts w:ascii="Arial" w:hAnsi="Arial" w:cs="Arial"/>
          <w:sz w:val="22"/>
          <w:szCs w:val="22"/>
        </w:rPr>
        <w:t>ed</w:t>
      </w:r>
      <w:r w:rsidR="00A87B85" w:rsidRPr="00A87B85">
        <w:rPr>
          <w:rFonts w:ascii="Arial" w:hAnsi="Arial" w:cs="Arial"/>
          <w:sz w:val="22"/>
          <w:szCs w:val="22"/>
        </w:rPr>
        <w:t xml:space="preserve"> $2</w:t>
      </w:r>
      <w:r w:rsidR="00A77301">
        <w:rPr>
          <w:rFonts w:ascii="Arial" w:hAnsi="Arial" w:cs="Arial"/>
          <w:sz w:val="22"/>
          <w:szCs w:val="22"/>
        </w:rPr>
        <w:t>80</w:t>
      </w:r>
      <w:r w:rsidR="00A87B85" w:rsidRPr="00A87B85">
        <w:rPr>
          <w:rFonts w:ascii="Arial" w:hAnsi="Arial" w:cs="Arial"/>
          <w:sz w:val="22"/>
          <w:szCs w:val="22"/>
        </w:rPr>
        <w:t xml:space="preserve">,000 </w:t>
      </w:r>
      <w:r w:rsidR="00A77301">
        <w:rPr>
          <w:rFonts w:ascii="Arial" w:hAnsi="Arial" w:cs="Arial"/>
          <w:sz w:val="22"/>
          <w:szCs w:val="22"/>
        </w:rPr>
        <w:t>during that period</w:t>
      </w:r>
      <w:r w:rsidRPr="008D019A">
        <w:rPr>
          <w:rFonts w:ascii="Arial" w:hAnsi="Arial" w:cs="Arial"/>
          <w:sz w:val="22"/>
          <w:szCs w:val="22"/>
        </w:rPr>
        <w:t xml:space="preserve">. </w:t>
      </w:r>
      <w:r w:rsidR="006A57E1">
        <w:rPr>
          <w:rFonts w:ascii="Arial" w:hAnsi="Arial" w:cs="Arial"/>
          <w:sz w:val="22"/>
          <w:szCs w:val="22"/>
        </w:rPr>
        <w:t xml:space="preserve">(See </w:t>
      </w:r>
      <w:r w:rsidR="00B37446" w:rsidRPr="7FB3149D">
        <w:rPr>
          <w:rFonts w:ascii="Arial" w:hAnsi="Arial" w:cs="Arial"/>
          <w:i/>
          <w:iCs/>
          <w:color w:val="2B579A"/>
          <w:sz w:val="22"/>
          <w:szCs w:val="22"/>
          <w:highlight w:val="yellow"/>
          <w:shd w:val="clear" w:color="auto" w:fill="E6E6E6"/>
        </w:rPr>
        <w:fldChar w:fldCharType="begin"/>
      </w:r>
      <w:r w:rsidR="00B37446" w:rsidRPr="7FB3149D">
        <w:rPr>
          <w:rFonts w:ascii="Arial" w:hAnsi="Arial" w:cs="Arial"/>
          <w:i/>
          <w:iCs/>
          <w:sz w:val="22"/>
          <w:szCs w:val="22"/>
        </w:rPr>
        <w:instrText xml:space="preserve"> REF _Ref70154565 \h </w:instrText>
      </w:r>
      <w:r w:rsidR="00D06B8D" w:rsidRPr="7FB3149D">
        <w:rPr>
          <w:rFonts w:ascii="Arial" w:hAnsi="Arial" w:cs="Arial"/>
          <w:i/>
          <w:iCs/>
          <w:sz w:val="22"/>
          <w:szCs w:val="22"/>
          <w:highlight w:val="yellow"/>
        </w:rPr>
        <w:instrText xml:space="preserve"> \* MERGEFORMAT </w:instrText>
      </w:r>
      <w:r w:rsidR="00B37446" w:rsidRPr="7FB3149D">
        <w:rPr>
          <w:rFonts w:ascii="Arial" w:hAnsi="Arial" w:cs="Arial"/>
          <w:i/>
          <w:iCs/>
          <w:color w:val="2B579A"/>
          <w:sz w:val="22"/>
          <w:szCs w:val="22"/>
          <w:highlight w:val="yellow"/>
          <w:shd w:val="clear" w:color="auto" w:fill="E6E6E6"/>
        </w:rPr>
      </w:r>
      <w:r w:rsidR="00B37446" w:rsidRPr="7FB3149D">
        <w:rPr>
          <w:rFonts w:ascii="Arial" w:hAnsi="Arial" w:cs="Arial"/>
          <w:i/>
          <w:iCs/>
          <w:color w:val="2B579A"/>
          <w:sz w:val="22"/>
          <w:szCs w:val="22"/>
          <w:highlight w:val="yellow"/>
          <w:shd w:val="clear" w:color="auto" w:fill="E6E6E6"/>
        </w:rPr>
        <w:fldChar w:fldCharType="separate"/>
      </w:r>
      <w:r w:rsidR="00036841" w:rsidRPr="00036841">
        <w:rPr>
          <w:rFonts w:ascii="Arial" w:hAnsi="Arial" w:cs="Arial"/>
          <w:i/>
          <w:iCs/>
          <w:sz w:val="22"/>
          <w:szCs w:val="22"/>
          <w:lang w:eastAsia="de-DE"/>
        </w:rPr>
        <w:t>Annex 6</w:t>
      </w:r>
      <w:r w:rsidR="00036841" w:rsidRPr="7FB3149D">
        <w:rPr>
          <w:lang w:eastAsia="de-DE"/>
        </w:rPr>
        <w:t>: List of GP Pipeline Funding Allocations</w:t>
      </w:r>
      <w:r w:rsidR="00B37446" w:rsidRPr="7FB3149D">
        <w:rPr>
          <w:rFonts w:ascii="Arial" w:hAnsi="Arial" w:cs="Arial"/>
          <w:i/>
          <w:iCs/>
          <w:color w:val="2B579A"/>
          <w:sz w:val="22"/>
          <w:szCs w:val="22"/>
          <w:highlight w:val="yellow"/>
          <w:shd w:val="clear" w:color="auto" w:fill="E6E6E6"/>
        </w:rPr>
        <w:fldChar w:fldCharType="end"/>
      </w:r>
      <w:r w:rsidR="006A57E1">
        <w:rPr>
          <w:rFonts w:ascii="Arial" w:hAnsi="Arial" w:cs="Arial"/>
          <w:sz w:val="22"/>
          <w:szCs w:val="22"/>
        </w:rPr>
        <w:t xml:space="preserve"> for the</w:t>
      </w:r>
      <w:r w:rsidR="00D06B8D">
        <w:rPr>
          <w:rFonts w:ascii="Arial" w:hAnsi="Arial" w:cs="Arial"/>
          <w:sz w:val="22"/>
          <w:szCs w:val="22"/>
        </w:rPr>
        <w:t xml:space="preserve"> full</w:t>
      </w:r>
      <w:r w:rsidR="006A57E1">
        <w:rPr>
          <w:rFonts w:ascii="Arial" w:hAnsi="Arial" w:cs="Arial"/>
          <w:sz w:val="22"/>
          <w:szCs w:val="22"/>
        </w:rPr>
        <w:t xml:space="preserve"> list of country allocations from 2017-19.)</w:t>
      </w:r>
    </w:p>
    <w:p w14:paraId="3DCC7357" w14:textId="45246E75" w:rsidR="00985649" w:rsidRPr="00DB5EC6" w:rsidRDefault="00A87B85" w:rsidP="007D6022">
      <w:pPr>
        <w:pStyle w:val="Default"/>
        <w:spacing w:after="120"/>
        <w:rPr>
          <w:rFonts w:ascii="Arial" w:hAnsi="Arial" w:cs="Arial"/>
          <w:sz w:val="22"/>
          <w:szCs w:val="22"/>
        </w:rPr>
      </w:pPr>
      <w:r w:rsidRPr="00DB5EC6">
        <w:rPr>
          <w:rFonts w:ascii="Arial" w:hAnsi="Arial" w:cs="Arial"/>
          <w:sz w:val="22"/>
          <w:szCs w:val="22"/>
        </w:rPr>
        <w:t xml:space="preserve">The related SOP shared </w:t>
      </w:r>
      <w:r w:rsidR="0087776F" w:rsidRPr="00DB5EC6">
        <w:rPr>
          <w:rFonts w:ascii="Arial" w:hAnsi="Arial" w:cs="Arial"/>
          <w:sz w:val="22"/>
          <w:szCs w:val="22"/>
        </w:rPr>
        <w:t xml:space="preserve">by the GP team </w:t>
      </w:r>
      <w:r w:rsidRPr="00DB5EC6">
        <w:rPr>
          <w:rFonts w:ascii="Arial" w:hAnsi="Arial" w:cs="Arial"/>
          <w:sz w:val="22"/>
          <w:szCs w:val="22"/>
        </w:rPr>
        <w:t>with the evaluators is the Guidelines on Funding Decisions and Allocations (2020</w:t>
      </w:r>
      <w:r w:rsidR="0087776F" w:rsidRPr="00DB5EC6">
        <w:rPr>
          <w:rFonts w:ascii="Arial" w:hAnsi="Arial" w:cs="Arial"/>
          <w:sz w:val="22"/>
          <w:szCs w:val="22"/>
        </w:rPr>
        <w:t xml:space="preserve"> version</w:t>
      </w:r>
      <w:r w:rsidRPr="00DB5EC6">
        <w:rPr>
          <w:rFonts w:ascii="Arial" w:hAnsi="Arial" w:cs="Arial"/>
          <w:sz w:val="22"/>
          <w:szCs w:val="22"/>
        </w:rPr>
        <w:t>)</w:t>
      </w:r>
      <w:r w:rsidR="0087776F" w:rsidRPr="00DB5EC6">
        <w:rPr>
          <w:rFonts w:ascii="Arial" w:hAnsi="Arial" w:cs="Arial"/>
          <w:sz w:val="22"/>
          <w:szCs w:val="22"/>
        </w:rPr>
        <w:t>, which briefly</w:t>
      </w:r>
      <w:r w:rsidR="0087776F" w:rsidRPr="00DB5EC6">
        <w:rPr>
          <w:rFonts w:ascii="Arial" w:hAnsi="Arial" w:cs="Arial"/>
          <w:color w:val="auto"/>
          <w:sz w:val="22"/>
          <w:szCs w:val="22"/>
        </w:rPr>
        <w:t xml:space="preserve"> sets out parameters for funding via the pipeline, as follows: </w:t>
      </w:r>
      <w:r w:rsidR="0087776F" w:rsidRPr="00DB5EC6">
        <w:rPr>
          <w:rFonts w:ascii="Arial" w:hAnsi="Arial" w:cs="Arial"/>
          <w:i/>
          <w:iCs/>
          <w:sz w:val="22"/>
          <w:szCs w:val="22"/>
        </w:rPr>
        <w:t xml:space="preserve">Distribution of unearmarked funds will be determined by the Project Board.... All decisions regarding the distribution of catalytic funding or deployment of field capacities will be in line with the principles of </w:t>
      </w:r>
      <w:r w:rsidR="0087776F" w:rsidRPr="00DB5EC6">
        <w:rPr>
          <w:rFonts w:ascii="Arial" w:hAnsi="Arial" w:cs="Arial"/>
          <w:b/>
          <w:bCs/>
          <w:i/>
          <w:iCs/>
          <w:sz w:val="22"/>
          <w:szCs w:val="22"/>
        </w:rPr>
        <w:t xml:space="preserve">need </w:t>
      </w:r>
      <w:r w:rsidR="0087776F" w:rsidRPr="00DB5EC6">
        <w:rPr>
          <w:rFonts w:ascii="Arial" w:hAnsi="Arial" w:cs="Arial"/>
          <w:i/>
          <w:iCs/>
          <w:sz w:val="22"/>
          <w:szCs w:val="22"/>
        </w:rPr>
        <w:t xml:space="preserve">(the requirement of resources to achieve results or goals), </w:t>
      </w:r>
      <w:r w:rsidR="0087776F" w:rsidRPr="00DB5EC6">
        <w:rPr>
          <w:rFonts w:ascii="Arial" w:hAnsi="Arial" w:cs="Arial"/>
          <w:b/>
          <w:bCs/>
          <w:i/>
          <w:iCs/>
          <w:sz w:val="22"/>
          <w:szCs w:val="22"/>
        </w:rPr>
        <w:t xml:space="preserve">performance </w:t>
      </w:r>
      <w:r w:rsidR="0087776F" w:rsidRPr="00DB5EC6">
        <w:rPr>
          <w:rFonts w:ascii="Arial" w:hAnsi="Arial" w:cs="Arial"/>
          <w:i/>
          <w:iCs/>
          <w:sz w:val="22"/>
          <w:szCs w:val="22"/>
        </w:rPr>
        <w:t xml:space="preserve">(the effectiveness of previous resource utilization), and </w:t>
      </w:r>
      <w:r w:rsidR="0087776F" w:rsidRPr="00DB5EC6">
        <w:rPr>
          <w:rFonts w:ascii="Arial" w:hAnsi="Arial" w:cs="Arial"/>
          <w:b/>
          <w:bCs/>
          <w:i/>
          <w:iCs/>
          <w:sz w:val="22"/>
          <w:szCs w:val="22"/>
        </w:rPr>
        <w:t xml:space="preserve">transparency </w:t>
      </w:r>
      <w:r w:rsidR="0087776F" w:rsidRPr="00DB5EC6">
        <w:rPr>
          <w:rFonts w:ascii="Arial" w:hAnsi="Arial" w:cs="Arial"/>
          <w:i/>
          <w:iCs/>
          <w:sz w:val="22"/>
          <w:szCs w:val="22"/>
        </w:rPr>
        <w:t>(clarity of workplan and programme implementation processes).</w:t>
      </w:r>
      <w:r w:rsidR="008D019A" w:rsidRPr="00DB5EC6">
        <w:rPr>
          <w:rFonts w:ascii="Arial" w:hAnsi="Arial" w:cs="Arial"/>
          <w:i/>
          <w:iCs/>
          <w:sz w:val="22"/>
          <w:szCs w:val="22"/>
        </w:rPr>
        <w:t xml:space="preserve"> </w:t>
      </w:r>
      <w:r w:rsidR="0087776F" w:rsidRPr="00DB5EC6">
        <w:rPr>
          <w:rFonts w:ascii="Arial" w:hAnsi="Arial" w:cs="Arial"/>
          <w:sz w:val="22"/>
          <w:szCs w:val="22"/>
        </w:rPr>
        <w:t xml:space="preserve">The Guidelines document goes on to </w:t>
      </w:r>
      <w:r w:rsidR="008D019A" w:rsidRPr="00DB5EC6">
        <w:rPr>
          <w:rFonts w:ascii="Arial" w:hAnsi="Arial" w:cs="Arial"/>
          <w:sz w:val="22"/>
          <w:szCs w:val="22"/>
        </w:rPr>
        <w:t xml:space="preserve">outline the procedure for requesting funds in general terms, including the requirement that submissions must include reference to joint work across the UN system, even if </w:t>
      </w:r>
      <w:r w:rsidR="002F1FDE" w:rsidRPr="00DB5EC6">
        <w:rPr>
          <w:rFonts w:ascii="Arial" w:hAnsi="Arial" w:cs="Arial"/>
          <w:sz w:val="22"/>
          <w:szCs w:val="22"/>
        </w:rPr>
        <w:t>it</w:t>
      </w:r>
      <w:r w:rsidR="008D019A" w:rsidRPr="00DB5EC6">
        <w:rPr>
          <w:rFonts w:ascii="Arial" w:hAnsi="Arial" w:cs="Arial"/>
          <w:sz w:val="22"/>
          <w:szCs w:val="22"/>
        </w:rPr>
        <w:t xml:space="preserve"> is not a joint project</w:t>
      </w:r>
      <w:r w:rsidR="00D06B8D">
        <w:rPr>
          <w:rFonts w:ascii="Arial" w:hAnsi="Arial" w:cs="Arial"/>
          <w:sz w:val="22"/>
          <w:szCs w:val="22"/>
        </w:rPr>
        <w:t xml:space="preserve"> as such</w:t>
      </w:r>
      <w:r w:rsidR="008D019A" w:rsidRPr="00DB5EC6">
        <w:rPr>
          <w:rFonts w:ascii="Arial" w:hAnsi="Arial" w:cs="Arial"/>
          <w:sz w:val="22"/>
          <w:szCs w:val="22"/>
        </w:rPr>
        <w:t xml:space="preserve">. </w:t>
      </w:r>
      <w:r w:rsidR="0018046A" w:rsidRPr="00DB5EC6">
        <w:rPr>
          <w:rFonts w:ascii="Arial" w:hAnsi="Arial" w:cs="Arial"/>
          <w:sz w:val="22"/>
          <w:szCs w:val="22"/>
        </w:rPr>
        <w:t>I</w:t>
      </w:r>
      <w:r w:rsidR="008D019A" w:rsidRPr="00DB5EC6">
        <w:rPr>
          <w:rFonts w:ascii="Arial" w:hAnsi="Arial" w:cs="Arial"/>
          <w:sz w:val="22"/>
          <w:szCs w:val="22"/>
        </w:rPr>
        <w:t xml:space="preserve">n addition, templates with six narrative sections are provided for country teams to submit their requests for funding. </w:t>
      </w:r>
      <w:r w:rsidR="00985649" w:rsidRPr="00DB5EC6">
        <w:rPr>
          <w:rFonts w:ascii="Arial" w:hAnsi="Arial" w:cs="Arial"/>
          <w:sz w:val="22"/>
          <w:szCs w:val="22"/>
        </w:rPr>
        <w:t xml:space="preserve">The evaluators noted that the Guidelines provide only a brief sketch of the </w:t>
      </w:r>
      <w:r w:rsidR="002F1FDE" w:rsidRPr="00DB5EC6">
        <w:rPr>
          <w:rFonts w:ascii="Arial" w:hAnsi="Arial" w:cs="Arial"/>
          <w:sz w:val="22"/>
          <w:szCs w:val="22"/>
        </w:rPr>
        <w:t xml:space="preserve">complex </w:t>
      </w:r>
      <w:r w:rsidR="00985649" w:rsidRPr="00DB5EC6">
        <w:rPr>
          <w:rFonts w:ascii="Arial" w:hAnsi="Arial" w:cs="Arial"/>
          <w:sz w:val="22"/>
          <w:szCs w:val="22"/>
        </w:rPr>
        <w:t xml:space="preserve">pipeline process and realized through interviews that </w:t>
      </w:r>
      <w:r w:rsidR="002F1FDE" w:rsidRPr="00DB5EC6">
        <w:rPr>
          <w:rFonts w:ascii="Arial" w:hAnsi="Arial" w:cs="Arial"/>
          <w:sz w:val="22"/>
          <w:szCs w:val="22"/>
        </w:rPr>
        <w:t>various other factors are considered at several stages in making these funding decisions</w:t>
      </w:r>
      <w:r w:rsidR="009B016C">
        <w:rPr>
          <w:rFonts w:ascii="Arial" w:hAnsi="Arial" w:cs="Arial"/>
          <w:sz w:val="22"/>
          <w:szCs w:val="22"/>
        </w:rPr>
        <w:t xml:space="preserve"> (as described below)</w:t>
      </w:r>
      <w:r w:rsidR="002F1FDE" w:rsidRPr="00DB5EC6">
        <w:rPr>
          <w:rFonts w:ascii="Arial" w:hAnsi="Arial" w:cs="Arial"/>
          <w:sz w:val="22"/>
          <w:szCs w:val="22"/>
        </w:rPr>
        <w:t>.</w:t>
      </w:r>
    </w:p>
    <w:p w14:paraId="3931C022" w14:textId="41C63480" w:rsidR="007D6022" w:rsidRPr="00DB5EC6" w:rsidRDefault="008D019A" w:rsidP="000F47BF">
      <w:pPr>
        <w:spacing w:line="240" w:lineRule="auto"/>
        <w:rPr>
          <w:rFonts w:ascii="Arial" w:hAnsi="Arial" w:cs="Arial"/>
          <w:sz w:val="22"/>
          <w:szCs w:val="22"/>
        </w:rPr>
      </w:pPr>
      <w:r w:rsidRPr="00DB5EC6">
        <w:rPr>
          <w:rFonts w:ascii="Arial" w:hAnsi="Arial" w:cs="Arial"/>
          <w:sz w:val="22"/>
          <w:szCs w:val="22"/>
        </w:rPr>
        <w:t xml:space="preserve">Generally, </w:t>
      </w:r>
      <w:r w:rsidR="004D4172" w:rsidRPr="00DB5EC6">
        <w:rPr>
          <w:rFonts w:ascii="Arial" w:hAnsi="Arial" w:cs="Arial"/>
          <w:sz w:val="22"/>
          <w:szCs w:val="22"/>
        </w:rPr>
        <w:t xml:space="preserve">UNDP </w:t>
      </w:r>
      <w:r w:rsidR="00D06B8D">
        <w:rPr>
          <w:rFonts w:ascii="Arial" w:hAnsi="Arial" w:cs="Arial"/>
          <w:sz w:val="22"/>
          <w:szCs w:val="22"/>
        </w:rPr>
        <w:t xml:space="preserve">COs </w:t>
      </w:r>
      <w:r w:rsidRPr="00DB5EC6">
        <w:rPr>
          <w:rFonts w:ascii="Arial" w:hAnsi="Arial" w:cs="Arial"/>
          <w:sz w:val="22"/>
          <w:szCs w:val="22"/>
        </w:rPr>
        <w:t xml:space="preserve">view the application process as </w:t>
      </w:r>
      <w:r w:rsidR="007E7379" w:rsidRPr="00DB5EC6">
        <w:rPr>
          <w:rFonts w:ascii="Arial" w:hAnsi="Arial" w:cs="Arial"/>
          <w:sz w:val="22"/>
          <w:szCs w:val="22"/>
        </w:rPr>
        <w:t>relatively easy, flexible and quick, though there were concerns about transparency of the decision-making process (e.g.</w:t>
      </w:r>
      <w:r w:rsidR="00D06B8D">
        <w:rPr>
          <w:rFonts w:ascii="Arial" w:hAnsi="Arial" w:cs="Arial"/>
          <w:sz w:val="22"/>
          <w:szCs w:val="22"/>
        </w:rPr>
        <w:t>,</w:t>
      </w:r>
      <w:r w:rsidR="007E7379" w:rsidRPr="00DB5EC6">
        <w:rPr>
          <w:rFonts w:ascii="Arial" w:hAnsi="Arial" w:cs="Arial"/>
          <w:sz w:val="22"/>
          <w:szCs w:val="22"/>
        </w:rPr>
        <w:t xml:space="preserve"> </w:t>
      </w:r>
      <w:r w:rsidR="00D06B8D">
        <w:rPr>
          <w:rFonts w:ascii="Arial" w:hAnsi="Arial" w:cs="Arial"/>
          <w:sz w:val="22"/>
          <w:szCs w:val="22"/>
        </w:rPr>
        <w:t xml:space="preserve">no </w:t>
      </w:r>
      <w:r w:rsidR="007E7379" w:rsidRPr="00DB5EC6">
        <w:rPr>
          <w:rFonts w:ascii="Arial" w:hAnsi="Arial" w:cs="Arial"/>
          <w:sz w:val="22"/>
          <w:szCs w:val="22"/>
        </w:rPr>
        <w:t xml:space="preserve">reasons given for a request not being funded or </w:t>
      </w:r>
      <w:r w:rsidR="00D06B8D">
        <w:rPr>
          <w:rFonts w:ascii="Arial" w:hAnsi="Arial" w:cs="Arial"/>
          <w:sz w:val="22"/>
          <w:szCs w:val="22"/>
        </w:rPr>
        <w:t>only partially funded</w:t>
      </w:r>
      <w:r w:rsidR="007E7379" w:rsidRPr="00DB5EC6">
        <w:rPr>
          <w:rFonts w:ascii="Arial" w:hAnsi="Arial" w:cs="Arial"/>
          <w:sz w:val="22"/>
          <w:szCs w:val="22"/>
        </w:rPr>
        <w:t xml:space="preserve">, lack of clarity about who </w:t>
      </w:r>
      <w:r w:rsidR="00D06B8D">
        <w:rPr>
          <w:rFonts w:ascii="Arial" w:hAnsi="Arial" w:cs="Arial"/>
          <w:sz w:val="22"/>
          <w:szCs w:val="22"/>
        </w:rPr>
        <w:t>makes</w:t>
      </w:r>
      <w:r w:rsidR="007E7379" w:rsidRPr="00DB5EC6">
        <w:rPr>
          <w:rFonts w:ascii="Arial" w:hAnsi="Arial" w:cs="Arial"/>
          <w:sz w:val="22"/>
          <w:szCs w:val="22"/>
        </w:rPr>
        <w:t xml:space="preserve"> those decisions.) </w:t>
      </w:r>
      <w:r w:rsidR="00F721F8" w:rsidRPr="00DB5EC6">
        <w:rPr>
          <w:rFonts w:ascii="Arial" w:hAnsi="Arial" w:cs="Arial"/>
          <w:sz w:val="22"/>
          <w:szCs w:val="22"/>
        </w:rPr>
        <w:t xml:space="preserve">Staff at HQ and regional offices explained that requests are typically based on ideas generated by </w:t>
      </w:r>
      <w:r w:rsidR="00D06B8D">
        <w:rPr>
          <w:rFonts w:ascii="Arial" w:hAnsi="Arial" w:cs="Arial"/>
          <w:sz w:val="22"/>
          <w:szCs w:val="22"/>
        </w:rPr>
        <w:t>individual COs</w:t>
      </w:r>
      <w:r w:rsidR="00F721F8" w:rsidRPr="00DB5EC6">
        <w:rPr>
          <w:rFonts w:ascii="Arial" w:hAnsi="Arial" w:cs="Arial"/>
          <w:sz w:val="22"/>
          <w:szCs w:val="22"/>
        </w:rPr>
        <w:t xml:space="preserve"> (less often, from a regional office/hub), which are carefully vetted by the respective </w:t>
      </w:r>
      <w:r w:rsidR="00A23D43" w:rsidRPr="00DB5EC6">
        <w:rPr>
          <w:rFonts w:ascii="Arial" w:hAnsi="Arial" w:cs="Arial"/>
          <w:sz w:val="22"/>
          <w:szCs w:val="22"/>
        </w:rPr>
        <w:t>Focal</w:t>
      </w:r>
      <w:r w:rsidR="00F721F8" w:rsidRPr="00DB5EC6">
        <w:rPr>
          <w:rFonts w:ascii="Arial" w:hAnsi="Arial" w:cs="Arial"/>
          <w:sz w:val="22"/>
          <w:szCs w:val="22"/>
        </w:rPr>
        <w:t xml:space="preserve"> </w:t>
      </w:r>
      <w:r w:rsidR="00A23D43" w:rsidRPr="00DB5EC6">
        <w:rPr>
          <w:rFonts w:ascii="Arial" w:hAnsi="Arial" w:cs="Arial"/>
          <w:sz w:val="22"/>
          <w:szCs w:val="22"/>
        </w:rPr>
        <w:t>P</w:t>
      </w:r>
      <w:r w:rsidR="00F721F8" w:rsidRPr="00DB5EC6">
        <w:rPr>
          <w:rFonts w:ascii="Arial" w:hAnsi="Arial" w:cs="Arial"/>
          <w:sz w:val="22"/>
          <w:szCs w:val="22"/>
        </w:rPr>
        <w:t xml:space="preserve">oint responsible for those countries to assess their suitability for funding and priority level, before being forwarded to the GP management team for further vetting. </w:t>
      </w:r>
      <w:r w:rsidR="00B2648A" w:rsidRPr="00DB5EC6">
        <w:rPr>
          <w:rFonts w:ascii="Arial" w:hAnsi="Arial" w:cs="Arial"/>
          <w:sz w:val="22"/>
          <w:szCs w:val="22"/>
        </w:rPr>
        <w:t>F</w:t>
      </w:r>
      <w:r w:rsidR="00F721F8" w:rsidRPr="00DB5EC6">
        <w:rPr>
          <w:rFonts w:ascii="Arial" w:hAnsi="Arial" w:cs="Arial"/>
          <w:sz w:val="22"/>
          <w:szCs w:val="22"/>
        </w:rPr>
        <w:t xml:space="preserve">actors </w:t>
      </w:r>
      <w:r w:rsidR="0084507E">
        <w:rPr>
          <w:rFonts w:ascii="Arial" w:hAnsi="Arial" w:cs="Arial"/>
          <w:sz w:val="22"/>
          <w:szCs w:val="22"/>
        </w:rPr>
        <w:t>described</w:t>
      </w:r>
      <w:r w:rsidR="0084507E" w:rsidRPr="00DB5EC6">
        <w:rPr>
          <w:rFonts w:ascii="Arial" w:hAnsi="Arial" w:cs="Arial"/>
          <w:sz w:val="22"/>
          <w:szCs w:val="22"/>
        </w:rPr>
        <w:t xml:space="preserve"> </w:t>
      </w:r>
      <w:r w:rsidR="002A50C6" w:rsidRPr="00DB5EC6">
        <w:rPr>
          <w:rFonts w:ascii="Arial" w:hAnsi="Arial" w:cs="Arial"/>
          <w:sz w:val="22"/>
          <w:szCs w:val="22"/>
        </w:rPr>
        <w:t xml:space="preserve">by </w:t>
      </w:r>
      <w:r w:rsidR="0078264D">
        <w:rPr>
          <w:rFonts w:ascii="Arial" w:hAnsi="Arial" w:cs="Arial"/>
          <w:sz w:val="22"/>
          <w:szCs w:val="22"/>
        </w:rPr>
        <w:t xml:space="preserve">Focal Points and management </w:t>
      </w:r>
      <w:r w:rsidR="00B2648A" w:rsidRPr="00DB5EC6">
        <w:rPr>
          <w:rFonts w:ascii="Arial" w:hAnsi="Arial" w:cs="Arial"/>
          <w:sz w:val="22"/>
          <w:szCs w:val="22"/>
        </w:rPr>
        <w:t xml:space="preserve">team </w:t>
      </w:r>
      <w:r w:rsidR="0084507E">
        <w:rPr>
          <w:rFonts w:ascii="Arial" w:hAnsi="Arial" w:cs="Arial"/>
          <w:sz w:val="22"/>
          <w:szCs w:val="22"/>
        </w:rPr>
        <w:t>members as relevant in their vetting of</w:t>
      </w:r>
      <w:r w:rsidR="0084507E" w:rsidRPr="00DB5EC6">
        <w:rPr>
          <w:rFonts w:ascii="Arial" w:hAnsi="Arial" w:cs="Arial"/>
          <w:sz w:val="22"/>
          <w:szCs w:val="22"/>
        </w:rPr>
        <w:t xml:space="preserve"> </w:t>
      </w:r>
      <w:r w:rsidR="0084507E">
        <w:rPr>
          <w:rFonts w:ascii="Arial" w:hAnsi="Arial" w:cs="Arial"/>
          <w:sz w:val="22"/>
          <w:szCs w:val="22"/>
        </w:rPr>
        <w:t>potential and submitted funding requests</w:t>
      </w:r>
      <w:r w:rsidR="0084507E" w:rsidRPr="00DB5EC6">
        <w:rPr>
          <w:rFonts w:ascii="Arial" w:hAnsi="Arial" w:cs="Arial"/>
          <w:sz w:val="22"/>
          <w:szCs w:val="22"/>
        </w:rPr>
        <w:t xml:space="preserve"> </w:t>
      </w:r>
      <w:r w:rsidR="00B2648A" w:rsidRPr="00DB5EC6">
        <w:rPr>
          <w:rFonts w:ascii="Arial" w:hAnsi="Arial" w:cs="Arial"/>
          <w:sz w:val="22"/>
          <w:szCs w:val="22"/>
        </w:rPr>
        <w:t>include</w:t>
      </w:r>
      <w:r w:rsidR="0084507E">
        <w:rPr>
          <w:rFonts w:ascii="Arial" w:hAnsi="Arial" w:cs="Arial"/>
          <w:sz w:val="22"/>
          <w:szCs w:val="22"/>
        </w:rPr>
        <w:t>d</w:t>
      </w:r>
      <w:r w:rsidR="002F1FDE" w:rsidRPr="00DB5EC6">
        <w:rPr>
          <w:rFonts w:ascii="Arial" w:hAnsi="Arial" w:cs="Arial"/>
          <w:sz w:val="22"/>
          <w:szCs w:val="22"/>
        </w:rPr>
        <w:t xml:space="preserve"> country team capacity,</w:t>
      </w:r>
      <w:r w:rsidR="0018046A" w:rsidRPr="00DB5EC6">
        <w:rPr>
          <w:rFonts w:ascii="Arial" w:hAnsi="Arial" w:cs="Arial"/>
          <w:sz w:val="22"/>
          <w:szCs w:val="22"/>
        </w:rPr>
        <w:t xml:space="preserve"> existing</w:t>
      </w:r>
      <w:r w:rsidR="002F1FDE" w:rsidRPr="00DB5EC6">
        <w:rPr>
          <w:rFonts w:ascii="Arial" w:hAnsi="Arial" w:cs="Arial"/>
          <w:sz w:val="22"/>
          <w:szCs w:val="22"/>
        </w:rPr>
        <w:t xml:space="preserve"> potential for catalytic effect</w:t>
      </w:r>
      <w:r w:rsidR="0018046A" w:rsidRPr="00DB5EC6">
        <w:rPr>
          <w:rFonts w:ascii="Arial" w:hAnsi="Arial" w:cs="Arial"/>
          <w:sz w:val="22"/>
          <w:szCs w:val="22"/>
        </w:rPr>
        <w:t>s</w:t>
      </w:r>
      <w:r w:rsidR="002F1FDE" w:rsidRPr="00DB5EC6">
        <w:rPr>
          <w:rFonts w:ascii="Arial" w:hAnsi="Arial" w:cs="Arial"/>
          <w:sz w:val="22"/>
          <w:szCs w:val="22"/>
        </w:rPr>
        <w:t xml:space="preserve"> in the donor environment, </w:t>
      </w:r>
      <w:r w:rsidR="0018046A" w:rsidRPr="00DB5EC6">
        <w:rPr>
          <w:rFonts w:ascii="Arial" w:hAnsi="Arial" w:cs="Arial"/>
          <w:sz w:val="22"/>
          <w:szCs w:val="22"/>
        </w:rPr>
        <w:t xml:space="preserve">the </w:t>
      </w:r>
      <w:r w:rsidR="002F1FDE" w:rsidRPr="00DB5EC6">
        <w:rPr>
          <w:rFonts w:ascii="Arial" w:hAnsi="Arial" w:cs="Arial"/>
          <w:sz w:val="22"/>
          <w:szCs w:val="22"/>
        </w:rPr>
        <w:t>number of previous allocations,</w:t>
      </w:r>
      <w:r w:rsidR="00011887" w:rsidRPr="00DB5EC6">
        <w:rPr>
          <w:rFonts w:ascii="Arial" w:hAnsi="Arial" w:cs="Arial"/>
          <w:sz w:val="22"/>
          <w:szCs w:val="22"/>
        </w:rPr>
        <w:t xml:space="preserve"> proportion of those allocations already spent,</w:t>
      </w:r>
      <w:r w:rsidR="002F1FDE" w:rsidRPr="00DB5EC6">
        <w:rPr>
          <w:rFonts w:ascii="Arial" w:hAnsi="Arial" w:cs="Arial"/>
          <w:sz w:val="22"/>
          <w:szCs w:val="22"/>
        </w:rPr>
        <w:t xml:space="preserve"> </w:t>
      </w:r>
      <w:r w:rsidR="00175B18">
        <w:rPr>
          <w:rFonts w:ascii="Arial" w:hAnsi="Arial" w:cs="Arial"/>
          <w:sz w:val="22"/>
          <w:szCs w:val="22"/>
        </w:rPr>
        <w:t xml:space="preserve">results achieved with previous funding, </w:t>
      </w:r>
      <w:r w:rsidR="009204F3">
        <w:rPr>
          <w:rFonts w:ascii="Arial" w:hAnsi="Arial" w:cs="Arial"/>
          <w:sz w:val="22"/>
          <w:szCs w:val="22"/>
        </w:rPr>
        <w:t>current fragility or instability</w:t>
      </w:r>
      <w:r w:rsidR="002F1FDE" w:rsidRPr="00DB5EC6">
        <w:rPr>
          <w:rFonts w:ascii="Arial" w:hAnsi="Arial" w:cs="Arial"/>
          <w:sz w:val="22"/>
          <w:szCs w:val="22"/>
        </w:rPr>
        <w:t>, etc.</w:t>
      </w:r>
      <w:r w:rsidR="00B2648A" w:rsidRPr="00DB5EC6">
        <w:rPr>
          <w:rFonts w:ascii="Arial" w:hAnsi="Arial" w:cs="Arial"/>
          <w:sz w:val="22"/>
          <w:szCs w:val="22"/>
        </w:rPr>
        <w:t xml:space="preserve"> </w:t>
      </w:r>
      <w:r w:rsidR="0084507E">
        <w:rPr>
          <w:rFonts w:ascii="Arial" w:hAnsi="Arial" w:cs="Arial"/>
          <w:sz w:val="22"/>
          <w:szCs w:val="22"/>
        </w:rPr>
        <w:t xml:space="preserve">The </w:t>
      </w:r>
      <w:r w:rsidR="009B016C">
        <w:rPr>
          <w:rFonts w:ascii="Arial" w:hAnsi="Arial" w:cs="Arial"/>
          <w:sz w:val="22"/>
          <w:szCs w:val="22"/>
        </w:rPr>
        <w:t xml:space="preserve">current (2021) </w:t>
      </w:r>
      <w:r w:rsidR="0084507E">
        <w:rPr>
          <w:rFonts w:ascii="Arial" w:hAnsi="Arial" w:cs="Arial"/>
          <w:sz w:val="22"/>
          <w:szCs w:val="22"/>
        </w:rPr>
        <w:t xml:space="preserve">funding request form requires applicants to explain the </w:t>
      </w:r>
      <w:r w:rsidR="009204F3">
        <w:rPr>
          <w:rFonts w:ascii="Arial" w:hAnsi="Arial" w:cs="Arial"/>
          <w:sz w:val="22"/>
          <w:szCs w:val="22"/>
        </w:rPr>
        <w:t xml:space="preserve">current context in terms of fragility as well as </w:t>
      </w:r>
      <w:r w:rsidR="0084507E">
        <w:rPr>
          <w:rFonts w:ascii="Arial" w:hAnsi="Arial" w:cs="Arial"/>
          <w:sz w:val="22"/>
          <w:szCs w:val="22"/>
        </w:rPr>
        <w:t xml:space="preserve">potential catalytic effects, but </w:t>
      </w:r>
      <w:r w:rsidR="009204F3">
        <w:rPr>
          <w:rFonts w:ascii="Arial" w:hAnsi="Arial" w:cs="Arial"/>
          <w:sz w:val="22"/>
          <w:szCs w:val="22"/>
        </w:rPr>
        <w:t>the other factors</w:t>
      </w:r>
      <w:r w:rsidR="00573445">
        <w:rPr>
          <w:rFonts w:ascii="Arial" w:hAnsi="Arial" w:cs="Arial"/>
          <w:sz w:val="22"/>
          <w:szCs w:val="22"/>
        </w:rPr>
        <w:t xml:space="preserve"> related to capacity and previous allocations are not included. Those</w:t>
      </w:r>
      <w:r w:rsidR="009204F3">
        <w:rPr>
          <w:rFonts w:ascii="Arial" w:hAnsi="Arial" w:cs="Arial"/>
          <w:sz w:val="22"/>
          <w:szCs w:val="22"/>
        </w:rPr>
        <w:t xml:space="preserve"> are </w:t>
      </w:r>
      <w:r w:rsidR="00573445">
        <w:rPr>
          <w:rFonts w:ascii="Arial" w:hAnsi="Arial" w:cs="Arial"/>
          <w:sz w:val="22"/>
          <w:szCs w:val="22"/>
        </w:rPr>
        <w:t xml:space="preserve">informally </w:t>
      </w:r>
      <w:r w:rsidR="009204F3">
        <w:rPr>
          <w:rFonts w:ascii="Arial" w:hAnsi="Arial" w:cs="Arial"/>
          <w:sz w:val="22"/>
          <w:szCs w:val="22"/>
        </w:rPr>
        <w:t>assessed by the Focal Point initially (who may decide that the CO should not put forward a request at that time), and later by the GP management team if the request advances to that stage</w:t>
      </w:r>
      <w:r w:rsidR="0084507E">
        <w:rPr>
          <w:rFonts w:ascii="Arial" w:hAnsi="Arial" w:cs="Arial"/>
          <w:sz w:val="22"/>
          <w:szCs w:val="22"/>
        </w:rPr>
        <w:t>.</w:t>
      </w:r>
      <w:r w:rsidR="00573445">
        <w:rPr>
          <w:rFonts w:ascii="Arial" w:hAnsi="Arial" w:cs="Arial"/>
          <w:sz w:val="22"/>
          <w:szCs w:val="22"/>
        </w:rPr>
        <w:t xml:space="preserve"> </w:t>
      </w:r>
    </w:p>
    <w:p w14:paraId="672F908C" w14:textId="705B7D4C" w:rsidR="00A87B85" w:rsidRPr="00DB5EC6" w:rsidRDefault="00011887" w:rsidP="000F47BF">
      <w:pPr>
        <w:spacing w:line="240" w:lineRule="auto"/>
        <w:rPr>
          <w:rFonts w:ascii="Arial" w:hAnsi="Arial" w:cs="Arial"/>
          <w:sz w:val="22"/>
          <w:szCs w:val="22"/>
        </w:rPr>
      </w:pPr>
      <w:r w:rsidRPr="00DB5EC6">
        <w:rPr>
          <w:rFonts w:ascii="Arial" w:hAnsi="Arial" w:cs="Arial"/>
          <w:sz w:val="22"/>
          <w:szCs w:val="22"/>
        </w:rPr>
        <w:t>Although all these</w:t>
      </w:r>
      <w:r w:rsidR="002F1FDE" w:rsidRPr="00DB5EC6">
        <w:rPr>
          <w:rFonts w:ascii="Arial" w:hAnsi="Arial" w:cs="Arial"/>
          <w:sz w:val="22"/>
          <w:szCs w:val="22"/>
        </w:rPr>
        <w:t xml:space="preserve"> factors are </w:t>
      </w:r>
      <w:r w:rsidRPr="00DB5EC6">
        <w:rPr>
          <w:rFonts w:ascii="Arial" w:hAnsi="Arial" w:cs="Arial"/>
          <w:sz w:val="22"/>
          <w:szCs w:val="22"/>
        </w:rPr>
        <w:t xml:space="preserve">subject to highly varied interpretation and application, they are </w:t>
      </w:r>
      <w:r w:rsidR="002F1FDE" w:rsidRPr="00DB5EC6">
        <w:rPr>
          <w:rFonts w:ascii="Arial" w:hAnsi="Arial" w:cs="Arial"/>
          <w:sz w:val="22"/>
          <w:szCs w:val="22"/>
        </w:rPr>
        <w:t>not described</w:t>
      </w:r>
      <w:r w:rsidR="00573445">
        <w:rPr>
          <w:rFonts w:ascii="Arial" w:hAnsi="Arial" w:cs="Arial"/>
          <w:sz w:val="22"/>
          <w:szCs w:val="22"/>
        </w:rPr>
        <w:t xml:space="preserve"> in detail</w:t>
      </w:r>
      <w:r w:rsidR="002F1FDE" w:rsidRPr="00DB5EC6">
        <w:rPr>
          <w:rFonts w:ascii="Arial" w:hAnsi="Arial" w:cs="Arial"/>
          <w:sz w:val="22"/>
          <w:szCs w:val="22"/>
        </w:rPr>
        <w:t xml:space="preserve"> in any GP documentation</w:t>
      </w:r>
      <w:r w:rsidR="00B2648A" w:rsidRPr="00DB5EC6">
        <w:rPr>
          <w:rFonts w:ascii="Arial" w:hAnsi="Arial" w:cs="Arial"/>
          <w:sz w:val="22"/>
          <w:szCs w:val="22"/>
        </w:rPr>
        <w:t>, nor</w:t>
      </w:r>
      <w:r w:rsidR="00F721F8" w:rsidRPr="00DB5EC6">
        <w:rPr>
          <w:rFonts w:ascii="Arial" w:hAnsi="Arial" w:cs="Arial"/>
          <w:sz w:val="22"/>
          <w:szCs w:val="22"/>
        </w:rPr>
        <w:t xml:space="preserve"> </w:t>
      </w:r>
      <w:r w:rsidR="00B2648A" w:rsidRPr="00DB5EC6">
        <w:rPr>
          <w:rFonts w:ascii="Arial" w:hAnsi="Arial" w:cs="Arial"/>
          <w:sz w:val="22"/>
          <w:szCs w:val="22"/>
        </w:rPr>
        <w:t xml:space="preserve">does there appear to be a </w:t>
      </w:r>
      <w:r w:rsidR="00D029BF" w:rsidRPr="00DB5EC6">
        <w:rPr>
          <w:rFonts w:ascii="Arial" w:hAnsi="Arial" w:cs="Arial"/>
          <w:sz w:val="22"/>
          <w:szCs w:val="22"/>
        </w:rPr>
        <w:t xml:space="preserve">standardized procedure or </w:t>
      </w:r>
      <w:r w:rsidR="00573445">
        <w:rPr>
          <w:rFonts w:ascii="Arial" w:hAnsi="Arial" w:cs="Arial"/>
          <w:sz w:val="22"/>
          <w:szCs w:val="22"/>
        </w:rPr>
        <w:t xml:space="preserve">full </w:t>
      </w:r>
      <w:r w:rsidR="00F721F8" w:rsidRPr="00DB5EC6">
        <w:rPr>
          <w:rFonts w:ascii="Arial" w:hAnsi="Arial" w:cs="Arial"/>
          <w:sz w:val="22"/>
          <w:szCs w:val="22"/>
        </w:rPr>
        <w:t xml:space="preserve">list of specific criteria </w:t>
      </w:r>
      <w:r w:rsidR="00B2648A" w:rsidRPr="00DB5EC6">
        <w:rPr>
          <w:rFonts w:ascii="Arial" w:hAnsi="Arial" w:cs="Arial"/>
          <w:sz w:val="22"/>
          <w:szCs w:val="22"/>
        </w:rPr>
        <w:t>to</w:t>
      </w:r>
      <w:r w:rsidR="00D029BF" w:rsidRPr="00DB5EC6">
        <w:rPr>
          <w:rFonts w:ascii="Arial" w:hAnsi="Arial" w:cs="Arial"/>
          <w:sz w:val="22"/>
          <w:szCs w:val="22"/>
        </w:rPr>
        <w:t xml:space="preserve"> </w:t>
      </w:r>
      <w:r w:rsidR="00B2648A" w:rsidRPr="00DB5EC6">
        <w:rPr>
          <w:rFonts w:ascii="Arial" w:hAnsi="Arial" w:cs="Arial"/>
          <w:sz w:val="22"/>
          <w:szCs w:val="22"/>
        </w:rPr>
        <w:t>guide</w:t>
      </w:r>
      <w:r w:rsidR="00F721F8" w:rsidRPr="00DB5EC6">
        <w:rPr>
          <w:rFonts w:ascii="Arial" w:hAnsi="Arial" w:cs="Arial"/>
          <w:sz w:val="22"/>
          <w:szCs w:val="22"/>
        </w:rPr>
        <w:t xml:space="preserve"> </w:t>
      </w:r>
      <w:r w:rsidR="00573445">
        <w:rPr>
          <w:rFonts w:ascii="Arial" w:hAnsi="Arial" w:cs="Arial"/>
          <w:sz w:val="22"/>
          <w:szCs w:val="22"/>
        </w:rPr>
        <w:t xml:space="preserve">the </w:t>
      </w:r>
      <w:r w:rsidR="00F721F8" w:rsidRPr="00DB5EC6">
        <w:rPr>
          <w:rFonts w:ascii="Arial" w:hAnsi="Arial" w:cs="Arial"/>
          <w:sz w:val="22"/>
          <w:szCs w:val="22"/>
        </w:rPr>
        <w:t>prioritization</w:t>
      </w:r>
      <w:r w:rsidR="00573445">
        <w:rPr>
          <w:rFonts w:ascii="Arial" w:hAnsi="Arial" w:cs="Arial"/>
          <w:sz w:val="22"/>
          <w:szCs w:val="22"/>
        </w:rPr>
        <w:t xml:space="preserve"> or vetting process by different members of the GP team</w:t>
      </w:r>
      <w:r w:rsidR="00F721F8" w:rsidRPr="00DB5EC6">
        <w:rPr>
          <w:rFonts w:ascii="Arial" w:hAnsi="Arial" w:cs="Arial"/>
          <w:sz w:val="22"/>
          <w:szCs w:val="22"/>
        </w:rPr>
        <w:t>.</w:t>
      </w:r>
      <w:r w:rsidR="00B2648A" w:rsidRPr="00DB5EC6">
        <w:rPr>
          <w:rFonts w:ascii="Arial" w:hAnsi="Arial" w:cs="Arial"/>
          <w:sz w:val="22"/>
          <w:szCs w:val="22"/>
        </w:rPr>
        <w:t xml:space="preserve"> </w:t>
      </w:r>
      <w:r w:rsidR="00213541" w:rsidRPr="00DB5EC6">
        <w:rPr>
          <w:rFonts w:ascii="Arial" w:hAnsi="Arial" w:cs="Arial"/>
          <w:sz w:val="22"/>
          <w:szCs w:val="22"/>
        </w:rPr>
        <w:t>One area of ambiguity is related to “gender marking”: while the request template asks applicants to verify that the project “</w:t>
      </w:r>
      <w:r w:rsidR="00213541" w:rsidRPr="00DB5EC6">
        <w:rPr>
          <w:rFonts w:ascii="Arial" w:hAnsi="Arial" w:cs="Arial"/>
          <w:i/>
          <w:iCs/>
          <w:sz w:val="22"/>
          <w:szCs w:val="22"/>
        </w:rPr>
        <w:t>Meets the minimum threshold of 15% of total resources dedicated to gender-related activities</w:t>
      </w:r>
      <w:r w:rsidR="00213541" w:rsidRPr="00DB5EC6">
        <w:rPr>
          <w:rFonts w:ascii="Arial" w:hAnsi="Arial" w:cs="Arial"/>
          <w:sz w:val="22"/>
          <w:szCs w:val="22"/>
        </w:rPr>
        <w:t xml:space="preserve">”, it appears that </w:t>
      </w:r>
      <w:r w:rsidR="009251F5" w:rsidRPr="00DB5EC6">
        <w:rPr>
          <w:rFonts w:ascii="Arial" w:hAnsi="Arial" w:cs="Arial"/>
          <w:sz w:val="22"/>
          <w:szCs w:val="22"/>
        </w:rPr>
        <w:t xml:space="preserve">UNDP corporate </w:t>
      </w:r>
      <w:r w:rsidR="00213541" w:rsidRPr="00DB5EC6">
        <w:rPr>
          <w:rFonts w:ascii="Arial" w:hAnsi="Arial" w:cs="Arial"/>
          <w:sz w:val="22"/>
          <w:szCs w:val="22"/>
        </w:rPr>
        <w:t xml:space="preserve">threshold is not being </w:t>
      </w:r>
      <w:r w:rsidR="009251F5" w:rsidRPr="00DB5EC6">
        <w:rPr>
          <w:rFonts w:ascii="Arial" w:hAnsi="Arial" w:cs="Arial"/>
          <w:sz w:val="22"/>
          <w:szCs w:val="22"/>
        </w:rPr>
        <w:t>enforced</w:t>
      </w:r>
      <w:r w:rsidR="00213541" w:rsidRPr="00DB5EC6">
        <w:rPr>
          <w:rFonts w:ascii="Arial" w:hAnsi="Arial" w:cs="Arial"/>
          <w:sz w:val="22"/>
          <w:szCs w:val="22"/>
        </w:rPr>
        <w:t xml:space="preserve"> by GP </w:t>
      </w:r>
      <w:r w:rsidR="009251F5" w:rsidRPr="00DB5EC6">
        <w:rPr>
          <w:rFonts w:ascii="Arial" w:hAnsi="Arial" w:cs="Arial"/>
          <w:sz w:val="22"/>
          <w:szCs w:val="22"/>
        </w:rPr>
        <w:t>when budgets are later submitted</w:t>
      </w:r>
      <w:r w:rsidR="00213541" w:rsidRPr="00DB5EC6">
        <w:rPr>
          <w:rFonts w:ascii="Arial" w:hAnsi="Arial" w:cs="Arial"/>
          <w:sz w:val="22"/>
          <w:szCs w:val="22"/>
        </w:rPr>
        <w:t xml:space="preserve">. </w:t>
      </w:r>
      <w:r w:rsidR="00C356AE" w:rsidRPr="00DB5EC6">
        <w:rPr>
          <w:rFonts w:ascii="Arial" w:hAnsi="Arial" w:cs="Arial"/>
          <w:sz w:val="22"/>
          <w:szCs w:val="22"/>
        </w:rPr>
        <w:t xml:space="preserve">As well, it is unclear how the “jointness” requirement </w:t>
      </w:r>
      <w:r w:rsidRPr="00DB5EC6">
        <w:rPr>
          <w:rFonts w:ascii="Arial" w:hAnsi="Arial" w:cs="Arial"/>
          <w:sz w:val="22"/>
          <w:szCs w:val="22"/>
        </w:rPr>
        <w:t>has been</w:t>
      </w:r>
      <w:r w:rsidR="00C356AE" w:rsidRPr="00DB5EC6">
        <w:rPr>
          <w:rFonts w:ascii="Arial" w:hAnsi="Arial" w:cs="Arial"/>
          <w:sz w:val="22"/>
          <w:szCs w:val="22"/>
        </w:rPr>
        <w:t xml:space="preserve"> applied in practice, especially when funding is aimed at hiring/retaining a key technical ROLSH</w:t>
      </w:r>
      <w:r w:rsidR="00236726">
        <w:rPr>
          <w:rFonts w:ascii="Arial" w:hAnsi="Arial" w:cs="Arial"/>
          <w:sz w:val="22"/>
          <w:szCs w:val="22"/>
        </w:rPr>
        <w:t>R s</w:t>
      </w:r>
      <w:r w:rsidR="00C356AE" w:rsidRPr="00DB5EC6">
        <w:rPr>
          <w:rFonts w:ascii="Arial" w:hAnsi="Arial" w:cs="Arial"/>
          <w:sz w:val="22"/>
          <w:szCs w:val="22"/>
        </w:rPr>
        <w:t xml:space="preserve">taff member. </w:t>
      </w:r>
    </w:p>
    <w:p w14:paraId="5E9AA8B7" w14:textId="2F6D9672" w:rsidR="00D029BF" w:rsidRPr="00DB5EC6" w:rsidRDefault="00F721F8" w:rsidP="000F47BF">
      <w:pPr>
        <w:spacing w:line="240" w:lineRule="auto"/>
        <w:rPr>
          <w:rFonts w:ascii="Arial" w:hAnsi="Arial" w:cs="Arial"/>
          <w:sz w:val="22"/>
          <w:szCs w:val="22"/>
        </w:rPr>
      </w:pPr>
      <w:r w:rsidRPr="00DB5EC6">
        <w:rPr>
          <w:rFonts w:ascii="Arial" w:hAnsi="Arial" w:cs="Arial"/>
          <w:sz w:val="22"/>
          <w:szCs w:val="22"/>
        </w:rPr>
        <w:t>The final stage in the process is approval by the</w:t>
      </w:r>
      <w:r w:rsidR="000F6665" w:rsidRPr="00DB5EC6">
        <w:rPr>
          <w:rFonts w:ascii="Arial" w:hAnsi="Arial" w:cs="Arial"/>
          <w:sz w:val="22"/>
          <w:szCs w:val="22"/>
        </w:rPr>
        <w:t xml:space="preserve"> Project Board</w:t>
      </w:r>
      <w:r w:rsidR="0087776F" w:rsidRPr="00DB5EC6">
        <w:rPr>
          <w:rStyle w:val="FootnoteReference"/>
          <w:rFonts w:ascii="Arial" w:hAnsi="Arial" w:cs="Arial"/>
          <w:sz w:val="22"/>
          <w:szCs w:val="22"/>
        </w:rPr>
        <w:footnoteReference w:id="14"/>
      </w:r>
      <w:r w:rsidRPr="00DB5EC6">
        <w:rPr>
          <w:rFonts w:ascii="Arial" w:hAnsi="Arial" w:cs="Arial"/>
          <w:sz w:val="22"/>
          <w:szCs w:val="22"/>
        </w:rPr>
        <w:t xml:space="preserve">, which </w:t>
      </w:r>
      <w:r w:rsidR="00D029BF" w:rsidRPr="00DB5EC6">
        <w:rPr>
          <w:rFonts w:ascii="Arial" w:hAnsi="Arial" w:cs="Arial"/>
          <w:sz w:val="22"/>
          <w:szCs w:val="22"/>
        </w:rPr>
        <w:t xml:space="preserve">according to </w:t>
      </w:r>
      <w:r w:rsidRPr="00DB5EC6">
        <w:rPr>
          <w:rFonts w:ascii="Arial" w:hAnsi="Arial" w:cs="Arial"/>
          <w:sz w:val="22"/>
          <w:szCs w:val="22"/>
        </w:rPr>
        <w:t xml:space="preserve">documents and interviews </w:t>
      </w:r>
      <w:r w:rsidR="0080179F" w:rsidRPr="00DB5EC6">
        <w:rPr>
          <w:rFonts w:ascii="Arial" w:hAnsi="Arial" w:cs="Arial"/>
          <w:sz w:val="22"/>
          <w:szCs w:val="22"/>
        </w:rPr>
        <w:t>consists of</w:t>
      </w:r>
      <w:r w:rsidR="00985649" w:rsidRPr="00DB5EC6">
        <w:rPr>
          <w:rFonts w:ascii="Arial" w:hAnsi="Arial" w:cs="Arial"/>
          <w:sz w:val="22"/>
          <w:szCs w:val="22"/>
        </w:rPr>
        <w:t xml:space="preserve"> </w:t>
      </w:r>
      <w:r w:rsidR="00D029BF" w:rsidRPr="00DB5EC6">
        <w:rPr>
          <w:rFonts w:ascii="Arial" w:hAnsi="Arial" w:cs="Arial"/>
          <w:sz w:val="22"/>
          <w:szCs w:val="22"/>
        </w:rPr>
        <w:t xml:space="preserve">a </w:t>
      </w:r>
      <w:r w:rsidR="0080179F" w:rsidRPr="00DB5EC6">
        <w:rPr>
          <w:rFonts w:ascii="Arial" w:hAnsi="Arial" w:cs="Arial"/>
          <w:sz w:val="22"/>
          <w:szCs w:val="22"/>
        </w:rPr>
        <w:t>relatively brief</w:t>
      </w:r>
      <w:r w:rsidRPr="00DB5EC6">
        <w:rPr>
          <w:rFonts w:ascii="Arial" w:hAnsi="Arial" w:cs="Arial"/>
          <w:sz w:val="22"/>
          <w:szCs w:val="22"/>
        </w:rPr>
        <w:t xml:space="preserve"> review </w:t>
      </w:r>
      <w:r w:rsidR="00985649" w:rsidRPr="00DB5EC6">
        <w:rPr>
          <w:rFonts w:ascii="Arial" w:hAnsi="Arial" w:cs="Arial"/>
          <w:sz w:val="22"/>
          <w:szCs w:val="22"/>
        </w:rPr>
        <w:t xml:space="preserve">of a </w:t>
      </w:r>
      <w:r w:rsidR="000F6665" w:rsidRPr="00DB5EC6">
        <w:rPr>
          <w:rFonts w:ascii="Arial" w:hAnsi="Arial" w:cs="Arial"/>
          <w:sz w:val="22"/>
          <w:szCs w:val="22"/>
        </w:rPr>
        <w:t xml:space="preserve">list </w:t>
      </w:r>
      <w:r w:rsidR="00985649" w:rsidRPr="00DB5EC6">
        <w:rPr>
          <w:rFonts w:ascii="Arial" w:hAnsi="Arial" w:cs="Arial"/>
          <w:sz w:val="22"/>
          <w:szCs w:val="22"/>
        </w:rPr>
        <w:t xml:space="preserve">of </w:t>
      </w:r>
      <w:r w:rsidR="0080179F" w:rsidRPr="00DB5EC6">
        <w:rPr>
          <w:rFonts w:ascii="Arial" w:hAnsi="Arial" w:cs="Arial"/>
          <w:sz w:val="22"/>
          <w:szCs w:val="22"/>
        </w:rPr>
        <w:t xml:space="preserve">10-15 funding </w:t>
      </w:r>
      <w:r w:rsidR="00985649" w:rsidRPr="00DB5EC6">
        <w:rPr>
          <w:rFonts w:ascii="Arial" w:hAnsi="Arial" w:cs="Arial"/>
          <w:sz w:val="22"/>
          <w:szCs w:val="22"/>
        </w:rPr>
        <w:t xml:space="preserve">requests </w:t>
      </w:r>
      <w:r w:rsidR="0080179F" w:rsidRPr="00DB5EC6">
        <w:rPr>
          <w:rFonts w:ascii="Arial" w:hAnsi="Arial" w:cs="Arial"/>
          <w:sz w:val="22"/>
          <w:szCs w:val="22"/>
        </w:rPr>
        <w:t>tailored by</w:t>
      </w:r>
      <w:r w:rsidR="00985649" w:rsidRPr="00DB5EC6">
        <w:rPr>
          <w:rFonts w:ascii="Arial" w:hAnsi="Arial" w:cs="Arial"/>
          <w:sz w:val="22"/>
          <w:szCs w:val="22"/>
        </w:rPr>
        <w:t xml:space="preserve"> the </w:t>
      </w:r>
      <w:r w:rsidR="00D06B8D">
        <w:rPr>
          <w:rFonts w:ascii="Arial" w:hAnsi="Arial" w:cs="Arial"/>
          <w:sz w:val="22"/>
          <w:szCs w:val="22"/>
        </w:rPr>
        <w:t xml:space="preserve">GP </w:t>
      </w:r>
      <w:r w:rsidR="00985649" w:rsidRPr="00DB5EC6">
        <w:rPr>
          <w:rFonts w:ascii="Arial" w:hAnsi="Arial" w:cs="Arial"/>
          <w:sz w:val="22"/>
          <w:szCs w:val="22"/>
        </w:rPr>
        <w:t xml:space="preserve">management team </w:t>
      </w:r>
      <w:r w:rsidR="000F6665" w:rsidRPr="00DB5EC6">
        <w:rPr>
          <w:rFonts w:ascii="Arial" w:hAnsi="Arial" w:cs="Arial"/>
          <w:sz w:val="22"/>
          <w:szCs w:val="22"/>
        </w:rPr>
        <w:t xml:space="preserve">to </w:t>
      </w:r>
      <w:r w:rsidR="00985649" w:rsidRPr="00DB5EC6">
        <w:rPr>
          <w:rFonts w:ascii="Arial" w:hAnsi="Arial" w:cs="Arial"/>
          <w:sz w:val="22"/>
          <w:szCs w:val="22"/>
        </w:rPr>
        <w:t>fit the total</w:t>
      </w:r>
      <w:r w:rsidR="000F6665" w:rsidRPr="00DB5EC6">
        <w:rPr>
          <w:rFonts w:ascii="Arial" w:hAnsi="Arial" w:cs="Arial"/>
          <w:sz w:val="22"/>
          <w:szCs w:val="22"/>
        </w:rPr>
        <w:t xml:space="preserve"> amount available</w:t>
      </w:r>
      <w:r w:rsidR="00985649" w:rsidRPr="00DB5EC6">
        <w:rPr>
          <w:rFonts w:ascii="Arial" w:hAnsi="Arial" w:cs="Arial"/>
          <w:sz w:val="22"/>
          <w:szCs w:val="22"/>
        </w:rPr>
        <w:t xml:space="preserve"> for that round</w:t>
      </w:r>
      <w:r w:rsidR="000F6665" w:rsidRPr="00DB5EC6">
        <w:rPr>
          <w:rFonts w:ascii="Arial" w:hAnsi="Arial" w:cs="Arial"/>
          <w:sz w:val="22"/>
          <w:szCs w:val="22"/>
        </w:rPr>
        <w:t xml:space="preserve">. </w:t>
      </w:r>
      <w:r w:rsidR="0080179F" w:rsidRPr="00DB5EC6">
        <w:rPr>
          <w:rFonts w:ascii="Arial" w:hAnsi="Arial" w:cs="Arial"/>
          <w:sz w:val="22"/>
          <w:szCs w:val="22"/>
        </w:rPr>
        <w:t>Board m</w:t>
      </w:r>
      <w:r w:rsidR="00D029BF" w:rsidRPr="00DB5EC6">
        <w:rPr>
          <w:rFonts w:ascii="Arial" w:hAnsi="Arial" w:cs="Arial"/>
          <w:sz w:val="22"/>
          <w:szCs w:val="22"/>
        </w:rPr>
        <w:t xml:space="preserve">embers </w:t>
      </w:r>
      <w:r w:rsidR="0080179F" w:rsidRPr="00DB5EC6">
        <w:rPr>
          <w:rFonts w:ascii="Arial" w:hAnsi="Arial" w:cs="Arial"/>
          <w:sz w:val="22"/>
          <w:szCs w:val="22"/>
        </w:rPr>
        <w:t xml:space="preserve">and GP staff </w:t>
      </w:r>
      <w:r w:rsidR="00D029BF" w:rsidRPr="00DB5EC6">
        <w:rPr>
          <w:rFonts w:ascii="Arial" w:hAnsi="Arial" w:cs="Arial"/>
          <w:sz w:val="22"/>
          <w:szCs w:val="22"/>
        </w:rPr>
        <w:t xml:space="preserve">indicated that although </w:t>
      </w:r>
      <w:r w:rsidR="0080179F" w:rsidRPr="00DB5EC6">
        <w:rPr>
          <w:rFonts w:ascii="Arial" w:hAnsi="Arial" w:cs="Arial"/>
          <w:sz w:val="22"/>
          <w:szCs w:val="22"/>
        </w:rPr>
        <w:t>the Board has</w:t>
      </w:r>
      <w:r w:rsidR="00D029BF" w:rsidRPr="00DB5EC6">
        <w:rPr>
          <w:rFonts w:ascii="Arial" w:hAnsi="Arial" w:cs="Arial"/>
          <w:sz w:val="22"/>
          <w:szCs w:val="22"/>
        </w:rPr>
        <w:t xml:space="preserve"> the authority to reject any request, in practice this has been very rare. </w:t>
      </w:r>
      <w:r w:rsidR="00B2648A" w:rsidRPr="00DB5EC6">
        <w:rPr>
          <w:rFonts w:ascii="Arial" w:hAnsi="Arial" w:cs="Arial"/>
          <w:sz w:val="22"/>
          <w:szCs w:val="22"/>
        </w:rPr>
        <w:t>There is no voting process; rather, t</w:t>
      </w:r>
      <w:r w:rsidR="0080179F" w:rsidRPr="00DB5EC6">
        <w:rPr>
          <w:rFonts w:ascii="Arial" w:hAnsi="Arial" w:cs="Arial"/>
          <w:sz w:val="22"/>
          <w:szCs w:val="22"/>
        </w:rPr>
        <w:t xml:space="preserve">he practice is for Board members to </w:t>
      </w:r>
      <w:r w:rsidR="00B2648A" w:rsidRPr="00DB5EC6">
        <w:rPr>
          <w:rFonts w:ascii="Arial" w:hAnsi="Arial" w:cs="Arial"/>
          <w:sz w:val="22"/>
          <w:szCs w:val="22"/>
        </w:rPr>
        <w:t>vet the</w:t>
      </w:r>
      <w:r w:rsidR="0080179F" w:rsidRPr="00DB5EC6">
        <w:rPr>
          <w:rFonts w:ascii="Arial" w:hAnsi="Arial" w:cs="Arial"/>
          <w:sz w:val="22"/>
          <w:szCs w:val="22"/>
        </w:rPr>
        <w:t xml:space="preserve"> requests emanating from </w:t>
      </w:r>
      <w:r w:rsidR="00D06B8D">
        <w:rPr>
          <w:rFonts w:ascii="Arial" w:hAnsi="Arial" w:cs="Arial"/>
          <w:sz w:val="22"/>
          <w:szCs w:val="22"/>
        </w:rPr>
        <w:t>COs</w:t>
      </w:r>
      <w:r w:rsidR="00E25F9E" w:rsidRPr="00DB5EC6">
        <w:rPr>
          <w:rFonts w:ascii="Arial" w:hAnsi="Arial" w:cs="Arial"/>
          <w:sz w:val="22"/>
          <w:szCs w:val="22"/>
        </w:rPr>
        <w:t xml:space="preserve"> in </w:t>
      </w:r>
      <w:r w:rsidR="0080179F" w:rsidRPr="00DB5EC6">
        <w:rPr>
          <w:rFonts w:ascii="Arial" w:hAnsi="Arial" w:cs="Arial"/>
          <w:sz w:val="22"/>
          <w:szCs w:val="22"/>
        </w:rPr>
        <w:t xml:space="preserve">their respective regions, </w:t>
      </w:r>
      <w:r w:rsidR="00E25F9E" w:rsidRPr="00DB5EC6">
        <w:rPr>
          <w:rFonts w:ascii="Arial" w:hAnsi="Arial" w:cs="Arial"/>
          <w:sz w:val="22"/>
          <w:szCs w:val="22"/>
        </w:rPr>
        <w:t xml:space="preserve">consulting with their regional and country teams </w:t>
      </w:r>
      <w:r w:rsidR="0080179F" w:rsidRPr="00DB5EC6">
        <w:rPr>
          <w:rFonts w:ascii="Arial" w:hAnsi="Arial" w:cs="Arial"/>
          <w:sz w:val="22"/>
          <w:szCs w:val="22"/>
        </w:rPr>
        <w:t>as needed</w:t>
      </w:r>
      <w:r w:rsidR="00E25F9E" w:rsidRPr="00DB5EC6">
        <w:rPr>
          <w:rFonts w:ascii="Arial" w:hAnsi="Arial" w:cs="Arial"/>
          <w:sz w:val="22"/>
          <w:szCs w:val="22"/>
        </w:rPr>
        <w:t xml:space="preserve">. </w:t>
      </w:r>
      <w:r w:rsidR="00623FAF" w:rsidRPr="00DB5EC6">
        <w:rPr>
          <w:rFonts w:ascii="Arial" w:hAnsi="Arial" w:cs="Arial"/>
          <w:sz w:val="22"/>
          <w:szCs w:val="22"/>
        </w:rPr>
        <w:t>As one Board member remarked: “</w:t>
      </w:r>
      <w:r w:rsidR="00623FAF" w:rsidRPr="00DB5EC6">
        <w:rPr>
          <w:rFonts w:ascii="Arial" w:hAnsi="Arial" w:cs="Arial"/>
          <w:i/>
          <w:iCs/>
          <w:sz w:val="22"/>
          <w:szCs w:val="22"/>
        </w:rPr>
        <w:t xml:space="preserve">we have </w:t>
      </w:r>
      <w:r w:rsidR="000F47BF" w:rsidRPr="00DB5EC6">
        <w:rPr>
          <w:rFonts w:ascii="Arial" w:hAnsi="Arial" w:cs="Arial"/>
          <w:i/>
          <w:iCs/>
          <w:sz w:val="22"/>
          <w:szCs w:val="22"/>
        </w:rPr>
        <w:t xml:space="preserve">an </w:t>
      </w:r>
      <w:r w:rsidR="00623FAF" w:rsidRPr="00DB5EC6">
        <w:rPr>
          <w:rFonts w:ascii="Arial" w:hAnsi="Arial" w:cs="Arial"/>
          <w:i/>
          <w:iCs/>
          <w:sz w:val="22"/>
          <w:szCs w:val="22"/>
        </w:rPr>
        <w:t>understanding that each region will get a proportion</w:t>
      </w:r>
      <w:r w:rsidR="00623FAF" w:rsidRPr="00DB5EC6">
        <w:rPr>
          <w:rFonts w:ascii="Arial" w:hAnsi="Arial" w:cs="Arial"/>
          <w:sz w:val="22"/>
          <w:szCs w:val="22"/>
        </w:rPr>
        <w:t xml:space="preserve">.” </w:t>
      </w:r>
      <w:r w:rsidR="00650769" w:rsidRPr="00DB5EC6">
        <w:rPr>
          <w:rFonts w:ascii="Arial" w:hAnsi="Arial" w:cs="Arial"/>
          <w:sz w:val="22"/>
          <w:szCs w:val="22"/>
        </w:rPr>
        <w:t>I</w:t>
      </w:r>
      <w:r w:rsidR="00E25F9E" w:rsidRPr="00DB5EC6">
        <w:rPr>
          <w:rFonts w:ascii="Arial" w:hAnsi="Arial" w:cs="Arial"/>
          <w:sz w:val="22"/>
          <w:szCs w:val="22"/>
        </w:rPr>
        <w:t xml:space="preserve">nformants did not </w:t>
      </w:r>
      <w:r w:rsidR="00B2648A" w:rsidRPr="00DB5EC6">
        <w:rPr>
          <w:rFonts w:ascii="Arial" w:hAnsi="Arial" w:cs="Arial"/>
          <w:sz w:val="22"/>
          <w:szCs w:val="22"/>
        </w:rPr>
        <w:t>mention any process whereby the Board would</w:t>
      </w:r>
      <w:r w:rsidR="0080179F" w:rsidRPr="00DB5EC6">
        <w:rPr>
          <w:rFonts w:ascii="Arial" w:hAnsi="Arial" w:cs="Arial"/>
          <w:sz w:val="22"/>
          <w:szCs w:val="22"/>
        </w:rPr>
        <w:t xml:space="preserve"> </w:t>
      </w:r>
      <w:r w:rsidR="00650769" w:rsidRPr="00DB5EC6">
        <w:rPr>
          <w:rFonts w:ascii="Arial" w:hAnsi="Arial" w:cs="Arial"/>
          <w:sz w:val="22"/>
          <w:szCs w:val="22"/>
        </w:rPr>
        <w:t xml:space="preserve">assess the merits of the entire list of requests or </w:t>
      </w:r>
      <w:r w:rsidR="0080179F" w:rsidRPr="00DB5EC6">
        <w:rPr>
          <w:rFonts w:ascii="Arial" w:hAnsi="Arial" w:cs="Arial"/>
          <w:sz w:val="22"/>
          <w:szCs w:val="22"/>
        </w:rPr>
        <w:t xml:space="preserve">weigh </w:t>
      </w:r>
      <w:r w:rsidR="00650769" w:rsidRPr="00DB5EC6">
        <w:rPr>
          <w:rFonts w:ascii="Arial" w:hAnsi="Arial" w:cs="Arial"/>
          <w:sz w:val="22"/>
          <w:szCs w:val="22"/>
        </w:rPr>
        <w:t xml:space="preserve">the </w:t>
      </w:r>
      <w:r w:rsidR="0080179F" w:rsidRPr="00DB5EC6">
        <w:rPr>
          <w:rFonts w:ascii="Arial" w:hAnsi="Arial" w:cs="Arial"/>
          <w:sz w:val="22"/>
          <w:szCs w:val="22"/>
        </w:rPr>
        <w:t>overall priorities of the GP</w:t>
      </w:r>
      <w:r w:rsidR="00650769" w:rsidRPr="00DB5EC6">
        <w:rPr>
          <w:rFonts w:ascii="Arial" w:hAnsi="Arial" w:cs="Arial"/>
          <w:sz w:val="22"/>
          <w:szCs w:val="22"/>
        </w:rPr>
        <w:t xml:space="preserve"> or UNDP</w:t>
      </w:r>
      <w:r w:rsidR="0080179F" w:rsidRPr="00DB5EC6">
        <w:rPr>
          <w:rFonts w:ascii="Arial" w:hAnsi="Arial" w:cs="Arial"/>
          <w:sz w:val="22"/>
          <w:szCs w:val="22"/>
        </w:rPr>
        <w:t xml:space="preserve"> on a </w:t>
      </w:r>
      <w:r w:rsidR="00B2648A" w:rsidRPr="00DB5EC6">
        <w:rPr>
          <w:rFonts w:ascii="Arial" w:hAnsi="Arial" w:cs="Arial"/>
          <w:sz w:val="22"/>
          <w:szCs w:val="22"/>
        </w:rPr>
        <w:t xml:space="preserve">strategic or </w:t>
      </w:r>
      <w:r w:rsidR="0080179F" w:rsidRPr="00DB5EC6">
        <w:rPr>
          <w:rFonts w:ascii="Arial" w:hAnsi="Arial" w:cs="Arial"/>
          <w:sz w:val="22"/>
          <w:szCs w:val="22"/>
        </w:rPr>
        <w:t xml:space="preserve">global level. </w:t>
      </w:r>
      <w:r w:rsidR="00C356AE" w:rsidRPr="00DB5EC6">
        <w:rPr>
          <w:rFonts w:ascii="Arial" w:hAnsi="Arial" w:cs="Arial"/>
          <w:sz w:val="22"/>
          <w:szCs w:val="22"/>
        </w:rPr>
        <w:t xml:space="preserve">Although the current request format asks which of the seven key GP thematic areas is most closely related to the proposed funding, the distribution of funding among those areas is not tracked over time nor does it affect funding decisions, potentially leading to an </w:t>
      </w:r>
      <w:r w:rsidR="00E31B1E" w:rsidRPr="00DB5EC6">
        <w:rPr>
          <w:rFonts w:ascii="Arial" w:hAnsi="Arial" w:cs="Arial"/>
          <w:sz w:val="22"/>
          <w:szCs w:val="22"/>
        </w:rPr>
        <w:t xml:space="preserve">unintentionally </w:t>
      </w:r>
      <w:r w:rsidR="00C356AE" w:rsidRPr="00DB5EC6">
        <w:rPr>
          <w:rFonts w:ascii="Arial" w:hAnsi="Arial" w:cs="Arial"/>
          <w:sz w:val="22"/>
          <w:szCs w:val="22"/>
        </w:rPr>
        <w:t>imbalanced approach.</w:t>
      </w:r>
    </w:p>
    <w:p w14:paraId="484BCEE3" w14:textId="7B9C3B06" w:rsidR="000F6665" w:rsidRPr="00DB5EC6" w:rsidRDefault="00D029BF" w:rsidP="000F47BF">
      <w:pPr>
        <w:spacing w:line="240" w:lineRule="auto"/>
        <w:rPr>
          <w:rFonts w:ascii="Arial" w:hAnsi="Arial" w:cs="Arial"/>
          <w:sz w:val="22"/>
          <w:szCs w:val="22"/>
        </w:rPr>
      </w:pPr>
      <w:r w:rsidRPr="00DB5EC6">
        <w:rPr>
          <w:rFonts w:ascii="Arial" w:hAnsi="Arial" w:cs="Arial"/>
          <w:sz w:val="22"/>
          <w:szCs w:val="22"/>
        </w:rPr>
        <w:t xml:space="preserve">Informants familiar with </w:t>
      </w:r>
      <w:r w:rsidR="009B016C">
        <w:rPr>
          <w:rFonts w:ascii="Arial" w:hAnsi="Arial" w:cs="Arial"/>
          <w:sz w:val="22"/>
          <w:szCs w:val="22"/>
        </w:rPr>
        <w:t>the pipeline allocation</w:t>
      </w:r>
      <w:r w:rsidR="009B016C" w:rsidRPr="00DB5EC6">
        <w:rPr>
          <w:rFonts w:ascii="Arial" w:hAnsi="Arial" w:cs="Arial"/>
          <w:sz w:val="22"/>
          <w:szCs w:val="22"/>
        </w:rPr>
        <w:t xml:space="preserve"> </w:t>
      </w:r>
      <w:r w:rsidRPr="00DB5EC6">
        <w:rPr>
          <w:rFonts w:ascii="Arial" w:hAnsi="Arial" w:cs="Arial"/>
          <w:sz w:val="22"/>
          <w:szCs w:val="22"/>
        </w:rPr>
        <w:t xml:space="preserve">process had varying perspectives, perhaps influenced by their respective roles in the process and/or the time period of their involvement. </w:t>
      </w:r>
      <w:r w:rsidR="000F2434" w:rsidRPr="00DB5EC6">
        <w:rPr>
          <w:rFonts w:ascii="Arial" w:hAnsi="Arial" w:cs="Arial"/>
          <w:sz w:val="22"/>
          <w:szCs w:val="22"/>
        </w:rPr>
        <w:t xml:space="preserve">Advantages mentioned included the </w:t>
      </w:r>
      <w:r w:rsidR="000F6665" w:rsidRPr="00DB5EC6">
        <w:rPr>
          <w:rFonts w:ascii="Arial" w:hAnsi="Arial" w:cs="Arial"/>
          <w:sz w:val="22"/>
          <w:szCs w:val="22"/>
        </w:rPr>
        <w:t>flexible</w:t>
      </w:r>
      <w:r w:rsidR="000F2434" w:rsidRPr="00DB5EC6">
        <w:rPr>
          <w:rFonts w:ascii="Arial" w:hAnsi="Arial" w:cs="Arial"/>
          <w:sz w:val="22"/>
          <w:szCs w:val="22"/>
        </w:rPr>
        <w:t xml:space="preserve"> nature of the process</w:t>
      </w:r>
      <w:r w:rsidR="000F6665" w:rsidRPr="00DB5EC6">
        <w:rPr>
          <w:rFonts w:ascii="Arial" w:hAnsi="Arial" w:cs="Arial"/>
          <w:sz w:val="22"/>
          <w:szCs w:val="22"/>
        </w:rPr>
        <w:t xml:space="preserve">, </w:t>
      </w:r>
      <w:r w:rsidR="000F2434" w:rsidRPr="00DB5EC6">
        <w:rPr>
          <w:rFonts w:ascii="Arial" w:hAnsi="Arial" w:cs="Arial"/>
          <w:sz w:val="22"/>
          <w:szCs w:val="22"/>
        </w:rPr>
        <w:t xml:space="preserve">the minimization of </w:t>
      </w:r>
      <w:r w:rsidR="000F6665" w:rsidRPr="00DB5EC6">
        <w:rPr>
          <w:rFonts w:ascii="Arial" w:hAnsi="Arial" w:cs="Arial"/>
          <w:sz w:val="22"/>
          <w:szCs w:val="22"/>
        </w:rPr>
        <w:t xml:space="preserve">competition among countries or regions, </w:t>
      </w:r>
      <w:r w:rsidR="000F2434" w:rsidRPr="00DB5EC6">
        <w:rPr>
          <w:rFonts w:ascii="Arial" w:hAnsi="Arial" w:cs="Arial"/>
          <w:sz w:val="22"/>
          <w:szCs w:val="22"/>
        </w:rPr>
        <w:t xml:space="preserve">and the prominent role of </w:t>
      </w:r>
      <w:r w:rsidR="000F6665" w:rsidRPr="00DB5EC6">
        <w:rPr>
          <w:rFonts w:ascii="Arial" w:hAnsi="Arial" w:cs="Arial"/>
          <w:sz w:val="22"/>
          <w:szCs w:val="22"/>
        </w:rPr>
        <w:t xml:space="preserve">experienced </w:t>
      </w:r>
      <w:r w:rsidR="009B016C">
        <w:rPr>
          <w:rFonts w:ascii="Arial" w:hAnsi="Arial" w:cs="Arial"/>
          <w:sz w:val="22"/>
          <w:szCs w:val="22"/>
        </w:rPr>
        <w:t xml:space="preserve">and knowledgeable </w:t>
      </w:r>
      <w:r w:rsidR="00A23D43" w:rsidRPr="00DB5EC6">
        <w:rPr>
          <w:rFonts w:ascii="Arial" w:hAnsi="Arial" w:cs="Arial"/>
          <w:sz w:val="22"/>
          <w:szCs w:val="22"/>
        </w:rPr>
        <w:t>Focal</w:t>
      </w:r>
      <w:r w:rsidR="000F6665" w:rsidRPr="00DB5EC6">
        <w:rPr>
          <w:rFonts w:ascii="Arial" w:hAnsi="Arial" w:cs="Arial"/>
          <w:sz w:val="22"/>
          <w:szCs w:val="22"/>
        </w:rPr>
        <w:t xml:space="preserve"> </w:t>
      </w:r>
      <w:r w:rsidR="00A23D43" w:rsidRPr="00DB5EC6">
        <w:rPr>
          <w:rFonts w:ascii="Arial" w:hAnsi="Arial" w:cs="Arial"/>
          <w:sz w:val="22"/>
          <w:szCs w:val="22"/>
        </w:rPr>
        <w:t>P</w:t>
      </w:r>
      <w:r w:rsidR="000F6665" w:rsidRPr="00DB5EC6">
        <w:rPr>
          <w:rFonts w:ascii="Arial" w:hAnsi="Arial" w:cs="Arial"/>
          <w:sz w:val="22"/>
          <w:szCs w:val="22"/>
        </w:rPr>
        <w:t>oints</w:t>
      </w:r>
      <w:r w:rsidR="00A23D43" w:rsidRPr="00DB5EC6">
        <w:rPr>
          <w:rFonts w:ascii="Arial" w:hAnsi="Arial" w:cs="Arial"/>
          <w:sz w:val="22"/>
          <w:szCs w:val="22"/>
        </w:rPr>
        <w:t xml:space="preserve"> in ensuring quality and relevance of the funding allocations</w:t>
      </w:r>
      <w:r w:rsidR="000F6665" w:rsidRPr="00DB5EC6">
        <w:rPr>
          <w:rFonts w:ascii="Arial" w:hAnsi="Arial" w:cs="Arial"/>
          <w:sz w:val="22"/>
          <w:szCs w:val="22"/>
        </w:rPr>
        <w:t xml:space="preserve">. </w:t>
      </w:r>
      <w:r w:rsidR="009204F3">
        <w:rPr>
          <w:rFonts w:ascii="Arial" w:hAnsi="Arial" w:cs="Arial"/>
          <w:sz w:val="22"/>
          <w:szCs w:val="22"/>
        </w:rPr>
        <w:t xml:space="preserve">Some key staff consider that the process is defined clearly enough to fulfil its purpose while maintaining flexibility. </w:t>
      </w:r>
      <w:r w:rsidR="000F2434" w:rsidRPr="00DB5EC6">
        <w:rPr>
          <w:rFonts w:ascii="Arial" w:hAnsi="Arial" w:cs="Arial"/>
          <w:sz w:val="22"/>
          <w:szCs w:val="22"/>
        </w:rPr>
        <w:t xml:space="preserve">On the other hand, </w:t>
      </w:r>
      <w:r w:rsidR="00125770" w:rsidRPr="00DB5EC6">
        <w:rPr>
          <w:rFonts w:ascii="Arial" w:hAnsi="Arial" w:cs="Arial"/>
          <w:sz w:val="22"/>
          <w:szCs w:val="22"/>
        </w:rPr>
        <w:t xml:space="preserve">highlighted </w:t>
      </w:r>
      <w:r w:rsidR="000F2434" w:rsidRPr="00DB5EC6">
        <w:rPr>
          <w:rFonts w:ascii="Arial" w:hAnsi="Arial" w:cs="Arial"/>
          <w:sz w:val="22"/>
          <w:szCs w:val="22"/>
        </w:rPr>
        <w:t>disadvantages included the</w:t>
      </w:r>
      <w:r w:rsidR="000F6665" w:rsidRPr="00DB5EC6">
        <w:rPr>
          <w:rFonts w:ascii="Arial" w:hAnsi="Arial" w:cs="Arial"/>
          <w:sz w:val="22"/>
          <w:szCs w:val="22"/>
        </w:rPr>
        <w:t xml:space="preserve"> </w:t>
      </w:r>
      <w:r w:rsidR="000F2434" w:rsidRPr="00DB5EC6">
        <w:rPr>
          <w:rFonts w:ascii="Arial" w:hAnsi="Arial" w:cs="Arial"/>
          <w:sz w:val="22"/>
          <w:szCs w:val="22"/>
        </w:rPr>
        <w:t xml:space="preserve">process being highly subjective/unsystematic and thus </w:t>
      </w:r>
      <w:r w:rsidR="000F6665" w:rsidRPr="00DB5EC6">
        <w:rPr>
          <w:rFonts w:ascii="Arial" w:hAnsi="Arial" w:cs="Arial"/>
          <w:sz w:val="22"/>
          <w:szCs w:val="22"/>
        </w:rPr>
        <w:t xml:space="preserve">vulnerable to personal influences </w:t>
      </w:r>
      <w:r w:rsidR="000F2434" w:rsidRPr="00DB5EC6">
        <w:rPr>
          <w:rFonts w:ascii="Arial" w:hAnsi="Arial" w:cs="Arial"/>
          <w:sz w:val="22"/>
          <w:szCs w:val="22"/>
        </w:rPr>
        <w:t>and</w:t>
      </w:r>
      <w:r w:rsidR="000F6665" w:rsidRPr="00DB5EC6">
        <w:rPr>
          <w:rFonts w:ascii="Arial" w:hAnsi="Arial" w:cs="Arial"/>
          <w:sz w:val="22"/>
          <w:szCs w:val="22"/>
        </w:rPr>
        <w:t xml:space="preserve"> staffing changes, </w:t>
      </w:r>
      <w:r w:rsidR="000F2434" w:rsidRPr="00DB5EC6">
        <w:rPr>
          <w:rFonts w:ascii="Arial" w:hAnsi="Arial" w:cs="Arial"/>
          <w:sz w:val="22"/>
          <w:szCs w:val="22"/>
        </w:rPr>
        <w:t xml:space="preserve">the </w:t>
      </w:r>
      <w:r w:rsidR="000F6665" w:rsidRPr="00DB5EC6">
        <w:rPr>
          <w:rFonts w:ascii="Arial" w:hAnsi="Arial" w:cs="Arial"/>
          <w:sz w:val="22"/>
          <w:szCs w:val="22"/>
        </w:rPr>
        <w:t>selection</w:t>
      </w:r>
      <w:r w:rsidR="000F2434" w:rsidRPr="00DB5EC6">
        <w:rPr>
          <w:rFonts w:ascii="Arial" w:hAnsi="Arial" w:cs="Arial"/>
          <w:sz w:val="22"/>
          <w:szCs w:val="22"/>
        </w:rPr>
        <w:t>/vetting</w:t>
      </w:r>
      <w:r w:rsidR="000F6665" w:rsidRPr="00DB5EC6">
        <w:rPr>
          <w:rFonts w:ascii="Arial" w:hAnsi="Arial" w:cs="Arial"/>
          <w:sz w:val="22"/>
          <w:szCs w:val="22"/>
        </w:rPr>
        <w:t xml:space="preserve"> criteria not </w:t>
      </w:r>
      <w:r w:rsidR="000F2434" w:rsidRPr="00DB5EC6">
        <w:rPr>
          <w:rFonts w:ascii="Arial" w:hAnsi="Arial" w:cs="Arial"/>
          <w:sz w:val="22"/>
          <w:szCs w:val="22"/>
        </w:rPr>
        <w:t xml:space="preserve">being </w:t>
      </w:r>
      <w:r w:rsidR="009204F3">
        <w:rPr>
          <w:rFonts w:ascii="Arial" w:hAnsi="Arial" w:cs="Arial"/>
          <w:sz w:val="22"/>
          <w:szCs w:val="22"/>
        </w:rPr>
        <w:t xml:space="preserve">fully and </w:t>
      </w:r>
      <w:r w:rsidR="000F6665" w:rsidRPr="00DB5EC6">
        <w:rPr>
          <w:rFonts w:ascii="Arial" w:hAnsi="Arial" w:cs="Arial"/>
          <w:sz w:val="22"/>
          <w:szCs w:val="22"/>
        </w:rPr>
        <w:t>clear</w:t>
      </w:r>
      <w:r w:rsidR="00A23D43" w:rsidRPr="00DB5EC6">
        <w:rPr>
          <w:rFonts w:ascii="Arial" w:hAnsi="Arial" w:cs="Arial"/>
          <w:sz w:val="22"/>
          <w:szCs w:val="22"/>
        </w:rPr>
        <w:t>ly documented and shared with</w:t>
      </w:r>
      <w:r w:rsidR="000F6665" w:rsidRPr="00DB5EC6">
        <w:rPr>
          <w:rFonts w:ascii="Arial" w:hAnsi="Arial" w:cs="Arial"/>
          <w:sz w:val="22"/>
          <w:szCs w:val="22"/>
        </w:rPr>
        <w:t xml:space="preserve"> </w:t>
      </w:r>
      <w:r w:rsidR="00F138AB">
        <w:rPr>
          <w:rFonts w:ascii="Arial" w:hAnsi="Arial" w:cs="Arial"/>
          <w:sz w:val="22"/>
          <w:szCs w:val="22"/>
        </w:rPr>
        <w:t>COs</w:t>
      </w:r>
      <w:r w:rsidR="000F6665" w:rsidRPr="00DB5EC6">
        <w:rPr>
          <w:rFonts w:ascii="Arial" w:hAnsi="Arial" w:cs="Arial"/>
          <w:sz w:val="22"/>
          <w:szCs w:val="22"/>
        </w:rPr>
        <w:t xml:space="preserve">, </w:t>
      </w:r>
      <w:r w:rsidR="009B016C">
        <w:rPr>
          <w:rFonts w:ascii="Arial" w:hAnsi="Arial" w:cs="Arial"/>
          <w:sz w:val="22"/>
          <w:szCs w:val="22"/>
        </w:rPr>
        <w:t xml:space="preserve">Focal Points having insufficient time to fully assess the potential applicant countries in their respective portfolios, </w:t>
      </w:r>
      <w:r w:rsidR="000F2434" w:rsidRPr="00DB5EC6">
        <w:rPr>
          <w:rFonts w:ascii="Arial" w:hAnsi="Arial" w:cs="Arial"/>
          <w:sz w:val="22"/>
          <w:szCs w:val="22"/>
        </w:rPr>
        <w:t xml:space="preserve">and </w:t>
      </w:r>
      <w:r w:rsidR="00A23D43" w:rsidRPr="00DB5EC6">
        <w:rPr>
          <w:rFonts w:ascii="Arial" w:hAnsi="Arial" w:cs="Arial"/>
          <w:sz w:val="22"/>
          <w:szCs w:val="22"/>
        </w:rPr>
        <w:t xml:space="preserve">funding </w:t>
      </w:r>
      <w:r w:rsidR="000F2434" w:rsidRPr="00DB5EC6">
        <w:rPr>
          <w:rFonts w:ascii="Arial" w:hAnsi="Arial" w:cs="Arial"/>
          <w:sz w:val="22"/>
          <w:szCs w:val="22"/>
        </w:rPr>
        <w:t xml:space="preserve">decisions not being explained to those who submitted requests. </w:t>
      </w:r>
    </w:p>
    <w:p w14:paraId="2124E525" w14:textId="33444DAB" w:rsidR="00A06FAB" w:rsidRPr="008D019A" w:rsidRDefault="000F2434" w:rsidP="00E80114">
      <w:pPr>
        <w:pStyle w:val="NormalWeb"/>
        <w:spacing w:before="0" w:beforeAutospacing="0" w:after="120" w:afterAutospacing="0"/>
        <w:textAlignment w:val="baseline"/>
        <w:rPr>
          <w:rFonts w:ascii="Arial" w:hAnsi="Arial" w:cs="Arial"/>
          <w:color w:val="000000"/>
          <w:sz w:val="22"/>
          <w:szCs w:val="22"/>
          <w:lang w:val="en-US"/>
        </w:rPr>
      </w:pPr>
      <w:r w:rsidRPr="0059629C">
        <w:rPr>
          <w:rFonts w:ascii="Arial" w:hAnsi="Arial" w:cs="Arial"/>
          <w:sz w:val="22"/>
          <w:szCs w:val="22"/>
          <w:lang w:val="en-US"/>
        </w:rPr>
        <w:t>With respect to the standard one-year d</w:t>
      </w:r>
      <w:r w:rsidR="00A06FAB" w:rsidRPr="0059629C">
        <w:rPr>
          <w:rFonts w:ascii="Arial" w:hAnsi="Arial" w:cs="Arial"/>
          <w:sz w:val="22"/>
          <w:szCs w:val="22"/>
          <w:lang w:val="en-US"/>
        </w:rPr>
        <w:t xml:space="preserve">uration </w:t>
      </w:r>
      <w:r w:rsidRPr="0059629C">
        <w:rPr>
          <w:rFonts w:ascii="Arial" w:hAnsi="Arial" w:cs="Arial"/>
          <w:sz w:val="22"/>
          <w:szCs w:val="22"/>
          <w:lang w:val="en-US"/>
        </w:rPr>
        <w:t xml:space="preserve">of </w:t>
      </w:r>
      <w:r w:rsidR="00A06FAB" w:rsidRPr="008D019A">
        <w:rPr>
          <w:rFonts w:ascii="Arial" w:hAnsi="Arial" w:cs="Arial"/>
          <w:color w:val="000000"/>
          <w:sz w:val="22"/>
          <w:szCs w:val="22"/>
          <w:lang w:val="en-US"/>
        </w:rPr>
        <w:t xml:space="preserve">funding </w:t>
      </w:r>
      <w:r>
        <w:rPr>
          <w:rFonts w:ascii="Arial" w:hAnsi="Arial" w:cs="Arial"/>
          <w:color w:val="000000"/>
          <w:sz w:val="22"/>
          <w:szCs w:val="22"/>
          <w:lang w:val="en-US"/>
        </w:rPr>
        <w:t xml:space="preserve">via the pipeline, informants viewed this as reasonable in relation to the </w:t>
      </w:r>
      <w:r w:rsidR="00A23D43">
        <w:rPr>
          <w:rFonts w:ascii="Arial" w:hAnsi="Arial" w:cs="Arial"/>
          <w:color w:val="000000"/>
          <w:sz w:val="22"/>
          <w:szCs w:val="22"/>
          <w:lang w:val="en-US"/>
        </w:rPr>
        <w:t>amount of funding</w:t>
      </w:r>
      <w:r>
        <w:rPr>
          <w:rFonts w:ascii="Arial" w:hAnsi="Arial" w:cs="Arial"/>
          <w:color w:val="000000"/>
          <w:sz w:val="22"/>
          <w:szCs w:val="22"/>
          <w:lang w:val="en-US"/>
        </w:rPr>
        <w:t>. The need for flexibility to extend the duration was highlighted repeatedly, in light of the instability and other factors at play in the targeted contexts</w:t>
      </w:r>
      <w:r w:rsidR="00F138AB">
        <w:rPr>
          <w:rFonts w:ascii="Arial" w:hAnsi="Arial" w:cs="Arial"/>
          <w:color w:val="000000"/>
          <w:sz w:val="22"/>
          <w:szCs w:val="22"/>
          <w:lang w:val="en-US"/>
        </w:rPr>
        <w:t>, although</w:t>
      </w:r>
      <w:r>
        <w:rPr>
          <w:rFonts w:ascii="Arial" w:hAnsi="Arial" w:cs="Arial"/>
          <w:color w:val="000000"/>
          <w:sz w:val="22"/>
          <w:szCs w:val="22"/>
          <w:lang w:val="en-US"/>
        </w:rPr>
        <w:t xml:space="preserve"> most informants indicat</w:t>
      </w:r>
      <w:r w:rsidR="00F138AB">
        <w:rPr>
          <w:rFonts w:ascii="Arial" w:hAnsi="Arial" w:cs="Arial"/>
          <w:color w:val="000000"/>
          <w:sz w:val="22"/>
          <w:szCs w:val="22"/>
          <w:lang w:val="en-US"/>
        </w:rPr>
        <w:t>ed</w:t>
      </w:r>
      <w:r>
        <w:rPr>
          <w:rFonts w:ascii="Arial" w:hAnsi="Arial" w:cs="Arial"/>
          <w:color w:val="000000"/>
          <w:sz w:val="22"/>
          <w:szCs w:val="22"/>
          <w:lang w:val="en-US"/>
        </w:rPr>
        <w:t xml:space="preserve"> that the Programme had </w:t>
      </w:r>
      <w:r w:rsidR="00F138AB">
        <w:rPr>
          <w:rFonts w:ascii="Arial" w:hAnsi="Arial" w:cs="Arial"/>
          <w:color w:val="000000"/>
          <w:sz w:val="22"/>
          <w:szCs w:val="22"/>
          <w:lang w:val="en-US"/>
        </w:rPr>
        <w:t>accommodated their</w:t>
      </w:r>
      <w:r>
        <w:rPr>
          <w:rFonts w:ascii="Arial" w:hAnsi="Arial" w:cs="Arial"/>
          <w:color w:val="000000"/>
          <w:sz w:val="22"/>
          <w:szCs w:val="22"/>
          <w:lang w:val="en-US"/>
        </w:rPr>
        <w:t xml:space="preserve"> </w:t>
      </w:r>
      <w:r w:rsidR="00F138AB" w:rsidRPr="008D019A">
        <w:rPr>
          <w:rFonts w:ascii="Arial" w:hAnsi="Arial" w:cs="Arial"/>
          <w:color w:val="000000"/>
          <w:sz w:val="22"/>
          <w:szCs w:val="22"/>
          <w:lang w:val="en-US"/>
        </w:rPr>
        <w:t>extension</w:t>
      </w:r>
      <w:r w:rsidR="00F138AB">
        <w:rPr>
          <w:rFonts w:ascii="Arial" w:hAnsi="Arial" w:cs="Arial"/>
          <w:color w:val="000000"/>
          <w:sz w:val="22"/>
          <w:szCs w:val="22"/>
          <w:lang w:val="en-US"/>
        </w:rPr>
        <w:t xml:space="preserve"> </w:t>
      </w:r>
      <w:r>
        <w:rPr>
          <w:rFonts w:ascii="Arial" w:hAnsi="Arial" w:cs="Arial"/>
          <w:color w:val="000000"/>
          <w:sz w:val="22"/>
          <w:szCs w:val="22"/>
          <w:lang w:val="en-US"/>
        </w:rPr>
        <w:t xml:space="preserve">requests. Although the </w:t>
      </w:r>
      <w:r w:rsidR="00F138AB" w:rsidRPr="008D019A">
        <w:rPr>
          <w:rFonts w:ascii="Arial" w:hAnsi="Arial" w:cs="Arial"/>
          <w:color w:val="000000"/>
          <w:sz w:val="22"/>
          <w:szCs w:val="22"/>
          <w:lang w:val="en-US"/>
        </w:rPr>
        <w:t>funding</w:t>
      </w:r>
      <w:r w:rsidR="00F138AB">
        <w:rPr>
          <w:rFonts w:ascii="Arial" w:hAnsi="Arial" w:cs="Arial"/>
          <w:color w:val="000000"/>
          <w:sz w:val="22"/>
          <w:szCs w:val="22"/>
          <w:lang w:val="en-US"/>
        </w:rPr>
        <w:t xml:space="preserve"> </w:t>
      </w:r>
      <w:r>
        <w:rPr>
          <w:rFonts w:ascii="Arial" w:hAnsi="Arial" w:cs="Arial"/>
          <w:color w:val="000000"/>
          <w:sz w:val="22"/>
          <w:szCs w:val="22"/>
          <w:lang w:val="en-US"/>
        </w:rPr>
        <w:t>a</w:t>
      </w:r>
      <w:r w:rsidR="00A06FAB" w:rsidRPr="008D019A">
        <w:rPr>
          <w:rFonts w:ascii="Arial" w:hAnsi="Arial" w:cs="Arial"/>
          <w:color w:val="000000"/>
          <w:sz w:val="22"/>
          <w:szCs w:val="22"/>
          <w:lang w:val="en-US"/>
        </w:rPr>
        <w:t xml:space="preserve">mount </w:t>
      </w:r>
      <w:r>
        <w:rPr>
          <w:rFonts w:ascii="Arial" w:hAnsi="Arial" w:cs="Arial"/>
          <w:color w:val="000000"/>
          <w:sz w:val="22"/>
          <w:szCs w:val="22"/>
          <w:lang w:val="en-US"/>
        </w:rPr>
        <w:t xml:space="preserve">was considered modest, especially in countries with major donor presence and programming in the </w:t>
      </w:r>
      <w:r w:rsidR="00A23D43">
        <w:rPr>
          <w:rFonts w:ascii="Arial" w:hAnsi="Arial" w:cs="Arial"/>
          <w:color w:val="000000"/>
          <w:sz w:val="22"/>
          <w:szCs w:val="22"/>
          <w:lang w:val="en-US"/>
        </w:rPr>
        <w:t xml:space="preserve">ROLSHR </w:t>
      </w:r>
      <w:r>
        <w:rPr>
          <w:rFonts w:ascii="Arial" w:hAnsi="Arial" w:cs="Arial"/>
          <w:color w:val="000000"/>
          <w:sz w:val="22"/>
          <w:szCs w:val="22"/>
          <w:lang w:val="en-US"/>
        </w:rPr>
        <w:t>sector, it was generally seen as adequate to fulfil the purpose of catalytic</w:t>
      </w:r>
      <w:r w:rsidR="009F52C7">
        <w:rPr>
          <w:rFonts w:ascii="Arial" w:hAnsi="Arial" w:cs="Arial"/>
          <w:color w:val="000000"/>
          <w:sz w:val="22"/>
          <w:szCs w:val="22"/>
          <w:lang w:val="en-US"/>
        </w:rPr>
        <w:t xml:space="preserve"> funding. </w:t>
      </w:r>
      <w:r w:rsidR="003C0766">
        <w:rPr>
          <w:rFonts w:ascii="Arial" w:hAnsi="Arial" w:cs="Arial"/>
          <w:color w:val="000000"/>
          <w:sz w:val="22"/>
          <w:szCs w:val="22"/>
          <w:lang w:val="en-US"/>
        </w:rPr>
        <w:t xml:space="preserve">An exception to this was mentioned by a Project Board Member: the maximum of $500,000 limits the realistic possibility of joint implementation by more than one UN entity. This was vividly demonstrated by the Pakistan case study, where a promising joint undertaking was undertaken by UNDP alone, because the cost of several partners operating in a new remote province was too </w:t>
      </w:r>
      <w:r w:rsidR="00F138AB">
        <w:rPr>
          <w:rFonts w:ascii="Arial" w:hAnsi="Arial" w:cs="Arial"/>
          <w:color w:val="000000"/>
          <w:sz w:val="22"/>
          <w:szCs w:val="22"/>
          <w:lang w:val="en-US"/>
        </w:rPr>
        <w:t>high</w:t>
      </w:r>
      <w:r w:rsidR="003C0766">
        <w:rPr>
          <w:rFonts w:ascii="Arial" w:hAnsi="Arial" w:cs="Arial"/>
          <w:color w:val="000000"/>
          <w:sz w:val="22"/>
          <w:szCs w:val="22"/>
          <w:lang w:val="en-US"/>
        </w:rPr>
        <w:t xml:space="preserve"> for the GP allocation. </w:t>
      </w:r>
    </w:p>
    <w:p w14:paraId="540E03C1" w14:textId="4FE322B7" w:rsidR="00371E62" w:rsidRPr="00DB5EC6" w:rsidRDefault="00371E62" w:rsidP="00213541">
      <w:pPr>
        <w:spacing w:after="0" w:line="240" w:lineRule="auto"/>
        <w:rPr>
          <w:rFonts w:ascii="Arial" w:hAnsi="Arial" w:cs="Arial"/>
          <w:sz w:val="22"/>
          <w:szCs w:val="22"/>
        </w:rPr>
      </w:pPr>
      <w:r w:rsidRPr="00DB5EC6">
        <w:rPr>
          <w:rFonts w:ascii="Arial" w:hAnsi="Arial" w:cs="Arial"/>
          <w:sz w:val="22"/>
          <w:szCs w:val="22"/>
          <w:lang w:val="en-US"/>
        </w:rPr>
        <w:t xml:space="preserve">With respect to the transfer of allocated funds to UNDP </w:t>
      </w:r>
      <w:r w:rsidR="00F138AB">
        <w:rPr>
          <w:rFonts w:ascii="Arial" w:hAnsi="Arial" w:cs="Arial"/>
          <w:sz w:val="22"/>
          <w:szCs w:val="22"/>
          <w:lang w:val="en-US"/>
        </w:rPr>
        <w:t>COs</w:t>
      </w:r>
      <w:r w:rsidRPr="00DB5EC6">
        <w:rPr>
          <w:rFonts w:ascii="Arial" w:hAnsi="Arial" w:cs="Arial"/>
          <w:sz w:val="22"/>
          <w:szCs w:val="22"/>
          <w:lang w:val="en-US"/>
        </w:rPr>
        <w:t xml:space="preserve">, informants in HQ and </w:t>
      </w:r>
      <w:r w:rsidR="00F138AB">
        <w:rPr>
          <w:rFonts w:ascii="Arial" w:hAnsi="Arial" w:cs="Arial"/>
          <w:sz w:val="22"/>
          <w:szCs w:val="22"/>
          <w:lang w:val="en-US"/>
        </w:rPr>
        <w:t xml:space="preserve">in </w:t>
      </w:r>
      <w:r w:rsidRPr="00DB5EC6">
        <w:rPr>
          <w:rFonts w:ascii="Arial" w:hAnsi="Arial" w:cs="Arial"/>
          <w:sz w:val="22"/>
          <w:szCs w:val="22"/>
          <w:lang w:val="en-US"/>
        </w:rPr>
        <w:t>country commented that this is relatively fast and efficient now that the GP is able to operate via the Funding Windows structure. In the first years of Phase 3 the transfer of funds was problematic and slow in many cases, but this has now been resolved internally by UNDP</w:t>
      </w:r>
      <w:r w:rsidR="00C969CF" w:rsidRPr="00DB5EC6">
        <w:rPr>
          <w:rFonts w:ascii="Arial" w:hAnsi="Arial" w:cs="Arial"/>
          <w:sz w:val="22"/>
          <w:szCs w:val="22"/>
          <w:lang w:val="en-US"/>
        </w:rPr>
        <w:t>.</w:t>
      </w:r>
      <w:r w:rsidRPr="00DB5EC6">
        <w:rPr>
          <w:rFonts w:ascii="Arial" w:hAnsi="Arial" w:cs="Arial"/>
          <w:sz w:val="22"/>
          <w:szCs w:val="22"/>
        </w:rPr>
        <w:t xml:space="preserve"> However, transferring funds from UNDP to </w:t>
      </w:r>
      <w:r w:rsidR="00C969CF" w:rsidRPr="00DB5EC6">
        <w:rPr>
          <w:rFonts w:ascii="Arial" w:hAnsi="Arial" w:cs="Arial"/>
          <w:sz w:val="22"/>
          <w:szCs w:val="22"/>
        </w:rPr>
        <w:t>some other UN</w:t>
      </w:r>
      <w:r w:rsidRPr="00DB5EC6">
        <w:rPr>
          <w:rFonts w:ascii="Arial" w:hAnsi="Arial" w:cs="Arial"/>
          <w:sz w:val="22"/>
          <w:szCs w:val="22"/>
        </w:rPr>
        <w:t xml:space="preserve"> entities remains virtually impossible due to </w:t>
      </w:r>
      <w:r w:rsidR="00C969CF" w:rsidRPr="00DB5EC6">
        <w:rPr>
          <w:rFonts w:ascii="Arial" w:hAnsi="Arial" w:cs="Arial"/>
          <w:sz w:val="22"/>
          <w:szCs w:val="22"/>
        </w:rPr>
        <w:t xml:space="preserve">ongoing </w:t>
      </w:r>
      <w:r w:rsidRPr="00DB5EC6">
        <w:rPr>
          <w:rFonts w:ascii="Arial" w:hAnsi="Arial" w:cs="Arial"/>
          <w:sz w:val="22"/>
          <w:szCs w:val="22"/>
        </w:rPr>
        <w:t>interoperability challenges</w:t>
      </w:r>
      <w:r w:rsidR="00C969CF" w:rsidRPr="00DB5EC6">
        <w:rPr>
          <w:rFonts w:ascii="Arial" w:hAnsi="Arial" w:cs="Arial"/>
          <w:sz w:val="22"/>
          <w:szCs w:val="22"/>
        </w:rPr>
        <w:t xml:space="preserve"> (especially between Umoja and Atlas systems)</w:t>
      </w:r>
      <w:r w:rsidRPr="00DB5EC6">
        <w:rPr>
          <w:rFonts w:ascii="Arial" w:hAnsi="Arial" w:cs="Arial"/>
          <w:sz w:val="22"/>
          <w:szCs w:val="22"/>
        </w:rPr>
        <w:t xml:space="preserve">. </w:t>
      </w:r>
      <w:r w:rsidR="00F138AB">
        <w:rPr>
          <w:rFonts w:ascii="Arial" w:hAnsi="Arial" w:cs="Arial"/>
          <w:sz w:val="22"/>
          <w:szCs w:val="22"/>
        </w:rPr>
        <w:t>This is a particular challenge for GFP, as described in the text box below.</w:t>
      </w:r>
    </w:p>
    <w:p w14:paraId="18568262" w14:textId="49D4A6AB" w:rsidR="00F171B3" w:rsidRDefault="00F171B3" w:rsidP="00213541">
      <w:pPr>
        <w:spacing w:after="0" w:line="240" w:lineRule="auto"/>
        <w:rPr>
          <w:rFonts w:ascii="Arial" w:hAnsi="Arial" w:cs="Arial"/>
        </w:rPr>
      </w:pPr>
    </w:p>
    <w:tbl>
      <w:tblPr>
        <w:tblStyle w:val="TableGrid"/>
        <w:tblW w:w="0" w:type="auto"/>
        <w:shd w:val="clear" w:color="auto" w:fill="C0D7EC" w:themeFill="accent2" w:themeFillTint="66"/>
        <w:tblLook w:val="04A0" w:firstRow="1" w:lastRow="0" w:firstColumn="1" w:lastColumn="0" w:noHBand="0" w:noVBand="1"/>
      </w:tblPr>
      <w:tblGrid>
        <w:gridCol w:w="9350"/>
      </w:tblGrid>
      <w:tr w:rsidR="00F171B3" w14:paraId="4A04BE9A" w14:textId="77777777" w:rsidTr="7FB3149D">
        <w:tc>
          <w:tcPr>
            <w:tcW w:w="9350" w:type="dxa"/>
            <w:shd w:val="clear" w:color="auto" w:fill="C0D7EC" w:themeFill="accent2" w:themeFillTint="66"/>
          </w:tcPr>
          <w:p w14:paraId="18841510" w14:textId="77777777" w:rsidR="006F770A" w:rsidRDefault="006F770A" w:rsidP="00F171B3">
            <w:pPr>
              <w:ind w:left="141"/>
              <w:jc w:val="center"/>
              <w:rPr>
                <w:rFonts w:ascii="Arial" w:hAnsi="Arial" w:cs="Arial"/>
                <w:b/>
                <w:bCs/>
              </w:rPr>
            </w:pPr>
          </w:p>
          <w:p w14:paraId="47B45E04" w14:textId="0DC4F6AB" w:rsidR="00F171B3" w:rsidRPr="002272B6" w:rsidRDefault="002272B6" w:rsidP="00F171B3">
            <w:pPr>
              <w:ind w:left="141"/>
              <w:jc w:val="center"/>
              <w:rPr>
                <w:rFonts w:ascii="Arial" w:hAnsi="Arial" w:cs="Arial"/>
                <w:b/>
                <w:bCs/>
                <w:sz w:val="24"/>
                <w:szCs w:val="24"/>
              </w:rPr>
            </w:pPr>
            <w:r w:rsidRPr="002272B6">
              <w:rPr>
                <w:rFonts w:ascii="Arial" w:hAnsi="Arial" w:cs="Arial"/>
                <w:b/>
                <w:bCs/>
                <w:sz w:val="24"/>
                <w:szCs w:val="24"/>
              </w:rPr>
              <w:t>GFP</w:t>
            </w:r>
            <w:r w:rsidR="00F171B3" w:rsidRPr="002272B6">
              <w:rPr>
                <w:rFonts w:ascii="Arial" w:hAnsi="Arial" w:cs="Arial"/>
                <w:b/>
                <w:bCs/>
                <w:sz w:val="24"/>
                <w:szCs w:val="24"/>
              </w:rPr>
              <w:t xml:space="preserve"> Processes in Evolution</w:t>
            </w:r>
          </w:p>
          <w:p w14:paraId="0763D4A9" w14:textId="77777777" w:rsidR="00F171B3" w:rsidRPr="002272B6" w:rsidRDefault="00F171B3" w:rsidP="00F171B3">
            <w:pPr>
              <w:ind w:left="141"/>
              <w:rPr>
                <w:rFonts w:ascii="Arial" w:hAnsi="Arial" w:cs="Arial"/>
                <w:b/>
                <w:bCs/>
              </w:rPr>
            </w:pPr>
          </w:p>
          <w:p w14:paraId="2E08E4D0" w14:textId="70677ACC" w:rsidR="00F171B3" w:rsidRPr="002272B6" w:rsidRDefault="018B8F7A" w:rsidP="00F171B3">
            <w:pPr>
              <w:spacing w:after="120"/>
              <w:ind w:left="142"/>
              <w:rPr>
                <w:rFonts w:ascii="Arial" w:hAnsi="Arial" w:cs="Arial"/>
              </w:rPr>
            </w:pPr>
            <w:r w:rsidRPr="7FB3149D">
              <w:rPr>
                <w:rFonts w:ascii="Arial" w:hAnsi="Arial" w:cs="Arial"/>
              </w:rPr>
              <w:t xml:space="preserve">Since 2019, GFP has its own resources for direct funding support of field level projects/activities (previously, general GP funds were used). However, </w:t>
            </w:r>
            <w:r w:rsidRPr="7FB3149D">
              <w:rPr>
                <w:rFonts w:ascii="Arial" w:hAnsi="Arial" w:cs="Arial"/>
                <w:lang w:val="en-US"/>
              </w:rPr>
              <w:t xml:space="preserve">GFP funds still cannot easily be sent directly to a Mission due to the serious interoperability issues noted above. This hampers GFP JPs without UNDP as participating entity, thus limiting the potential scope of GFP. Specifically, funds transfers by UNDP to other UN agencies that use systems other than ATLAS cannot be carried out easily; and require signing of an inter-agency agreement. In fact, the GFP team indicated it was very rare to receive a request that does not include UNDP. </w:t>
            </w:r>
            <w:r w:rsidRPr="7FB3149D">
              <w:rPr>
                <w:rFonts w:ascii="Arial" w:eastAsia="Times New Roman" w:hAnsi="Arial" w:cs="Arial"/>
                <w:lang w:val="en-US" w:eastAsia="de-DE"/>
              </w:rPr>
              <w:t>The theoretical alternative of using a Multi-Partner Trust Fund (MPTF) at country level</w:t>
            </w:r>
            <w:r w:rsidRPr="7FB3149D">
              <w:rPr>
                <w:rFonts w:ascii="Arial" w:hAnsi="Arial" w:cs="Arial"/>
              </w:rPr>
              <w:t xml:space="preserve"> was</w:t>
            </w:r>
            <w:r w:rsidRPr="7FB3149D">
              <w:rPr>
                <w:rFonts w:ascii="Arial" w:eastAsia="Times New Roman" w:hAnsi="Arial" w:cs="Arial"/>
                <w:lang w:val="en-US" w:eastAsia="de-DE"/>
              </w:rPr>
              <w:t xml:space="preserve"> mentioned by several informants, to</w:t>
            </w:r>
            <w:r w:rsidRPr="7FB3149D">
              <w:rPr>
                <w:rFonts w:ascii="Arial" w:hAnsi="Arial" w:cs="Arial"/>
              </w:rPr>
              <w:t xml:space="preserve"> allow other UN entities to engage more efficiently and effectively</w:t>
            </w:r>
            <w:r w:rsidRPr="7FB3149D">
              <w:rPr>
                <w:rFonts w:ascii="Arial" w:eastAsia="Times New Roman" w:hAnsi="Arial" w:cs="Arial"/>
                <w:lang w:val="en-US" w:eastAsia="de-DE"/>
              </w:rPr>
              <w:t xml:space="preserve">. </w:t>
            </w:r>
            <w:r w:rsidRPr="7FB3149D">
              <w:rPr>
                <w:rFonts w:ascii="Arial" w:hAnsi="Arial" w:cs="Arial"/>
              </w:rPr>
              <w:t>This modality could support a more participatory and transparent GFP model transcending the current UNDP-DPO controlled mechanism; however, the threshold of $5 million per year</w:t>
            </w:r>
            <w:r w:rsidRPr="7FB3149D">
              <w:rPr>
                <w:rFonts w:ascii="Arial" w:eastAsia="Times New Roman" w:hAnsi="Arial" w:cs="Arial"/>
                <w:lang w:val="en-US" w:eastAsia="de-DE"/>
              </w:rPr>
              <w:t xml:space="preserve"> is an obstacle to use of </w:t>
            </w:r>
            <w:r w:rsidRPr="7FB3149D">
              <w:rPr>
                <w:rFonts w:ascii="Arial" w:hAnsi="Arial" w:cs="Arial"/>
              </w:rPr>
              <w:t xml:space="preserve">MPTFs for this purpose. </w:t>
            </w:r>
            <w:r w:rsidR="00C877AE">
              <w:rPr>
                <w:rFonts w:ascii="Arial" w:hAnsi="Arial" w:cs="Arial"/>
              </w:rPr>
              <w:t xml:space="preserve">Moreover, certain donors do not allow their funds to be </w:t>
            </w:r>
            <w:r w:rsidR="00EC5EF0">
              <w:rPr>
                <w:rFonts w:ascii="Arial" w:hAnsi="Arial" w:cs="Arial"/>
              </w:rPr>
              <w:t xml:space="preserve">transferred to other entities or trust funds. </w:t>
            </w:r>
          </w:p>
          <w:p w14:paraId="1B42D8F7" w14:textId="7421262F" w:rsidR="00F171B3" w:rsidRPr="002272B6" w:rsidRDefault="00F171B3" w:rsidP="00F171B3">
            <w:pPr>
              <w:ind w:left="141"/>
              <w:rPr>
                <w:rFonts w:ascii="Arial" w:hAnsi="Arial" w:cs="Arial"/>
                <w:lang w:val="en-US"/>
              </w:rPr>
            </w:pPr>
            <w:r w:rsidRPr="008D3E98">
              <w:rPr>
                <w:rFonts w:ascii="Arial" w:eastAsia="Times New Roman" w:hAnsi="Arial" w:cs="Arial"/>
                <w:shd w:val="clear" w:color="auto" w:fill="C0D7EC" w:themeFill="accent2" w:themeFillTint="66"/>
                <w:lang w:val="en-US"/>
              </w:rPr>
              <w:t xml:space="preserve">GFP funding to field-level collaborative interventions has until recently been subject to a two-tier approval system: requests for GFP funding were reviewed and agreed by the GFP managers, but also had to go through the internal GP approval process before funding could be disbursed. There was no formal interaction between the two processes and </w:t>
            </w:r>
            <w:r w:rsidRPr="008D3E98">
              <w:rPr>
                <w:rFonts w:ascii="Arial" w:eastAsia="Times New Roman" w:hAnsi="Arial" w:cs="Arial"/>
                <w:i/>
                <w:iCs/>
                <w:shd w:val="clear" w:color="auto" w:fill="C0D7EC" w:themeFill="accent2" w:themeFillTint="66"/>
                <w:lang w:val="en-US"/>
              </w:rPr>
              <w:t>de facto</w:t>
            </w:r>
            <w:r w:rsidRPr="008D3E98">
              <w:rPr>
                <w:rFonts w:ascii="Arial" w:eastAsia="Times New Roman" w:hAnsi="Arial" w:cs="Arial"/>
                <w:shd w:val="clear" w:color="auto" w:fill="C0D7EC" w:themeFill="accent2" w:themeFillTint="66"/>
                <w:lang w:val="en-US"/>
              </w:rPr>
              <w:t xml:space="preserve"> the formal UNDP GP approval (by the Project Board) was the one relevant to allocation of funding. </w:t>
            </w:r>
            <w:r w:rsidRPr="008D3E98">
              <w:rPr>
                <w:rFonts w:ascii="Arial" w:hAnsi="Arial" w:cs="Arial"/>
                <w:shd w:val="clear" w:color="auto" w:fill="C0D7EC" w:themeFill="accent2" w:themeFillTint="66"/>
                <w:lang w:val="en-US"/>
              </w:rPr>
              <w:t>In</w:t>
            </w:r>
            <w:r w:rsidRPr="002272B6">
              <w:rPr>
                <w:rFonts w:ascii="Arial" w:hAnsi="Arial" w:cs="Arial"/>
                <w:lang w:val="en-US"/>
              </w:rPr>
              <w:t xml:space="preserve"> 2020, a parallel GFP pipeline process was established, which allows for increased input by the GFP managers in determining funding priorities. In early 2021, a more tailored proposal process was introduced: a separate supplementary form for GFP funding requests is now shared with COs and Mission staff, by UNDP and DPO respectively; proposals received by the GFP’s dedicated staff are then shared with GFP managers; and final selected proposals submitted to the GP Project Board are now clearly marked GFP. This was highlighted by relevant staff as a significant improvement over past procedures. </w:t>
            </w:r>
          </w:p>
          <w:p w14:paraId="42E443AB" w14:textId="71EC8F50" w:rsidR="00F171B3" w:rsidRDefault="00F171B3" w:rsidP="00F171B3">
            <w:pPr>
              <w:ind w:left="141"/>
              <w:rPr>
                <w:rFonts w:ascii="Arial" w:hAnsi="Arial" w:cs="Arial"/>
              </w:rPr>
            </w:pPr>
          </w:p>
        </w:tc>
      </w:tr>
    </w:tbl>
    <w:p w14:paraId="7E0AC961" w14:textId="77777777" w:rsidR="00F171B3" w:rsidRDefault="00F171B3" w:rsidP="00213541">
      <w:pPr>
        <w:spacing w:after="0" w:line="240" w:lineRule="auto"/>
        <w:rPr>
          <w:rFonts w:ascii="Arial" w:hAnsi="Arial" w:cs="Arial"/>
        </w:rPr>
      </w:pPr>
    </w:p>
    <w:p w14:paraId="4E829840" w14:textId="77777777" w:rsidR="004E5EE1" w:rsidRPr="008B74DE" w:rsidRDefault="004E5EE1" w:rsidP="00213541">
      <w:pPr>
        <w:spacing w:after="0" w:line="240" w:lineRule="auto"/>
      </w:pPr>
    </w:p>
    <w:p w14:paraId="03764543" w14:textId="0774992C" w:rsidR="000F6665" w:rsidRPr="005B2D40" w:rsidRDefault="000F6665" w:rsidP="00567956">
      <w:pPr>
        <w:pStyle w:val="ListParagraph"/>
        <w:numPr>
          <w:ilvl w:val="0"/>
          <w:numId w:val="1"/>
        </w:numPr>
        <w:rPr>
          <w:rFonts w:ascii="Arial" w:hAnsi="Arial" w:cs="Arial"/>
          <w:b/>
          <w:bCs/>
        </w:rPr>
      </w:pPr>
      <w:r w:rsidRPr="005B2D40">
        <w:rPr>
          <w:rFonts w:ascii="Arial" w:hAnsi="Arial" w:cs="Arial"/>
          <w:b/>
          <w:bCs/>
        </w:rPr>
        <w:t>M</w:t>
      </w:r>
      <w:r w:rsidR="00AD53C4" w:rsidRPr="005B2D40">
        <w:rPr>
          <w:rFonts w:ascii="Arial" w:hAnsi="Arial" w:cs="Arial"/>
          <w:b/>
          <w:bCs/>
        </w:rPr>
        <w:t>easurement</w:t>
      </w:r>
      <w:r w:rsidRPr="005B2D40">
        <w:rPr>
          <w:rFonts w:ascii="Arial" w:hAnsi="Arial" w:cs="Arial"/>
          <w:b/>
          <w:bCs/>
        </w:rPr>
        <w:t xml:space="preserve"> and </w:t>
      </w:r>
      <w:r w:rsidR="00AD53C4" w:rsidRPr="005B2D40">
        <w:rPr>
          <w:rFonts w:ascii="Arial" w:hAnsi="Arial" w:cs="Arial"/>
          <w:b/>
          <w:bCs/>
        </w:rPr>
        <w:t>R</w:t>
      </w:r>
      <w:r w:rsidRPr="005B2D40">
        <w:rPr>
          <w:rFonts w:ascii="Arial" w:hAnsi="Arial" w:cs="Arial"/>
          <w:b/>
          <w:bCs/>
        </w:rPr>
        <w:t>eporting</w:t>
      </w:r>
      <w:r w:rsidR="00AD53C4" w:rsidRPr="005B2D40">
        <w:rPr>
          <w:rFonts w:ascii="Arial" w:hAnsi="Arial" w:cs="Arial"/>
          <w:b/>
          <w:bCs/>
        </w:rPr>
        <w:t xml:space="preserve"> of Results</w:t>
      </w:r>
    </w:p>
    <w:p w14:paraId="0016E95A" w14:textId="21380166" w:rsidR="000B5BD8" w:rsidRPr="00E80114" w:rsidRDefault="00AD53C4" w:rsidP="000F47BF">
      <w:pPr>
        <w:spacing w:before="240" w:line="240" w:lineRule="auto"/>
        <w:rPr>
          <w:rFonts w:ascii="Arial" w:hAnsi="Arial" w:cs="Arial"/>
          <w:sz w:val="22"/>
          <w:szCs w:val="22"/>
        </w:rPr>
      </w:pPr>
      <w:r w:rsidRPr="00E80114">
        <w:rPr>
          <w:rFonts w:ascii="Arial" w:hAnsi="Arial" w:cs="Arial"/>
          <w:sz w:val="22"/>
          <w:szCs w:val="22"/>
        </w:rPr>
        <w:t xml:space="preserve">Given the importance of this subject and space limitations of the report, a </w:t>
      </w:r>
      <w:r w:rsidR="006A57E1" w:rsidRPr="00E80114">
        <w:rPr>
          <w:rFonts w:ascii="Arial" w:hAnsi="Arial" w:cs="Arial"/>
          <w:sz w:val="22"/>
          <w:szCs w:val="22"/>
        </w:rPr>
        <w:t>comprehensive</w:t>
      </w:r>
      <w:r w:rsidRPr="00E80114">
        <w:rPr>
          <w:rFonts w:ascii="Arial" w:hAnsi="Arial" w:cs="Arial"/>
          <w:sz w:val="22"/>
          <w:szCs w:val="22"/>
        </w:rPr>
        <w:t xml:space="preserve"> discussion of the GP’s results-based management is presented in </w:t>
      </w:r>
      <w:r w:rsidR="00B37446" w:rsidRPr="00F138AB">
        <w:rPr>
          <w:rFonts w:ascii="Arial" w:hAnsi="Arial" w:cs="Arial"/>
          <w:i/>
          <w:iCs/>
          <w:color w:val="2B579A"/>
          <w:sz w:val="22"/>
          <w:szCs w:val="22"/>
          <w:highlight w:val="yellow"/>
          <w:shd w:val="clear" w:color="auto" w:fill="E6E6E6"/>
        </w:rPr>
        <w:fldChar w:fldCharType="begin"/>
      </w:r>
      <w:r w:rsidR="00B37446" w:rsidRPr="00F138AB">
        <w:rPr>
          <w:rFonts w:ascii="Arial" w:hAnsi="Arial" w:cs="Arial"/>
          <w:i/>
          <w:iCs/>
          <w:sz w:val="22"/>
          <w:szCs w:val="22"/>
        </w:rPr>
        <w:instrText xml:space="preserve"> REF _Ref70154588 \h </w:instrText>
      </w:r>
      <w:r w:rsidR="00F138AB" w:rsidRPr="00F138AB">
        <w:rPr>
          <w:rFonts w:ascii="Arial" w:hAnsi="Arial" w:cs="Arial"/>
          <w:i/>
          <w:iCs/>
          <w:sz w:val="22"/>
          <w:szCs w:val="22"/>
          <w:highlight w:val="yellow"/>
        </w:rPr>
        <w:instrText xml:space="preserve"> \* MERGEFORMAT </w:instrText>
      </w:r>
      <w:r w:rsidR="00B37446" w:rsidRPr="00F138AB">
        <w:rPr>
          <w:rFonts w:ascii="Arial" w:hAnsi="Arial" w:cs="Arial"/>
          <w:i/>
          <w:iCs/>
          <w:color w:val="2B579A"/>
          <w:sz w:val="22"/>
          <w:szCs w:val="22"/>
          <w:highlight w:val="yellow"/>
          <w:shd w:val="clear" w:color="auto" w:fill="E6E6E6"/>
        </w:rPr>
      </w:r>
      <w:r w:rsidR="00B37446" w:rsidRPr="00F138AB">
        <w:rPr>
          <w:rFonts w:ascii="Arial" w:hAnsi="Arial" w:cs="Arial"/>
          <w:i/>
          <w:iCs/>
          <w:color w:val="2B579A"/>
          <w:sz w:val="22"/>
          <w:szCs w:val="22"/>
          <w:highlight w:val="yellow"/>
          <w:shd w:val="clear" w:color="auto" w:fill="E6E6E6"/>
        </w:rPr>
        <w:fldChar w:fldCharType="separate"/>
      </w:r>
      <w:r w:rsidR="00036841" w:rsidRPr="00036841">
        <w:rPr>
          <w:rFonts w:ascii="Arial" w:hAnsi="Arial" w:cs="Arial"/>
          <w:i/>
          <w:iCs/>
          <w:sz w:val="22"/>
          <w:szCs w:val="22"/>
          <w:lang w:val="en-US" w:eastAsia="de-DE"/>
        </w:rPr>
        <w:t>Annex 3</w:t>
      </w:r>
      <w:r w:rsidR="00036841">
        <w:rPr>
          <w:lang w:val="en-US" w:eastAsia="de-DE"/>
        </w:rPr>
        <w:t>: Analysis of Results-Based Management</w:t>
      </w:r>
      <w:r w:rsidR="00B37446" w:rsidRPr="00F138AB">
        <w:rPr>
          <w:rFonts w:ascii="Arial" w:hAnsi="Arial" w:cs="Arial"/>
          <w:i/>
          <w:iCs/>
          <w:color w:val="2B579A"/>
          <w:sz w:val="22"/>
          <w:szCs w:val="22"/>
          <w:highlight w:val="yellow"/>
          <w:shd w:val="clear" w:color="auto" w:fill="E6E6E6"/>
        </w:rPr>
        <w:fldChar w:fldCharType="end"/>
      </w:r>
      <w:r w:rsidRPr="00F138AB">
        <w:rPr>
          <w:rFonts w:ascii="Arial" w:hAnsi="Arial" w:cs="Arial"/>
          <w:i/>
          <w:iCs/>
          <w:sz w:val="22"/>
          <w:szCs w:val="22"/>
        </w:rPr>
        <w:t>,</w:t>
      </w:r>
      <w:r w:rsidRPr="00E80114">
        <w:rPr>
          <w:rFonts w:ascii="Arial" w:hAnsi="Arial" w:cs="Arial"/>
          <w:sz w:val="22"/>
          <w:szCs w:val="22"/>
        </w:rPr>
        <w:t xml:space="preserve"> specifically focusing on monitoring tools and reporting approaches and responding in </w:t>
      </w:r>
      <w:r w:rsidR="00125770" w:rsidRPr="00E80114">
        <w:rPr>
          <w:rFonts w:ascii="Arial" w:hAnsi="Arial" w:cs="Arial"/>
          <w:sz w:val="22"/>
          <w:szCs w:val="22"/>
        </w:rPr>
        <w:t>more depth</w:t>
      </w:r>
      <w:r w:rsidRPr="00E80114">
        <w:rPr>
          <w:rFonts w:ascii="Arial" w:hAnsi="Arial" w:cs="Arial"/>
          <w:sz w:val="22"/>
          <w:szCs w:val="22"/>
        </w:rPr>
        <w:t xml:space="preserve"> to several Evaluation Questions. The evaluation team has emphasized monitoring by HQ and country teams as it relates to the overarching results measurement system of the GP itself, as compared to project-</w:t>
      </w:r>
      <w:r w:rsidR="00F138AB">
        <w:rPr>
          <w:rFonts w:ascii="Arial" w:hAnsi="Arial" w:cs="Arial"/>
          <w:sz w:val="22"/>
          <w:szCs w:val="22"/>
        </w:rPr>
        <w:t>specific</w:t>
      </w:r>
      <w:r w:rsidRPr="00E80114">
        <w:rPr>
          <w:rFonts w:ascii="Arial" w:hAnsi="Arial" w:cs="Arial"/>
          <w:sz w:val="22"/>
          <w:szCs w:val="22"/>
        </w:rPr>
        <w:t xml:space="preserve"> </w:t>
      </w:r>
      <w:r w:rsidR="00512D35" w:rsidRPr="00E80114">
        <w:rPr>
          <w:rFonts w:ascii="Arial" w:hAnsi="Arial" w:cs="Arial"/>
          <w:sz w:val="22"/>
          <w:szCs w:val="22"/>
        </w:rPr>
        <w:t>monitoring and evaluation (</w:t>
      </w:r>
      <w:r w:rsidRPr="00E80114">
        <w:rPr>
          <w:rFonts w:ascii="Arial" w:hAnsi="Arial" w:cs="Arial"/>
          <w:sz w:val="22"/>
          <w:szCs w:val="22"/>
        </w:rPr>
        <w:t>M&amp;E</w:t>
      </w:r>
      <w:r w:rsidR="00512D35" w:rsidRPr="00E80114">
        <w:rPr>
          <w:rFonts w:ascii="Arial" w:hAnsi="Arial" w:cs="Arial"/>
          <w:sz w:val="22"/>
          <w:szCs w:val="22"/>
        </w:rPr>
        <w:t>)</w:t>
      </w:r>
      <w:r w:rsidRPr="00E80114">
        <w:rPr>
          <w:rFonts w:ascii="Arial" w:hAnsi="Arial" w:cs="Arial"/>
          <w:sz w:val="22"/>
          <w:szCs w:val="22"/>
        </w:rPr>
        <w:t xml:space="preserve"> and reporting by individual </w:t>
      </w:r>
      <w:r w:rsidR="00F138AB">
        <w:rPr>
          <w:rFonts w:ascii="Arial" w:hAnsi="Arial" w:cs="Arial"/>
          <w:sz w:val="22"/>
          <w:szCs w:val="22"/>
        </w:rPr>
        <w:t>CO</w:t>
      </w:r>
      <w:r w:rsidR="008D2228">
        <w:rPr>
          <w:rFonts w:ascii="Arial" w:hAnsi="Arial" w:cs="Arial"/>
          <w:sz w:val="22"/>
          <w:szCs w:val="22"/>
        </w:rPr>
        <w:t>’</w:t>
      </w:r>
      <w:r w:rsidR="00F138AB">
        <w:rPr>
          <w:rFonts w:ascii="Arial" w:hAnsi="Arial" w:cs="Arial"/>
          <w:sz w:val="22"/>
          <w:szCs w:val="22"/>
        </w:rPr>
        <w:t>s</w:t>
      </w:r>
      <w:r w:rsidRPr="00E80114">
        <w:rPr>
          <w:rFonts w:ascii="Arial" w:hAnsi="Arial" w:cs="Arial"/>
          <w:sz w:val="22"/>
          <w:szCs w:val="22"/>
        </w:rPr>
        <w:t xml:space="preserve">. The key findings and conclusions are as follows: </w:t>
      </w:r>
    </w:p>
    <w:p w14:paraId="00410476" w14:textId="0412DE84" w:rsidR="00AD53C4" w:rsidRPr="00E80114" w:rsidRDefault="00BA004A" w:rsidP="00567956">
      <w:pPr>
        <w:pStyle w:val="ListParagraph"/>
        <w:numPr>
          <w:ilvl w:val="0"/>
          <w:numId w:val="2"/>
        </w:numPr>
        <w:spacing w:before="240" w:after="240" w:line="240" w:lineRule="auto"/>
        <w:rPr>
          <w:rFonts w:ascii="Arial" w:hAnsi="Arial" w:cs="Arial"/>
          <w:sz w:val="22"/>
          <w:szCs w:val="22"/>
        </w:rPr>
      </w:pPr>
      <w:r w:rsidRPr="00E80114">
        <w:rPr>
          <w:rFonts w:ascii="Arial" w:hAnsi="Arial" w:cs="Arial"/>
          <w:sz w:val="22"/>
          <w:szCs w:val="22"/>
        </w:rPr>
        <w:t xml:space="preserve">Outcome level indicators: </w:t>
      </w:r>
      <w:r w:rsidR="00F138AB">
        <w:rPr>
          <w:rFonts w:ascii="Arial" w:hAnsi="Arial" w:cs="Arial"/>
          <w:sz w:val="22"/>
          <w:szCs w:val="22"/>
        </w:rPr>
        <w:t xml:space="preserve">the </w:t>
      </w:r>
      <w:r w:rsidRPr="00E80114">
        <w:rPr>
          <w:rFonts w:ascii="Arial" w:hAnsi="Arial" w:cs="Arial"/>
          <w:sz w:val="22"/>
          <w:szCs w:val="22"/>
        </w:rPr>
        <w:t xml:space="preserve">six indicators based on several international scoring systems have not been tracked by GP3, and in any event </w:t>
      </w:r>
      <w:r w:rsidR="00F138AB">
        <w:rPr>
          <w:rFonts w:ascii="Arial" w:hAnsi="Arial" w:cs="Arial"/>
          <w:sz w:val="22"/>
          <w:szCs w:val="22"/>
        </w:rPr>
        <w:t>would be</w:t>
      </w:r>
      <w:r w:rsidRPr="00E80114">
        <w:rPr>
          <w:rFonts w:ascii="Arial" w:hAnsi="Arial" w:cs="Arial"/>
          <w:sz w:val="22"/>
          <w:szCs w:val="22"/>
        </w:rPr>
        <w:t xml:space="preserve"> of limited utility to </w:t>
      </w:r>
      <w:r w:rsidR="004C016E" w:rsidRPr="00E80114">
        <w:rPr>
          <w:rFonts w:ascii="Arial" w:hAnsi="Arial" w:cs="Arial"/>
          <w:sz w:val="22"/>
          <w:szCs w:val="22"/>
        </w:rPr>
        <w:t xml:space="preserve">clearly </w:t>
      </w:r>
      <w:r w:rsidRPr="00E80114">
        <w:rPr>
          <w:rFonts w:ascii="Arial" w:hAnsi="Arial" w:cs="Arial"/>
          <w:sz w:val="22"/>
          <w:szCs w:val="22"/>
        </w:rPr>
        <w:t>capture Programme outcomes</w:t>
      </w:r>
      <w:r w:rsidR="00F138AB">
        <w:rPr>
          <w:rFonts w:ascii="Arial" w:hAnsi="Arial" w:cs="Arial"/>
          <w:sz w:val="22"/>
          <w:szCs w:val="22"/>
        </w:rPr>
        <w:t xml:space="preserve"> with any degree of attribution</w:t>
      </w:r>
      <w:r w:rsidR="00884E24" w:rsidRPr="00E80114">
        <w:rPr>
          <w:rFonts w:ascii="Arial" w:hAnsi="Arial" w:cs="Arial"/>
          <w:sz w:val="22"/>
          <w:szCs w:val="22"/>
        </w:rPr>
        <w:t>.</w:t>
      </w:r>
    </w:p>
    <w:p w14:paraId="3BEAC000" w14:textId="7956A0E5" w:rsidR="00BA004A" w:rsidRPr="00E80114" w:rsidRDefault="00BA004A" w:rsidP="00567956">
      <w:pPr>
        <w:pStyle w:val="ListParagraph"/>
        <w:numPr>
          <w:ilvl w:val="0"/>
          <w:numId w:val="2"/>
        </w:numPr>
        <w:spacing w:before="240" w:after="240" w:line="240" w:lineRule="auto"/>
        <w:rPr>
          <w:rFonts w:ascii="Arial" w:hAnsi="Arial" w:cs="Arial"/>
          <w:sz w:val="22"/>
          <w:szCs w:val="22"/>
        </w:rPr>
      </w:pPr>
      <w:r w:rsidRPr="00E80114">
        <w:rPr>
          <w:rFonts w:ascii="Arial" w:hAnsi="Arial" w:cs="Arial"/>
          <w:sz w:val="22"/>
          <w:szCs w:val="22"/>
        </w:rPr>
        <w:t xml:space="preserve">Output indicators: 17 indicators presently being reported on annually: eight derived from UNDP Strategic Plan, and nine specifically for GP3. </w:t>
      </w:r>
      <w:r w:rsidR="006A57E1" w:rsidRPr="00E80114">
        <w:rPr>
          <w:rFonts w:ascii="Arial" w:hAnsi="Arial" w:cs="Arial"/>
          <w:sz w:val="22"/>
          <w:szCs w:val="22"/>
        </w:rPr>
        <w:t xml:space="preserve">A year-by-year analysis of indicator targets and results is presented in </w:t>
      </w:r>
      <w:r w:rsidR="00B37446" w:rsidRPr="00F138AB">
        <w:rPr>
          <w:rFonts w:ascii="Arial" w:hAnsi="Arial" w:cs="Arial"/>
          <w:i/>
          <w:iCs/>
          <w:color w:val="2B579A"/>
          <w:sz w:val="22"/>
          <w:szCs w:val="22"/>
          <w:highlight w:val="yellow"/>
          <w:shd w:val="clear" w:color="auto" w:fill="E6E6E6"/>
        </w:rPr>
        <w:fldChar w:fldCharType="begin"/>
      </w:r>
      <w:r w:rsidR="00B37446" w:rsidRPr="00F138AB">
        <w:rPr>
          <w:rFonts w:ascii="Arial" w:hAnsi="Arial" w:cs="Arial"/>
          <w:i/>
          <w:iCs/>
          <w:sz w:val="22"/>
          <w:szCs w:val="22"/>
        </w:rPr>
        <w:instrText xml:space="preserve"> REF _Ref70154615 \h </w:instrText>
      </w:r>
      <w:r w:rsidR="00F138AB" w:rsidRPr="00F138AB">
        <w:rPr>
          <w:rFonts w:ascii="Arial" w:hAnsi="Arial" w:cs="Arial"/>
          <w:i/>
          <w:iCs/>
          <w:sz w:val="22"/>
          <w:szCs w:val="22"/>
          <w:highlight w:val="yellow"/>
        </w:rPr>
        <w:instrText xml:space="preserve"> \* MERGEFORMAT </w:instrText>
      </w:r>
      <w:r w:rsidR="00B37446" w:rsidRPr="00F138AB">
        <w:rPr>
          <w:rFonts w:ascii="Arial" w:hAnsi="Arial" w:cs="Arial"/>
          <w:i/>
          <w:iCs/>
          <w:color w:val="2B579A"/>
          <w:sz w:val="22"/>
          <w:szCs w:val="22"/>
          <w:highlight w:val="yellow"/>
          <w:shd w:val="clear" w:color="auto" w:fill="E6E6E6"/>
        </w:rPr>
      </w:r>
      <w:r w:rsidR="00B37446" w:rsidRPr="00F138AB">
        <w:rPr>
          <w:rFonts w:ascii="Arial" w:hAnsi="Arial" w:cs="Arial"/>
          <w:i/>
          <w:iCs/>
          <w:color w:val="2B579A"/>
          <w:sz w:val="22"/>
          <w:szCs w:val="22"/>
          <w:highlight w:val="yellow"/>
          <w:shd w:val="clear" w:color="auto" w:fill="E6E6E6"/>
        </w:rPr>
        <w:fldChar w:fldCharType="separate"/>
      </w:r>
      <w:r w:rsidR="00036841" w:rsidRPr="00036841">
        <w:rPr>
          <w:rFonts w:ascii="Arial" w:hAnsi="Arial" w:cs="Arial"/>
          <w:i/>
          <w:iCs/>
          <w:sz w:val="22"/>
          <w:szCs w:val="22"/>
          <w:lang w:eastAsia="de-DE"/>
        </w:rPr>
        <w:t>Annex 4: Analysis of GP Output Indicator Data 2016-19</w:t>
      </w:r>
      <w:r w:rsidR="00B37446" w:rsidRPr="00F138AB">
        <w:rPr>
          <w:rFonts w:ascii="Arial" w:hAnsi="Arial" w:cs="Arial"/>
          <w:i/>
          <w:iCs/>
          <w:color w:val="2B579A"/>
          <w:sz w:val="22"/>
          <w:szCs w:val="22"/>
          <w:highlight w:val="yellow"/>
          <w:shd w:val="clear" w:color="auto" w:fill="E6E6E6"/>
        </w:rPr>
        <w:fldChar w:fldCharType="end"/>
      </w:r>
      <w:r w:rsidR="00B37446">
        <w:rPr>
          <w:rFonts w:ascii="Arial" w:hAnsi="Arial" w:cs="Arial"/>
          <w:sz w:val="22"/>
          <w:szCs w:val="22"/>
        </w:rPr>
        <w:t xml:space="preserve">, </w:t>
      </w:r>
      <w:r w:rsidR="006A57E1" w:rsidRPr="00E80114">
        <w:rPr>
          <w:rFonts w:ascii="Arial" w:hAnsi="Arial" w:cs="Arial"/>
          <w:sz w:val="22"/>
          <w:szCs w:val="22"/>
        </w:rPr>
        <w:t xml:space="preserve">along with brief evaluator comments on each indicator. </w:t>
      </w:r>
      <w:r w:rsidRPr="00E80114">
        <w:rPr>
          <w:rFonts w:ascii="Arial" w:hAnsi="Arial" w:cs="Arial"/>
          <w:sz w:val="22"/>
          <w:szCs w:val="22"/>
        </w:rPr>
        <w:t xml:space="preserve">Although a general positive trend across indicators was reported, the following issues undermine the usefulness of this data </w:t>
      </w:r>
      <w:r w:rsidR="00884E24" w:rsidRPr="00E80114">
        <w:rPr>
          <w:rFonts w:ascii="Arial" w:hAnsi="Arial" w:cs="Arial"/>
          <w:sz w:val="22"/>
          <w:szCs w:val="22"/>
        </w:rPr>
        <w:t>in</w:t>
      </w:r>
      <w:r w:rsidRPr="00E80114">
        <w:rPr>
          <w:rFonts w:ascii="Arial" w:hAnsi="Arial" w:cs="Arial"/>
          <w:sz w:val="22"/>
          <w:szCs w:val="22"/>
        </w:rPr>
        <w:t xml:space="preserve"> understanding GP3 results</w:t>
      </w:r>
      <w:r w:rsidR="00884E24" w:rsidRPr="00E80114">
        <w:rPr>
          <w:rFonts w:ascii="Arial" w:hAnsi="Arial" w:cs="Arial"/>
          <w:sz w:val="22"/>
          <w:szCs w:val="22"/>
        </w:rPr>
        <w:t xml:space="preserve"> and measuring change over time</w:t>
      </w:r>
      <w:r w:rsidRPr="00E80114">
        <w:rPr>
          <w:rFonts w:ascii="Arial" w:hAnsi="Arial" w:cs="Arial"/>
          <w:sz w:val="22"/>
          <w:szCs w:val="22"/>
        </w:rPr>
        <w:t>:</w:t>
      </w:r>
    </w:p>
    <w:p w14:paraId="34903B5D" w14:textId="62A88063" w:rsidR="00BA004A" w:rsidRPr="00E80114" w:rsidRDefault="00BA004A" w:rsidP="00114CA0">
      <w:pPr>
        <w:pStyle w:val="ListParagraph"/>
        <w:numPr>
          <w:ilvl w:val="1"/>
          <w:numId w:val="52"/>
        </w:numPr>
        <w:spacing w:before="240" w:after="240" w:line="240" w:lineRule="auto"/>
        <w:ind w:left="1134" w:hanging="306"/>
        <w:rPr>
          <w:rFonts w:ascii="Arial" w:hAnsi="Arial" w:cs="Arial"/>
          <w:sz w:val="22"/>
          <w:szCs w:val="22"/>
        </w:rPr>
      </w:pPr>
      <w:r w:rsidRPr="00E80114">
        <w:rPr>
          <w:rFonts w:ascii="Arial" w:hAnsi="Arial" w:cs="Arial"/>
          <w:sz w:val="22"/>
          <w:szCs w:val="22"/>
        </w:rPr>
        <w:t xml:space="preserve">only countries on the GP priority list defined in 2015 are tracked, </w:t>
      </w:r>
      <w:r w:rsidR="00F138AB">
        <w:rPr>
          <w:rFonts w:ascii="Arial" w:hAnsi="Arial" w:cs="Arial"/>
          <w:sz w:val="22"/>
          <w:szCs w:val="22"/>
        </w:rPr>
        <w:t>but</w:t>
      </w:r>
      <w:r w:rsidRPr="00E80114">
        <w:rPr>
          <w:rFonts w:ascii="Arial" w:hAnsi="Arial" w:cs="Arial"/>
          <w:sz w:val="22"/>
          <w:szCs w:val="22"/>
        </w:rPr>
        <w:t xml:space="preserve"> those countries account for </w:t>
      </w:r>
      <w:r w:rsidRPr="00F138AB">
        <w:rPr>
          <w:rFonts w:ascii="Arial" w:hAnsi="Arial" w:cs="Arial"/>
          <w:sz w:val="22"/>
          <w:szCs w:val="22"/>
        </w:rPr>
        <w:t xml:space="preserve">only </w:t>
      </w:r>
      <w:r w:rsidR="00F138AB">
        <w:rPr>
          <w:rFonts w:ascii="Arial" w:hAnsi="Arial" w:cs="Arial"/>
          <w:sz w:val="22"/>
          <w:szCs w:val="22"/>
        </w:rPr>
        <w:t>about two-thirds</w:t>
      </w:r>
      <w:r w:rsidRPr="00E80114">
        <w:rPr>
          <w:rFonts w:ascii="Arial" w:hAnsi="Arial" w:cs="Arial"/>
          <w:sz w:val="22"/>
          <w:szCs w:val="22"/>
        </w:rPr>
        <w:t xml:space="preserve"> of </w:t>
      </w:r>
      <w:r w:rsidR="004E5EE1" w:rsidRPr="00E80114">
        <w:rPr>
          <w:rFonts w:ascii="Arial" w:hAnsi="Arial" w:cs="Arial"/>
          <w:sz w:val="22"/>
          <w:szCs w:val="22"/>
        </w:rPr>
        <w:t>total funding allocated by GP from</w:t>
      </w:r>
      <w:r w:rsidRPr="00E80114">
        <w:rPr>
          <w:rFonts w:ascii="Arial" w:hAnsi="Arial" w:cs="Arial"/>
          <w:sz w:val="22"/>
          <w:szCs w:val="22"/>
        </w:rPr>
        <w:t xml:space="preserve"> 2017</w:t>
      </w:r>
      <w:r w:rsidR="004E5EE1" w:rsidRPr="00E80114">
        <w:rPr>
          <w:rFonts w:ascii="Arial" w:hAnsi="Arial" w:cs="Arial"/>
          <w:sz w:val="22"/>
          <w:szCs w:val="22"/>
        </w:rPr>
        <w:t xml:space="preserve"> to 2019</w:t>
      </w:r>
      <w:r w:rsidR="00884E24" w:rsidRPr="00E80114">
        <w:rPr>
          <w:rFonts w:ascii="Arial" w:hAnsi="Arial" w:cs="Arial"/>
          <w:sz w:val="22"/>
          <w:szCs w:val="22"/>
        </w:rPr>
        <w:t>;</w:t>
      </w:r>
    </w:p>
    <w:p w14:paraId="7FA24266" w14:textId="3F353AE8" w:rsidR="00BA004A" w:rsidRPr="00E80114" w:rsidRDefault="00BA004A" w:rsidP="00114CA0">
      <w:pPr>
        <w:pStyle w:val="ListParagraph"/>
        <w:numPr>
          <w:ilvl w:val="1"/>
          <w:numId w:val="52"/>
        </w:numPr>
        <w:spacing w:before="240" w:after="240" w:line="240" w:lineRule="auto"/>
        <w:ind w:left="1134" w:hanging="306"/>
        <w:rPr>
          <w:rFonts w:ascii="Arial" w:hAnsi="Arial" w:cs="Arial"/>
          <w:sz w:val="22"/>
          <w:szCs w:val="22"/>
        </w:rPr>
      </w:pPr>
      <w:r w:rsidRPr="00E80114">
        <w:rPr>
          <w:rFonts w:ascii="Arial" w:hAnsi="Arial" w:cs="Arial"/>
          <w:sz w:val="22"/>
          <w:szCs w:val="22"/>
        </w:rPr>
        <w:t>although Strategic Plan indicators are explained in detail via methodological notes, no written definitions or explanations were found to guide measurement of GP-specific indicators</w:t>
      </w:r>
      <w:r w:rsidR="00884E24" w:rsidRPr="00E80114">
        <w:rPr>
          <w:rFonts w:ascii="Arial" w:hAnsi="Arial" w:cs="Arial"/>
          <w:sz w:val="22"/>
          <w:szCs w:val="22"/>
        </w:rPr>
        <w:t>, which could therefore be interpreted in different ways by those responsible for reporting;</w:t>
      </w:r>
    </w:p>
    <w:p w14:paraId="3753981A" w14:textId="75522E27" w:rsidR="00884E24" w:rsidRPr="00E80114" w:rsidRDefault="00BA004A" w:rsidP="00114CA0">
      <w:pPr>
        <w:pStyle w:val="ListParagraph"/>
        <w:numPr>
          <w:ilvl w:val="1"/>
          <w:numId w:val="52"/>
        </w:numPr>
        <w:spacing w:before="240" w:after="240" w:line="240" w:lineRule="auto"/>
        <w:ind w:left="1134" w:hanging="306"/>
        <w:rPr>
          <w:rFonts w:ascii="Arial" w:hAnsi="Arial" w:cs="Arial"/>
          <w:sz w:val="22"/>
          <w:szCs w:val="22"/>
        </w:rPr>
      </w:pPr>
      <w:r w:rsidRPr="00E80114">
        <w:rPr>
          <w:rFonts w:ascii="Arial" w:hAnsi="Arial" w:cs="Arial"/>
          <w:sz w:val="22"/>
          <w:szCs w:val="22"/>
        </w:rPr>
        <w:t xml:space="preserve">it is not clear whether </w:t>
      </w:r>
      <w:r w:rsidR="00125770" w:rsidRPr="00E80114">
        <w:rPr>
          <w:rFonts w:ascii="Arial" w:hAnsi="Arial" w:cs="Arial"/>
          <w:sz w:val="22"/>
          <w:szCs w:val="22"/>
        </w:rPr>
        <w:t xml:space="preserve">and to what extent </w:t>
      </w:r>
      <w:r w:rsidRPr="00E80114">
        <w:rPr>
          <w:rFonts w:ascii="Arial" w:hAnsi="Arial" w:cs="Arial"/>
          <w:sz w:val="22"/>
          <w:szCs w:val="22"/>
        </w:rPr>
        <w:t>reporting countries are taking into account UNDP</w:t>
      </w:r>
      <w:r w:rsidR="00125770" w:rsidRPr="00E80114">
        <w:rPr>
          <w:rFonts w:ascii="Arial" w:hAnsi="Arial" w:cs="Arial"/>
          <w:sz w:val="22"/>
          <w:szCs w:val="22"/>
        </w:rPr>
        <w:t xml:space="preserve">’s </w:t>
      </w:r>
      <w:r w:rsidRPr="00E80114">
        <w:rPr>
          <w:rFonts w:ascii="Arial" w:hAnsi="Arial" w:cs="Arial"/>
          <w:sz w:val="22"/>
          <w:szCs w:val="22"/>
        </w:rPr>
        <w:t xml:space="preserve">contribution to </w:t>
      </w:r>
      <w:r w:rsidR="00884E24" w:rsidRPr="00E80114">
        <w:rPr>
          <w:rFonts w:ascii="Arial" w:hAnsi="Arial" w:cs="Arial"/>
          <w:sz w:val="22"/>
          <w:szCs w:val="22"/>
        </w:rPr>
        <w:t>the indicator</w:t>
      </w:r>
      <w:r w:rsidR="00125770" w:rsidRPr="00E80114">
        <w:rPr>
          <w:rFonts w:ascii="Arial" w:hAnsi="Arial" w:cs="Arial"/>
          <w:sz w:val="22"/>
          <w:szCs w:val="22"/>
        </w:rPr>
        <w:t xml:space="preserve"> data</w:t>
      </w:r>
      <w:r w:rsidR="00884E24" w:rsidRPr="00E80114">
        <w:rPr>
          <w:rFonts w:ascii="Arial" w:hAnsi="Arial" w:cs="Arial"/>
          <w:sz w:val="22"/>
          <w:szCs w:val="22"/>
        </w:rPr>
        <w:t xml:space="preserve">, and </w:t>
      </w:r>
      <w:r w:rsidR="00125770" w:rsidRPr="00E80114">
        <w:rPr>
          <w:rFonts w:ascii="Arial" w:hAnsi="Arial" w:cs="Arial"/>
          <w:sz w:val="22"/>
          <w:szCs w:val="22"/>
        </w:rPr>
        <w:t xml:space="preserve">how UNDP’s non-GP support can be distinguished from </w:t>
      </w:r>
      <w:r w:rsidR="00884E24" w:rsidRPr="00E80114">
        <w:rPr>
          <w:rFonts w:ascii="Arial" w:hAnsi="Arial" w:cs="Arial"/>
          <w:sz w:val="22"/>
          <w:szCs w:val="22"/>
        </w:rPr>
        <w:t>GP support;</w:t>
      </w:r>
    </w:p>
    <w:p w14:paraId="33A84D05" w14:textId="47AA8872" w:rsidR="00884E24" w:rsidRPr="00E80114" w:rsidRDefault="00884E24" w:rsidP="00114CA0">
      <w:pPr>
        <w:pStyle w:val="ListParagraph"/>
        <w:numPr>
          <w:ilvl w:val="1"/>
          <w:numId w:val="52"/>
        </w:numPr>
        <w:spacing w:before="240" w:after="240" w:line="240" w:lineRule="auto"/>
        <w:ind w:left="1134" w:hanging="306"/>
        <w:rPr>
          <w:rFonts w:ascii="Arial" w:hAnsi="Arial" w:cs="Arial"/>
          <w:sz w:val="22"/>
          <w:szCs w:val="22"/>
        </w:rPr>
      </w:pPr>
      <w:r w:rsidRPr="00E80114">
        <w:rPr>
          <w:rFonts w:ascii="Arial" w:hAnsi="Arial" w:cs="Arial"/>
          <w:sz w:val="22"/>
          <w:szCs w:val="22"/>
        </w:rPr>
        <w:t>many examples were found of targets for individual indicators being set significantly below the previous year’s actual achievement</w:t>
      </w:r>
      <w:r w:rsidR="000F47BF" w:rsidRPr="00E80114">
        <w:rPr>
          <w:rFonts w:ascii="Arial" w:hAnsi="Arial" w:cs="Arial"/>
          <w:sz w:val="22"/>
          <w:szCs w:val="22"/>
        </w:rPr>
        <w:t>.</w:t>
      </w:r>
    </w:p>
    <w:p w14:paraId="14A5C517" w14:textId="600B7923" w:rsidR="00884E24" w:rsidRPr="00E80114" w:rsidRDefault="00884E24" w:rsidP="000F47BF">
      <w:pPr>
        <w:spacing w:before="240" w:after="240" w:line="240" w:lineRule="auto"/>
        <w:rPr>
          <w:rFonts w:ascii="Arial" w:eastAsia="Times New Roman" w:hAnsi="Arial" w:cs="Arial"/>
          <w:sz w:val="22"/>
          <w:szCs w:val="22"/>
        </w:rPr>
      </w:pPr>
      <w:r w:rsidRPr="00E80114">
        <w:rPr>
          <w:rFonts w:ascii="Arial" w:hAnsi="Arial" w:cs="Arial"/>
          <w:sz w:val="22"/>
          <w:szCs w:val="22"/>
        </w:rPr>
        <w:t xml:space="preserve">As a </w:t>
      </w:r>
      <w:r w:rsidR="00F138AB" w:rsidRPr="00E80114">
        <w:rPr>
          <w:rFonts w:ascii="Arial" w:hAnsi="Arial" w:cs="Arial"/>
          <w:sz w:val="22"/>
          <w:szCs w:val="22"/>
        </w:rPr>
        <w:t xml:space="preserve">combined </w:t>
      </w:r>
      <w:r w:rsidRPr="00E80114">
        <w:rPr>
          <w:rFonts w:ascii="Arial" w:hAnsi="Arial" w:cs="Arial"/>
          <w:sz w:val="22"/>
          <w:szCs w:val="22"/>
        </w:rPr>
        <w:t xml:space="preserve">result of these challenges, </w:t>
      </w:r>
      <w:r w:rsidRPr="00E80114">
        <w:rPr>
          <w:rFonts w:ascii="Arial" w:eastAsia="Times New Roman" w:hAnsi="Arial" w:cs="Arial"/>
          <w:sz w:val="22"/>
          <w:szCs w:val="22"/>
        </w:rPr>
        <w:t xml:space="preserve">the evaluators have serious concerns about the quality, consistency and reliability of the indicator data, and more broadly the utilization of the results framework as a tool for </w:t>
      </w:r>
      <w:r w:rsidR="00F138AB">
        <w:rPr>
          <w:rFonts w:ascii="Arial" w:eastAsia="Times New Roman" w:hAnsi="Arial" w:cs="Arial"/>
          <w:sz w:val="22"/>
          <w:szCs w:val="22"/>
        </w:rPr>
        <w:t>GP3</w:t>
      </w:r>
      <w:r w:rsidRPr="00E80114">
        <w:rPr>
          <w:rFonts w:ascii="Arial" w:eastAsia="Times New Roman" w:hAnsi="Arial" w:cs="Arial"/>
          <w:sz w:val="22"/>
          <w:szCs w:val="22"/>
        </w:rPr>
        <w:t xml:space="preserve"> management and reporting. </w:t>
      </w:r>
      <w:r w:rsidR="00F138AB">
        <w:rPr>
          <w:rFonts w:ascii="Arial" w:eastAsia="Times New Roman" w:hAnsi="Arial" w:cs="Arial"/>
          <w:sz w:val="22"/>
          <w:szCs w:val="22"/>
        </w:rPr>
        <w:t xml:space="preserve">These concerns were shared by various informants </w:t>
      </w:r>
      <w:r w:rsidR="00FA120B">
        <w:rPr>
          <w:rFonts w:ascii="Arial" w:eastAsia="Times New Roman" w:hAnsi="Arial" w:cs="Arial"/>
          <w:sz w:val="22"/>
          <w:szCs w:val="22"/>
        </w:rPr>
        <w:t>in</w:t>
      </w:r>
      <w:r w:rsidR="00F138AB">
        <w:rPr>
          <w:rFonts w:ascii="Arial" w:eastAsia="Times New Roman" w:hAnsi="Arial" w:cs="Arial"/>
          <w:sz w:val="22"/>
          <w:szCs w:val="22"/>
        </w:rPr>
        <w:t xml:space="preserve"> the ROLSHR team and COs. </w:t>
      </w:r>
    </w:p>
    <w:p w14:paraId="57355B87" w14:textId="5710F3B0" w:rsidR="00532707" w:rsidRPr="00E80114" w:rsidRDefault="00114CA0" w:rsidP="006F770A">
      <w:pPr>
        <w:ind w:left="567" w:right="571"/>
        <w:jc w:val="center"/>
        <w:rPr>
          <w:rFonts w:ascii="Arial" w:eastAsia="Times New Roman" w:hAnsi="Arial" w:cs="Arial"/>
          <w:color w:val="4A66AC" w:themeColor="accent1"/>
          <w:sz w:val="22"/>
          <w:szCs w:val="22"/>
        </w:rPr>
      </w:pPr>
      <w:r>
        <w:rPr>
          <w:rFonts w:ascii="Arial" w:hAnsi="Arial" w:cs="Arial"/>
          <w:i/>
          <w:iCs/>
          <w:color w:val="4A66AC" w:themeColor="accent1"/>
          <w:sz w:val="22"/>
          <w:szCs w:val="22"/>
        </w:rPr>
        <w:t>“</w:t>
      </w:r>
      <w:r w:rsidR="00532707" w:rsidRPr="00E80114">
        <w:rPr>
          <w:rFonts w:ascii="Arial" w:hAnsi="Arial" w:cs="Arial"/>
          <w:i/>
          <w:iCs/>
          <w:color w:val="4A66AC" w:themeColor="accent1"/>
          <w:sz w:val="22"/>
          <w:szCs w:val="22"/>
        </w:rPr>
        <w:t>If we know ROL reform is complicated and linked to power and hard to predict, why write indicators that do not tell us anything? Why count institutions?</w:t>
      </w:r>
      <w:r>
        <w:rPr>
          <w:rFonts w:ascii="Arial" w:hAnsi="Arial" w:cs="Arial"/>
          <w:i/>
          <w:iCs/>
          <w:color w:val="4A66AC" w:themeColor="accent1"/>
          <w:sz w:val="22"/>
          <w:szCs w:val="22"/>
        </w:rPr>
        <w:t xml:space="preserve">” ~ </w:t>
      </w:r>
      <w:r w:rsidRPr="00E80114">
        <w:rPr>
          <w:rFonts w:ascii="Arial" w:hAnsi="Arial" w:cs="Arial"/>
          <w:color w:val="4A66AC" w:themeColor="accent1"/>
          <w:sz w:val="22"/>
          <w:szCs w:val="22"/>
        </w:rPr>
        <w:t>ROLSHR team member</w:t>
      </w:r>
    </w:p>
    <w:p w14:paraId="7482B4D2" w14:textId="19F6BBD5" w:rsidR="00193C3F" w:rsidRPr="00E80114" w:rsidRDefault="00114CA0" w:rsidP="006F770A">
      <w:pPr>
        <w:ind w:left="567" w:right="571"/>
        <w:jc w:val="center"/>
        <w:rPr>
          <w:rFonts w:ascii="Arial" w:hAnsi="Arial" w:cs="Arial"/>
          <w:i/>
          <w:iCs/>
          <w:color w:val="4A66AC" w:themeColor="accent1"/>
          <w:sz w:val="22"/>
          <w:szCs w:val="22"/>
          <w:lang w:eastAsia="de-DE"/>
        </w:rPr>
      </w:pPr>
      <w:r>
        <w:rPr>
          <w:rFonts w:ascii="Arial" w:eastAsia="Times New Roman" w:hAnsi="Arial" w:cs="Arial"/>
          <w:i/>
          <w:iCs/>
          <w:color w:val="4A66AC" w:themeColor="accent1"/>
          <w:sz w:val="22"/>
          <w:szCs w:val="22"/>
        </w:rPr>
        <w:t>“</w:t>
      </w:r>
      <w:r w:rsidR="00193C3F" w:rsidRPr="00E80114">
        <w:rPr>
          <w:rFonts w:ascii="Arial" w:eastAsia="Times New Roman" w:hAnsi="Arial" w:cs="Arial"/>
          <w:i/>
          <w:iCs/>
          <w:color w:val="4A66AC" w:themeColor="accent1"/>
          <w:sz w:val="22"/>
          <w:szCs w:val="22"/>
        </w:rPr>
        <w:t>We try to use existing Country Office reporting and Focal Points to put the pieces together rather than demand in-depth reports. A better balance could be struck – to invest in CO capacity is something we can give them in exchange for the extra work.</w:t>
      </w:r>
      <w:r>
        <w:rPr>
          <w:rFonts w:ascii="Arial" w:eastAsia="Times New Roman" w:hAnsi="Arial" w:cs="Arial"/>
          <w:i/>
          <w:iCs/>
          <w:color w:val="4A66AC" w:themeColor="accent1"/>
          <w:sz w:val="22"/>
          <w:szCs w:val="22"/>
        </w:rPr>
        <w:t xml:space="preserve">” ~ </w:t>
      </w:r>
      <w:r w:rsidRPr="00E80114">
        <w:rPr>
          <w:rFonts w:ascii="Arial" w:eastAsia="Times New Roman" w:hAnsi="Arial" w:cs="Arial"/>
          <w:color w:val="4A66AC" w:themeColor="accent1"/>
          <w:sz w:val="22"/>
          <w:szCs w:val="22"/>
        </w:rPr>
        <w:t>ROLSHR team member</w:t>
      </w:r>
    </w:p>
    <w:p w14:paraId="66A2C3B6" w14:textId="00390EDD" w:rsidR="00B36261" w:rsidRPr="00E80114" w:rsidRDefault="00884E24" w:rsidP="000F47BF">
      <w:pPr>
        <w:spacing w:before="240" w:line="240" w:lineRule="auto"/>
        <w:rPr>
          <w:rFonts w:ascii="Arial" w:eastAsia="Times New Roman" w:hAnsi="Arial" w:cs="Arial"/>
          <w:sz w:val="22"/>
          <w:szCs w:val="22"/>
        </w:rPr>
      </w:pPr>
      <w:r w:rsidRPr="00E80114">
        <w:rPr>
          <w:rFonts w:ascii="Arial" w:hAnsi="Arial" w:cs="Arial"/>
          <w:sz w:val="22"/>
          <w:szCs w:val="22"/>
        </w:rPr>
        <w:t xml:space="preserve">Looking </w:t>
      </w:r>
      <w:r w:rsidR="00ED552F" w:rsidRPr="00E80114">
        <w:rPr>
          <w:rFonts w:ascii="Arial" w:hAnsi="Arial" w:cs="Arial"/>
          <w:sz w:val="22"/>
          <w:szCs w:val="22"/>
        </w:rPr>
        <w:t>at GP reporting more generally</w:t>
      </w:r>
      <w:r w:rsidRPr="00E80114">
        <w:rPr>
          <w:rFonts w:ascii="Arial" w:hAnsi="Arial" w:cs="Arial"/>
          <w:sz w:val="22"/>
          <w:szCs w:val="22"/>
        </w:rPr>
        <w:t>,</w:t>
      </w:r>
      <w:r w:rsidR="00ED552F" w:rsidRPr="00E80114">
        <w:rPr>
          <w:rFonts w:ascii="Arial" w:hAnsi="Arial" w:cs="Arial"/>
          <w:sz w:val="22"/>
          <w:szCs w:val="22"/>
        </w:rPr>
        <w:t xml:space="preserve"> the </w:t>
      </w:r>
      <w:r w:rsidRPr="00E80114">
        <w:rPr>
          <w:rFonts w:ascii="Arial" w:eastAsia="Times New Roman" w:hAnsi="Arial" w:cs="Arial"/>
          <w:sz w:val="22"/>
          <w:szCs w:val="22"/>
        </w:rPr>
        <w:t xml:space="preserve">annual reports </w:t>
      </w:r>
      <w:r w:rsidR="00B36261" w:rsidRPr="00E80114">
        <w:rPr>
          <w:rFonts w:ascii="Arial" w:eastAsia="Times New Roman" w:hAnsi="Arial" w:cs="Arial"/>
          <w:sz w:val="22"/>
          <w:szCs w:val="22"/>
        </w:rPr>
        <w:t>are the Programme’s</w:t>
      </w:r>
      <w:r w:rsidRPr="00E80114">
        <w:rPr>
          <w:rFonts w:ascii="Arial" w:eastAsia="Times New Roman" w:hAnsi="Arial" w:cs="Arial"/>
          <w:sz w:val="22"/>
          <w:szCs w:val="22"/>
        </w:rPr>
        <w:t xml:space="preserve"> primary vehicle for sharing information about its activities, initiatives, funding and results. These are publicly available and directed primarily at external audiences</w:t>
      </w:r>
      <w:r w:rsidR="00B36261" w:rsidRPr="00E80114">
        <w:rPr>
          <w:rFonts w:ascii="Arial" w:eastAsia="Times New Roman" w:hAnsi="Arial" w:cs="Arial"/>
          <w:sz w:val="22"/>
          <w:szCs w:val="22"/>
        </w:rPr>
        <w:t>, though UNDP staff also use them as a key source of information. The reports contain an impressive range of information about disparate interventions around the world, largely sourced from GP-supported country offices. While useful to understand the breadth and depth of</w:t>
      </w:r>
      <w:r w:rsidR="004C016E" w:rsidRPr="00E80114">
        <w:rPr>
          <w:rFonts w:ascii="Arial" w:eastAsia="Times New Roman" w:hAnsi="Arial" w:cs="Arial"/>
          <w:sz w:val="22"/>
          <w:szCs w:val="22"/>
        </w:rPr>
        <w:t xml:space="preserve"> overall UNDP ROLSHR-related</w:t>
      </w:r>
      <w:r w:rsidR="00B36261" w:rsidRPr="00E80114">
        <w:rPr>
          <w:rFonts w:ascii="Arial" w:eastAsia="Times New Roman" w:hAnsi="Arial" w:cs="Arial"/>
          <w:sz w:val="22"/>
          <w:szCs w:val="22"/>
        </w:rPr>
        <w:t xml:space="preserve"> programming, the reports </w:t>
      </w:r>
      <w:r w:rsidR="00983B52" w:rsidRPr="00E80114">
        <w:rPr>
          <w:rFonts w:ascii="Arial" w:hAnsi="Arial" w:cs="Arial"/>
          <w:sz w:val="22"/>
          <w:szCs w:val="22"/>
        </w:rPr>
        <w:t xml:space="preserve">do not </w:t>
      </w:r>
      <w:r w:rsidR="00B36261" w:rsidRPr="00E80114">
        <w:rPr>
          <w:rFonts w:ascii="Arial" w:hAnsi="Arial" w:cs="Arial"/>
          <w:sz w:val="22"/>
          <w:szCs w:val="22"/>
        </w:rPr>
        <w:t xml:space="preserve">clearly </w:t>
      </w:r>
      <w:r w:rsidR="00983B52" w:rsidRPr="00E80114">
        <w:rPr>
          <w:rFonts w:ascii="Arial" w:hAnsi="Arial" w:cs="Arial"/>
          <w:sz w:val="22"/>
          <w:szCs w:val="22"/>
        </w:rPr>
        <w:t>differentiate GP</w:t>
      </w:r>
      <w:r w:rsidR="00B36261" w:rsidRPr="00E80114">
        <w:rPr>
          <w:rFonts w:ascii="Arial" w:hAnsi="Arial" w:cs="Arial"/>
          <w:sz w:val="22"/>
          <w:szCs w:val="22"/>
        </w:rPr>
        <w:t>-supported activities and outcomes</w:t>
      </w:r>
      <w:r w:rsidR="00983B52" w:rsidRPr="00E80114">
        <w:rPr>
          <w:rFonts w:ascii="Arial" w:hAnsi="Arial" w:cs="Arial"/>
          <w:sz w:val="22"/>
          <w:szCs w:val="22"/>
        </w:rPr>
        <w:t xml:space="preserve"> from </w:t>
      </w:r>
      <w:r w:rsidR="00B36261" w:rsidRPr="00E80114">
        <w:rPr>
          <w:rFonts w:ascii="Arial" w:hAnsi="Arial" w:cs="Arial"/>
          <w:sz w:val="22"/>
          <w:szCs w:val="22"/>
        </w:rPr>
        <w:t xml:space="preserve">other </w:t>
      </w:r>
      <w:r w:rsidR="00983B52" w:rsidRPr="00E80114">
        <w:rPr>
          <w:rFonts w:ascii="Arial" w:hAnsi="Arial" w:cs="Arial"/>
          <w:sz w:val="22"/>
          <w:szCs w:val="22"/>
        </w:rPr>
        <w:t>UNDP</w:t>
      </w:r>
      <w:r w:rsidR="00B36261" w:rsidRPr="00E80114">
        <w:rPr>
          <w:rFonts w:ascii="Arial" w:hAnsi="Arial" w:cs="Arial"/>
          <w:sz w:val="22"/>
          <w:szCs w:val="22"/>
        </w:rPr>
        <w:t xml:space="preserve"> efforts</w:t>
      </w:r>
      <w:r w:rsidR="00983B52" w:rsidRPr="00E80114">
        <w:rPr>
          <w:rFonts w:ascii="Arial" w:hAnsi="Arial" w:cs="Arial"/>
          <w:sz w:val="22"/>
          <w:szCs w:val="22"/>
        </w:rPr>
        <w:t xml:space="preserve">, </w:t>
      </w:r>
      <w:r w:rsidR="00B36261" w:rsidRPr="00E80114">
        <w:rPr>
          <w:rFonts w:ascii="Arial" w:hAnsi="Arial" w:cs="Arial"/>
          <w:sz w:val="22"/>
          <w:szCs w:val="22"/>
        </w:rPr>
        <w:t>which makes it difficult to trace what</w:t>
      </w:r>
      <w:r w:rsidR="00983B52" w:rsidRPr="00E80114">
        <w:rPr>
          <w:rFonts w:ascii="Arial" w:hAnsi="Arial" w:cs="Arial"/>
          <w:sz w:val="22"/>
          <w:szCs w:val="22"/>
        </w:rPr>
        <w:t xml:space="preserve"> contribution </w:t>
      </w:r>
      <w:r w:rsidR="00B36261" w:rsidRPr="00E80114">
        <w:rPr>
          <w:rFonts w:ascii="Arial" w:hAnsi="Arial" w:cs="Arial"/>
          <w:sz w:val="22"/>
          <w:szCs w:val="22"/>
        </w:rPr>
        <w:t xml:space="preserve">has been </w:t>
      </w:r>
      <w:r w:rsidR="00983B52" w:rsidRPr="00E80114">
        <w:rPr>
          <w:rFonts w:ascii="Arial" w:hAnsi="Arial" w:cs="Arial"/>
          <w:sz w:val="22"/>
          <w:szCs w:val="22"/>
        </w:rPr>
        <w:t>made by GP</w:t>
      </w:r>
      <w:r w:rsidR="00B36261" w:rsidRPr="00E80114">
        <w:rPr>
          <w:rFonts w:ascii="Arial" w:hAnsi="Arial" w:cs="Arial"/>
          <w:sz w:val="22"/>
          <w:szCs w:val="22"/>
        </w:rPr>
        <w:t>,</w:t>
      </w:r>
      <w:r w:rsidR="00983B52" w:rsidRPr="00E80114">
        <w:rPr>
          <w:rFonts w:ascii="Arial" w:hAnsi="Arial" w:cs="Arial"/>
          <w:sz w:val="22"/>
          <w:szCs w:val="22"/>
        </w:rPr>
        <w:t xml:space="preserve"> </w:t>
      </w:r>
      <w:r w:rsidR="00B36261" w:rsidRPr="00E80114">
        <w:rPr>
          <w:rFonts w:ascii="Arial" w:hAnsi="Arial" w:cs="Arial"/>
          <w:sz w:val="22"/>
          <w:szCs w:val="22"/>
        </w:rPr>
        <w:t>via</w:t>
      </w:r>
      <w:r w:rsidR="00983B52" w:rsidRPr="00E80114">
        <w:rPr>
          <w:rFonts w:ascii="Arial" w:hAnsi="Arial" w:cs="Arial"/>
          <w:sz w:val="22"/>
          <w:szCs w:val="22"/>
        </w:rPr>
        <w:t xml:space="preserve"> funding</w:t>
      </w:r>
      <w:r w:rsidR="00B36261" w:rsidRPr="00E80114">
        <w:rPr>
          <w:rFonts w:ascii="Arial" w:hAnsi="Arial" w:cs="Arial"/>
          <w:sz w:val="22"/>
          <w:szCs w:val="22"/>
        </w:rPr>
        <w:t>,</w:t>
      </w:r>
      <w:r w:rsidR="00983B52" w:rsidRPr="00E80114">
        <w:rPr>
          <w:rFonts w:ascii="Arial" w:hAnsi="Arial" w:cs="Arial"/>
          <w:sz w:val="22"/>
          <w:szCs w:val="22"/>
        </w:rPr>
        <w:t xml:space="preserve"> </w:t>
      </w:r>
      <w:r w:rsidR="00B36261" w:rsidRPr="00E80114">
        <w:rPr>
          <w:rFonts w:ascii="Arial" w:hAnsi="Arial" w:cs="Arial"/>
          <w:sz w:val="22"/>
          <w:szCs w:val="22"/>
        </w:rPr>
        <w:t>technical assistance or other inputs</w:t>
      </w:r>
      <w:r w:rsidR="00983B52" w:rsidRPr="00E80114">
        <w:rPr>
          <w:rFonts w:ascii="Arial" w:hAnsi="Arial" w:cs="Arial"/>
          <w:sz w:val="22"/>
          <w:szCs w:val="22"/>
        </w:rPr>
        <w:t xml:space="preserve">. </w:t>
      </w:r>
      <w:r w:rsidR="00B36261" w:rsidRPr="00E80114">
        <w:rPr>
          <w:rFonts w:ascii="Arial" w:eastAsia="Times New Roman" w:hAnsi="Arial" w:cs="Arial"/>
          <w:sz w:val="22"/>
          <w:szCs w:val="22"/>
        </w:rPr>
        <w:t xml:space="preserve">Together with the indicator monitoring challenges, this lack of “traceability” led some informants to express doubts about the quality of the results-based management processes and information products that are meant to ensure the GP’s accountability. </w:t>
      </w:r>
    </w:p>
    <w:p w14:paraId="503DF87B" w14:textId="12BE345F" w:rsidR="007D6E76" w:rsidRPr="00E80114" w:rsidRDefault="00114CA0" w:rsidP="006F770A">
      <w:pPr>
        <w:spacing w:before="240" w:after="240"/>
        <w:ind w:left="567" w:right="571"/>
        <w:jc w:val="center"/>
        <w:rPr>
          <w:rFonts w:ascii="Arial" w:hAnsi="Arial" w:cs="Arial"/>
          <w:i/>
          <w:iCs/>
          <w:color w:val="4A66AC" w:themeColor="accent1"/>
          <w:sz w:val="22"/>
          <w:szCs w:val="22"/>
        </w:rPr>
      </w:pPr>
      <w:r>
        <w:rPr>
          <w:rFonts w:ascii="Arial" w:hAnsi="Arial" w:cs="Arial"/>
          <w:i/>
          <w:iCs/>
          <w:color w:val="4A66AC" w:themeColor="accent1"/>
          <w:sz w:val="22"/>
          <w:szCs w:val="22"/>
        </w:rPr>
        <w:t>“</w:t>
      </w:r>
      <w:r w:rsidR="007D6E76" w:rsidRPr="00E80114">
        <w:rPr>
          <w:rFonts w:ascii="Arial" w:hAnsi="Arial" w:cs="Arial"/>
          <w:i/>
          <w:iCs/>
          <w:color w:val="4A66AC" w:themeColor="accent1"/>
          <w:sz w:val="22"/>
          <w:szCs w:val="22"/>
        </w:rPr>
        <w:t xml:space="preserve">I have not seen a strong focus by GP on evaluations, to see what is working and what is not. We are smart at setting indicators that we are going to reach… but that does not show impact. </w:t>
      </w:r>
      <w:bookmarkStart w:id="22" w:name="_Hlk68426214"/>
      <w:r w:rsidR="007D6E76" w:rsidRPr="00E80114">
        <w:rPr>
          <w:rFonts w:ascii="Arial" w:hAnsi="Arial" w:cs="Arial"/>
          <w:i/>
          <w:iCs/>
          <w:color w:val="4A66AC" w:themeColor="accent1"/>
          <w:sz w:val="22"/>
          <w:szCs w:val="22"/>
        </w:rPr>
        <w:t>It is not easy to measure results in this sector, but we can do better.</w:t>
      </w:r>
      <w:bookmarkEnd w:id="22"/>
      <w:r>
        <w:rPr>
          <w:rFonts w:ascii="Arial" w:hAnsi="Arial" w:cs="Arial"/>
          <w:i/>
          <w:iCs/>
          <w:color w:val="4A66AC" w:themeColor="accent1"/>
          <w:sz w:val="22"/>
          <w:szCs w:val="22"/>
        </w:rPr>
        <w:t xml:space="preserve">” ~ </w:t>
      </w:r>
      <w:r w:rsidRPr="00E80114">
        <w:rPr>
          <w:rFonts w:ascii="Arial" w:hAnsi="Arial" w:cs="Arial"/>
          <w:color w:val="4A66AC" w:themeColor="accent1"/>
          <w:sz w:val="22"/>
          <w:szCs w:val="22"/>
        </w:rPr>
        <w:t>UN agency staff</w:t>
      </w:r>
    </w:p>
    <w:p w14:paraId="08DBCC9F" w14:textId="47C51B21" w:rsidR="006F770A" w:rsidRPr="006F770A" w:rsidRDefault="00114CA0" w:rsidP="006F770A">
      <w:pPr>
        <w:spacing w:before="240" w:after="240"/>
        <w:ind w:left="567" w:right="573"/>
        <w:jc w:val="center"/>
        <w:rPr>
          <w:rFonts w:ascii="Arial" w:hAnsi="Arial" w:cs="Arial"/>
          <w:color w:val="4A66AC" w:themeColor="accent1"/>
          <w:sz w:val="22"/>
          <w:szCs w:val="22"/>
        </w:rPr>
      </w:pPr>
      <w:r>
        <w:rPr>
          <w:rFonts w:ascii="Arial" w:hAnsi="Arial" w:cs="Arial"/>
          <w:i/>
          <w:iCs/>
          <w:color w:val="4A66AC" w:themeColor="accent1"/>
          <w:sz w:val="22"/>
          <w:szCs w:val="22"/>
        </w:rPr>
        <w:t>“</w:t>
      </w:r>
      <w:r w:rsidR="00F64374" w:rsidRPr="00E80114">
        <w:rPr>
          <w:rFonts w:ascii="Arial" w:hAnsi="Arial" w:cs="Arial"/>
          <w:i/>
          <w:iCs/>
          <w:color w:val="4A66AC" w:themeColor="accent1"/>
          <w:sz w:val="22"/>
          <w:szCs w:val="22"/>
        </w:rPr>
        <w:t>Everyone wants it, but nobody wants to pay for it</w:t>
      </w:r>
      <w:r w:rsidR="00F64374" w:rsidRPr="00E80114">
        <w:rPr>
          <w:rFonts w:ascii="Arial" w:hAnsi="Arial" w:cs="Arial"/>
          <w:color w:val="4A66AC" w:themeColor="accent1"/>
          <w:sz w:val="22"/>
          <w:szCs w:val="22"/>
        </w:rPr>
        <w:t>.</w:t>
      </w:r>
      <w:r>
        <w:rPr>
          <w:rFonts w:ascii="Arial" w:hAnsi="Arial" w:cs="Arial"/>
          <w:color w:val="4A66AC" w:themeColor="accent1"/>
          <w:sz w:val="22"/>
          <w:szCs w:val="22"/>
        </w:rPr>
        <w:t xml:space="preserve">” ~ </w:t>
      </w:r>
      <w:r w:rsidRPr="00E80114">
        <w:rPr>
          <w:rFonts w:ascii="Arial" w:hAnsi="Arial" w:cs="Arial"/>
          <w:color w:val="4A66AC" w:themeColor="accent1"/>
          <w:sz w:val="22"/>
          <w:szCs w:val="22"/>
        </w:rPr>
        <w:t>Former UNDP staff</w:t>
      </w:r>
      <w:r>
        <w:rPr>
          <w:rFonts w:ascii="Arial" w:hAnsi="Arial" w:cs="Arial"/>
          <w:color w:val="4A66AC" w:themeColor="accent1"/>
          <w:sz w:val="22"/>
          <w:szCs w:val="22"/>
        </w:rPr>
        <w:t xml:space="preserve"> (</w:t>
      </w:r>
      <w:r w:rsidRPr="00E80114">
        <w:rPr>
          <w:rFonts w:ascii="Arial" w:hAnsi="Arial" w:cs="Arial"/>
          <w:color w:val="4A66AC" w:themeColor="accent1"/>
          <w:sz w:val="22"/>
          <w:szCs w:val="22"/>
        </w:rPr>
        <w:t xml:space="preserve">referring to enhanced </w:t>
      </w:r>
      <w:r w:rsidR="00FA120B">
        <w:rPr>
          <w:rFonts w:ascii="Arial" w:hAnsi="Arial" w:cs="Arial"/>
          <w:color w:val="4A66AC" w:themeColor="accent1"/>
          <w:sz w:val="22"/>
          <w:szCs w:val="22"/>
        </w:rPr>
        <w:t>RBM and monitoring</w:t>
      </w:r>
      <w:r>
        <w:rPr>
          <w:rFonts w:ascii="Arial" w:hAnsi="Arial" w:cs="Arial"/>
          <w:color w:val="4A66AC" w:themeColor="accent1"/>
          <w:sz w:val="22"/>
          <w:szCs w:val="22"/>
        </w:rPr>
        <w:t>)</w:t>
      </w:r>
    </w:p>
    <w:p w14:paraId="7DCB6349" w14:textId="3F48EA56" w:rsidR="000F6665" w:rsidRPr="005B2D40" w:rsidRDefault="000F6665" w:rsidP="00567956">
      <w:pPr>
        <w:pStyle w:val="ListParagraph"/>
        <w:numPr>
          <w:ilvl w:val="0"/>
          <w:numId w:val="1"/>
        </w:numPr>
        <w:rPr>
          <w:rFonts w:ascii="Arial" w:hAnsi="Arial" w:cs="Arial"/>
          <w:b/>
          <w:bCs/>
        </w:rPr>
      </w:pPr>
      <w:r w:rsidRPr="005B2D40">
        <w:rPr>
          <w:rFonts w:ascii="Arial" w:hAnsi="Arial" w:cs="Arial"/>
          <w:b/>
          <w:bCs/>
        </w:rPr>
        <w:t xml:space="preserve">Information and </w:t>
      </w:r>
      <w:r w:rsidR="005B2D40">
        <w:rPr>
          <w:rFonts w:ascii="Arial" w:hAnsi="Arial" w:cs="Arial"/>
          <w:b/>
          <w:bCs/>
        </w:rPr>
        <w:t>K</w:t>
      </w:r>
      <w:r w:rsidRPr="005B2D40">
        <w:rPr>
          <w:rFonts w:ascii="Arial" w:hAnsi="Arial" w:cs="Arial"/>
          <w:b/>
          <w:bCs/>
        </w:rPr>
        <w:t xml:space="preserve">nowledge </w:t>
      </w:r>
      <w:r w:rsidR="005B2D40">
        <w:rPr>
          <w:rFonts w:ascii="Arial" w:hAnsi="Arial" w:cs="Arial"/>
          <w:b/>
          <w:bCs/>
        </w:rPr>
        <w:t>M</w:t>
      </w:r>
      <w:r w:rsidRPr="005B2D40">
        <w:rPr>
          <w:rFonts w:ascii="Arial" w:hAnsi="Arial" w:cs="Arial"/>
          <w:b/>
          <w:bCs/>
        </w:rPr>
        <w:t>anagement</w:t>
      </w:r>
    </w:p>
    <w:p w14:paraId="4B2320C0" w14:textId="0C133A07" w:rsidR="004D22ED" w:rsidRPr="00E80114" w:rsidRDefault="004B79E5" w:rsidP="007D6022">
      <w:pPr>
        <w:spacing w:line="240" w:lineRule="auto"/>
        <w:rPr>
          <w:rFonts w:ascii="Arial" w:hAnsi="Arial" w:cs="Arial"/>
          <w:sz w:val="22"/>
          <w:szCs w:val="22"/>
        </w:rPr>
      </w:pPr>
      <w:r w:rsidRPr="00E80114">
        <w:rPr>
          <w:rFonts w:ascii="Arial" w:hAnsi="Arial" w:cs="Arial"/>
          <w:sz w:val="22"/>
          <w:szCs w:val="22"/>
        </w:rPr>
        <w:t xml:space="preserve">A common theme that emerged </w:t>
      </w:r>
      <w:r w:rsidR="00FA120B">
        <w:rPr>
          <w:rFonts w:ascii="Arial" w:hAnsi="Arial" w:cs="Arial"/>
          <w:sz w:val="22"/>
          <w:szCs w:val="22"/>
        </w:rPr>
        <w:t>in</w:t>
      </w:r>
      <w:r w:rsidRPr="00E80114">
        <w:rPr>
          <w:rFonts w:ascii="Arial" w:hAnsi="Arial" w:cs="Arial"/>
          <w:sz w:val="22"/>
          <w:szCs w:val="22"/>
        </w:rPr>
        <w:t xml:space="preserve"> interviews with various UNDP staff involved in GP</w:t>
      </w:r>
      <w:r w:rsidR="00FA120B">
        <w:rPr>
          <w:rFonts w:ascii="Arial" w:hAnsi="Arial" w:cs="Arial"/>
          <w:sz w:val="22"/>
          <w:szCs w:val="22"/>
        </w:rPr>
        <w:t>3</w:t>
      </w:r>
      <w:r w:rsidRPr="00E80114">
        <w:rPr>
          <w:rFonts w:ascii="Arial" w:hAnsi="Arial" w:cs="Arial"/>
          <w:sz w:val="22"/>
          <w:szCs w:val="22"/>
        </w:rPr>
        <w:t xml:space="preserve"> was the </w:t>
      </w:r>
      <w:r w:rsidR="00F634AE" w:rsidRPr="00E80114">
        <w:rPr>
          <w:rFonts w:ascii="Arial" w:hAnsi="Arial" w:cs="Arial"/>
          <w:sz w:val="22"/>
          <w:szCs w:val="22"/>
        </w:rPr>
        <w:t>need for a more</w:t>
      </w:r>
      <w:r w:rsidRPr="00E80114">
        <w:rPr>
          <w:rFonts w:ascii="Arial" w:hAnsi="Arial" w:cs="Arial"/>
          <w:sz w:val="22"/>
          <w:szCs w:val="22"/>
        </w:rPr>
        <w:t xml:space="preserve"> robust </w:t>
      </w:r>
      <w:r w:rsidR="004D22ED" w:rsidRPr="00E80114">
        <w:rPr>
          <w:rFonts w:ascii="Arial" w:hAnsi="Arial" w:cs="Arial"/>
          <w:sz w:val="22"/>
          <w:szCs w:val="22"/>
        </w:rPr>
        <w:t>system for identifying</w:t>
      </w:r>
      <w:r w:rsidRPr="00E80114">
        <w:rPr>
          <w:rFonts w:ascii="Arial" w:hAnsi="Arial" w:cs="Arial"/>
          <w:sz w:val="22"/>
          <w:szCs w:val="22"/>
        </w:rPr>
        <w:t>, documenting</w:t>
      </w:r>
      <w:r w:rsidR="004D22ED" w:rsidRPr="00E80114">
        <w:rPr>
          <w:rFonts w:ascii="Arial" w:hAnsi="Arial" w:cs="Arial"/>
          <w:sz w:val="22"/>
          <w:szCs w:val="22"/>
        </w:rPr>
        <w:t xml:space="preserve"> and sharing lessons learned if something did not work out or needed improvement</w:t>
      </w:r>
      <w:r w:rsidRPr="00E80114">
        <w:rPr>
          <w:rFonts w:ascii="Arial" w:hAnsi="Arial" w:cs="Arial"/>
          <w:sz w:val="22"/>
          <w:szCs w:val="22"/>
        </w:rPr>
        <w:t xml:space="preserve"> (or indeed, had to be discontinued or dramatically reworked). Donors and other external informants corroborated this view from their perspective, noting that </w:t>
      </w:r>
      <w:r w:rsidR="00F634AE" w:rsidRPr="00E80114">
        <w:rPr>
          <w:rFonts w:ascii="Arial" w:hAnsi="Arial" w:cs="Arial"/>
          <w:sz w:val="22"/>
          <w:szCs w:val="22"/>
        </w:rPr>
        <w:t xml:space="preserve">GP3 </w:t>
      </w:r>
      <w:r w:rsidR="004D22ED" w:rsidRPr="00E80114">
        <w:rPr>
          <w:rFonts w:ascii="Arial" w:hAnsi="Arial" w:cs="Arial"/>
          <w:sz w:val="22"/>
          <w:szCs w:val="22"/>
        </w:rPr>
        <w:t xml:space="preserve">annual reporting and annual meeting </w:t>
      </w:r>
      <w:r w:rsidRPr="00E80114">
        <w:rPr>
          <w:rFonts w:ascii="Arial" w:hAnsi="Arial" w:cs="Arial"/>
          <w:sz w:val="22"/>
          <w:szCs w:val="22"/>
        </w:rPr>
        <w:t xml:space="preserve">processes have been largely </w:t>
      </w:r>
      <w:r w:rsidR="004D22ED" w:rsidRPr="00E80114">
        <w:rPr>
          <w:rFonts w:ascii="Arial" w:hAnsi="Arial" w:cs="Arial"/>
          <w:sz w:val="22"/>
          <w:szCs w:val="22"/>
        </w:rPr>
        <w:t>focused on success stories</w:t>
      </w:r>
      <w:r w:rsidRPr="00E80114">
        <w:rPr>
          <w:rFonts w:ascii="Arial" w:hAnsi="Arial" w:cs="Arial"/>
          <w:sz w:val="22"/>
          <w:szCs w:val="22"/>
        </w:rPr>
        <w:t xml:space="preserve">, </w:t>
      </w:r>
      <w:r w:rsidR="00F634AE" w:rsidRPr="00E80114">
        <w:rPr>
          <w:rFonts w:ascii="Arial" w:hAnsi="Arial" w:cs="Arial"/>
          <w:sz w:val="22"/>
          <w:szCs w:val="22"/>
        </w:rPr>
        <w:t>with some</w:t>
      </w:r>
      <w:r w:rsidRPr="00E80114">
        <w:rPr>
          <w:rFonts w:ascii="Arial" w:hAnsi="Arial" w:cs="Arial"/>
          <w:sz w:val="22"/>
          <w:szCs w:val="22"/>
        </w:rPr>
        <w:t xml:space="preserve"> describing them as “public relations exercises”</w:t>
      </w:r>
      <w:r w:rsidR="00F634AE" w:rsidRPr="00E80114">
        <w:rPr>
          <w:rFonts w:ascii="Arial" w:hAnsi="Arial" w:cs="Arial"/>
          <w:sz w:val="22"/>
          <w:szCs w:val="22"/>
        </w:rPr>
        <w:t xml:space="preserve"> that are lacking in strategic value</w:t>
      </w:r>
      <w:r w:rsidRPr="00E80114">
        <w:rPr>
          <w:rFonts w:ascii="Arial" w:hAnsi="Arial" w:cs="Arial"/>
          <w:sz w:val="22"/>
          <w:szCs w:val="22"/>
        </w:rPr>
        <w:t xml:space="preserve">. Although some certainly acknowledged the </w:t>
      </w:r>
      <w:r w:rsidR="00FA120B">
        <w:rPr>
          <w:rFonts w:ascii="Arial" w:hAnsi="Arial" w:cs="Arial"/>
          <w:sz w:val="22"/>
          <w:szCs w:val="22"/>
        </w:rPr>
        <w:t>importance</w:t>
      </w:r>
      <w:r w:rsidRPr="00E80114">
        <w:rPr>
          <w:rFonts w:ascii="Arial" w:hAnsi="Arial" w:cs="Arial"/>
          <w:sz w:val="22"/>
          <w:szCs w:val="22"/>
        </w:rPr>
        <w:t xml:space="preserve"> of reporting results and impacts, and </w:t>
      </w:r>
      <w:r w:rsidR="00FA120B">
        <w:rPr>
          <w:rFonts w:ascii="Arial" w:hAnsi="Arial" w:cs="Arial"/>
          <w:sz w:val="22"/>
          <w:szCs w:val="22"/>
        </w:rPr>
        <w:t xml:space="preserve">thereby </w:t>
      </w:r>
      <w:r w:rsidRPr="00E80114">
        <w:rPr>
          <w:rFonts w:ascii="Arial" w:hAnsi="Arial" w:cs="Arial"/>
          <w:sz w:val="22"/>
          <w:szCs w:val="22"/>
        </w:rPr>
        <w:t xml:space="preserve">highlighting what is working, there was widespread agreement that the GP (and the wider ROLSHR team) could do much more to capitalize on learning at the ground level. </w:t>
      </w:r>
      <w:r w:rsidR="00C9085F" w:rsidRPr="00E80114">
        <w:rPr>
          <w:rFonts w:ascii="Arial" w:hAnsi="Arial" w:cs="Arial"/>
          <w:sz w:val="22"/>
          <w:szCs w:val="22"/>
        </w:rPr>
        <w:t>However, it was acknowledged that the SparkBlue online consultations in 2020 were a step in the right direction of drawing out both positive and negative experiences.</w:t>
      </w:r>
      <w:r w:rsidR="00C9085F" w:rsidRPr="00E80114">
        <w:rPr>
          <w:rStyle w:val="FootnoteReference"/>
          <w:rFonts w:ascii="Arial" w:hAnsi="Arial" w:cs="Arial"/>
          <w:sz w:val="22"/>
          <w:szCs w:val="22"/>
        </w:rPr>
        <w:footnoteReference w:id="15"/>
      </w:r>
      <w:r w:rsidR="00C9085F" w:rsidRPr="00E80114">
        <w:rPr>
          <w:rFonts w:ascii="Arial" w:hAnsi="Arial" w:cs="Arial"/>
          <w:sz w:val="22"/>
          <w:szCs w:val="22"/>
        </w:rPr>
        <w:t xml:space="preserve"> </w:t>
      </w:r>
      <w:r w:rsidR="00B17A76" w:rsidRPr="00E80114">
        <w:rPr>
          <w:rFonts w:ascii="Arial" w:hAnsi="Arial" w:cs="Arial"/>
          <w:sz w:val="22"/>
          <w:szCs w:val="22"/>
        </w:rPr>
        <w:t xml:space="preserve">Country level informants commented on the need for reporting procedures to draw out this learning, as well as more regular opportunities for exchange of experience with counterparts from other countries. </w:t>
      </w:r>
    </w:p>
    <w:p w14:paraId="3E385769" w14:textId="2E05EF5D" w:rsidR="002B6EB9" w:rsidRPr="00E80114" w:rsidRDefault="00114CA0" w:rsidP="006F770A">
      <w:pPr>
        <w:ind w:left="567" w:right="571"/>
        <w:jc w:val="center"/>
        <w:rPr>
          <w:rFonts w:ascii="Arial" w:hAnsi="Arial" w:cs="Arial"/>
          <w:color w:val="4A66AC" w:themeColor="accent1"/>
          <w:sz w:val="22"/>
          <w:szCs w:val="22"/>
        </w:rPr>
      </w:pPr>
      <w:r>
        <w:rPr>
          <w:rFonts w:ascii="Arial" w:hAnsi="Arial" w:cs="Arial"/>
          <w:i/>
          <w:iCs/>
          <w:color w:val="4A66AC" w:themeColor="accent1"/>
          <w:sz w:val="22"/>
          <w:szCs w:val="22"/>
        </w:rPr>
        <w:t>“</w:t>
      </w:r>
      <w:r w:rsidR="002B6EB9" w:rsidRPr="00E80114">
        <w:rPr>
          <w:rFonts w:ascii="Arial" w:hAnsi="Arial" w:cs="Arial"/>
          <w:i/>
          <w:iCs/>
          <w:color w:val="4A66AC" w:themeColor="accent1"/>
          <w:sz w:val="22"/>
          <w:szCs w:val="22"/>
        </w:rPr>
        <w:t>We often do not have leverage to make changes at country level with this small money, but we can take risks, invest in new areas of work. I think donors are happy to hear about strategic approach, not just to implement a few activities. But there are not good systems for capture of those results.</w:t>
      </w:r>
      <w:r>
        <w:rPr>
          <w:rFonts w:ascii="Arial" w:hAnsi="Arial" w:cs="Arial"/>
          <w:i/>
          <w:iCs/>
          <w:color w:val="4A66AC" w:themeColor="accent1"/>
          <w:sz w:val="22"/>
          <w:szCs w:val="22"/>
        </w:rPr>
        <w:t xml:space="preserve">” ~ </w:t>
      </w:r>
      <w:r>
        <w:rPr>
          <w:rFonts w:ascii="Arial" w:hAnsi="Arial" w:cs="Arial"/>
          <w:color w:val="4A66AC" w:themeColor="accent1"/>
          <w:sz w:val="22"/>
          <w:szCs w:val="22"/>
        </w:rPr>
        <w:t>UNCT staff</w:t>
      </w:r>
    </w:p>
    <w:p w14:paraId="66CDDF8F" w14:textId="554B3AC1" w:rsidR="006C5DAC" w:rsidRPr="00E80114" w:rsidRDefault="00114CA0" w:rsidP="006F770A">
      <w:pPr>
        <w:ind w:left="567" w:right="571"/>
        <w:jc w:val="center"/>
        <w:rPr>
          <w:rFonts w:ascii="Arial" w:hAnsi="Arial" w:cs="Arial"/>
          <w:i/>
          <w:iCs/>
          <w:color w:val="4A66AC" w:themeColor="accent1"/>
          <w:sz w:val="22"/>
          <w:szCs w:val="22"/>
        </w:rPr>
      </w:pPr>
      <w:r>
        <w:rPr>
          <w:rFonts w:ascii="Arial" w:hAnsi="Arial" w:cs="Arial"/>
          <w:i/>
          <w:iCs/>
          <w:color w:val="4A66AC" w:themeColor="accent1"/>
          <w:sz w:val="22"/>
          <w:szCs w:val="22"/>
        </w:rPr>
        <w:t>“</w:t>
      </w:r>
      <w:r w:rsidR="006C5DAC" w:rsidRPr="00E80114">
        <w:rPr>
          <w:rFonts w:ascii="Arial" w:hAnsi="Arial" w:cs="Arial"/>
          <w:i/>
          <w:iCs/>
          <w:color w:val="4A66AC" w:themeColor="accent1"/>
          <w:sz w:val="22"/>
          <w:szCs w:val="22"/>
        </w:rPr>
        <w:t xml:space="preserve">GP wants to be a thought leader, but </w:t>
      </w:r>
      <w:r>
        <w:rPr>
          <w:rFonts w:ascii="Arial" w:hAnsi="Arial" w:cs="Arial"/>
          <w:i/>
          <w:iCs/>
          <w:color w:val="4A66AC" w:themeColor="accent1"/>
          <w:sz w:val="22"/>
          <w:szCs w:val="22"/>
        </w:rPr>
        <w:t xml:space="preserve">for that </w:t>
      </w:r>
      <w:r w:rsidR="006C5DAC" w:rsidRPr="00E80114">
        <w:rPr>
          <w:rFonts w:ascii="Arial" w:hAnsi="Arial" w:cs="Arial"/>
          <w:i/>
          <w:iCs/>
          <w:color w:val="4A66AC" w:themeColor="accent1"/>
          <w:sz w:val="22"/>
          <w:szCs w:val="22"/>
        </w:rPr>
        <w:t>we need evidence!</w:t>
      </w:r>
      <w:r>
        <w:rPr>
          <w:rFonts w:ascii="Arial" w:hAnsi="Arial" w:cs="Arial"/>
          <w:i/>
          <w:iCs/>
          <w:color w:val="4A66AC" w:themeColor="accent1"/>
          <w:sz w:val="22"/>
          <w:szCs w:val="22"/>
        </w:rPr>
        <w:t xml:space="preserve">” ~ </w:t>
      </w:r>
      <w:r w:rsidRPr="00E80114">
        <w:rPr>
          <w:rFonts w:ascii="Arial" w:hAnsi="Arial" w:cs="Arial"/>
          <w:color w:val="4A66AC" w:themeColor="accent1"/>
          <w:sz w:val="22"/>
          <w:szCs w:val="22"/>
        </w:rPr>
        <w:t>Former ROLSHR team member</w:t>
      </w:r>
    </w:p>
    <w:p w14:paraId="5BAA42A2" w14:textId="21423FBE" w:rsidR="00183CF1" w:rsidRPr="00E80114" w:rsidRDefault="00183CF1" w:rsidP="007D6022">
      <w:pPr>
        <w:spacing w:line="240" w:lineRule="auto"/>
        <w:rPr>
          <w:rFonts w:ascii="Arial" w:hAnsi="Arial" w:cs="Arial"/>
          <w:i/>
          <w:iCs/>
          <w:sz w:val="22"/>
          <w:szCs w:val="22"/>
        </w:rPr>
      </w:pPr>
      <w:r w:rsidRPr="00E80114">
        <w:rPr>
          <w:rFonts w:ascii="Arial" w:hAnsi="Arial" w:cs="Arial"/>
          <w:sz w:val="22"/>
          <w:szCs w:val="22"/>
        </w:rPr>
        <w:t>ISSAT</w:t>
      </w:r>
      <w:r w:rsidR="00BE5333" w:rsidRPr="00E80114">
        <w:rPr>
          <w:rFonts w:ascii="Arial" w:hAnsi="Arial" w:cs="Arial"/>
          <w:sz w:val="22"/>
          <w:szCs w:val="22"/>
        </w:rPr>
        <w:t>’s</w:t>
      </w:r>
      <w:r w:rsidRPr="00E80114">
        <w:rPr>
          <w:rFonts w:ascii="Arial" w:hAnsi="Arial" w:cs="Arial"/>
          <w:sz w:val="22"/>
          <w:szCs w:val="22"/>
        </w:rPr>
        <w:t xml:space="preserve"> </w:t>
      </w:r>
      <w:r w:rsidR="00FA120B" w:rsidRPr="00E80114">
        <w:rPr>
          <w:rFonts w:ascii="Arial" w:hAnsi="Arial" w:cs="Arial"/>
          <w:sz w:val="22"/>
          <w:szCs w:val="22"/>
        </w:rPr>
        <w:t xml:space="preserve">2018 </w:t>
      </w:r>
      <w:r w:rsidR="00E35575" w:rsidRPr="00E80114">
        <w:rPr>
          <w:rFonts w:ascii="Arial" w:hAnsi="Arial" w:cs="Arial"/>
          <w:sz w:val="22"/>
          <w:szCs w:val="22"/>
        </w:rPr>
        <w:t xml:space="preserve">interim </w:t>
      </w:r>
      <w:r w:rsidRPr="00E80114">
        <w:rPr>
          <w:rFonts w:ascii="Arial" w:hAnsi="Arial" w:cs="Arial"/>
          <w:sz w:val="22"/>
          <w:szCs w:val="22"/>
        </w:rPr>
        <w:t xml:space="preserve">report </w:t>
      </w:r>
      <w:r w:rsidR="00BE5333" w:rsidRPr="00E80114">
        <w:rPr>
          <w:rFonts w:ascii="Arial" w:hAnsi="Arial" w:cs="Arial"/>
          <w:sz w:val="22"/>
          <w:szCs w:val="22"/>
        </w:rPr>
        <w:t>expressed significant concern on this point, as follows</w:t>
      </w:r>
      <w:r w:rsidRPr="00E80114">
        <w:rPr>
          <w:rFonts w:ascii="Arial" w:hAnsi="Arial" w:cs="Arial"/>
          <w:sz w:val="22"/>
          <w:szCs w:val="22"/>
        </w:rPr>
        <w:t xml:space="preserve">: </w:t>
      </w:r>
      <w:r w:rsidR="00BE5333" w:rsidRPr="00E80114">
        <w:rPr>
          <w:rFonts w:ascii="Arial" w:hAnsi="Arial" w:cs="Arial"/>
          <w:sz w:val="22"/>
          <w:szCs w:val="22"/>
        </w:rPr>
        <w:t>“</w:t>
      </w:r>
      <w:r w:rsidRPr="00E80114">
        <w:rPr>
          <w:rFonts w:ascii="Arial" w:hAnsi="Arial" w:cs="Arial"/>
          <w:i/>
          <w:iCs/>
          <w:sz w:val="22"/>
          <w:szCs w:val="22"/>
        </w:rPr>
        <w:t>UNDP has a real opportunity through its Global Programme system to coordinate knowledge development across its programmes on what works in the effective reform of security and justice systems. This is an area where the global community is still struggling to build an evidence base, and the Global Programme could enhance its added value by early identification of such examples, by promoting such approaches generally in its projects, and by ensuring that these projects have the high</w:t>
      </w:r>
      <w:r w:rsidR="00763C87" w:rsidRPr="00E80114">
        <w:rPr>
          <w:rFonts w:ascii="Arial" w:hAnsi="Arial" w:cs="Arial"/>
          <w:i/>
          <w:iCs/>
          <w:sz w:val="22"/>
          <w:szCs w:val="22"/>
        </w:rPr>
        <w:t>-</w:t>
      </w:r>
      <w:r w:rsidRPr="00E80114">
        <w:rPr>
          <w:rFonts w:ascii="Arial" w:hAnsi="Arial" w:cs="Arial"/>
          <w:i/>
          <w:iCs/>
          <w:sz w:val="22"/>
          <w:szCs w:val="22"/>
        </w:rPr>
        <w:t>quality monitoring they need in order to demonstrate what aspects were successful and should be replicated.</w:t>
      </w:r>
      <w:r w:rsidR="00BE5333" w:rsidRPr="00E80114">
        <w:rPr>
          <w:rFonts w:ascii="Arial" w:hAnsi="Arial" w:cs="Arial"/>
          <w:i/>
          <w:iCs/>
          <w:sz w:val="22"/>
          <w:szCs w:val="22"/>
        </w:rPr>
        <w:t>”</w:t>
      </w:r>
    </w:p>
    <w:p w14:paraId="367D3141" w14:textId="37B25297" w:rsidR="00C665BC" w:rsidRPr="00E80114" w:rsidRDefault="00C665BC" w:rsidP="007D6022">
      <w:pPr>
        <w:spacing w:line="240" w:lineRule="auto"/>
        <w:rPr>
          <w:rFonts w:ascii="Arial" w:hAnsi="Arial" w:cs="Arial"/>
          <w:sz w:val="22"/>
          <w:szCs w:val="22"/>
        </w:rPr>
      </w:pPr>
      <w:r w:rsidRPr="00E80114">
        <w:rPr>
          <w:rFonts w:ascii="Arial" w:hAnsi="Arial" w:cs="Arial"/>
          <w:sz w:val="22"/>
          <w:szCs w:val="22"/>
        </w:rPr>
        <w:t xml:space="preserve">The recent establishment of UNDP’s Global Policy Network (GPN) was highlighted by several informants as a key development that would complement the role of the GP and others in capturing and sharing knowledge, and </w:t>
      </w:r>
      <w:r w:rsidR="00FA120B">
        <w:rPr>
          <w:rFonts w:ascii="Arial" w:hAnsi="Arial" w:cs="Arial"/>
          <w:sz w:val="22"/>
          <w:szCs w:val="22"/>
        </w:rPr>
        <w:t xml:space="preserve">should </w:t>
      </w:r>
      <w:r w:rsidRPr="00E80114">
        <w:rPr>
          <w:rFonts w:ascii="Arial" w:hAnsi="Arial" w:cs="Arial"/>
          <w:sz w:val="22"/>
          <w:szCs w:val="22"/>
        </w:rPr>
        <w:t xml:space="preserve">play an increasingly significant role in policy and thought leadership as well as facilitating access </w:t>
      </w:r>
      <w:r w:rsidR="004C016E" w:rsidRPr="00E80114">
        <w:rPr>
          <w:rFonts w:ascii="Arial" w:hAnsi="Arial" w:cs="Arial"/>
          <w:sz w:val="22"/>
          <w:szCs w:val="22"/>
        </w:rPr>
        <w:t xml:space="preserve">to </w:t>
      </w:r>
      <w:r w:rsidRPr="00E80114">
        <w:rPr>
          <w:rFonts w:ascii="Arial" w:hAnsi="Arial" w:cs="Arial"/>
          <w:sz w:val="22"/>
          <w:szCs w:val="22"/>
        </w:rPr>
        <w:t xml:space="preserve">existing </w:t>
      </w:r>
      <w:r w:rsidR="004C016E" w:rsidRPr="00E80114">
        <w:rPr>
          <w:rFonts w:ascii="Arial" w:hAnsi="Arial" w:cs="Arial"/>
          <w:sz w:val="22"/>
          <w:szCs w:val="22"/>
        </w:rPr>
        <w:t xml:space="preserve">UNDP-internal corporate </w:t>
      </w:r>
      <w:r w:rsidRPr="00E80114">
        <w:rPr>
          <w:rFonts w:ascii="Arial" w:hAnsi="Arial" w:cs="Arial"/>
          <w:sz w:val="22"/>
          <w:szCs w:val="22"/>
        </w:rPr>
        <w:t xml:space="preserve">worldwide knowledge and expertise within and beyond UNDP. This was described as an opportunity for the GP in Phase 4 to enhance its own knowledge management practices and become a core contributor to the GPN. </w:t>
      </w:r>
    </w:p>
    <w:p w14:paraId="0845FAB2" w14:textId="3C4FC93A" w:rsidR="00816A60" w:rsidRPr="00E80114" w:rsidRDefault="002F7FA0" w:rsidP="007D6022">
      <w:pPr>
        <w:spacing w:line="240" w:lineRule="auto"/>
        <w:rPr>
          <w:rFonts w:ascii="Arial" w:hAnsi="Arial" w:cs="Arial"/>
          <w:sz w:val="22"/>
          <w:szCs w:val="22"/>
        </w:rPr>
      </w:pPr>
      <w:r w:rsidRPr="00E80114">
        <w:rPr>
          <w:rFonts w:ascii="Arial" w:hAnsi="Arial" w:cs="Arial"/>
          <w:sz w:val="22"/>
          <w:szCs w:val="22"/>
        </w:rPr>
        <w:t>Internally</w:t>
      </w:r>
      <w:r w:rsidR="00816A60" w:rsidRPr="00E80114">
        <w:rPr>
          <w:rFonts w:ascii="Arial" w:hAnsi="Arial" w:cs="Arial"/>
          <w:sz w:val="22"/>
          <w:szCs w:val="22"/>
        </w:rPr>
        <w:t>,</w:t>
      </w:r>
      <w:r w:rsidRPr="00E80114">
        <w:rPr>
          <w:rFonts w:ascii="Arial" w:hAnsi="Arial" w:cs="Arial"/>
          <w:sz w:val="22"/>
          <w:szCs w:val="22"/>
        </w:rPr>
        <w:t xml:space="preserve"> some informants raised concerns about general </w:t>
      </w:r>
      <w:r w:rsidR="00816A60" w:rsidRPr="00E80114">
        <w:rPr>
          <w:rFonts w:ascii="Arial" w:hAnsi="Arial" w:cs="Arial"/>
          <w:sz w:val="22"/>
          <w:szCs w:val="22"/>
        </w:rPr>
        <w:t xml:space="preserve">information management </w:t>
      </w:r>
      <w:r w:rsidRPr="00E80114">
        <w:rPr>
          <w:rFonts w:ascii="Arial" w:hAnsi="Arial" w:cs="Arial"/>
          <w:sz w:val="22"/>
          <w:szCs w:val="22"/>
        </w:rPr>
        <w:t xml:space="preserve">within the </w:t>
      </w:r>
      <w:r w:rsidR="00F634AE" w:rsidRPr="00E80114">
        <w:rPr>
          <w:rFonts w:ascii="Arial" w:hAnsi="Arial" w:cs="Arial"/>
          <w:sz w:val="22"/>
          <w:szCs w:val="22"/>
        </w:rPr>
        <w:t xml:space="preserve">team, including difficulties in finding data about past </w:t>
      </w:r>
      <w:r w:rsidR="00FA120B" w:rsidRPr="00E80114">
        <w:rPr>
          <w:rFonts w:ascii="Arial" w:hAnsi="Arial" w:cs="Arial"/>
          <w:sz w:val="22"/>
          <w:szCs w:val="22"/>
        </w:rPr>
        <w:t xml:space="preserve">GP </w:t>
      </w:r>
      <w:r w:rsidR="00F634AE" w:rsidRPr="00E80114">
        <w:rPr>
          <w:rFonts w:ascii="Arial" w:hAnsi="Arial" w:cs="Arial"/>
          <w:sz w:val="22"/>
          <w:szCs w:val="22"/>
        </w:rPr>
        <w:t>funding and technical assistance provided to specific countries</w:t>
      </w:r>
      <w:r w:rsidR="00BA43B0" w:rsidRPr="00E80114">
        <w:rPr>
          <w:rFonts w:ascii="Arial" w:hAnsi="Arial" w:cs="Arial"/>
          <w:sz w:val="22"/>
          <w:szCs w:val="22"/>
        </w:rPr>
        <w:t>, as well as more general but essential information about those contexts</w:t>
      </w:r>
      <w:r w:rsidR="00F634AE" w:rsidRPr="00E80114">
        <w:rPr>
          <w:rFonts w:ascii="Arial" w:hAnsi="Arial" w:cs="Arial"/>
          <w:sz w:val="22"/>
          <w:szCs w:val="22"/>
        </w:rPr>
        <w:t xml:space="preserve">. This was seen as </w:t>
      </w:r>
      <w:r w:rsidR="00816A60" w:rsidRPr="00E80114">
        <w:rPr>
          <w:rFonts w:ascii="Arial" w:hAnsi="Arial" w:cs="Arial"/>
          <w:sz w:val="22"/>
          <w:szCs w:val="22"/>
        </w:rPr>
        <w:t>especially</w:t>
      </w:r>
      <w:r w:rsidR="00F634AE" w:rsidRPr="00E80114">
        <w:rPr>
          <w:rFonts w:ascii="Arial" w:hAnsi="Arial" w:cs="Arial"/>
          <w:sz w:val="22"/>
          <w:szCs w:val="22"/>
        </w:rPr>
        <w:t xml:space="preserve"> challenging given the relatively </w:t>
      </w:r>
      <w:r w:rsidR="00816A60" w:rsidRPr="00E80114">
        <w:rPr>
          <w:rFonts w:ascii="Arial" w:hAnsi="Arial" w:cs="Arial"/>
          <w:sz w:val="22"/>
          <w:szCs w:val="22"/>
        </w:rPr>
        <w:t xml:space="preserve">high turnover of staff </w:t>
      </w:r>
      <w:r w:rsidR="00F634AE" w:rsidRPr="00E80114">
        <w:rPr>
          <w:rFonts w:ascii="Arial" w:hAnsi="Arial" w:cs="Arial"/>
          <w:sz w:val="22"/>
          <w:szCs w:val="22"/>
        </w:rPr>
        <w:t xml:space="preserve">and </w:t>
      </w:r>
      <w:r w:rsidR="00816A60" w:rsidRPr="00E80114">
        <w:rPr>
          <w:rFonts w:ascii="Arial" w:hAnsi="Arial" w:cs="Arial"/>
          <w:sz w:val="22"/>
          <w:szCs w:val="22"/>
        </w:rPr>
        <w:t>gaps</w:t>
      </w:r>
      <w:r w:rsidR="00FA120B">
        <w:rPr>
          <w:rFonts w:ascii="Arial" w:hAnsi="Arial" w:cs="Arial"/>
          <w:sz w:val="22"/>
          <w:szCs w:val="22"/>
        </w:rPr>
        <w:t xml:space="preserve"> in the organigramme</w:t>
      </w:r>
      <w:r w:rsidR="00816A60" w:rsidRPr="00E80114">
        <w:rPr>
          <w:rFonts w:ascii="Arial" w:hAnsi="Arial" w:cs="Arial"/>
          <w:sz w:val="22"/>
          <w:szCs w:val="22"/>
        </w:rPr>
        <w:t xml:space="preserve"> </w:t>
      </w:r>
      <w:r w:rsidR="00F634AE" w:rsidRPr="00E80114">
        <w:rPr>
          <w:rFonts w:ascii="Arial" w:hAnsi="Arial" w:cs="Arial"/>
          <w:sz w:val="22"/>
          <w:szCs w:val="22"/>
        </w:rPr>
        <w:t xml:space="preserve">that </w:t>
      </w:r>
      <w:r w:rsidR="00BA43B0" w:rsidRPr="00E80114">
        <w:rPr>
          <w:rFonts w:ascii="Arial" w:hAnsi="Arial" w:cs="Arial"/>
          <w:sz w:val="22"/>
          <w:szCs w:val="22"/>
        </w:rPr>
        <w:t>are often exacerbated by</w:t>
      </w:r>
      <w:r w:rsidR="00F634AE" w:rsidRPr="00E80114">
        <w:rPr>
          <w:rFonts w:ascii="Arial" w:hAnsi="Arial" w:cs="Arial"/>
          <w:sz w:val="22"/>
          <w:szCs w:val="22"/>
        </w:rPr>
        <w:t xml:space="preserve"> slow UNDP recruitment processes</w:t>
      </w:r>
      <w:r w:rsidR="00816A60" w:rsidRPr="00E80114">
        <w:rPr>
          <w:rFonts w:ascii="Arial" w:hAnsi="Arial" w:cs="Arial"/>
          <w:sz w:val="22"/>
          <w:szCs w:val="22"/>
        </w:rPr>
        <w:t xml:space="preserve">. </w:t>
      </w:r>
      <w:r w:rsidR="00BA43B0" w:rsidRPr="00E80114">
        <w:rPr>
          <w:rFonts w:ascii="Arial" w:hAnsi="Arial" w:cs="Arial"/>
          <w:sz w:val="22"/>
          <w:szCs w:val="22"/>
        </w:rPr>
        <w:t xml:space="preserve">It was recognized that </w:t>
      </w:r>
      <w:r w:rsidR="00816A60" w:rsidRPr="00E80114">
        <w:rPr>
          <w:rFonts w:ascii="Arial" w:hAnsi="Arial" w:cs="Arial"/>
          <w:sz w:val="22"/>
          <w:szCs w:val="22"/>
        </w:rPr>
        <w:t xml:space="preserve">Focal Points </w:t>
      </w:r>
      <w:r w:rsidR="00D65D77" w:rsidRPr="00E80114">
        <w:rPr>
          <w:rFonts w:ascii="Arial" w:hAnsi="Arial" w:cs="Arial"/>
          <w:sz w:val="22"/>
          <w:szCs w:val="22"/>
        </w:rPr>
        <w:t>generally</w:t>
      </w:r>
      <w:r w:rsidR="00816A60" w:rsidRPr="00E80114">
        <w:rPr>
          <w:rFonts w:ascii="Arial" w:hAnsi="Arial" w:cs="Arial"/>
          <w:sz w:val="22"/>
          <w:szCs w:val="22"/>
        </w:rPr>
        <w:t xml:space="preserve"> have </w:t>
      </w:r>
      <w:r w:rsidR="00BA43B0" w:rsidRPr="00E80114">
        <w:rPr>
          <w:rFonts w:ascii="Arial" w:hAnsi="Arial" w:cs="Arial"/>
          <w:sz w:val="22"/>
          <w:szCs w:val="22"/>
        </w:rPr>
        <w:t>a solid</w:t>
      </w:r>
      <w:r w:rsidR="00816A60" w:rsidRPr="00E80114">
        <w:rPr>
          <w:rFonts w:ascii="Arial" w:hAnsi="Arial" w:cs="Arial"/>
          <w:sz w:val="22"/>
          <w:szCs w:val="22"/>
        </w:rPr>
        <w:t xml:space="preserve"> understanding of </w:t>
      </w:r>
      <w:r w:rsidR="00BA43B0" w:rsidRPr="00E80114">
        <w:rPr>
          <w:rFonts w:ascii="Arial" w:hAnsi="Arial" w:cs="Arial"/>
          <w:sz w:val="22"/>
          <w:szCs w:val="22"/>
        </w:rPr>
        <w:t xml:space="preserve">the </w:t>
      </w:r>
      <w:r w:rsidR="00816A60" w:rsidRPr="00E80114">
        <w:rPr>
          <w:rFonts w:ascii="Arial" w:hAnsi="Arial" w:cs="Arial"/>
          <w:sz w:val="22"/>
          <w:szCs w:val="22"/>
        </w:rPr>
        <w:t>country level</w:t>
      </w:r>
      <w:r w:rsidR="00BA43B0" w:rsidRPr="00E80114">
        <w:rPr>
          <w:rFonts w:ascii="Arial" w:hAnsi="Arial" w:cs="Arial"/>
          <w:sz w:val="22"/>
          <w:szCs w:val="22"/>
        </w:rPr>
        <w:t xml:space="preserve"> contexts assigned to them</w:t>
      </w:r>
      <w:r w:rsidR="00816A60" w:rsidRPr="00E80114">
        <w:rPr>
          <w:rFonts w:ascii="Arial" w:hAnsi="Arial" w:cs="Arial"/>
          <w:sz w:val="22"/>
          <w:szCs w:val="22"/>
        </w:rPr>
        <w:t>,</w:t>
      </w:r>
      <w:r w:rsidR="00BA43B0" w:rsidRPr="00E80114">
        <w:rPr>
          <w:rFonts w:ascii="Arial" w:hAnsi="Arial" w:cs="Arial"/>
          <w:sz w:val="22"/>
          <w:szCs w:val="22"/>
        </w:rPr>
        <w:t xml:space="preserve"> but their knowledge is often “in their heads” only, and not systematically</w:t>
      </w:r>
      <w:r w:rsidR="00816A60" w:rsidRPr="00E80114">
        <w:rPr>
          <w:rFonts w:ascii="Arial" w:hAnsi="Arial" w:cs="Arial"/>
          <w:sz w:val="22"/>
          <w:szCs w:val="22"/>
        </w:rPr>
        <w:t xml:space="preserve"> captured </w:t>
      </w:r>
      <w:r w:rsidR="00BA43B0" w:rsidRPr="00E80114">
        <w:rPr>
          <w:rFonts w:ascii="Arial" w:hAnsi="Arial" w:cs="Arial"/>
          <w:sz w:val="22"/>
          <w:szCs w:val="22"/>
        </w:rPr>
        <w:t>and</w:t>
      </w:r>
      <w:r w:rsidR="00816A60" w:rsidRPr="00E80114">
        <w:rPr>
          <w:rFonts w:ascii="Arial" w:hAnsi="Arial" w:cs="Arial"/>
          <w:sz w:val="22"/>
          <w:szCs w:val="22"/>
        </w:rPr>
        <w:t xml:space="preserve"> shared</w:t>
      </w:r>
      <w:r w:rsidR="00BA43B0" w:rsidRPr="00E80114">
        <w:rPr>
          <w:rFonts w:ascii="Arial" w:hAnsi="Arial" w:cs="Arial"/>
          <w:sz w:val="22"/>
          <w:szCs w:val="22"/>
        </w:rPr>
        <w:t xml:space="preserve"> across the team</w:t>
      </w:r>
      <w:r w:rsidR="00816A60" w:rsidRPr="00E80114">
        <w:rPr>
          <w:rFonts w:ascii="Arial" w:hAnsi="Arial" w:cs="Arial"/>
          <w:sz w:val="22"/>
          <w:szCs w:val="22"/>
        </w:rPr>
        <w:t>.</w:t>
      </w:r>
      <w:r w:rsidR="00BA43B0" w:rsidRPr="00E80114">
        <w:rPr>
          <w:rFonts w:ascii="Arial" w:hAnsi="Arial" w:cs="Arial"/>
          <w:sz w:val="22"/>
          <w:szCs w:val="22"/>
        </w:rPr>
        <w:t xml:space="preserve"> This was attributed in part to the heavy workload of the team overall, including Focal Points, who are responsible for up to eight countries</w:t>
      </w:r>
      <w:r w:rsidR="00FA120B">
        <w:rPr>
          <w:rFonts w:ascii="Arial" w:hAnsi="Arial" w:cs="Arial"/>
          <w:sz w:val="22"/>
          <w:szCs w:val="22"/>
        </w:rPr>
        <w:t xml:space="preserve"> each</w:t>
      </w:r>
      <w:r w:rsidR="00BA43B0" w:rsidRPr="00E80114">
        <w:rPr>
          <w:rFonts w:ascii="Arial" w:hAnsi="Arial" w:cs="Arial"/>
          <w:sz w:val="22"/>
          <w:szCs w:val="22"/>
        </w:rPr>
        <w:t xml:space="preserve">. </w:t>
      </w:r>
    </w:p>
    <w:p w14:paraId="1D6756D2" w14:textId="5FB6F303" w:rsidR="00D65D77" w:rsidRPr="00E80114" w:rsidRDefault="006C5DAC" w:rsidP="007D6022">
      <w:pPr>
        <w:spacing w:line="240" w:lineRule="auto"/>
        <w:rPr>
          <w:rFonts w:ascii="Arial" w:hAnsi="Arial" w:cs="Arial"/>
          <w:sz w:val="22"/>
          <w:szCs w:val="22"/>
        </w:rPr>
      </w:pPr>
      <w:r w:rsidRPr="00E80114">
        <w:rPr>
          <w:rFonts w:ascii="Arial" w:hAnsi="Arial" w:cs="Arial"/>
          <w:sz w:val="22"/>
          <w:szCs w:val="22"/>
        </w:rPr>
        <w:t xml:space="preserve">Various informants at regional and country level raised concerns about the paucity of ROLSHR technical guidance documents, thematic reports and other publications </w:t>
      </w:r>
      <w:r w:rsidR="00FB447B" w:rsidRPr="00E80114">
        <w:rPr>
          <w:rFonts w:ascii="Arial" w:hAnsi="Arial" w:cs="Arial"/>
          <w:sz w:val="22"/>
          <w:szCs w:val="22"/>
        </w:rPr>
        <w:t xml:space="preserve">in </w:t>
      </w:r>
      <w:r w:rsidR="0008440C" w:rsidRPr="00E80114">
        <w:rPr>
          <w:rFonts w:ascii="Arial" w:hAnsi="Arial" w:cs="Arial"/>
          <w:sz w:val="22"/>
          <w:szCs w:val="22"/>
        </w:rPr>
        <w:t xml:space="preserve">UN </w:t>
      </w:r>
      <w:r w:rsidR="00FB447B" w:rsidRPr="00E80114">
        <w:rPr>
          <w:rFonts w:ascii="Arial" w:hAnsi="Arial" w:cs="Arial"/>
          <w:sz w:val="22"/>
          <w:szCs w:val="22"/>
        </w:rPr>
        <w:t>languages other than English.</w:t>
      </w:r>
      <w:r w:rsidR="0008440C" w:rsidRPr="00E80114">
        <w:rPr>
          <w:rFonts w:ascii="Arial" w:hAnsi="Arial" w:cs="Arial"/>
          <w:sz w:val="22"/>
          <w:szCs w:val="22"/>
        </w:rPr>
        <w:t xml:space="preserve"> </w:t>
      </w:r>
      <w:r w:rsidRPr="00E80114">
        <w:rPr>
          <w:rFonts w:ascii="Arial" w:hAnsi="Arial" w:cs="Arial"/>
          <w:sz w:val="22"/>
          <w:szCs w:val="22"/>
        </w:rPr>
        <w:t>Specifically</w:t>
      </w:r>
      <w:r w:rsidR="009A2BAE">
        <w:rPr>
          <w:rFonts w:ascii="Arial" w:hAnsi="Arial" w:cs="Arial"/>
          <w:sz w:val="22"/>
          <w:szCs w:val="22"/>
        </w:rPr>
        <w:t>,</w:t>
      </w:r>
      <w:r w:rsidRPr="00E80114">
        <w:rPr>
          <w:rFonts w:ascii="Arial" w:hAnsi="Arial" w:cs="Arial"/>
          <w:sz w:val="22"/>
          <w:szCs w:val="22"/>
        </w:rPr>
        <w:t xml:space="preserve"> in the context of francophone Africa, it was noted that even b</w:t>
      </w:r>
      <w:r w:rsidR="0008440C" w:rsidRPr="00E80114">
        <w:rPr>
          <w:rFonts w:ascii="Arial" w:hAnsi="Arial" w:cs="Arial"/>
          <w:sz w:val="22"/>
          <w:szCs w:val="22"/>
        </w:rPr>
        <w:t xml:space="preserve">asic </w:t>
      </w:r>
      <w:r w:rsidRPr="00E80114">
        <w:rPr>
          <w:rFonts w:ascii="Arial" w:hAnsi="Arial" w:cs="Arial"/>
          <w:sz w:val="22"/>
          <w:szCs w:val="22"/>
        </w:rPr>
        <w:t xml:space="preserve">explanatory </w:t>
      </w:r>
      <w:r w:rsidR="0008440C" w:rsidRPr="00E80114">
        <w:rPr>
          <w:rFonts w:ascii="Arial" w:hAnsi="Arial" w:cs="Arial"/>
          <w:sz w:val="22"/>
          <w:szCs w:val="22"/>
        </w:rPr>
        <w:t>information about the GP</w:t>
      </w:r>
      <w:r w:rsidRPr="00E80114">
        <w:rPr>
          <w:rFonts w:ascii="Arial" w:hAnsi="Arial" w:cs="Arial"/>
          <w:sz w:val="22"/>
          <w:szCs w:val="22"/>
        </w:rPr>
        <w:t xml:space="preserve"> and GFP (including internal documents such as SOPs) is</w:t>
      </w:r>
      <w:r w:rsidR="0008440C" w:rsidRPr="00E80114">
        <w:rPr>
          <w:rFonts w:ascii="Arial" w:hAnsi="Arial" w:cs="Arial"/>
          <w:sz w:val="22"/>
          <w:szCs w:val="22"/>
        </w:rPr>
        <w:t xml:space="preserve"> not </w:t>
      </w:r>
      <w:r w:rsidRPr="00E80114">
        <w:rPr>
          <w:rFonts w:ascii="Arial" w:hAnsi="Arial" w:cs="Arial"/>
          <w:sz w:val="22"/>
          <w:szCs w:val="22"/>
        </w:rPr>
        <w:t>usually</w:t>
      </w:r>
      <w:r w:rsidR="0008440C" w:rsidRPr="00E80114">
        <w:rPr>
          <w:rFonts w:ascii="Arial" w:hAnsi="Arial" w:cs="Arial"/>
          <w:sz w:val="22"/>
          <w:szCs w:val="22"/>
        </w:rPr>
        <w:t xml:space="preserve"> </w:t>
      </w:r>
      <w:r w:rsidR="004D22ED" w:rsidRPr="00E80114">
        <w:rPr>
          <w:rFonts w:ascii="Arial" w:hAnsi="Arial" w:cs="Arial"/>
          <w:sz w:val="22"/>
          <w:szCs w:val="22"/>
        </w:rPr>
        <w:t>available</w:t>
      </w:r>
      <w:r w:rsidR="0008440C" w:rsidRPr="00E80114">
        <w:rPr>
          <w:rFonts w:ascii="Arial" w:hAnsi="Arial" w:cs="Arial"/>
          <w:sz w:val="22"/>
          <w:szCs w:val="22"/>
        </w:rPr>
        <w:t xml:space="preserve"> in French</w:t>
      </w:r>
      <w:r w:rsidRPr="00E80114">
        <w:rPr>
          <w:rFonts w:ascii="Arial" w:hAnsi="Arial" w:cs="Arial"/>
          <w:sz w:val="22"/>
          <w:szCs w:val="22"/>
        </w:rPr>
        <w:t xml:space="preserve">. This was described as problematic for UNDP personnel who </w:t>
      </w:r>
      <w:r w:rsidR="00FA120B">
        <w:rPr>
          <w:rFonts w:ascii="Arial" w:hAnsi="Arial" w:cs="Arial"/>
          <w:sz w:val="22"/>
          <w:szCs w:val="22"/>
        </w:rPr>
        <w:t>are not</w:t>
      </w:r>
      <w:r w:rsidRPr="00E80114">
        <w:rPr>
          <w:rFonts w:ascii="Arial" w:hAnsi="Arial" w:cs="Arial"/>
          <w:sz w:val="22"/>
          <w:szCs w:val="22"/>
        </w:rPr>
        <w:t xml:space="preserve"> completely fluent in English, </w:t>
      </w:r>
      <w:r w:rsidR="00FA120B">
        <w:rPr>
          <w:rFonts w:ascii="Arial" w:hAnsi="Arial" w:cs="Arial"/>
          <w:sz w:val="22"/>
          <w:szCs w:val="22"/>
        </w:rPr>
        <w:t>especially if they are charged with</w:t>
      </w:r>
      <w:r w:rsidRPr="00E80114">
        <w:rPr>
          <w:rFonts w:ascii="Arial" w:hAnsi="Arial" w:cs="Arial"/>
          <w:sz w:val="22"/>
          <w:szCs w:val="22"/>
        </w:rPr>
        <w:t xml:space="preserve"> explain</w:t>
      </w:r>
      <w:r w:rsidR="00FA120B">
        <w:rPr>
          <w:rFonts w:ascii="Arial" w:hAnsi="Arial" w:cs="Arial"/>
          <w:sz w:val="22"/>
          <w:szCs w:val="22"/>
        </w:rPr>
        <w:t>ing</w:t>
      </w:r>
      <w:r w:rsidRPr="00E80114">
        <w:rPr>
          <w:rFonts w:ascii="Arial" w:hAnsi="Arial" w:cs="Arial"/>
          <w:sz w:val="22"/>
          <w:szCs w:val="22"/>
        </w:rPr>
        <w:t xml:space="preserve"> the GP and GFP to national stakeholders and others. </w:t>
      </w:r>
    </w:p>
    <w:p w14:paraId="495A5AF0" w14:textId="7A94ABDE" w:rsidR="000F6665" w:rsidRPr="005B2D40" w:rsidRDefault="000F6665" w:rsidP="00567956">
      <w:pPr>
        <w:pStyle w:val="ListParagraph"/>
        <w:numPr>
          <w:ilvl w:val="0"/>
          <w:numId w:val="1"/>
        </w:numPr>
        <w:contextualSpacing w:val="0"/>
        <w:rPr>
          <w:rFonts w:ascii="Arial" w:hAnsi="Arial" w:cs="Arial"/>
          <w:b/>
          <w:bCs/>
        </w:rPr>
      </w:pPr>
      <w:r w:rsidRPr="005B2D40">
        <w:rPr>
          <w:rFonts w:ascii="Arial" w:hAnsi="Arial" w:cs="Arial"/>
          <w:b/>
          <w:bCs/>
        </w:rPr>
        <w:t xml:space="preserve">Human </w:t>
      </w:r>
      <w:r w:rsidR="005B2D40">
        <w:rPr>
          <w:rFonts w:ascii="Arial" w:hAnsi="Arial" w:cs="Arial"/>
          <w:b/>
          <w:bCs/>
        </w:rPr>
        <w:t>R</w:t>
      </w:r>
      <w:r w:rsidRPr="005B2D40">
        <w:rPr>
          <w:rFonts w:ascii="Arial" w:hAnsi="Arial" w:cs="Arial"/>
          <w:b/>
          <w:bCs/>
        </w:rPr>
        <w:t>esources</w:t>
      </w:r>
    </w:p>
    <w:p w14:paraId="09E5B031" w14:textId="7DF5173F" w:rsidR="00BF5BA1" w:rsidRPr="00E80114" w:rsidRDefault="00BF5BA1" w:rsidP="007D6022">
      <w:pPr>
        <w:spacing w:line="240" w:lineRule="auto"/>
        <w:rPr>
          <w:rFonts w:ascii="Arial" w:hAnsi="Arial" w:cs="Arial"/>
          <w:sz w:val="22"/>
          <w:szCs w:val="22"/>
        </w:rPr>
      </w:pPr>
      <w:r w:rsidRPr="00E80114">
        <w:rPr>
          <w:rFonts w:ascii="Arial" w:hAnsi="Arial" w:cs="Arial"/>
          <w:sz w:val="22"/>
          <w:szCs w:val="22"/>
        </w:rPr>
        <w:t xml:space="preserve">While an in-depth analysis of the complex set of human resources that supports the GP is beyond the evaluation’s scope, various internal and external informants provided their perspectives on the </w:t>
      </w:r>
      <w:r w:rsidR="00FA120B" w:rsidRPr="00E80114">
        <w:rPr>
          <w:rFonts w:ascii="Arial" w:hAnsi="Arial" w:cs="Arial"/>
          <w:sz w:val="22"/>
          <w:szCs w:val="22"/>
        </w:rPr>
        <w:t xml:space="preserve">GP </w:t>
      </w:r>
      <w:r w:rsidRPr="00E80114">
        <w:rPr>
          <w:rFonts w:ascii="Arial" w:hAnsi="Arial" w:cs="Arial"/>
          <w:sz w:val="22"/>
          <w:szCs w:val="22"/>
        </w:rPr>
        <w:t xml:space="preserve">staffing, usually in broader terms that encompassed the </w:t>
      </w:r>
      <w:r w:rsidR="00FA120B">
        <w:rPr>
          <w:rFonts w:ascii="Arial" w:hAnsi="Arial" w:cs="Arial"/>
          <w:sz w:val="22"/>
          <w:szCs w:val="22"/>
        </w:rPr>
        <w:t xml:space="preserve">entire </w:t>
      </w:r>
      <w:r w:rsidRPr="00E80114">
        <w:rPr>
          <w:rFonts w:ascii="Arial" w:hAnsi="Arial" w:cs="Arial"/>
          <w:sz w:val="22"/>
          <w:szCs w:val="22"/>
        </w:rPr>
        <w:t xml:space="preserve">ROLSHR team. In general, the team (including those at </w:t>
      </w:r>
      <w:r w:rsidR="00FA120B">
        <w:rPr>
          <w:rFonts w:ascii="Arial" w:hAnsi="Arial" w:cs="Arial"/>
          <w:sz w:val="22"/>
          <w:szCs w:val="22"/>
        </w:rPr>
        <w:t>HQ</w:t>
      </w:r>
      <w:r w:rsidRPr="00E80114">
        <w:rPr>
          <w:rFonts w:ascii="Arial" w:hAnsi="Arial" w:cs="Arial"/>
          <w:sz w:val="22"/>
          <w:szCs w:val="22"/>
        </w:rPr>
        <w:t xml:space="preserve"> and Focal Points in regional hubs) is seen </w:t>
      </w:r>
      <w:r w:rsidR="003D27D8" w:rsidRPr="00E80114">
        <w:rPr>
          <w:rFonts w:ascii="Arial" w:hAnsi="Arial" w:cs="Arial"/>
          <w:sz w:val="22"/>
          <w:szCs w:val="22"/>
        </w:rPr>
        <w:t>as technically skilled</w:t>
      </w:r>
      <w:r w:rsidRPr="00E80114">
        <w:rPr>
          <w:rFonts w:ascii="Arial" w:hAnsi="Arial" w:cs="Arial"/>
          <w:sz w:val="22"/>
          <w:szCs w:val="22"/>
        </w:rPr>
        <w:t xml:space="preserve"> and knowledgeable</w:t>
      </w:r>
      <w:r w:rsidR="003D27D8" w:rsidRPr="00E80114">
        <w:rPr>
          <w:rFonts w:ascii="Arial" w:hAnsi="Arial" w:cs="Arial"/>
          <w:sz w:val="22"/>
          <w:szCs w:val="22"/>
        </w:rPr>
        <w:t>,</w:t>
      </w:r>
      <w:r w:rsidRPr="00E80114">
        <w:rPr>
          <w:rFonts w:ascii="Arial" w:hAnsi="Arial" w:cs="Arial"/>
          <w:sz w:val="22"/>
          <w:szCs w:val="22"/>
        </w:rPr>
        <w:t xml:space="preserve"> and their depth and breadth of field experience was repeatedly remarked upon as impressive and atypical at </w:t>
      </w:r>
      <w:r w:rsidR="003D27D8" w:rsidRPr="00E80114">
        <w:rPr>
          <w:rFonts w:ascii="Arial" w:hAnsi="Arial" w:cs="Arial"/>
          <w:sz w:val="22"/>
          <w:szCs w:val="22"/>
        </w:rPr>
        <w:t xml:space="preserve">HQ </w:t>
      </w:r>
      <w:r w:rsidRPr="00E80114">
        <w:rPr>
          <w:rFonts w:ascii="Arial" w:hAnsi="Arial" w:cs="Arial"/>
          <w:sz w:val="22"/>
          <w:szCs w:val="22"/>
        </w:rPr>
        <w:t>level</w:t>
      </w:r>
      <w:r w:rsidR="003D27D8" w:rsidRPr="00E80114">
        <w:rPr>
          <w:rFonts w:ascii="Arial" w:hAnsi="Arial" w:cs="Arial"/>
          <w:sz w:val="22"/>
          <w:szCs w:val="22"/>
        </w:rPr>
        <w:t xml:space="preserve">. </w:t>
      </w:r>
      <w:r w:rsidRPr="00E80114">
        <w:rPr>
          <w:rFonts w:ascii="Arial" w:hAnsi="Arial" w:cs="Arial"/>
          <w:sz w:val="22"/>
          <w:szCs w:val="22"/>
        </w:rPr>
        <w:t>Informants recognized the inherent c</w:t>
      </w:r>
      <w:r w:rsidR="003D27D8" w:rsidRPr="00E80114">
        <w:rPr>
          <w:rFonts w:ascii="Arial" w:hAnsi="Arial" w:cs="Arial"/>
          <w:sz w:val="22"/>
          <w:szCs w:val="22"/>
        </w:rPr>
        <w:t xml:space="preserve">hallenge </w:t>
      </w:r>
      <w:r w:rsidRPr="00E80114">
        <w:rPr>
          <w:rFonts w:ascii="Arial" w:hAnsi="Arial" w:cs="Arial"/>
          <w:sz w:val="22"/>
          <w:szCs w:val="22"/>
        </w:rPr>
        <w:t xml:space="preserve">for a relatively small team </w:t>
      </w:r>
      <w:r w:rsidR="003D27D8" w:rsidRPr="00E80114">
        <w:rPr>
          <w:rFonts w:ascii="Arial" w:hAnsi="Arial" w:cs="Arial"/>
          <w:sz w:val="22"/>
          <w:szCs w:val="22"/>
        </w:rPr>
        <w:t xml:space="preserve">to have full coverage of </w:t>
      </w:r>
      <w:r w:rsidRPr="00E80114">
        <w:rPr>
          <w:rFonts w:ascii="Arial" w:hAnsi="Arial" w:cs="Arial"/>
          <w:sz w:val="22"/>
          <w:szCs w:val="22"/>
        </w:rPr>
        <w:t xml:space="preserve">a range of </w:t>
      </w:r>
      <w:r w:rsidR="003D27D8" w:rsidRPr="00E80114">
        <w:rPr>
          <w:rFonts w:ascii="Arial" w:hAnsi="Arial" w:cs="Arial"/>
          <w:sz w:val="22"/>
          <w:szCs w:val="22"/>
        </w:rPr>
        <w:t xml:space="preserve">thematic areas, </w:t>
      </w:r>
      <w:r w:rsidRPr="00E80114">
        <w:rPr>
          <w:rFonts w:ascii="Arial" w:hAnsi="Arial" w:cs="Arial"/>
          <w:sz w:val="22"/>
          <w:szCs w:val="22"/>
        </w:rPr>
        <w:t xml:space="preserve">plus </w:t>
      </w:r>
      <w:r w:rsidR="003D27D8" w:rsidRPr="00E80114">
        <w:rPr>
          <w:rFonts w:ascii="Arial" w:hAnsi="Arial" w:cs="Arial"/>
          <w:sz w:val="22"/>
          <w:szCs w:val="22"/>
        </w:rPr>
        <w:t xml:space="preserve">geographic/regional knowledge, </w:t>
      </w:r>
      <w:r w:rsidRPr="00E80114">
        <w:rPr>
          <w:rFonts w:ascii="Arial" w:hAnsi="Arial" w:cs="Arial"/>
          <w:sz w:val="22"/>
          <w:szCs w:val="22"/>
        </w:rPr>
        <w:t>as well as</w:t>
      </w:r>
      <w:r w:rsidR="00FA120B">
        <w:rPr>
          <w:rFonts w:ascii="Arial" w:hAnsi="Arial" w:cs="Arial"/>
          <w:sz w:val="22"/>
          <w:szCs w:val="22"/>
        </w:rPr>
        <w:t xml:space="preserve"> relevant</w:t>
      </w:r>
      <w:r w:rsidR="003D27D8" w:rsidRPr="00E80114">
        <w:rPr>
          <w:rFonts w:ascii="Arial" w:hAnsi="Arial" w:cs="Arial"/>
          <w:sz w:val="22"/>
          <w:szCs w:val="22"/>
        </w:rPr>
        <w:t xml:space="preserve"> language capacities. </w:t>
      </w:r>
      <w:r w:rsidR="008A7A51" w:rsidRPr="00E80114">
        <w:rPr>
          <w:rFonts w:ascii="Arial" w:hAnsi="Arial" w:cs="Arial"/>
          <w:sz w:val="22"/>
          <w:szCs w:val="22"/>
        </w:rPr>
        <w:t>In spite of that challenge</w:t>
      </w:r>
      <w:r w:rsidRPr="00E80114">
        <w:rPr>
          <w:rFonts w:ascii="Arial" w:hAnsi="Arial" w:cs="Arial"/>
          <w:sz w:val="22"/>
          <w:szCs w:val="22"/>
        </w:rPr>
        <w:t xml:space="preserve">, it was felt </w:t>
      </w:r>
      <w:r w:rsidR="00FA120B" w:rsidRPr="00E80114">
        <w:rPr>
          <w:rFonts w:ascii="Arial" w:hAnsi="Arial" w:cs="Arial"/>
          <w:sz w:val="22"/>
          <w:szCs w:val="22"/>
        </w:rPr>
        <w:t xml:space="preserve">overall </w:t>
      </w:r>
      <w:r w:rsidRPr="00E80114">
        <w:rPr>
          <w:rFonts w:ascii="Arial" w:hAnsi="Arial" w:cs="Arial"/>
          <w:sz w:val="22"/>
          <w:szCs w:val="22"/>
        </w:rPr>
        <w:t>that the team</w:t>
      </w:r>
      <w:r w:rsidR="008A7A51" w:rsidRPr="00E80114">
        <w:rPr>
          <w:rFonts w:ascii="Arial" w:hAnsi="Arial" w:cs="Arial"/>
          <w:sz w:val="22"/>
          <w:szCs w:val="22"/>
        </w:rPr>
        <w:t>’s</w:t>
      </w:r>
      <w:r w:rsidRPr="00E80114">
        <w:rPr>
          <w:rFonts w:ascii="Arial" w:hAnsi="Arial" w:cs="Arial"/>
          <w:sz w:val="22"/>
          <w:szCs w:val="22"/>
        </w:rPr>
        <w:t xml:space="preserve"> skillset </w:t>
      </w:r>
      <w:r w:rsidR="008A7A51" w:rsidRPr="00E80114">
        <w:rPr>
          <w:rFonts w:ascii="Arial" w:hAnsi="Arial" w:cs="Arial"/>
          <w:sz w:val="22"/>
          <w:szCs w:val="22"/>
        </w:rPr>
        <w:t>i</w:t>
      </w:r>
      <w:r w:rsidRPr="00E80114">
        <w:rPr>
          <w:rFonts w:ascii="Arial" w:hAnsi="Arial" w:cs="Arial"/>
          <w:sz w:val="22"/>
          <w:szCs w:val="22"/>
        </w:rPr>
        <w:t xml:space="preserve">s suitable and they </w:t>
      </w:r>
      <w:r w:rsidR="008A7A51" w:rsidRPr="00E80114">
        <w:rPr>
          <w:rFonts w:ascii="Arial" w:hAnsi="Arial" w:cs="Arial"/>
          <w:sz w:val="22"/>
          <w:szCs w:val="22"/>
        </w:rPr>
        <w:t>a</w:t>
      </w:r>
      <w:r w:rsidRPr="00E80114">
        <w:rPr>
          <w:rFonts w:ascii="Arial" w:hAnsi="Arial" w:cs="Arial"/>
          <w:sz w:val="22"/>
          <w:szCs w:val="22"/>
        </w:rPr>
        <w:t>re doing an admirable job of meeting a high level of demand from many directions</w:t>
      </w:r>
      <w:r w:rsidR="00FA120B">
        <w:rPr>
          <w:rFonts w:ascii="Arial" w:hAnsi="Arial" w:cs="Arial"/>
          <w:sz w:val="22"/>
          <w:szCs w:val="22"/>
        </w:rPr>
        <w:t xml:space="preserve"> (</w:t>
      </w:r>
      <w:r w:rsidRPr="00E80114">
        <w:rPr>
          <w:rFonts w:ascii="Arial" w:hAnsi="Arial" w:cs="Arial"/>
          <w:sz w:val="22"/>
          <w:szCs w:val="22"/>
        </w:rPr>
        <w:t xml:space="preserve">donors, UNDP corporate structures, </w:t>
      </w:r>
      <w:r w:rsidR="00FA120B">
        <w:rPr>
          <w:rFonts w:ascii="Arial" w:hAnsi="Arial" w:cs="Arial"/>
          <w:sz w:val="22"/>
          <w:szCs w:val="22"/>
        </w:rPr>
        <w:t>COs</w:t>
      </w:r>
      <w:r w:rsidRPr="00E80114">
        <w:rPr>
          <w:rFonts w:ascii="Arial" w:hAnsi="Arial" w:cs="Arial"/>
          <w:sz w:val="22"/>
          <w:szCs w:val="22"/>
        </w:rPr>
        <w:t xml:space="preserve">, regional hubs, etc.) </w:t>
      </w:r>
    </w:p>
    <w:p w14:paraId="082A6769" w14:textId="478A97CD" w:rsidR="00E44E7F" w:rsidRPr="00E80114" w:rsidRDefault="008A7A51" w:rsidP="007D6022">
      <w:pPr>
        <w:spacing w:line="240" w:lineRule="auto"/>
        <w:rPr>
          <w:rFonts w:ascii="Arial" w:hAnsi="Arial" w:cs="Arial"/>
          <w:sz w:val="22"/>
          <w:szCs w:val="22"/>
        </w:rPr>
      </w:pPr>
      <w:r w:rsidRPr="00E80114">
        <w:rPr>
          <w:rFonts w:ascii="Arial" w:hAnsi="Arial" w:cs="Arial"/>
          <w:sz w:val="22"/>
          <w:szCs w:val="22"/>
        </w:rPr>
        <w:t xml:space="preserve">Only three positions are designated </w:t>
      </w:r>
      <w:r w:rsidR="00FA120B" w:rsidRPr="00E80114">
        <w:rPr>
          <w:rFonts w:ascii="Arial" w:hAnsi="Arial" w:cs="Arial"/>
          <w:sz w:val="22"/>
          <w:szCs w:val="22"/>
        </w:rPr>
        <w:t xml:space="preserve">fully </w:t>
      </w:r>
      <w:r w:rsidRPr="00E80114">
        <w:rPr>
          <w:rFonts w:ascii="Arial" w:hAnsi="Arial" w:cs="Arial"/>
          <w:sz w:val="22"/>
          <w:szCs w:val="22"/>
        </w:rPr>
        <w:t>as GP staff:</w:t>
      </w:r>
      <w:r w:rsidR="00BA5C70">
        <w:rPr>
          <w:rFonts w:ascii="Arial" w:hAnsi="Arial" w:cs="Arial"/>
          <w:sz w:val="22"/>
          <w:szCs w:val="22"/>
        </w:rPr>
        <w:t xml:space="preserve"> </w:t>
      </w:r>
      <w:r w:rsidRPr="00E80114">
        <w:rPr>
          <w:rFonts w:ascii="Arial" w:hAnsi="Arial" w:cs="Arial"/>
          <w:sz w:val="22"/>
          <w:szCs w:val="22"/>
        </w:rPr>
        <w:t>one Project Manager (P3), one Administrative Assistant</w:t>
      </w:r>
      <w:r w:rsidR="00776178" w:rsidRPr="00E80114">
        <w:rPr>
          <w:rFonts w:ascii="Arial" w:hAnsi="Arial" w:cs="Arial"/>
          <w:sz w:val="22"/>
          <w:szCs w:val="22"/>
        </w:rPr>
        <w:t>/Program Associate</w:t>
      </w:r>
      <w:r w:rsidRPr="00E80114">
        <w:rPr>
          <w:rFonts w:ascii="Arial" w:hAnsi="Arial" w:cs="Arial"/>
          <w:sz w:val="22"/>
          <w:szCs w:val="22"/>
        </w:rPr>
        <w:t xml:space="preserve"> (G6), and one Learning and Advocacy officer (P2, vacant for the past year). However, the entire ROLSHR team is </w:t>
      </w:r>
      <w:r w:rsidR="00602308" w:rsidRPr="00E80114">
        <w:rPr>
          <w:rFonts w:ascii="Arial" w:hAnsi="Arial" w:cs="Arial"/>
          <w:sz w:val="22"/>
          <w:szCs w:val="22"/>
        </w:rPr>
        <w:t>(</w:t>
      </w:r>
      <w:r w:rsidRPr="00E80114">
        <w:rPr>
          <w:rFonts w:ascii="Arial" w:hAnsi="Arial" w:cs="Arial"/>
          <w:sz w:val="22"/>
          <w:szCs w:val="22"/>
        </w:rPr>
        <w:t xml:space="preserve">to </w:t>
      </w:r>
      <w:r w:rsidR="00602308" w:rsidRPr="00E80114">
        <w:rPr>
          <w:rFonts w:ascii="Arial" w:hAnsi="Arial" w:cs="Arial"/>
          <w:sz w:val="22"/>
          <w:szCs w:val="22"/>
        </w:rPr>
        <w:t xml:space="preserve">widely </w:t>
      </w:r>
      <w:r w:rsidRPr="00E80114">
        <w:rPr>
          <w:rFonts w:ascii="Arial" w:hAnsi="Arial" w:cs="Arial"/>
          <w:sz w:val="22"/>
          <w:szCs w:val="22"/>
        </w:rPr>
        <w:t>varying extents</w:t>
      </w:r>
      <w:r w:rsidR="00602308" w:rsidRPr="00E80114">
        <w:rPr>
          <w:rFonts w:ascii="Arial" w:hAnsi="Arial" w:cs="Arial"/>
          <w:sz w:val="22"/>
          <w:szCs w:val="22"/>
        </w:rPr>
        <w:t>)</w:t>
      </w:r>
      <w:r w:rsidRPr="00E80114">
        <w:rPr>
          <w:rFonts w:ascii="Arial" w:hAnsi="Arial" w:cs="Arial"/>
          <w:sz w:val="22"/>
          <w:szCs w:val="22"/>
        </w:rPr>
        <w:t xml:space="preserve"> involved in </w:t>
      </w:r>
      <w:r w:rsidR="00FA120B" w:rsidRPr="00E80114">
        <w:rPr>
          <w:rFonts w:ascii="Arial" w:hAnsi="Arial" w:cs="Arial"/>
          <w:sz w:val="22"/>
          <w:szCs w:val="22"/>
        </w:rPr>
        <w:t xml:space="preserve">GP </w:t>
      </w:r>
      <w:r w:rsidRPr="00E80114">
        <w:rPr>
          <w:rFonts w:ascii="Arial" w:hAnsi="Arial" w:cs="Arial"/>
          <w:sz w:val="22"/>
          <w:szCs w:val="22"/>
        </w:rPr>
        <w:t xml:space="preserve">implementation, in addition to other duties. Although the </w:t>
      </w:r>
      <w:r w:rsidR="00FA120B">
        <w:rPr>
          <w:rFonts w:ascii="Arial" w:hAnsi="Arial" w:cs="Arial"/>
          <w:sz w:val="22"/>
          <w:szCs w:val="22"/>
        </w:rPr>
        <w:t>most recent organigramme</w:t>
      </w:r>
      <w:r w:rsidRPr="00E80114">
        <w:rPr>
          <w:rFonts w:ascii="Arial" w:hAnsi="Arial" w:cs="Arial"/>
          <w:sz w:val="22"/>
          <w:szCs w:val="22"/>
        </w:rPr>
        <w:t xml:space="preserve"> theoretically includes 44 posts based in </w:t>
      </w:r>
      <w:r w:rsidR="00FA120B">
        <w:rPr>
          <w:rFonts w:ascii="Arial" w:hAnsi="Arial" w:cs="Arial"/>
          <w:sz w:val="22"/>
          <w:szCs w:val="22"/>
        </w:rPr>
        <w:t>HQ</w:t>
      </w:r>
      <w:r w:rsidRPr="00E80114">
        <w:rPr>
          <w:rFonts w:ascii="Arial" w:hAnsi="Arial" w:cs="Arial"/>
          <w:sz w:val="22"/>
          <w:szCs w:val="22"/>
        </w:rPr>
        <w:t xml:space="preserve"> and six regional hubs, </w:t>
      </w:r>
      <w:r w:rsidR="00602308" w:rsidRPr="00E80114">
        <w:rPr>
          <w:rFonts w:ascii="Arial" w:hAnsi="Arial" w:cs="Arial"/>
          <w:sz w:val="22"/>
          <w:szCs w:val="22"/>
        </w:rPr>
        <w:t>at least seven posts are vacant, and the total</w:t>
      </w:r>
      <w:r w:rsidRPr="00E80114">
        <w:rPr>
          <w:rFonts w:ascii="Arial" w:hAnsi="Arial" w:cs="Arial"/>
          <w:sz w:val="22"/>
          <w:szCs w:val="22"/>
        </w:rPr>
        <w:t xml:space="preserve"> includes </w:t>
      </w:r>
      <w:r w:rsidR="00602308" w:rsidRPr="00E80114">
        <w:rPr>
          <w:rFonts w:ascii="Arial" w:hAnsi="Arial" w:cs="Arial"/>
          <w:sz w:val="22"/>
          <w:szCs w:val="22"/>
        </w:rPr>
        <w:t xml:space="preserve">various part time staff, </w:t>
      </w:r>
      <w:r w:rsidRPr="00E80114">
        <w:rPr>
          <w:rFonts w:ascii="Arial" w:hAnsi="Arial" w:cs="Arial"/>
          <w:sz w:val="22"/>
          <w:szCs w:val="22"/>
        </w:rPr>
        <w:t xml:space="preserve">several consultants, seconded staff, temporary assignments, and volunteers. </w:t>
      </w:r>
      <w:r w:rsidR="00602308" w:rsidRPr="00E80114">
        <w:rPr>
          <w:rFonts w:ascii="Arial" w:hAnsi="Arial" w:cs="Arial"/>
          <w:sz w:val="22"/>
          <w:szCs w:val="22"/>
        </w:rPr>
        <w:t>It was reported that considerable difficulties had faced the team in achieving a full staffing complement, due to long vacancies, funding constraints and other internal factors.</w:t>
      </w:r>
      <w:r w:rsidR="00125770" w:rsidRPr="00E80114">
        <w:rPr>
          <w:rFonts w:ascii="Arial" w:hAnsi="Arial" w:cs="Arial"/>
          <w:sz w:val="22"/>
          <w:szCs w:val="22"/>
        </w:rPr>
        <w:t xml:space="preserve"> Team members pointed to </w:t>
      </w:r>
      <w:r w:rsidR="0031005A" w:rsidRPr="00E80114">
        <w:rPr>
          <w:rFonts w:ascii="Arial" w:hAnsi="Arial" w:cs="Arial"/>
          <w:sz w:val="22"/>
          <w:szCs w:val="22"/>
        </w:rPr>
        <w:t>the</w:t>
      </w:r>
      <w:r w:rsidR="00125770" w:rsidRPr="00E80114">
        <w:rPr>
          <w:rFonts w:ascii="Arial" w:hAnsi="Arial" w:cs="Arial"/>
          <w:sz w:val="22"/>
          <w:szCs w:val="22"/>
        </w:rPr>
        <w:t xml:space="preserve"> </w:t>
      </w:r>
      <w:r w:rsidR="0031005A" w:rsidRPr="00E80114">
        <w:rPr>
          <w:rFonts w:ascii="Arial" w:hAnsi="Arial" w:cs="Arial"/>
          <w:sz w:val="22"/>
          <w:szCs w:val="22"/>
        </w:rPr>
        <w:t xml:space="preserve">GP’s previous phase and other comparable programmes as having better staffing structures, </w:t>
      </w:r>
      <w:r w:rsidR="006D5264" w:rsidRPr="00E80114">
        <w:rPr>
          <w:rFonts w:ascii="Arial" w:hAnsi="Arial" w:cs="Arial"/>
          <w:sz w:val="22"/>
          <w:szCs w:val="22"/>
        </w:rPr>
        <w:t>notably</w:t>
      </w:r>
      <w:r w:rsidR="0031005A" w:rsidRPr="00E80114">
        <w:rPr>
          <w:rFonts w:ascii="Arial" w:hAnsi="Arial" w:cs="Arial"/>
          <w:sz w:val="22"/>
          <w:szCs w:val="22"/>
        </w:rPr>
        <w:t xml:space="preserve"> with more management capability. </w:t>
      </w:r>
      <w:r w:rsidR="00125770" w:rsidRPr="00E80114">
        <w:rPr>
          <w:rFonts w:ascii="Arial" w:hAnsi="Arial" w:cs="Arial"/>
          <w:sz w:val="22"/>
          <w:szCs w:val="22"/>
        </w:rPr>
        <w:t>O</w:t>
      </w:r>
      <w:r w:rsidR="00602308" w:rsidRPr="00E80114">
        <w:rPr>
          <w:rFonts w:ascii="Arial" w:hAnsi="Arial" w:cs="Arial"/>
          <w:sz w:val="22"/>
          <w:szCs w:val="22"/>
        </w:rPr>
        <w:t>ne informant familiar with the staffing pattern</w:t>
      </w:r>
      <w:r w:rsidR="00125770" w:rsidRPr="00E80114">
        <w:rPr>
          <w:rFonts w:ascii="Arial" w:hAnsi="Arial" w:cs="Arial"/>
          <w:sz w:val="22"/>
          <w:szCs w:val="22"/>
        </w:rPr>
        <w:t xml:space="preserve"> commented</w:t>
      </w:r>
      <w:r w:rsidR="00602308" w:rsidRPr="00E80114">
        <w:rPr>
          <w:rFonts w:ascii="Arial" w:hAnsi="Arial" w:cs="Arial"/>
          <w:sz w:val="22"/>
          <w:szCs w:val="22"/>
        </w:rPr>
        <w:t>: “</w:t>
      </w:r>
      <w:r w:rsidR="00602308" w:rsidRPr="00E80114">
        <w:rPr>
          <w:rFonts w:ascii="Arial" w:hAnsi="Arial" w:cs="Arial"/>
          <w:i/>
          <w:iCs/>
          <w:sz w:val="22"/>
          <w:szCs w:val="22"/>
        </w:rPr>
        <w:t>They are spreading themselves far too thin, and n</w:t>
      </w:r>
      <w:r w:rsidR="008657E3" w:rsidRPr="00E80114">
        <w:rPr>
          <w:rFonts w:ascii="Arial" w:hAnsi="Arial" w:cs="Arial"/>
          <w:i/>
          <w:iCs/>
          <w:sz w:val="22"/>
          <w:szCs w:val="22"/>
        </w:rPr>
        <w:t>ot spending enough time on management at global level</w:t>
      </w:r>
      <w:r w:rsidR="00602308" w:rsidRPr="00E80114">
        <w:rPr>
          <w:rFonts w:ascii="Arial" w:hAnsi="Arial" w:cs="Arial"/>
          <w:sz w:val="22"/>
          <w:szCs w:val="22"/>
        </w:rPr>
        <w:t xml:space="preserve">.” </w:t>
      </w:r>
      <w:r w:rsidR="00125770" w:rsidRPr="00E80114">
        <w:rPr>
          <w:rFonts w:ascii="Arial" w:hAnsi="Arial" w:cs="Arial"/>
          <w:sz w:val="22"/>
          <w:szCs w:val="22"/>
        </w:rPr>
        <w:t xml:space="preserve">On the other hand, the evaluators heard of donor wariness of concentrating too much staffing (and associated costs) in </w:t>
      </w:r>
      <w:r w:rsidR="00FA120B">
        <w:rPr>
          <w:rFonts w:ascii="Arial" w:hAnsi="Arial" w:cs="Arial"/>
          <w:sz w:val="22"/>
          <w:szCs w:val="22"/>
        </w:rPr>
        <w:t>HQ</w:t>
      </w:r>
      <w:r w:rsidR="00125770" w:rsidRPr="00E80114">
        <w:rPr>
          <w:rFonts w:ascii="Arial" w:hAnsi="Arial" w:cs="Arial"/>
          <w:sz w:val="22"/>
          <w:szCs w:val="22"/>
        </w:rPr>
        <w:t xml:space="preserve">.  </w:t>
      </w:r>
    </w:p>
    <w:p w14:paraId="0C91DDCE" w14:textId="30A42B51" w:rsidR="00771F42" w:rsidRPr="00E80114" w:rsidRDefault="00114CA0" w:rsidP="006F770A">
      <w:pPr>
        <w:spacing w:line="240" w:lineRule="auto"/>
        <w:ind w:left="567" w:right="571"/>
        <w:jc w:val="center"/>
        <w:rPr>
          <w:rFonts w:ascii="Arial" w:hAnsi="Arial" w:cs="Arial"/>
          <w:color w:val="4A66AC" w:themeColor="accent1"/>
          <w:sz w:val="22"/>
          <w:szCs w:val="22"/>
        </w:rPr>
      </w:pPr>
      <w:r>
        <w:rPr>
          <w:rFonts w:ascii="Arial" w:hAnsi="Arial" w:cs="Arial"/>
          <w:i/>
          <w:iCs/>
          <w:color w:val="4A66AC" w:themeColor="accent1"/>
          <w:sz w:val="22"/>
          <w:szCs w:val="22"/>
        </w:rPr>
        <w:t>“</w:t>
      </w:r>
      <w:r w:rsidR="00E44E7F" w:rsidRPr="00E80114">
        <w:rPr>
          <w:rFonts w:ascii="Arial" w:hAnsi="Arial" w:cs="Arial"/>
          <w:i/>
          <w:iCs/>
          <w:color w:val="4A66AC" w:themeColor="accent1"/>
          <w:sz w:val="22"/>
          <w:szCs w:val="22"/>
        </w:rPr>
        <w:t>Focal Points play a key role in seeing the bigger picture of supported countries, they are in position to track and document effects. The structure has helped make GP successful. However, when there is a lot of turnover or confusion or gap in who is handling each country, this can create problems.</w:t>
      </w:r>
      <w:r>
        <w:rPr>
          <w:rFonts w:ascii="Arial" w:hAnsi="Arial" w:cs="Arial"/>
          <w:i/>
          <w:iCs/>
          <w:color w:val="4A66AC" w:themeColor="accent1"/>
          <w:sz w:val="22"/>
          <w:szCs w:val="22"/>
        </w:rPr>
        <w:t xml:space="preserve">” ~ </w:t>
      </w:r>
      <w:r w:rsidRPr="00E80114">
        <w:rPr>
          <w:rFonts w:ascii="Arial" w:hAnsi="Arial" w:cs="Arial"/>
          <w:color w:val="4A66AC" w:themeColor="accent1"/>
          <w:sz w:val="22"/>
          <w:szCs w:val="22"/>
        </w:rPr>
        <w:t>ROLSHR team member</w:t>
      </w:r>
    </w:p>
    <w:p w14:paraId="061C632F" w14:textId="02848C92" w:rsidR="005B2D40" w:rsidRPr="00E80114" w:rsidRDefault="00C331A8" w:rsidP="007D6022">
      <w:pPr>
        <w:spacing w:line="240" w:lineRule="auto"/>
        <w:rPr>
          <w:rFonts w:ascii="Arial" w:hAnsi="Arial" w:cs="Arial"/>
          <w:sz w:val="22"/>
          <w:szCs w:val="22"/>
        </w:rPr>
      </w:pPr>
      <w:r>
        <w:rPr>
          <w:rFonts w:ascii="Arial" w:hAnsi="Arial" w:cs="Arial"/>
          <w:sz w:val="22"/>
          <w:szCs w:val="22"/>
        </w:rPr>
        <w:t>T</w:t>
      </w:r>
      <w:r w:rsidR="00602308" w:rsidRPr="00E80114">
        <w:rPr>
          <w:rFonts w:ascii="Arial" w:hAnsi="Arial" w:cs="Arial"/>
          <w:sz w:val="22"/>
          <w:szCs w:val="22"/>
        </w:rPr>
        <w:t xml:space="preserve">here has never been a </w:t>
      </w:r>
      <w:r w:rsidR="00131CCD" w:rsidRPr="00E80114">
        <w:rPr>
          <w:rFonts w:ascii="Arial" w:hAnsi="Arial" w:cs="Arial"/>
          <w:sz w:val="22"/>
          <w:szCs w:val="22"/>
        </w:rPr>
        <w:t xml:space="preserve">position dedicated to </w:t>
      </w:r>
      <w:r>
        <w:rPr>
          <w:rFonts w:ascii="Arial" w:hAnsi="Arial" w:cs="Arial"/>
          <w:sz w:val="22"/>
          <w:szCs w:val="22"/>
        </w:rPr>
        <w:t>M&amp;E/learning</w:t>
      </w:r>
      <w:r w:rsidR="00032BFD" w:rsidRPr="00E80114">
        <w:rPr>
          <w:rFonts w:ascii="Arial" w:hAnsi="Arial" w:cs="Arial"/>
          <w:sz w:val="22"/>
          <w:szCs w:val="22"/>
        </w:rPr>
        <w:t>, either for the GP or for the wider ROLSHR team</w:t>
      </w:r>
      <w:r w:rsidR="00602308" w:rsidRPr="00E80114">
        <w:rPr>
          <w:rFonts w:ascii="Arial" w:hAnsi="Arial" w:cs="Arial"/>
          <w:sz w:val="22"/>
          <w:szCs w:val="22"/>
        </w:rPr>
        <w:t>. Instead, those tasks have been</w:t>
      </w:r>
      <w:r w:rsidR="00131CCD" w:rsidRPr="00E80114">
        <w:rPr>
          <w:rFonts w:ascii="Arial" w:hAnsi="Arial" w:cs="Arial"/>
          <w:sz w:val="22"/>
          <w:szCs w:val="22"/>
        </w:rPr>
        <w:t xml:space="preserve"> combined with other functions</w:t>
      </w:r>
      <w:r w:rsidR="00602308" w:rsidRPr="00E80114">
        <w:rPr>
          <w:rFonts w:ascii="Arial" w:hAnsi="Arial" w:cs="Arial"/>
          <w:sz w:val="22"/>
          <w:szCs w:val="22"/>
        </w:rPr>
        <w:t xml:space="preserve"> such as advocacy, communications and </w:t>
      </w:r>
      <w:r>
        <w:rPr>
          <w:rFonts w:ascii="Arial" w:hAnsi="Arial" w:cs="Arial"/>
          <w:sz w:val="22"/>
          <w:szCs w:val="22"/>
        </w:rPr>
        <w:t>knowledge management</w:t>
      </w:r>
      <w:r w:rsidR="00131CCD" w:rsidRPr="00E80114">
        <w:rPr>
          <w:rFonts w:ascii="Arial" w:hAnsi="Arial" w:cs="Arial"/>
          <w:sz w:val="22"/>
          <w:szCs w:val="22"/>
        </w:rPr>
        <w:t xml:space="preserve">, </w:t>
      </w:r>
      <w:r w:rsidR="009C0830" w:rsidRPr="00E80114">
        <w:rPr>
          <w:rFonts w:ascii="Arial" w:hAnsi="Arial" w:cs="Arial"/>
          <w:sz w:val="22"/>
          <w:szCs w:val="22"/>
        </w:rPr>
        <w:t xml:space="preserve">which have resulted in an untenable scope of work for a single person. The </w:t>
      </w:r>
      <w:r w:rsidR="003F212E" w:rsidRPr="00E80114">
        <w:rPr>
          <w:rFonts w:ascii="Arial" w:hAnsi="Arial" w:cs="Arial"/>
          <w:sz w:val="22"/>
          <w:szCs w:val="22"/>
        </w:rPr>
        <w:t xml:space="preserve">GP </w:t>
      </w:r>
      <w:r w:rsidR="009C0830" w:rsidRPr="00E80114">
        <w:rPr>
          <w:rFonts w:ascii="Arial" w:hAnsi="Arial" w:cs="Arial"/>
          <w:sz w:val="22"/>
          <w:szCs w:val="22"/>
        </w:rPr>
        <w:t xml:space="preserve">post that is currently described as “Learning and Advocacy” has been </w:t>
      </w:r>
      <w:r w:rsidR="00131CCD" w:rsidRPr="00E80114">
        <w:rPr>
          <w:rFonts w:ascii="Arial" w:hAnsi="Arial" w:cs="Arial"/>
          <w:sz w:val="22"/>
          <w:szCs w:val="22"/>
        </w:rPr>
        <w:t>vacant for a year</w:t>
      </w:r>
      <w:r w:rsidR="009C0830" w:rsidRPr="00E80114">
        <w:rPr>
          <w:rFonts w:ascii="Arial" w:hAnsi="Arial" w:cs="Arial"/>
          <w:sz w:val="22"/>
          <w:szCs w:val="22"/>
        </w:rPr>
        <w:t xml:space="preserve">, which has left only two full-time staff responsible for all key tasks related to the </w:t>
      </w:r>
      <w:r w:rsidR="00776178" w:rsidRPr="00E80114">
        <w:rPr>
          <w:rFonts w:ascii="Arial" w:hAnsi="Arial" w:cs="Arial"/>
          <w:sz w:val="22"/>
          <w:szCs w:val="22"/>
        </w:rPr>
        <w:t xml:space="preserve">programmatic and financial </w:t>
      </w:r>
      <w:r w:rsidR="009C0830" w:rsidRPr="00E80114">
        <w:rPr>
          <w:rFonts w:ascii="Arial" w:hAnsi="Arial" w:cs="Arial"/>
          <w:sz w:val="22"/>
          <w:szCs w:val="22"/>
        </w:rPr>
        <w:t xml:space="preserve">management of GP3. </w:t>
      </w:r>
      <w:r w:rsidR="000828BE" w:rsidRPr="000828BE">
        <w:rPr>
          <w:rFonts w:ascii="Arial" w:hAnsi="Arial" w:cs="Arial"/>
          <w:sz w:val="22"/>
          <w:szCs w:val="22"/>
        </w:rPr>
        <w:t xml:space="preserve">In addition, the GFP “core team” (currently three people) has experienced relatively high turnover and depended in large part on secondments and UN Volunteers to support its operations. Informants noted that this team had been fully </w:t>
      </w:r>
      <w:r w:rsidR="000828BE" w:rsidRPr="000828BE">
        <w:rPr>
          <w:rFonts w:ascii="Arial" w:eastAsia="Times New Roman" w:cs="Arial"/>
          <w:color w:val="404040"/>
          <w:sz w:val="22"/>
          <w:szCs w:val="22"/>
          <w:lang w:val="en-US"/>
        </w:rPr>
        <w:t>staffed for only eight months in the last four years, hamper</w:t>
      </w:r>
      <w:r>
        <w:rPr>
          <w:rFonts w:ascii="Arial" w:eastAsia="Times New Roman" w:cs="Arial"/>
          <w:color w:val="404040"/>
          <w:sz w:val="22"/>
          <w:szCs w:val="22"/>
          <w:lang w:val="en-US"/>
        </w:rPr>
        <w:t>ing</w:t>
      </w:r>
      <w:r w:rsidR="000828BE" w:rsidRPr="000828BE">
        <w:rPr>
          <w:rFonts w:ascii="Arial" w:eastAsia="Times New Roman" w:cs="Arial"/>
          <w:color w:val="404040"/>
          <w:sz w:val="22"/>
          <w:szCs w:val="22"/>
          <w:lang w:val="en-US"/>
        </w:rPr>
        <w:t xml:space="preserve"> consolidation of the GFP platform.</w:t>
      </w:r>
      <w:r w:rsidR="000828BE">
        <w:rPr>
          <w:rFonts w:ascii="Arial" w:eastAsia="Times New Roman" w:cs="Arial"/>
          <w:color w:val="404040"/>
          <w:sz w:val="24"/>
          <w:szCs w:val="24"/>
          <w:lang w:val="en-US"/>
        </w:rPr>
        <w:t xml:space="preserve"> </w:t>
      </w:r>
    </w:p>
    <w:p w14:paraId="0D2971C4" w14:textId="4E50B433" w:rsidR="005B2D40" w:rsidRDefault="005B2D40" w:rsidP="005B2D40">
      <w:pPr>
        <w:pStyle w:val="Heading2"/>
      </w:pPr>
      <w:bookmarkStart w:id="23" w:name="_Toc71701892"/>
      <w:r w:rsidRPr="0029366C">
        <w:t xml:space="preserve">Country Level </w:t>
      </w:r>
      <w:r>
        <w:t>Findings</w:t>
      </w:r>
      <w:r w:rsidRPr="0029366C">
        <w:t xml:space="preserve"> on </w:t>
      </w:r>
      <w:r>
        <w:t>Efficiency</w:t>
      </w:r>
      <w:bookmarkEnd w:id="23"/>
    </w:p>
    <w:p w14:paraId="09834CE4" w14:textId="091DDB1A" w:rsidR="005B2D40" w:rsidRPr="007D272B" w:rsidRDefault="005B2D40" w:rsidP="005B2D40">
      <w:pPr>
        <w:spacing w:after="0" w:line="240" w:lineRule="auto"/>
        <w:ind w:hanging="2"/>
        <w:jc w:val="both"/>
        <w:rPr>
          <w:rFonts w:ascii="Arial" w:hAnsi="Arial" w:cs="Arial"/>
          <w:b/>
          <w:bCs/>
          <w:i/>
          <w:iCs/>
          <w:color w:val="000000"/>
          <w:sz w:val="22"/>
          <w:szCs w:val="22"/>
          <w:highlight w:val="white"/>
          <w:lang w:val="en-US"/>
        </w:rPr>
      </w:pPr>
      <w:r w:rsidRPr="007D272B">
        <w:rPr>
          <w:rFonts w:ascii="Arial" w:hAnsi="Arial" w:cs="Arial"/>
          <w:b/>
          <w:bCs/>
          <w:i/>
          <w:iCs/>
          <w:color w:val="000000"/>
          <w:sz w:val="22"/>
          <w:szCs w:val="22"/>
          <w:highlight w:val="white"/>
        </w:rPr>
        <w:t xml:space="preserve">Evaluation Questions: </w:t>
      </w:r>
    </w:p>
    <w:p w14:paraId="76B8E64A" w14:textId="07863CE7" w:rsidR="005B2D40" w:rsidRPr="007D272B" w:rsidRDefault="005B2D40" w:rsidP="00567956">
      <w:pPr>
        <w:pStyle w:val="ListParagraph"/>
        <w:numPr>
          <w:ilvl w:val="0"/>
          <w:numId w:val="16"/>
        </w:numPr>
        <w:spacing w:after="0" w:line="240" w:lineRule="auto"/>
        <w:jc w:val="both"/>
        <w:rPr>
          <w:rFonts w:ascii="Arial" w:hAnsi="Arial" w:cs="Arial"/>
          <w:i/>
          <w:iCs/>
          <w:color w:val="000000"/>
          <w:sz w:val="22"/>
          <w:szCs w:val="22"/>
          <w:highlight w:val="white"/>
          <w:lang w:val="en-US"/>
        </w:rPr>
      </w:pPr>
      <w:r w:rsidRPr="007D272B">
        <w:rPr>
          <w:rFonts w:ascii="Arial" w:hAnsi="Arial" w:cs="Arial"/>
          <w:i/>
          <w:iCs/>
          <w:color w:val="000000"/>
          <w:sz w:val="22"/>
          <w:szCs w:val="22"/>
          <w:highlight w:val="white"/>
          <w:lang w:val="en-US"/>
        </w:rPr>
        <w:t xml:space="preserve">To what extent have the GP3’s management, operational, financial and administrative systems and structures (including SOPs and business processes) been effective in supporting implementation at country level?   </w:t>
      </w:r>
    </w:p>
    <w:p w14:paraId="2E678FF5" w14:textId="77777777" w:rsidR="005B2D40" w:rsidRPr="007D272B" w:rsidRDefault="005B2D40" w:rsidP="00567956">
      <w:pPr>
        <w:pStyle w:val="ListParagraph"/>
        <w:numPr>
          <w:ilvl w:val="0"/>
          <w:numId w:val="16"/>
        </w:numPr>
        <w:spacing w:after="0" w:line="240" w:lineRule="auto"/>
        <w:jc w:val="both"/>
        <w:rPr>
          <w:rFonts w:ascii="Arial" w:hAnsi="Arial" w:cs="Arial"/>
          <w:i/>
          <w:iCs/>
          <w:color w:val="000000"/>
          <w:sz w:val="22"/>
          <w:szCs w:val="22"/>
          <w:highlight w:val="white"/>
          <w:lang w:val="en-US"/>
        </w:rPr>
      </w:pPr>
      <w:r w:rsidRPr="007D272B">
        <w:rPr>
          <w:rFonts w:ascii="Arial" w:hAnsi="Arial" w:cs="Arial"/>
          <w:i/>
          <w:iCs/>
          <w:color w:val="000000"/>
          <w:sz w:val="22"/>
          <w:szCs w:val="22"/>
          <w:highlight w:val="white"/>
          <w:lang w:val="en-US"/>
        </w:rPr>
        <w:t xml:space="preserve">To what extent have GP3-awarded funds been absorbed on a timely basis? </w:t>
      </w:r>
    </w:p>
    <w:p w14:paraId="560A7335" w14:textId="77777777" w:rsidR="005B2D40" w:rsidRPr="007D272B" w:rsidRDefault="005B2D40" w:rsidP="00567956">
      <w:pPr>
        <w:pStyle w:val="ListParagraph"/>
        <w:numPr>
          <w:ilvl w:val="0"/>
          <w:numId w:val="16"/>
        </w:numPr>
        <w:spacing w:after="0" w:line="240" w:lineRule="auto"/>
        <w:jc w:val="both"/>
        <w:rPr>
          <w:rFonts w:ascii="Arial" w:hAnsi="Arial" w:cs="Arial"/>
          <w:i/>
          <w:iCs/>
          <w:color w:val="000000"/>
          <w:sz w:val="22"/>
          <w:szCs w:val="22"/>
          <w:highlight w:val="white"/>
          <w:lang w:val="en-US"/>
        </w:rPr>
      </w:pPr>
      <w:r w:rsidRPr="007D272B">
        <w:rPr>
          <w:rFonts w:ascii="Arial" w:hAnsi="Arial" w:cs="Arial"/>
          <w:i/>
          <w:iCs/>
          <w:color w:val="000000"/>
          <w:sz w:val="22"/>
          <w:szCs w:val="22"/>
          <w:highlight w:val="white"/>
          <w:lang w:val="en-US"/>
        </w:rPr>
        <w:t xml:space="preserve">What have been the correlation patterns between delivery rate (fund absorption: expenditures/ available resources) and progress against indicator targets?  </w:t>
      </w:r>
    </w:p>
    <w:p w14:paraId="69F2A3D9" w14:textId="77777777" w:rsidR="005B2D40" w:rsidRPr="007D272B" w:rsidRDefault="005B2D40" w:rsidP="00567956">
      <w:pPr>
        <w:pStyle w:val="ListParagraph"/>
        <w:numPr>
          <w:ilvl w:val="0"/>
          <w:numId w:val="16"/>
        </w:numPr>
        <w:spacing w:after="0" w:line="240" w:lineRule="auto"/>
        <w:jc w:val="both"/>
        <w:rPr>
          <w:rFonts w:ascii="Arial" w:hAnsi="Arial" w:cs="Arial"/>
          <w:i/>
          <w:iCs/>
          <w:color w:val="000000"/>
          <w:sz w:val="22"/>
          <w:szCs w:val="22"/>
          <w:highlight w:val="white"/>
          <w:lang w:val="en-US"/>
        </w:rPr>
      </w:pPr>
      <w:r w:rsidRPr="007D272B">
        <w:rPr>
          <w:rFonts w:ascii="Arial" w:hAnsi="Arial" w:cs="Arial"/>
          <w:i/>
          <w:iCs/>
          <w:color w:val="000000"/>
          <w:sz w:val="22"/>
          <w:szCs w:val="22"/>
          <w:highlight w:val="white"/>
          <w:lang w:val="en-US"/>
        </w:rPr>
        <w:t xml:space="preserve">What is the quality of GP3-related Monitoring &amp; Reporting, Evaluation and Knowledge Management at field level?  </w:t>
      </w:r>
    </w:p>
    <w:p w14:paraId="1C84B5BE" w14:textId="77777777" w:rsidR="005B2D40" w:rsidRPr="007D272B" w:rsidRDefault="005B2D40" w:rsidP="00567956">
      <w:pPr>
        <w:pStyle w:val="ListParagraph"/>
        <w:numPr>
          <w:ilvl w:val="0"/>
          <w:numId w:val="16"/>
        </w:numPr>
        <w:spacing w:after="0" w:line="240" w:lineRule="auto"/>
        <w:jc w:val="both"/>
        <w:rPr>
          <w:rFonts w:ascii="Arial" w:hAnsi="Arial" w:cs="Arial"/>
          <w:i/>
          <w:iCs/>
          <w:color w:val="000000"/>
          <w:sz w:val="22"/>
          <w:szCs w:val="22"/>
          <w:highlight w:val="white"/>
          <w:lang w:val="en-US"/>
        </w:rPr>
      </w:pPr>
      <w:r w:rsidRPr="007D272B">
        <w:rPr>
          <w:rFonts w:ascii="Arial" w:hAnsi="Arial" w:cs="Arial"/>
          <w:i/>
          <w:iCs/>
          <w:color w:val="000000"/>
          <w:sz w:val="22"/>
          <w:szCs w:val="22"/>
          <w:highlight w:val="white"/>
          <w:lang w:val="en-US"/>
        </w:rPr>
        <w:t xml:space="preserve">To what extent is a standard M&amp;E/Knowledge Management approach applied across all GP3 countries (common database, M&amp;E reference guidelines with clear and unambiguous meta data definitions etc.)? </w:t>
      </w:r>
    </w:p>
    <w:p w14:paraId="2A3D01CE" w14:textId="77777777" w:rsidR="005B2D40" w:rsidRPr="007D272B" w:rsidRDefault="005B2D40" w:rsidP="00567956">
      <w:pPr>
        <w:pStyle w:val="ListParagraph"/>
        <w:numPr>
          <w:ilvl w:val="0"/>
          <w:numId w:val="16"/>
        </w:numPr>
        <w:spacing w:after="0" w:line="240" w:lineRule="auto"/>
        <w:jc w:val="both"/>
        <w:rPr>
          <w:rFonts w:ascii="Arial" w:hAnsi="Arial" w:cs="Arial"/>
          <w:i/>
          <w:iCs/>
          <w:color w:val="000000"/>
          <w:sz w:val="22"/>
          <w:szCs w:val="22"/>
          <w:lang w:val="en-US"/>
        </w:rPr>
      </w:pPr>
      <w:r w:rsidRPr="007D272B">
        <w:rPr>
          <w:rFonts w:ascii="Arial" w:hAnsi="Arial" w:cs="Arial"/>
          <w:i/>
          <w:iCs/>
          <w:color w:val="000000"/>
          <w:sz w:val="22"/>
          <w:szCs w:val="22"/>
          <w:highlight w:val="white"/>
          <w:lang w:val="en-US"/>
        </w:rPr>
        <w:t>Are standardized systems, norms, tools, processes and practices “owned” and applied by country level staff; or is there room for improvement (and if so, where/ how)?</w:t>
      </w:r>
    </w:p>
    <w:p w14:paraId="525D19E7" w14:textId="77777777" w:rsidR="005B2D40" w:rsidRDefault="005B2D40" w:rsidP="007D6022">
      <w:pPr>
        <w:spacing w:line="240" w:lineRule="auto"/>
        <w:jc w:val="both"/>
        <w:rPr>
          <w:rFonts w:ascii="Arial" w:hAnsi="Arial" w:cs="Arial"/>
          <w:i/>
          <w:iCs/>
          <w:lang w:val="en-US"/>
        </w:rPr>
      </w:pPr>
    </w:p>
    <w:p w14:paraId="6A0C9EBE" w14:textId="5F0FCE3D" w:rsidR="005B2D40" w:rsidRPr="00E80114" w:rsidRDefault="00461C0C" w:rsidP="00E80114">
      <w:pPr>
        <w:spacing w:line="240" w:lineRule="auto"/>
        <w:rPr>
          <w:rFonts w:ascii="Arial" w:eastAsia="Times New Roman" w:hAnsi="Arial" w:cs="Arial"/>
          <w:b/>
          <w:bCs/>
          <w:color w:val="000000"/>
          <w:sz w:val="22"/>
          <w:szCs w:val="22"/>
          <w:lang w:val="en-US" w:eastAsia="de-DE"/>
        </w:rPr>
      </w:pPr>
      <w:r>
        <w:rPr>
          <w:rFonts w:ascii="Arial" w:hAnsi="Arial" w:cs="Arial"/>
          <w:b/>
          <w:bCs/>
          <w:i/>
          <w:iCs/>
          <w:sz w:val="22"/>
          <w:szCs w:val="22"/>
          <w:lang w:val="en-US"/>
        </w:rPr>
        <w:t xml:space="preserve">N.B. </w:t>
      </w:r>
      <w:r w:rsidR="005B2D40" w:rsidRPr="00E80114">
        <w:rPr>
          <w:rFonts w:ascii="Arial" w:hAnsi="Arial" w:cs="Arial"/>
          <w:b/>
          <w:bCs/>
          <w:i/>
          <w:iCs/>
          <w:sz w:val="22"/>
          <w:szCs w:val="22"/>
          <w:lang w:val="en-US"/>
        </w:rPr>
        <w:t xml:space="preserve">To </w:t>
      </w:r>
      <w:r w:rsidR="002629FB" w:rsidRPr="00E80114">
        <w:rPr>
          <w:rFonts w:ascii="Arial" w:hAnsi="Arial" w:cs="Arial"/>
          <w:b/>
          <w:bCs/>
          <w:i/>
          <w:iCs/>
          <w:sz w:val="22"/>
          <w:szCs w:val="22"/>
          <w:lang w:val="en-US"/>
        </w:rPr>
        <w:t>minimize</w:t>
      </w:r>
      <w:r w:rsidR="005B2D40" w:rsidRPr="00E80114">
        <w:rPr>
          <w:rFonts w:ascii="Arial" w:hAnsi="Arial" w:cs="Arial"/>
          <w:b/>
          <w:bCs/>
          <w:i/>
          <w:iCs/>
          <w:sz w:val="22"/>
          <w:szCs w:val="22"/>
          <w:lang w:val="en-US"/>
        </w:rPr>
        <w:t xml:space="preserve"> repetition, the analysis </w:t>
      </w:r>
      <w:r w:rsidR="002629FB" w:rsidRPr="00E80114">
        <w:rPr>
          <w:rFonts w:ascii="Arial" w:hAnsi="Arial" w:cs="Arial"/>
          <w:b/>
          <w:bCs/>
          <w:i/>
          <w:iCs/>
          <w:sz w:val="22"/>
          <w:szCs w:val="22"/>
          <w:lang w:val="en-US"/>
        </w:rPr>
        <w:t>under</w:t>
      </w:r>
      <w:r w:rsidR="005B2D40" w:rsidRPr="00E80114">
        <w:rPr>
          <w:rFonts w:ascii="Arial" w:hAnsi="Arial" w:cs="Arial"/>
          <w:b/>
          <w:bCs/>
          <w:i/>
          <w:iCs/>
          <w:sz w:val="22"/>
          <w:szCs w:val="22"/>
          <w:lang w:val="en-US"/>
        </w:rPr>
        <w:t xml:space="preserve"> this criterion blends elements from different country studies</w:t>
      </w:r>
      <w:r w:rsidR="002629FB" w:rsidRPr="00E80114">
        <w:rPr>
          <w:rFonts w:ascii="Arial" w:hAnsi="Arial" w:cs="Arial"/>
          <w:b/>
          <w:bCs/>
          <w:i/>
          <w:iCs/>
          <w:sz w:val="22"/>
          <w:szCs w:val="22"/>
          <w:lang w:val="en-US"/>
        </w:rPr>
        <w:t>,</w:t>
      </w:r>
      <w:r w:rsidR="005B2D40" w:rsidRPr="00E80114">
        <w:rPr>
          <w:rFonts w:ascii="Arial" w:hAnsi="Arial" w:cs="Arial"/>
          <w:b/>
          <w:bCs/>
          <w:i/>
          <w:iCs/>
          <w:sz w:val="22"/>
          <w:szCs w:val="22"/>
          <w:lang w:val="en-US"/>
        </w:rPr>
        <w:t xml:space="preserve"> </w:t>
      </w:r>
      <w:r w:rsidR="002629FB" w:rsidRPr="00E80114">
        <w:rPr>
          <w:rFonts w:ascii="Arial" w:hAnsi="Arial" w:cs="Arial"/>
          <w:b/>
          <w:bCs/>
          <w:i/>
          <w:iCs/>
          <w:sz w:val="22"/>
          <w:szCs w:val="22"/>
          <w:lang w:val="en-US"/>
        </w:rPr>
        <w:t>because</w:t>
      </w:r>
      <w:r w:rsidR="005B2D40" w:rsidRPr="00E80114">
        <w:rPr>
          <w:rFonts w:ascii="Arial" w:hAnsi="Arial" w:cs="Arial"/>
          <w:b/>
          <w:bCs/>
          <w:i/>
          <w:iCs/>
          <w:sz w:val="22"/>
          <w:szCs w:val="22"/>
          <w:lang w:val="en-US"/>
        </w:rPr>
        <w:t xml:space="preserve"> observations were mostly similar and have been touched on already in the preceding global findings. However, notable comments and situations </w:t>
      </w:r>
      <w:r w:rsidR="002629FB" w:rsidRPr="00E80114">
        <w:rPr>
          <w:rFonts w:ascii="Arial" w:hAnsi="Arial" w:cs="Arial"/>
          <w:b/>
          <w:bCs/>
          <w:i/>
          <w:iCs/>
          <w:sz w:val="22"/>
          <w:szCs w:val="22"/>
          <w:lang w:val="en-US"/>
        </w:rPr>
        <w:t>arising in</w:t>
      </w:r>
      <w:r w:rsidR="005B2D40" w:rsidRPr="00E80114">
        <w:rPr>
          <w:rFonts w:ascii="Arial" w:hAnsi="Arial" w:cs="Arial"/>
          <w:b/>
          <w:bCs/>
          <w:i/>
          <w:iCs/>
          <w:sz w:val="22"/>
          <w:szCs w:val="22"/>
          <w:lang w:val="en-US"/>
        </w:rPr>
        <w:t xml:space="preserve"> specific countries are highlighted as relevant. </w:t>
      </w:r>
    </w:p>
    <w:p w14:paraId="0132C60E" w14:textId="76BE8E81" w:rsidR="005B2D40" w:rsidRPr="00E80114" w:rsidRDefault="005B2D40" w:rsidP="00E80114">
      <w:pPr>
        <w:spacing w:line="240" w:lineRule="auto"/>
        <w:textAlignment w:val="baseline"/>
        <w:rPr>
          <w:rFonts w:ascii="Arial" w:eastAsia="Times New Roman" w:hAnsi="Arial" w:cs="Arial"/>
          <w:color w:val="000000"/>
          <w:sz w:val="22"/>
          <w:szCs w:val="22"/>
          <w:lang w:val="en-US" w:eastAsia="de-DE"/>
        </w:rPr>
      </w:pPr>
      <w:r w:rsidRPr="00E80114">
        <w:rPr>
          <w:rFonts w:ascii="Arial" w:eastAsia="Times New Roman" w:hAnsi="Arial" w:cs="Arial"/>
          <w:color w:val="000000"/>
          <w:sz w:val="22"/>
          <w:szCs w:val="22"/>
          <w:lang w:val="en-US" w:eastAsia="de-DE"/>
        </w:rPr>
        <w:t>The funding request and review process allow</w:t>
      </w:r>
      <w:r w:rsidR="00461C0C">
        <w:rPr>
          <w:rFonts w:ascii="Arial" w:eastAsia="Times New Roman" w:hAnsi="Arial" w:cs="Arial"/>
          <w:color w:val="000000"/>
          <w:sz w:val="22"/>
          <w:szCs w:val="22"/>
          <w:lang w:val="en-US" w:eastAsia="de-DE"/>
        </w:rPr>
        <w:t>s</w:t>
      </w:r>
      <w:r w:rsidRPr="00E80114">
        <w:rPr>
          <w:rFonts w:ascii="Arial" w:eastAsia="Times New Roman" w:hAnsi="Arial" w:cs="Arial"/>
          <w:color w:val="000000"/>
          <w:sz w:val="22"/>
          <w:szCs w:val="22"/>
          <w:lang w:val="en-US" w:eastAsia="de-DE"/>
        </w:rPr>
        <w:t xml:space="preserve"> COs to take the initiative in requesting GP funds to meet eligible needs, though Focal Points usually provide technical support and guidance on what to prioritize and how to present the request to boost their chances of approval. The Focal Point responsible for monitoring each country/context and supporting their needs may be situated in regional hubs or HQ, depending on the situation. In some cases, Focal Points would trigger specific proposals by making suggestions to C</w:t>
      </w:r>
      <w:r w:rsidR="00A31AAF">
        <w:rPr>
          <w:rFonts w:ascii="Arial" w:eastAsia="Times New Roman" w:hAnsi="Arial" w:cs="Arial"/>
          <w:color w:val="000000"/>
          <w:sz w:val="22"/>
          <w:szCs w:val="22"/>
          <w:lang w:val="en-US" w:eastAsia="de-DE"/>
        </w:rPr>
        <w:t>Os</w:t>
      </w:r>
      <w:r w:rsidRPr="00E80114">
        <w:rPr>
          <w:rFonts w:ascii="Arial" w:eastAsia="Times New Roman" w:hAnsi="Arial" w:cs="Arial"/>
          <w:color w:val="000000"/>
          <w:sz w:val="22"/>
          <w:szCs w:val="22"/>
          <w:lang w:val="en-US" w:eastAsia="de-DE"/>
        </w:rPr>
        <w:t>. As one CO staff noted:</w:t>
      </w:r>
      <w:r w:rsidRPr="00E80114">
        <w:rPr>
          <w:rFonts w:ascii="Arial" w:hAnsi="Arial" w:cs="Arial"/>
          <w:i/>
          <w:iCs/>
          <w:color w:val="000000"/>
          <w:sz w:val="22"/>
          <w:szCs w:val="22"/>
          <w:lang w:val="en-US"/>
        </w:rPr>
        <w:t xml:space="preserve"> “We don’t have to do much work at concept stage, until we get assurance of funding”.</w:t>
      </w:r>
      <w:r w:rsidRPr="00E80114">
        <w:rPr>
          <w:rFonts w:ascii="Arial" w:hAnsi="Arial" w:cs="Arial"/>
          <w:color w:val="000000"/>
          <w:sz w:val="22"/>
          <w:szCs w:val="22"/>
          <w:lang w:val="en-US"/>
        </w:rPr>
        <w:t xml:space="preserve"> After that approval,</w:t>
      </w:r>
      <w:r w:rsidRPr="00E80114">
        <w:rPr>
          <w:rFonts w:ascii="Arial" w:eastAsia="Times New Roman" w:hAnsi="Arial" w:cs="Arial"/>
          <w:color w:val="000000"/>
          <w:sz w:val="22"/>
          <w:szCs w:val="22"/>
          <w:lang w:val="en-US" w:eastAsia="de-DE"/>
        </w:rPr>
        <w:t xml:space="preserve"> COs develop detailed annual work plans and budgets for entry into the ATLAS system and signoff by GP management. </w:t>
      </w:r>
    </w:p>
    <w:p w14:paraId="13E4BCAA" w14:textId="1D098C34" w:rsidR="005B2D40" w:rsidRPr="00E80114" w:rsidRDefault="00461C0C" w:rsidP="00E80114">
      <w:pPr>
        <w:spacing w:line="240" w:lineRule="auto"/>
        <w:rPr>
          <w:rFonts w:ascii="Arial" w:eastAsia="Times New Roman" w:hAnsi="Arial" w:cs="Arial"/>
          <w:sz w:val="22"/>
          <w:szCs w:val="22"/>
          <w:lang w:val="en-US" w:eastAsia="de-DE"/>
        </w:rPr>
      </w:pPr>
      <w:r>
        <w:rPr>
          <w:rFonts w:ascii="Arial" w:eastAsia="Times New Roman" w:hAnsi="Arial" w:cs="Arial"/>
          <w:sz w:val="22"/>
          <w:szCs w:val="22"/>
          <w:lang w:val="en-US" w:eastAsia="de-DE"/>
        </w:rPr>
        <w:t>COs</w:t>
      </w:r>
      <w:r w:rsidR="005B2D40" w:rsidRPr="00E80114">
        <w:rPr>
          <w:rFonts w:ascii="Arial" w:eastAsia="Times New Roman" w:hAnsi="Arial" w:cs="Arial"/>
          <w:sz w:val="22"/>
          <w:szCs w:val="22"/>
          <w:lang w:val="en-US" w:eastAsia="de-DE"/>
        </w:rPr>
        <w:t xml:space="preserve"> in case study countries pointed out that in terms of financial procedures, the current modality of transferring monies via ATLAS works very smoothly, which has resolved past delays and cumbersome procedures when the GP did not have access to the Funding Windows system. No specific issues were raised with respect to existing UNDP-internal financial management related to GP funding. As soon as the GP transfer is received, fiduciary responsibility passes to the CO, which thereby owns the funds and can manage spending in line with intended usage. In most cases, financial records show that allocated GP funds were ultimately spent by COs, although </w:t>
      </w:r>
      <w:r>
        <w:rPr>
          <w:rFonts w:ascii="Arial" w:eastAsia="Times New Roman" w:hAnsi="Arial" w:cs="Arial"/>
          <w:sz w:val="22"/>
          <w:szCs w:val="22"/>
          <w:lang w:val="en-US" w:eastAsia="de-DE"/>
        </w:rPr>
        <w:t xml:space="preserve">no-cost </w:t>
      </w:r>
      <w:r w:rsidR="005B2D40" w:rsidRPr="00E80114">
        <w:rPr>
          <w:rFonts w:ascii="Arial" w:eastAsia="Times New Roman" w:hAnsi="Arial" w:cs="Arial"/>
          <w:sz w:val="22"/>
          <w:szCs w:val="22"/>
          <w:lang w:val="en-US" w:eastAsia="de-DE"/>
        </w:rPr>
        <w:t xml:space="preserve">extensions were reportedly common. Due to the specifics of this financial management system combined with minimal GP reporting demands, it was not possible for the evaluation team to track delivery/absorption rates compared to specific results of funded activities. </w:t>
      </w:r>
    </w:p>
    <w:p w14:paraId="634AF860" w14:textId="3CB7C60F" w:rsidR="005B2D40" w:rsidRPr="00E80114" w:rsidRDefault="005B2D40" w:rsidP="00E80114">
      <w:pPr>
        <w:spacing w:line="240" w:lineRule="auto"/>
        <w:rPr>
          <w:rFonts w:ascii="Arial" w:hAnsi="Arial" w:cs="Arial"/>
          <w:color w:val="000000"/>
          <w:sz w:val="22"/>
          <w:szCs w:val="22"/>
          <w:lang w:val="en-US"/>
        </w:rPr>
      </w:pPr>
      <w:bookmarkStart w:id="24" w:name="_Hlk69938227"/>
      <w:r w:rsidRPr="00E80114">
        <w:rPr>
          <w:rFonts w:ascii="Arial" w:eastAsia="Times New Roman" w:hAnsi="Arial" w:cs="Arial"/>
          <w:sz w:val="22"/>
          <w:szCs w:val="22"/>
          <w:lang w:val="en-US" w:eastAsia="de-DE"/>
        </w:rPr>
        <w:t>The high level of flexibility</w:t>
      </w:r>
      <w:r w:rsidRPr="00E80114">
        <w:rPr>
          <w:sz w:val="22"/>
          <w:szCs w:val="22"/>
          <w:lang w:val="en-US"/>
        </w:rPr>
        <w:t xml:space="preserve"> </w:t>
      </w:r>
      <w:r w:rsidRPr="00E80114">
        <w:rPr>
          <w:rFonts w:ascii="Arial" w:eastAsia="Times New Roman" w:hAnsi="Arial" w:cs="Arial"/>
          <w:sz w:val="22"/>
          <w:szCs w:val="22"/>
          <w:lang w:val="en-US" w:eastAsia="de-DE"/>
        </w:rPr>
        <w:t xml:space="preserve">in the use of GP funding is valued by country teams, who mentioned situations arising after approval of their funding request and work plans that required a shift of financial or programmatic focus and/or extension of the project. Such changes were easy to get authorized by GP once justification was provided. </w:t>
      </w:r>
      <w:r w:rsidRPr="00E80114">
        <w:rPr>
          <w:rFonts w:ascii="Arial" w:eastAsia="Times New Roman" w:hAnsi="Arial" w:cs="Arial"/>
          <w:color w:val="000000"/>
          <w:sz w:val="22"/>
          <w:szCs w:val="22"/>
          <w:lang w:val="en-US" w:eastAsia="de-DE"/>
        </w:rPr>
        <w:t xml:space="preserve">Although generally viewed as responsive compared to other donor processes, </w:t>
      </w:r>
      <w:r w:rsidRPr="00E80114">
        <w:rPr>
          <w:rFonts w:ascii="Arial" w:hAnsi="Arial" w:cs="Arial"/>
          <w:color w:val="000000"/>
          <w:sz w:val="22"/>
          <w:szCs w:val="22"/>
          <w:lang w:val="en-US"/>
        </w:rPr>
        <w:t xml:space="preserve">a few </w:t>
      </w:r>
      <w:r w:rsidR="00461C0C">
        <w:rPr>
          <w:rFonts w:ascii="Arial" w:hAnsi="Arial" w:cs="Arial"/>
          <w:color w:val="000000"/>
          <w:sz w:val="22"/>
          <w:szCs w:val="22"/>
          <w:lang w:val="en-US"/>
        </w:rPr>
        <w:t>CO</w:t>
      </w:r>
      <w:r w:rsidRPr="00E80114">
        <w:rPr>
          <w:rFonts w:ascii="Arial" w:hAnsi="Arial" w:cs="Arial"/>
          <w:color w:val="000000"/>
          <w:sz w:val="22"/>
          <w:szCs w:val="22"/>
          <w:lang w:val="en-US"/>
        </w:rPr>
        <w:t xml:space="preserve"> informants criticized the GP pipeline process for being slow in reaching and communicating their decisions on requests. Others pointed out that </w:t>
      </w:r>
      <w:r w:rsidRPr="00E80114">
        <w:rPr>
          <w:rFonts w:ascii="Arial" w:hAnsi="Arial" w:cs="Arial"/>
          <w:i/>
          <w:iCs/>
          <w:color w:val="000000"/>
          <w:sz w:val="22"/>
          <w:szCs w:val="22"/>
          <w:lang w:val="en-US"/>
        </w:rPr>
        <w:t xml:space="preserve">“we get very little information from GP/ROL team and the process is not systematic; we are not sure how much money is available so we ask for </w:t>
      </w:r>
      <w:r w:rsidR="00512D35" w:rsidRPr="00E80114">
        <w:rPr>
          <w:rFonts w:ascii="Arial" w:hAnsi="Arial" w:cs="Arial"/>
          <w:i/>
          <w:iCs/>
          <w:color w:val="000000"/>
          <w:sz w:val="22"/>
          <w:szCs w:val="22"/>
          <w:lang w:val="en-US"/>
        </w:rPr>
        <w:t>$</w:t>
      </w:r>
      <w:r w:rsidRPr="00E80114">
        <w:rPr>
          <w:rFonts w:ascii="Arial" w:hAnsi="Arial" w:cs="Arial"/>
          <w:i/>
          <w:iCs/>
          <w:color w:val="000000"/>
          <w:sz w:val="22"/>
          <w:szCs w:val="22"/>
          <w:lang w:val="en-US"/>
        </w:rPr>
        <w:t>500</w:t>
      </w:r>
      <w:r w:rsidR="00512D35" w:rsidRPr="00E80114">
        <w:rPr>
          <w:rFonts w:ascii="Arial" w:hAnsi="Arial" w:cs="Arial"/>
          <w:i/>
          <w:iCs/>
          <w:color w:val="000000"/>
          <w:sz w:val="22"/>
          <w:szCs w:val="22"/>
          <w:lang w:val="en-US"/>
        </w:rPr>
        <w:t>,000</w:t>
      </w:r>
      <w:r w:rsidRPr="00E80114">
        <w:rPr>
          <w:rFonts w:ascii="Arial" w:hAnsi="Arial" w:cs="Arial"/>
          <w:i/>
          <w:iCs/>
          <w:color w:val="000000"/>
          <w:sz w:val="22"/>
          <w:szCs w:val="22"/>
          <w:lang w:val="en-US"/>
        </w:rPr>
        <w:t xml:space="preserve">, but maybe there is only </w:t>
      </w:r>
      <w:r w:rsidR="00512D35" w:rsidRPr="00E80114">
        <w:rPr>
          <w:rFonts w:ascii="Arial" w:hAnsi="Arial" w:cs="Arial"/>
          <w:i/>
          <w:iCs/>
          <w:color w:val="000000"/>
          <w:sz w:val="22"/>
          <w:szCs w:val="22"/>
          <w:lang w:val="en-US"/>
        </w:rPr>
        <w:t>$</w:t>
      </w:r>
      <w:r w:rsidRPr="00E80114">
        <w:rPr>
          <w:rFonts w:ascii="Arial" w:hAnsi="Arial" w:cs="Arial"/>
          <w:i/>
          <w:iCs/>
          <w:color w:val="000000"/>
          <w:sz w:val="22"/>
          <w:szCs w:val="22"/>
          <w:lang w:val="en-US"/>
        </w:rPr>
        <w:t>200</w:t>
      </w:r>
      <w:r w:rsidR="00512D35" w:rsidRPr="00E80114">
        <w:rPr>
          <w:rFonts w:ascii="Arial" w:hAnsi="Arial" w:cs="Arial"/>
          <w:i/>
          <w:iCs/>
          <w:color w:val="000000"/>
          <w:sz w:val="22"/>
          <w:szCs w:val="22"/>
          <w:lang w:val="en-US"/>
        </w:rPr>
        <w:t>,000</w:t>
      </w:r>
      <w:r w:rsidRPr="00E80114">
        <w:rPr>
          <w:rFonts w:ascii="Arial" w:hAnsi="Arial" w:cs="Arial"/>
          <w:i/>
          <w:iCs/>
          <w:color w:val="000000"/>
          <w:sz w:val="22"/>
          <w:szCs w:val="22"/>
          <w:lang w:val="en-US"/>
        </w:rPr>
        <w:t xml:space="preserve"> available. Later we have to figure out how to spend that smaller amount without any reasons given by management. We usually get less than we request, so we pitch for a bit more.” </w:t>
      </w:r>
    </w:p>
    <w:bookmarkEnd w:id="24"/>
    <w:p w14:paraId="57F20ABE" w14:textId="6D120476" w:rsidR="005B2D40" w:rsidRPr="00E80114" w:rsidRDefault="005B2D40" w:rsidP="00E80114">
      <w:pPr>
        <w:spacing w:line="240" w:lineRule="auto"/>
        <w:textAlignment w:val="baseline"/>
        <w:rPr>
          <w:rFonts w:ascii="Arial" w:hAnsi="Arial" w:cs="Arial"/>
          <w:color w:val="000000"/>
          <w:sz w:val="22"/>
          <w:szCs w:val="22"/>
          <w:lang w:val="en-US"/>
        </w:rPr>
      </w:pPr>
      <w:r w:rsidRPr="00E80114">
        <w:rPr>
          <w:rFonts w:ascii="Arial" w:eastAsia="Times New Roman" w:hAnsi="Arial" w:cs="Arial"/>
          <w:sz w:val="22"/>
          <w:szCs w:val="22"/>
          <w:lang w:val="en-US" w:eastAsia="de-DE"/>
        </w:rPr>
        <w:t xml:space="preserve">One </w:t>
      </w:r>
      <w:r w:rsidR="00512D35" w:rsidRPr="00E80114">
        <w:rPr>
          <w:rFonts w:ascii="Arial" w:eastAsia="Times New Roman" w:hAnsi="Arial" w:cs="Arial"/>
          <w:sz w:val="22"/>
          <w:szCs w:val="22"/>
          <w:lang w:val="en-US" w:eastAsia="de-DE"/>
        </w:rPr>
        <w:t>CO</w:t>
      </w:r>
      <w:r w:rsidRPr="00E80114">
        <w:rPr>
          <w:rFonts w:ascii="Arial" w:eastAsia="Times New Roman" w:hAnsi="Arial" w:cs="Arial"/>
          <w:sz w:val="22"/>
          <w:szCs w:val="22"/>
          <w:lang w:val="en-US" w:eastAsia="de-DE"/>
        </w:rPr>
        <w:t xml:space="preserve"> expressed concerns that their Focal Point in the regional office </w:t>
      </w:r>
      <w:r w:rsidR="00461C0C">
        <w:rPr>
          <w:rFonts w:ascii="Arial" w:eastAsia="Times New Roman" w:hAnsi="Arial" w:cs="Arial"/>
          <w:sz w:val="22"/>
          <w:szCs w:val="22"/>
          <w:lang w:val="en-US" w:eastAsia="de-DE"/>
        </w:rPr>
        <w:t>served</w:t>
      </w:r>
      <w:r w:rsidRPr="00E80114">
        <w:rPr>
          <w:rFonts w:ascii="Arial" w:eastAsia="Times New Roman" w:hAnsi="Arial" w:cs="Arial"/>
          <w:sz w:val="22"/>
          <w:szCs w:val="22"/>
          <w:lang w:val="en-US" w:eastAsia="de-DE"/>
        </w:rPr>
        <w:t xml:space="preserve"> as a kind of gatekeeper, with control over </w:t>
      </w:r>
      <w:r w:rsidRPr="00E80114">
        <w:rPr>
          <w:rFonts w:ascii="Arial" w:hAnsi="Arial" w:cs="Arial"/>
          <w:color w:val="000000"/>
          <w:sz w:val="22"/>
          <w:szCs w:val="22"/>
          <w:lang w:val="en-US"/>
        </w:rPr>
        <w:t>information flows between CO and decision-makers in HQ, noting: “</w:t>
      </w:r>
      <w:r w:rsidRPr="00E80114">
        <w:rPr>
          <w:rFonts w:ascii="Arial" w:hAnsi="Arial" w:cs="Arial"/>
          <w:i/>
          <w:iCs/>
          <w:color w:val="000000"/>
          <w:sz w:val="22"/>
          <w:szCs w:val="22"/>
          <w:lang w:val="en-US"/>
        </w:rPr>
        <w:t>We are not sure if messages reach all the way up. HQ should study leveraging capacity of projects… instead of limiting us at proposal stage. They should hear our case before deciding– often we do not receive any feedback, at all</w:t>
      </w:r>
      <w:r w:rsidRPr="00E80114">
        <w:rPr>
          <w:rFonts w:ascii="Arial" w:hAnsi="Arial" w:cs="Arial"/>
          <w:color w:val="000000"/>
          <w:sz w:val="22"/>
          <w:szCs w:val="22"/>
          <w:lang w:val="en-US"/>
        </w:rPr>
        <w:t xml:space="preserve">”). On the other hand, </w:t>
      </w:r>
      <w:r w:rsidRPr="00E80114">
        <w:rPr>
          <w:rFonts w:ascii="Arial" w:eastAsia="Times New Roman" w:hAnsi="Arial" w:cs="Arial"/>
          <w:color w:val="000000"/>
          <w:sz w:val="22"/>
          <w:szCs w:val="22"/>
          <w:lang w:val="en-US" w:eastAsia="de-DE"/>
        </w:rPr>
        <w:t xml:space="preserve">one regional hub team pointed out that given the evolving need for cross-border ROLSHR programming, the current funding mechanism should be revamped to better accommodate the needs of complex multi-country crises.  </w:t>
      </w:r>
    </w:p>
    <w:p w14:paraId="52EA8FE0" w14:textId="297BEA88" w:rsidR="005B2D40" w:rsidRPr="00E80114" w:rsidRDefault="005B2D40" w:rsidP="00E80114">
      <w:pPr>
        <w:spacing w:line="240" w:lineRule="auto"/>
        <w:textAlignment w:val="baseline"/>
        <w:rPr>
          <w:rFonts w:ascii="Arial" w:eastAsia="Times New Roman" w:hAnsi="Arial" w:cs="Arial"/>
          <w:color w:val="000000"/>
          <w:sz w:val="22"/>
          <w:szCs w:val="22"/>
          <w:lang w:val="en-US" w:eastAsia="de-DE"/>
        </w:rPr>
      </w:pPr>
      <w:r w:rsidRPr="00E80114">
        <w:rPr>
          <w:rFonts w:ascii="Arial" w:eastAsia="Times New Roman" w:hAnsi="Arial" w:cs="Arial"/>
          <w:color w:val="000000"/>
          <w:sz w:val="22"/>
          <w:szCs w:val="22"/>
          <w:lang w:val="en-US" w:eastAsia="de-DE"/>
        </w:rPr>
        <w:t xml:space="preserve">Despite the </w:t>
      </w:r>
      <w:r w:rsidR="00461C0C">
        <w:rPr>
          <w:rFonts w:ascii="Arial" w:eastAsia="Times New Roman" w:hAnsi="Arial" w:cs="Arial"/>
          <w:color w:val="000000"/>
          <w:sz w:val="22"/>
          <w:szCs w:val="22"/>
          <w:lang w:val="en-US" w:eastAsia="de-DE"/>
        </w:rPr>
        <w:t>possibility of extension</w:t>
      </w:r>
      <w:r w:rsidRPr="00E80114">
        <w:rPr>
          <w:rFonts w:ascii="Arial" w:eastAsia="Times New Roman" w:hAnsi="Arial" w:cs="Arial"/>
          <w:color w:val="000000"/>
          <w:sz w:val="22"/>
          <w:szCs w:val="22"/>
          <w:lang w:val="en-US" w:eastAsia="de-DE"/>
        </w:rPr>
        <w:t xml:space="preserve">, the short duration of 12 months for implementation of GP funding was seen by most </w:t>
      </w:r>
      <w:r w:rsidR="00461C0C">
        <w:rPr>
          <w:rFonts w:ascii="Arial" w:eastAsia="Times New Roman" w:hAnsi="Arial" w:cs="Arial"/>
          <w:color w:val="000000"/>
          <w:sz w:val="22"/>
          <w:szCs w:val="22"/>
          <w:lang w:val="en-US" w:eastAsia="de-DE"/>
        </w:rPr>
        <w:t>CO</w:t>
      </w:r>
      <w:r w:rsidRPr="00E80114">
        <w:rPr>
          <w:rFonts w:ascii="Arial" w:eastAsia="Times New Roman" w:hAnsi="Arial" w:cs="Arial"/>
          <w:color w:val="000000"/>
          <w:sz w:val="22"/>
          <w:szCs w:val="22"/>
          <w:lang w:val="en-US" w:eastAsia="de-DE"/>
        </w:rPr>
        <w:t xml:space="preserve"> staff as problematic. It was criticized for creating uncertainty and greater risk of funding gaps, necessitating additional effort to repeatedly submit requests. Since unspent GP funds are a significant factor against approval of a new funding request, this inevitably leads to gaps </w:t>
      </w:r>
      <w:r w:rsidR="00461C0C">
        <w:rPr>
          <w:rFonts w:ascii="Arial" w:eastAsia="Times New Roman" w:hAnsi="Arial" w:cs="Arial"/>
          <w:color w:val="000000"/>
          <w:sz w:val="22"/>
          <w:szCs w:val="22"/>
          <w:lang w:val="en-US" w:eastAsia="de-DE"/>
        </w:rPr>
        <w:t>in meeting</w:t>
      </w:r>
      <w:r w:rsidRPr="00E80114">
        <w:rPr>
          <w:rFonts w:ascii="Arial" w:eastAsia="Times New Roman" w:hAnsi="Arial" w:cs="Arial"/>
          <w:color w:val="000000"/>
          <w:sz w:val="22"/>
          <w:szCs w:val="22"/>
          <w:lang w:val="en-US" w:eastAsia="de-DE"/>
        </w:rPr>
        <w:t xml:space="preserve"> ongoing need</w:t>
      </w:r>
      <w:r w:rsidR="00461C0C">
        <w:rPr>
          <w:rFonts w:ascii="Arial" w:eastAsia="Times New Roman" w:hAnsi="Arial" w:cs="Arial"/>
          <w:color w:val="000000"/>
          <w:sz w:val="22"/>
          <w:szCs w:val="22"/>
          <w:lang w:val="en-US" w:eastAsia="de-DE"/>
        </w:rPr>
        <w:t>s</w:t>
      </w:r>
      <w:r w:rsidRPr="00E80114">
        <w:rPr>
          <w:rFonts w:ascii="Arial" w:eastAsia="Times New Roman" w:hAnsi="Arial" w:cs="Arial"/>
          <w:color w:val="000000"/>
          <w:sz w:val="22"/>
          <w:szCs w:val="22"/>
          <w:lang w:val="en-US" w:eastAsia="de-DE"/>
        </w:rPr>
        <w:t xml:space="preserve">. Informants commented that the one-year duration creates pressure to implement activities quickly, and tangible results are difficult to produce in such a short time. Numerous stakeholders said that </w:t>
      </w:r>
      <w:r w:rsidR="00461C0C">
        <w:rPr>
          <w:rFonts w:ascii="Arial" w:eastAsia="Times New Roman" w:hAnsi="Arial" w:cs="Arial"/>
          <w:color w:val="000000"/>
          <w:sz w:val="22"/>
          <w:szCs w:val="22"/>
          <w:lang w:val="en-US" w:eastAsia="de-DE"/>
        </w:rPr>
        <w:t xml:space="preserve">a longer duration from the outset </w:t>
      </w:r>
      <w:r w:rsidRPr="00E80114">
        <w:rPr>
          <w:rFonts w:ascii="Arial" w:eastAsia="Times New Roman" w:hAnsi="Arial" w:cs="Arial"/>
          <w:color w:val="000000"/>
          <w:sz w:val="22"/>
          <w:szCs w:val="22"/>
          <w:lang w:val="en-US" w:eastAsia="de-DE"/>
        </w:rPr>
        <w:t xml:space="preserve">would </w:t>
      </w:r>
      <w:r w:rsidR="00461C0C">
        <w:rPr>
          <w:rFonts w:ascii="Arial" w:eastAsia="Times New Roman" w:hAnsi="Arial" w:cs="Arial"/>
          <w:color w:val="000000"/>
          <w:sz w:val="22"/>
          <w:szCs w:val="22"/>
          <w:lang w:val="en-US" w:eastAsia="de-DE"/>
        </w:rPr>
        <w:t>facilitate</w:t>
      </w:r>
      <w:r w:rsidRPr="00E80114">
        <w:rPr>
          <w:rFonts w:ascii="Arial" w:eastAsia="Times New Roman" w:hAnsi="Arial" w:cs="Arial"/>
          <w:color w:val="000000"/>
          <w:sz w:val="22"/>
          <w:szCs w:val="22"/>
          <w:lang w:val="en-US" w:eastAsia="de-DE"/>
        </w:rPr>
        <w:t xml:space="preserve"> </w:t>
      </w:r>
      <w:r w:rsidR="00461C0C" w:rsidRPr="00E80114">
        <w:rPr>
          <w:rFonts w:ascii="Arial" w:eastAsia="Times New Roman" w:hAnsi="Arial" w:cs="Arial"/>
          <w:color w:val="000000"/>
          <w:sz w:val="22"/>
          <w:szCs w:val="22"/>
          <w:lang w:val="en-US" w:eastAsia="de-DE"/>
        </w:rPr>
        <w:t xml:space="preserve">longer term </w:t>
      </w:r>
      <w:r w:rsidRPr="00E80114">
        <w:rPr>
          <w:rFonts w:ascii="Arial" w:eastAsia="Times New Roman" w:hAnsi="Arial" w:cs="Arial"/>
          <w:color w:val="000000"/>
          <w:sz w:val="22"/>
          <w:szCs w:val="22"/>
          <w:lang w:val="en-US" w:eastAsia="de-DE"/>
        </w:rPr>
        <w:t>plan</w:t>
      </w:r>
      <w:r w:rsidR="00461C0C">
        <w:rPr>
          <w:rFonts w:ascii="Arial" w:eastAsia="Times New Roman" w:hAnsi="Arial" w:cs="Arial"/>
          <w:color w:val="000000"/>
          <w:sz w:val="22"/>
          <w:szCs w:val="22"/>
          <w:lang w:val="en-US" w:eastAsia="de-DE"/>
        </w:rPr>
        <w:t>ning</w:t>
      </w:r>
      <w:r w:rsidRPr="00E80114">
        <w:rPr>
          <w:rFonts w:ascii="Arial" w:eastAsia="Times New Roman" w:hAnsi="Arial" w:cs="Arial"/>
          <w:color w:val="000000"/>
          <w:sz w:val="22"/>
          <w:szCs w:val="22"/>
          <w:lang w:val="en-US" w:eastAsia="de-DE"/>
        </w:rPr>
        <w:t xml:space="preserve">. UNDP staff in Pakistan pointed out that specifically for activities with the </w:t>
      </w:r>
      <w:r w:rsidRPr="00E80114">
        <w:rPr>
          <w:rFonts w:ascii="Arial" w:hAnsi="Arial" w:cs="Arial"/>
          <w:color w:val="000000"/>
          <w:sz w:val="22"/>
          <w:szCs w:val="22"/>
          <w:lang w:val="en-US"/>
        </w:rPr>
        <w:t>government, the timeline is a major challenge since the administrative bureaucracy “</w:t>
      </w:r>
      <w:r w:rsidRPr="00E80114">
        <w:rPr>
          <w:rFonts w:ascii="Arial" w:hAnsi="Arial" w:cs="Arial"/>
          <w:i/>
          <w:iCs/>
          <w:color w:val="000000"/>
          <w:sz w:val="22"/>
          <w:szCs w:val="22"/>
          <w:lang w:val="en-US"/>
        </w:rPr>
        <w:t>can sometimes be very slow</w:t>
      </w:r>
      <w:r w:rsidRPr="00E80114">
        <w:rPr>
          <w:rFonts w:ascii="Arial" w:hAnsi="Arial" w:cs="Arial"/>
          <w:color w:val="000000"/>
          <w:sz w:val="22"/>
          <w:szCs w:val="22"/>
          <w:lang w:val="en-US"/>
        </w:rPr>
        <w:t xml:space="preserve">”. </w:t>
      </w:r>
    </w:p>
    <w:p w14:paraId="55ADF45C" w14:textId="2448E297" w:rsidR="005B2D40" w:rsidRPr="00E80114" w:rsidRDefault="005B2D40" w:rsidP="00E80114">
      <w:pPr>
        <w:pStyle w:val="NormalWeb"/>
        <w:spacing w:before="0" w:beforeAutospacing="0" w:after="120" w:afterAutospacing="0"/>
        <w:textAlignment w:val="baseline"/>
        <w:rPr>
          <w:rFonts w:ascii="Arial" w:hAnsi="Arial" w:cs="Arial"/>
          <w:color w:val="000000"/>
          <w:sz w:val="22"/>
          <w:szCs w:val="22"/>
          <w:lang w:val="en-US"/>
        </w:rPr>
      </w:pPr>
      <w:r w:rsidRPr="00E80114">
        <w:rPr>
          <w:rFonts w:ascii="Arial" w:hAnsi="Arial" w:cs="Arial"/>
          <w:color w:val="000000"/>
          <w:sz w:val="22"/>
          <w:szCs w:val="22"/>
          <w:lang w:val="en-US"/>
        </w:rPr>
        <w:t xml:space="preserve">With regards to the inter-related areas of </w:t>
      </w:r>
      <w:r w:rsidR="00461C0C">
        <w:rPr>
          <w:rFonts w:ascii="Arial" w:hAnsi="Arial" w:cs="Arial"/>
          <w:color w:val="000000"/>
          <w:sz w:val="22"/>
          <w:szCs w:val="22"/>
          <w:lang w:val="en-US"/>
        </w:rPr>
        <w:t>RBM</w:t>
      </w:r>
      <w:r w:rsidR="00461C0C" w:rsidRPr="00E80114">
        <w:rPr>
          <w:rFonts w:ascii="Arial" w:hAnsi="Arial" w:cs="Arial"/>
          <w:color w:val="000000"/>
          <w:sz w:val="22"/>
          <w:szCs w:val="22"/>
          <w:lang w:val="en-US"/>
        </w:rPr>
        <w:t xml:space="preserve">, </w:t>
      </w:r>
      <w:r w:rsidR="00461C0C">
        <w:rPr>
          <w:rFonts w:ascii="Arial" w:hAnsi="Arial" w:cs="Arial"/>
          <w:color w:val="000000"/>
          <w:sz w:val="22"/>
          <w:szCs w:val="22"/>
          <w:lang w:val="en-US"/>
        </w:rPr>
        <w:t>M&amp;E</w:t>
      </w:r>
      <w:r w:rsidR="00461C0C" w:rsidRPr="00E80114">
        <w:rPr>
          <w:rFonts w:ascii="Arial" w:hAnsi="Arial" w:cs="Arial"/>
          <w:color w:val="000000"/>
          <w:sz w:val="22"/>
          <w:szCs w:val="22"/>
          <w:lang w:val="en-US"/>
        </w:rPr>
        <w:t xml:space="preserve">, and </w:t>
      </w:r>
      <w:r w:rsidRPr="00E80114">
        <w:rPr>
          <w:rFonts w:ascii="Arial" w:hAnsi="Arial" w:cs="Arial"/>
          <w:color w:val="000000"/>
          <w:sz w:val="22"/>
          <w:szCs w:val="22"/>
          <w:lang w:val="en-US"/>
        </w:rPr>
        <w:t>reporting, CO staff were mostly critical. Many expressed concern</w:t>
      </w:r>
      <w:r w:rsidR="00461C0C">
        <w:rPr>
          <w:rFonts w:ascii="Arial" w:hAnsi="Arial" w:cs="Arial"/>
          <w:color w:val="000000"/>
          <w:sz w:val="22"/>
          <w:szCs w:val="22"/>
          <w:lang w:val="en-US"/>
        </w:rPr>
        <w:t>s</w:t>
      </w:r>
      <w:r w:rsidRPr="00E80114">
        <w:rPr>
          <w:rFonts w:ascii="Arial" w:hAnsi="Arial" w:cs="Arial"/>
          <w:color w:val="000000"/>
          <w:sz w:val="22"/>
          <w:szCs w:val="22"/>
          <w:lang w:val="en-US"/>
        </w:rPr>
        <w:t xml:space="preserve"> about reporting on global indicators that are irrelevant for their work and often not linked to the specific results of GP-supported projects. The relative advantage of (also) having to report against corporate UNDP Strategic Plan indicators using the </w:t>
      </w:r>
      <w:r w:rsidR="00512D35" w:rsidRPr="00E80114">
        <w:rPr>
          <w:rFonts w:ascii="Arial" w:hAnsi="Arial" w:cs="Arial"/>
          <w:color w:val="000000"/>
          <w:sz w:val="22"/>
          <w:szCs w:val="22"/>
          <w:lang w:val="en-US"/>
        </w:rPr>
        <w:t xml:space="preserve">standardized </w:t>
      </w:r>
      <w:r w:rsidR="00512D35" w:rsidRPr="00EC5EF0">
        <w:rPr>
          <w:rFonts w:ascii="Arial" w:hAnsi="Arial" w:cs="Arial"/>
          <w:sz w:val="22"/>
          <w:szCs w:val="22"/>
          <w:lang w:val="en-US"/>
        </w:rPr>
        <w:t>Results Oriented Annual Report</w:t>
      </w:r>
      <w:r w:rsidR="00512D35" w:rsidRPr="00E80114">
        <w:rPr>
          <w:rFonts w:ascii="Arial" w:hAnsi="Arial" w:cs="Arial"/>
          <w:color w:val="000000"/>
          <w:sz w:val="22"/>
          <w:szCs w:val="22"/>
          <w:lang w:val="en-US"/>
        </w:rPr>
        <w:t xml:space="preserve"> (</w:t>
      </w:r>
      <w:r w:rsidRPr="00E80114">
        <w:rPr>
          <w:rFonts w:ascii="Arial" w:hAnsi="Arial" w:cs="Arial"/>
          <w:color w:val="000000"/>
          <w:sz w:val="22"/>
          <w:szCs w:val="22"/>
          <w:lang w:val="en-US"/>
        </w:rPr>
        <w:t>ROAR</w:t>
      </w:r>
      <w:r w:rsidR="00512D35" w:rsidRPr="00E80114">
        <w:rPr>
          <w:rFonts w:ascii="Arial" w:hAnsi="Arial" w:cs="Arial"/>
          <w:color w:val="000000"/>
          <w:sz w:val="22"/>
          <w:szCs w:val="22"/>
          <w:lang w:val="en-US"/>
        </w:rPr>
        <w:t>)</w:t>
      </w:r>
      <w:r w:rsidRPr="00E80114">
        <w:rPr>
          <w:rFonts w:ascii="Arial" w:hAnsi="Arial" w:cs="Arial"/>
          <w:color w:val="000000"/>
          <w:sz w:val="22"/>
          <w:szCs w:val="22"/>
          <w:lang w:val="en-US"/>
        </w:rPr>
        <w:t xml:space="preserve"> system is that this type of reporting is not that time consuming. Although these indicators aim to collect and collate standardized data across all UNDP contexts, CO informants did not see any specific added value of collecting or reporting such data, in the sense of informing decision-making or otherwise. </w:t>
      </w:r>
    </w:p>
    <w:p w14:paraId="1C4CF70B" w14:textId="0FE15987" w:rsidR="00114CA0" w:rsidRDefault="00461C0C" w:rsidP="00E80114">
      <w:pPr>
        <w:pStyle w:val="NormalWeb"/>
        <w:spacing w:before="0" w:beforeAutospacing="0" w:after="120" w:afterAutospacing="0"/>
        <w:textAlignment w:val="baseline"/>
        <w:rPr>
          <w:rFonts w:ascii="Arial" w:hAnsi="Arial" w:cs="Arial"/>
          <w:color w:val="000000"/>
          <w:sz w:val="22"/>
          <w:szCs w:val="22"/>
          <w:shd w:val="clear" w:color="auto" w:fill="FFFFFF"/>
          <w:lang w:val="en-US"/>
        </w:rPr>
      </w:pPr>
      <w:r>
        <w:rPr>
          <w:rFonts w:ascii="Arial" w:hAnsi="Arial" w:cs="Arial"/>
          <w:color w:val="000000"/>
          <w:sz w:val="22"/>
          <w:szCs w:val="22"/>
          <w:lang w:val="en-US"/>
        </w:rPr>
        <w:t>While</w:t>
      </w:r>
      <w:r w:rsidR="005B2D40" w:rsidRPr="00E80114">
        <w:rPr>
          <w:rFonts w:ascii="Arial" w:hAnsi="Arial" w:cs="Arial"/>
          <w:color w:val="000000"/>
          <w:sz w:val="22"/>
          <w:szCs w:val="22"/>
          <w:lang w:val="en-US"/>
        </w:rPr>
        <w:t xml:space="preserve"> not desirous of </w:t>
      </w:r>
      <w:r>
        <w:rPr>
          <w:rFonts w:ascii="Arial" w:hAnsi="Arial" w:cs="Arial"/>
          <w:color w:val="000000"/>
          <w:sz w:val="22"/>
          <w:szCs w:val="22"/>
          <w:lang w:val="en-US"/>
        </w:rPr>
        <w:t>onerous</w:t>
      </w:r>
      <w:r w:rsidR="005B2D40" w:rsidRPr="00E80114">
        <w:rPr>
          <w:rFonts w:ascii="Arial" w:hAnsi="Arial" w:cs="Arial"/>
          <w:color w:val="000000"/>
          <w:sz w:val="22"/>
          <w:szCs w:val="22"/>
          <w:lang w:val="en-US"/>
        </w:rPr>
        <w:t xml:space="preserve"> </w:t>
      </w:r>
      <w:r>
        <w:rPr>
          <w:rFonts w:ascii="Arial" w:hAnsi="Arial" w:cs="Arial"/>
          <w:color w:val="000000"/>
          <w:sz w:val="22"/>
          <w:szCs w:val="22"/>
          <w:lang w:val="en-US"/>
        </w:rPr>
        <w:t xml:space="preserve">GP </w:t>
      </w:r>
      <w:r w:rsidR="005B2D40" w:rsidRPr="00E80114">
        <w:rPr>
          <w:rFonts w:ascii="Arial" w:hAnsi="Arial" w:cs="Arial"/>
          <w:color w:val="000000"/>
          <w:sz w:val="22"/>
          <w:szCs w:val="22"/>
          <w:lang w:val="en-US"/>
        </w:rPr>
        <w:t>monitoring and reporting requirement</w:t>
      </w:r>
      <w:r>
        <w:rPr>
          <w:rFonts w:ascii="Arial" w:hAnsi="Arial" w:cs="Arial"/>
          <w:color w:val="000000"/>
          <w:sz w:val="22"/>
          <w:szCs w:val="22"/>
          <w:lang w:val="en-US"/>
        </w:rPr>
        <w:t>s</w:t>
      </w:r>
      <w:r w:rsidR="005B2D40" w:rsidRPr="00E80114">
        <w:rPr>
          <w:rFonts w:ascii="Arial" w:hAnsi="Arial" w:cs="Arial"/>
          <w:color w:val="000000"/>
          <w:sz w:val="22"/>
          <w:szCs w:val="22"/>
          <w:lang w:val="en-US"/>
        </w:rPr>
        <w:t>, some CO informants considered that th</w:t>
      </w:r>
      <w:r w:rsidR="005B2D40" w:rsidRPr="00E80114">
        <w:rPr>
          <w:rFonts w:ascii="Arial" w:hAnsi="Arial" w:cs="Arial"/>
          <w:color w:val="000000"/>
          <w:sz w:val="22"/>
          <w:szCs w:val="22"/>
          <w:shd w:val="clear" w:color="auto" w:fill="FFFFFF"/>
          <w:lang w:val="en-US"/>
        </w:rPr>
        <w:t>e current system is very loosely structured and infrequent</w:t>
      </w:r>
      <w:r w:rsidR="005B2D40" w:rsidRPr="00E80114">
        <w:rPr>
          <w:rFonts w:ascii="Arial" w:hAnsi="Arial" w:cs="Arial"/>
          <w:sz w:val="22"/>
          <w:szCs w:val="22"/>
          <w:lang w:val="en-US"/>
        </w:rPr>
        <w:t xml:space="preserve"> (narrative reporting is only required for the annual report). One </w:t>
      </w:r>
      <w:r w:rsidR="00114CA0">
        <w:rPr>
          <w:rFonts w:ascii="Arial" w:hAnsi="Arial" w:cs="Arial"/>
          <w:sz w:val="22"/>
          <w:szCs w:val="22"/>
          <w:lang w:val="en-US"/>
        </w:rPr>
        <w:t xml:space="preserve">staff member </w:t>
      </w:r>
      <w:r w:rsidR="005B2D40" w:rsidRPr="00E80114">
        <w:rPr>
          <w:rFonts w:ascii="Arial" w:hAnsi="Arial" w:cs="Arial"/>
          <w:sz w:val="22"/>
          <w:szCs w:val="22"/>
          <w:lang w:val="en-US"/>
        </w:rPr>
        <w:t>remarked</w:t>
      </w:r>
      <w:r w:rsidR="005B2D40" w:rsidRPr="00E80114">
        <w:rPr>
          <w:rFonts w:ascii="Arial" w:hAnsi="Arial" w:cs="Arial"/>
          <w:color w:val="000000"/>
          <w:sz w:val="22"/>
          <w:szCs w:val="22"/>
          <w:shd w:val="clear" w:color="auto" w:fill="FFFFFF"/>
          <w:lang w:val="en-US"/>
        </w:rPr>
        <w:t xml:space="preserve"> that COs could take advantage of this, as follows: </w:t>
      </w:r>
    </w:p>
    <w:p w14:paraId="690E612E" w14:textId="5CCD0F54" w:rsidR="00114CA0" w:rsidRPr="00114CA0" w:rsidRDefault="005B2D40" w:rsidP="00114CA0">
      <w:pPr>
        <w:pStyle w:val="NormalWeb"/>
        <w:spacing w:before="0" w:beforeAutospacing="0" w:after="120" w:afterAutospacing="0"/>
        <w:jc w:val="center"/>
        <w:textAlignment w:val="baseline"/>
        <w:rPr>
          <w:rFonts w:ascii="Arial" w:hAnsi="Arial" w:cs="Arial"/>
          <w:i/>
          <w:iCs/>
          <w:color w:val="4A66AC" w:themeColor="accent1"/>
          <w:sz w:val="22"/>
          <w:szCs w:val="22"/>
          <w:shd w:val="clear" w:color="auto" w:fill="FFFFFF"/>
          <w:lang w:val="en-US"/>
        </w:rPr>
      </w:pPr>
      <w:r w:rsidRPr="00114CA0">
        <w:rPr>
          <w:rFonts w:ascii="Arial" w:hAnsi="Arial" w:cs="Arial"/>
          <w:i/>
          <w:iCs/>
          <w:color w:val="4A66AC" w:themeColor="accent1"/>
          <w:sz w:val="22"/>
          <w:szCs w:val="22"/>
          <w:shd w:val="clear" w:color="auto" w:fill="FFFFFF"/>
          <w:lang w:val="en-US"/>
        </w:rPr>
        <w:t>“Reporting could be made more robust, accountable. If I were in HQ, I would like to know more about how funds are being utilized. A mid-year update would be suitable”.</w:t>
      </w:r>
      <w:bookmarkStart w:id="25" w:name="_Hlk69823068"/>
    </w:p>
    <w:p w14:paraId="26302CB4" w14:textId="49FFD735" w:rsidR="005B2D40" w:rsidRPr="00E80114" w:rsidRDefault="005B2D40" w:rsidP="00E80114">
      <w:pPr>
        <w:pStyle w:val="NormalWeb"/>
        <w:spacing w:before="0" w:beforeAutospacing="0" w:after="120" w:afterAutospacing="0"/>
        <w:textAlignment w:val="baseline"/>
        <w:rPr>
          <w:rFonts w:ascii="Arial" w:hAnsi="Arial" w:cs="Arial"/>
          <w:color w:val="000000"/>
          <w:sz w:val="22"/>
          <w:szCs w:val="22"/>
          <w:lang w:val="en-US"/>
        </w:rPr>
      </w:pPr>
      <w:r w:rsidRPr="00E80114">
        <w:rPr>
          <w:rFonts w:ascii="Arial" w:hAnsi="Arial" w:cs="Arial"/>
          <w:color w:val="000000"/>
          <w:sz w:val="22"/>
          <w:szCs w:val="22"/>
          <w:shd w:val="clear" w:color="auto" w:fill="FFFFFF"/>
          <w:lang w:val="en-US"/>
        </w:rPr>
        <w:t xml:space="preserve">Informants </w:t>
      </w:r>
      <w:bookmarkEnd w:id="25"/>
      <w:r w:rsidRPr="00E80114">
        <w:rPr>
          <w:rFonts w:ascii="Arial" w:hAnsi="Arial" w:cs="Arial"/>
          <w:color w:val="000000"/>
          <w:sz w:val="22"/>
          <w:szCs w:val="22"/>
          <w:shd w:val="clear" w:color="auto" w:fill="FFFFFF"/>
          <w:lang w:val="en-US"/>
        </w:rPr>
        <w:t>generally agreed that catalytic effects of GP support go beyond generation of additional funding and can take years to appear; COs felt that more could be done to define, capture and report on such effects, including through qualitative techniques. </w:t>
      </w:r>
      <w:r w:rsidRPr="00E80114">
        <w:rPr>
          <w:rFonts w:ascii="Arial" w:hAnsi="Arial" w:cs="Arial"/>
          <w:sz w:val="22"/>
          <w:szCs w:val="22"/>
          <w:lang w:val="en-US"/>
        </w:rPr>
        <w:t xml:space="preserve"> </w:t>
      </w:r>
      <w:r w:rsidRPr="00E80114">
        <w:rPr>
          <w:rFonts w:ascii="Arial" w:hAnsi="Arial" w:cs="Arial"/>
          <w:color w:val="000000"/>
          <w:sz w:val="22"/>
          <w:szCs w:val="22"/>
          <w:lang w:val="en-US"/>
        </w:rPr>
        <w:t xml:space="preserve">A promising pilot for improved monitoring is the GP-funded SDG16 </w:t>
      </w:r>
      <w:r w:rsidR="00461C0C">
        <w:rPr>
          <w:rFonts w:ascii="Arial" w:hAnsi="Arial" w:cs="Arial"/>
          <w:color w:val="000000"/>
          <w:sz w:val="22"/>
          <w:szCs w:val="22"/>
          <w:lang w:val="en-US"/>
        </w:rPr>
        <w:t xml:space="preserve">M&amp;E </w:t>
      </w:r>
      <w:r w:rsidRPr="00E80114">
        <w:rPr>
          <w:rFonts w:ascii="Arial" w:hAnsi="Arial" w:cs="Arial"/>
          <w:color w:val="000000"/>
          <w:sz w:val="22"/>
          <w:szCs w:val="22"/>
          <w:lang w:val="en-US"/>
        </w:rPr>
        <w:t xml:space="preserve">project in Somalia, which experiments with community level representative sampling approaches and has started to look into comparative monitoring (treatment vs. non-treatment experimental design). </w:t>
      </w:r>
    </w:p>
    <w:p w14:paraId="11387505" w14:textId="2B4B1AD8" w:rsidR="009125A7" w:rsidRDefault="005B2D40" w:rsidP="00E80114">
      <w:pPr>
        <w:pStyle w:val="NormalWeb"/>
        <w:spacing w:before="0" w:beforeAutospacing="0" w:after="120" w:afterAutospacing="0"/>
        <w:textAlignment w:val="baseline"/>
        <w:rPr>
          <w:rFonts w:ascii="Arial" w:hAnsi="Arial" w:cs="Arial"/>
          <w:color w:val="000000"/>
          <w:sz w:val="22"/>
          <w:szCs w:val="22"/>
          <w:lang w:val="en-US"/>
        </w:rPr>
      </w:pPr>
      <w:r w:rsidRPr="00E80114">
        <w:rPr>
          <w:rFonts w:ascii="Arial" w:hAnsi="Arial" w:cs="Arial"/>
          <w:color w:val="000000"/>
          <w:sz w:val="22"/>
          <w:szCs w:val="22"/>
          <w:lang w:val="en-US"/>
        </w:rPr>
        <w:t xml:space="preserve">CO teams repeatedly mentioned that current GP monitoring and reporting mechanisms are not geared to include lessons learned from initiatives that failed, including times when anticipated catalytic effects do not occur. As one informant </w:t>
      </w:r>
      <w:r w:rsidR="009125A7">
        <w:rPr>
          <w:rFonts w:ascii="Arial" w:hAnsi="Arial" w:cs="Arial"/>
          <w:color w:val="000000"/>
          <w:sz w:val="22"/>
          <w:szCs w:val="22"/>
          <w:lang w:val="en-US"/>
        </w:rPr>
        <w:t>said</w:t>
      </w:r>
      <w:r w:rsidRPr="00E80114">
        <w:rPr>
          <w:rFonts w:ascii="Arial" w:hAnsi="Arial" w:cs="Arial"/>
          <w:color w:val="000000"/>
          <w:sz w:val="22"/>
          <w:szCs w:val="22"/>
          <w:lang w:val="en-US"/>
        </w:rPr>
        <w:t xml:space="preserve">: </w:t>
      </w:r>
    </w:p>
    <w:p w14:paraId="3B36C102" w14:textId="3C7F9B30" w:rsidR="004563ED" w:rsidRPr="009125A7" w:rsidRDefault="005B2D40" w:rsidP="009125A7">
      <w:pPr>
        <w:pStyle w:val="NormalWeb"/>
        <w:spacing w:before="0" w:beforeAutospacing="0" w:after="120" w:afterAutospacing="0"/>
        <w:ind w:left="567" w:right="571"/>
        <w:jc w:val="center"/>
        <w:textAlignment w:val="baseline"/>
        <w:rPr>
          <w:rFonts w:ascii="Arial" w:hAnsi="Arial" w:cs="Arial"/>
          <w:i/>
          <w:iCs/>
          <w:color w:val="4A66AC" w:themeColor="accent1"/>
          <w:sz w:val="22"/>
          <w:szCs w:val="22"/>
          <w:lang w:val="en-US"/>
        </w:rPr>
      </w:pPr>
      <w:r w:rsidRPr="009125A7">
        <w:rPr>
          <w:rFonts w:ascii="Arial" w:hAnsi="Arial" w:cs="Arial"/>
          <w:i/>
          <w:iCs/>
          <w:color w:val="4A66AC" w:themeColor="accent1"/>
          <w:sz w:val="22"/>
          <w:szCs w:val="22"/>
          <w:lang w:val="en-US"/>
        </w:rPr>
        <w:t>“At the end of each year, we report on outputs. But the real effects take more time. Hence, we need to improve our knowledge management and reflection, have more open exchanges on what does not work. That needs meetings across countries to reflect in an honest way on what has not worked and how problems have been or can be overcome.”</w:t>
      </w:r>
    </w:p>
    <w:p w14:paraId="4EBF71C3" w14:textId="77777777" w:rsidR="007C1117" w:rsidRPr="00E80114" w:rsidRDefault="007C1117" w:rsidP="00E80114">
      <w:pPr>
        <w:pStyle w:val="NormalWeb"/>
        <w:spacing w:before="0" w:beforeAutospacing="0" w:after="120" w:afterAutospacing="0"/>
        <w:textAlignment w:val="baseline"/>
        <w:rPr>
          <w:rFonts w:ascii="Arial" w:hAnsi="Arial" w:cs="Arial"/>
          <w:i/>
          <w:iCs/>
          <w:color w:val="000000"/>
          <w:sz w:val="22"/>
          <w:szCs w:val="22"/>
          <w:lang w:val="en-US"/>
        </w:rPr>
      </w:pPr>
    </w:p>
    <w:p w14:paraId="373B8B92" w14:textId="0D56BF4A" w:rsidR="00532161" w:rsidRPr="007B112F" w:rsidRDefault="00532161" w:rsidP="00532161">
      <w:pPr>
        <w:pStyle w:val="Heading2"/>
        <w:rPr>
          <w:rStyle w:val="Strong"/>
          <w:rFonts w:ascii="Arial" w:hAnsi="Arial" w:cs="Arial"/>
        </w:rPr>
      </w:pPr>
      <w:bookmarkStart w:id="26" w:name="_Toc71701893"/>
      <w:r w:rsidRPr="004563ED">
        <w:rPr>
          <w:rStyle w:val="Strong"/>
          <w:rFonts w:ascii="Arial" w:hAnsi="Arial" w:cs="Arial"/>
          <w:b/>
          <w:bCs w:val="0"/>
        </w:rPr>
        <w:t>Effectiveness/Impact</w:t>
      </w:r>
      <w:r w:rsidRPr="007B112F">
        <w:rPr>
          <w:rStyle w:val="Strong"/>
          <w:rFonts w:ascii="Arial" w:hAnsi="Arial" w:cs="Arial"/>
        </w:rPr>
        <w:t xml:space="preserve"> –</w:t>
      </w:r>
      <w:r>
        <w:rPr>
          <w:rStyle w:val="Strong"/>
          <w:rFonts w:ascii="Arial" w:hAnsi="Arial" w:cs="Arial"/>
        </w:rPr>
        <w:t xml:space="preserve"> </w:t>
      </w:r>
      <w:r w:rsidR="00B012C6">
        <w:rPr>
          <w:rStyle w:val="Strong"/>
          <w:rFonts w:ascii="Arial" w:hAnsi="Arial" w:cs="Arial"/>
        </w:rPr>
        <w:t>A</w:t>
      </w:r>
      <w:r w:rsidRPr="00A951D0">
        <w:rPr>
          <w:rStyle w:val="Strong"/>
          <w:rFonts w:ascii="Arial" w:hAnsi="Arial" w:cs="Arial"/>
          <w:i/>
          <w:iCs/>
        </w:rPr>
        <w:t xml:space="preserve">re objectives being achieved or </w:t>
      </w:r>
      <w:r>
        <w:rPr>
          <w:rStyle w:val="Strong"/>
          <w:rFonts w:ascii="Arial" w:hAnsi="Arial" w:cs="Arial"/>
          <w:i/>
          <w:iCs/>
        </w:rPr>
        <w:t xml:space="preserve">is </w:t>
      </w:r>
      <w:r w:rsidRPr="00A951D0">
        <w:rPr>
          <w:rStyle w:val="Strong"/>
          <w:rFonts w:ascii="Arial" w:hAnsi="Arial" w:cs="Arial"/>
          <w:i/>
          <w:iCs/>
        </w:rPr>
        <w:t xml:space="preserve">progress being made? </w:t>
      </w:r>
      <w:r w:rsidR="00B012C6">
        <w:rPr>
          <w:rStyle w:val="Strong"/>
          <w:rFonts w:ascii="Arial" w:hAnsi="Arial" w:cs="Arial"/>
          <w:i/>
          <w:iCs/>
        </w:rPr>
        <w:t>W</w:t>
      </w:r>
      <w:r w:rsidRPr="00A951D0">
        <w:rPr>
          <w:rStyle w:val="Strong"/>
          <w:rFonts w:ascii="Arial" w:hAnsi="Arial" w:cs="Arial"/>
          <w:i/>
          <w:iCs/>
        </w:rPr>
        <w:t xml:space="preserve">hat has changed due to this </w:t>
      </w:r>
      <w:r>
        <w:rPr>
          <w:rStyle w:val="Strong"/>
          <w:rFonts w:ascii="Arial" w:hAnsi="Arial" w:cs="Arial"/>
          <w:i/>
          <w:iCs/>
        </w:rPr>
        <w:t>P</w:t>
      </w:r>
      <w:r w:rsidRPr="00A951D0">
        <w:rPr>
          <w:rStyle w:val="Strong"/>
          <w:rFonts w:ascii="Arial" w:hAnsi="Arial" w:cs="Arial"/>
          <w:i/>
          <w:iCs/>
        </w:rPr>
        <w:t>rogramme?</w:t>
      </w:r>
      <w:bookmarkEnd w:id="26"/>
      <w:r>
        <w:rPr>
          <w:rStyle w:val="Strong"/>
          <w:rFonts w:ascii="Arial" w:hAnsi="Arial" w:cs="Arial"/>
        </w:rPr>
        <w:t xml:space="preserve"> </w:t>
      </w:r>
    </w:p>
    <w:tbl>
      <w:tblPr>
        <w:tblStyle w:val="TableGrid"/>
        <w:tblW w:w="0" w:type="auto"/>
        <w:tblLook w:val="04A0" w:firstRow="1" w:lastRow="0" w:firstColumn="1" w:lastColumn="0" w:noHBand="0" w:noVBand="1"/>
      </w:tblPr>
      <w:tblGrid>
        <w:gridCol w:w="9350"/>
      </w:tblGrid>
      <w:tr w:rsidR="00532161" w:rsidRPr="00E80114" w14:paraId="27261A25" w14:textId="77777777" w:rsidTr="008D3E98">
        <w:tc>
          <w:tcPr>
            <w:tcW w:w="9350" w:type="dxa"/>
            <w:shd w:val="clear" w:color="auto" w:fill="C0D7EC" w:themeFill="accent2" w:themeFillTint="66"/>
          </w:tcPr>
          <w:p w14:paraId="02663C5B" w14:textId="77777777" w:rsidR="00532161" w:rsidRPr="00E80114" w:rsidRDefault="00532161" w:rsidP="006F770A">
            <w:pPr>
              <w:spacing w:after="120"/>
              <w:rPr>
                <w:rFonts w:ascii="Arial" w:hAnsi="Arial" w:cs="Arial"/>
                <w:b/>
                <w:color w:val="4A66AC" w:themeColor="accent1"/>
                <w:sz w:val="22"/>
                <w:szCs w:val="22"/>
              </w:rPr>
            </w:pPr>
            <w:r w:rsidRPr="00E80114">
              <w:rPr>
                <w:rFonts w:ascii="Arial" w:hAnsi="Arial" w:cs="Arial"/>
                <w:b/>
                <w:color w:val="4A66AC" w:themeColor="accent1"/>
                <w:sz w:val="22"/>
                <w:szCs w:val="22"/>
              </w:rPr>
              <w:t>Conclusions on Effectiveness and Impact</w:t>
            </w:r>
          </w:p>
        </w:tc>
      </w:tr>
      <w:tr w:rsidR="00532161" w:rsidRPr="00E80114" w14:paraId="094C2EBE" w14:textId="77777777" w:rsidTr="007D6022">
        <w:tc>
          <w:tcPr>
            <w:tcW w:w="9350" w:type="dxa"/>
          </w:tcPr>
          <w:p w14:paraId="7BC5C1ED" w14:textId="77777777" w:rsidR="00532161" w:rsidRPr="000A6380" w:rsidRDefault="00532161" w:rsidP="002C38A7">
            <w:pPr>
              <w:pStyle w:val="ListParagraph"/>
              <w:ind w:left="718"/>
              <w:rPr>
                <w:rFonts w:ascii="Arial" w:hAnsi="Arial" w:cs="Arial"/>
                <w:bCs/>
                <w:color w:val="4A66AC" w:themeColor="accent1"/>
                <w:sz w:val="22"/>
                <w:szCs w:val="22"/>
              </w:rPr>
            </w:pPr>
          </w:p>
          <w:p w14:paraId="79C20070" w14:textId="77777777" w:rsidR="00E52345" w:rsidRPr="00E52345" w:rsidRDefault="007354AD" w:rsidP="00E52345">
            <w:pPr>
              <w:rPr>
                <w:rStyle w:val="Strong"/>
                <w:rFonts w:ascii="Arial" w:hAnsi="Arial" w:cs="Arial"/>
                <w:b w:val="0"/>
                <w:color w:val="4A66AC" w:themeColor="accent1"/>
                <w:sz w:val="22"/>
                <w:szCs w:val="22"/>
              </w:rPr>
            </w:pPr>
            <w:r w:rsidRPr="00E52345">
              <w:rPr>
                <w:rStyle w:val="Strong"/>
                <w:color w:val="4A66AC" w:themeColor="accent1"/>
              </w:rPr>
              <w:t>K</w:t>
            </w:r>
            <w:r w:rsidR="00577E1D" w:rsidRPr="00E52345">
              <w:rPr>
                <w:rStyle w:val="Strong"/>
                <w:rFonts w:ascii="Arial" w:hAnsi="Arial" w:cs="Arial"/>
                <w:color w:val="4A66AC" w:themeColor="accent1"/>
                <w:sz w:val="22"/>
                <w:szCs w:val="22"/>
              </w:rPr>
              <w:t>ey achievements:</w:t>
            </w:r>
          </w:p>
          <w:p w14:paraId="6ACDE209" w14:textId="203A5B01" w:rsidR="000A6380" w:rsidRPr="000A6380" w:rsidRDefault="000A6380" w:rsidP="000A6380">
            <w:pPr>
              <w:pStyle w:val="ListParagraph"/>
              <w:numPr>
                <w:ilvl w:val="0"/>
                <w:numId w:val="11"/>
              </w:numPr>
              <w:rPr>
                <w:rFonts w:ascii="Arial" w:hAnsi="Arial" w:cs="Arial"/>
                <w:bCs/>
                <w:color w:val="4A66AC" w:themeColor="accent1"/>
                <w:sz w:val="22"/>
                <w:szCs w:val="22"/>
              </w:rPr>
            </w:pPr>
            <w:r w:rsidRPr="000A6380">
              <w:rPr>
                <w:rFonts w:ascii="Arial" w:hAnsi="Arial" w:cs="Arial"/>
                <w:bCs/>
                <w:color w:val="4A66AC" w:themeColor="accent1"/>
                <w:sz w:val="22"/>
                <w:szCs w:val="22"/>
              </w:rPr>
              <w:t xml:space="preserve">Positive changes linked to the GP can be perceived in relation to the seven priority areas of the Programme. Those include effective global partnerships and regional programming, in addition to the country-specific results on which the case studies focused. </w:t>
            </w:r>
          </w:p>
          <w:p w14:paraId="59E151DD" w14:textId="5292E411" w:rsidR="00532161" w:rsidRPr="000A6380" w:rsidRDefault="00532161" w:rsidP="00567956">
            <w:pPr>
              <w:pStyle w:val="ListParagraph"/>
              <w:numPr>
                <w:ilvl w:val="0"/>
                <w:numId w:val="11"/>
              </w:numPr>
              <w:rPr>
                <w:rFonts w:ascii="Arial" w:hAnsi="Arial" w:cs="Arial"/>
                <w:bCs/>
                <w:color w:val="4A66AC" w:themeColor="accent1"/>
                <w:sz w:val="22"/>
                <w:szCs w:val="22"/>
              </w:rPr>
            </w:pPr>
            <w:r w:rsidRPr="000A6380">
              <w:rPr>
                <w:rFonts w:ascii="Arial" w:hAnsi="Arial" w:cs="Arial"/>
                <w:bCs/>
                <w:color w:val="4A66AC" w:themeColor="accent1"/>
                <w:sz w:val="22"/>
                <w:szCs w:val="22"/>
              </w:rPr>
              <w:t>Results of technical support are particularly notable in the design of new and expanded interventions based on solid analysis of the specific context combined with knowledge of global best practices and UNDP corporate standards. In the case study countries, although thorough analysis of programming was beyond this evaluation’s scope, GP-supported interventions have produced a range of positive ROLSHR outcomes (and no negative effects were identified).</w:t>
            </w:r>
          </w:p>
          <w:p w14:paraId="340E62BA" w14:textId="3D79ADBB" w:rsidR="00532161" w:rsidRPr="000A6380" w:rsidRDefault="00532161" w:rsidP="00567956">
            <w:pPr>
              <w:pStyle w:val="ListParagraph"/>
              <w:numPr>
                <w:ilvl w:val="0"/>
                <w:numId w:val="11"/>
              </w:numPr>
              <w:rPr>
                <w:rFonts w:ascii="Arial" w:hAnsi="Arial" w:cs="Arial"/>
                <w:bCs/>
                <w:color w:val="4A66AC" w:themeColor="accent1"/>
                <w:sz w:val="22"/>
                <w:szCs w:val="22"/>
              </w:rPr>
            </w:pPr>
            <w:r w:rsidRPr="000A6380">
              <w:rPr>
                <w:rFonts w:ascii="Arial" w:hAnsi="Arial" w:cs="Arial"/>
                <w:bCs/>
                <w:color w:val="4A66AC" w:themeColor="accent1"/>
                <w:sz w:val="22"/>
                <w:szCs w:val="22"/>
              </w:rPr>
              <w:t xml:space="preserve">GP seed funding has been applied in diverse ways, primarily identified at country level by UNDP Country Offices. It often appears to have contributed to subsequent new programming and more significant funding for UNDP as well as UN joint programmes, complemented by the efforts of the GFP. However, there is not sufficient data to permit thorough analysis of these catalytic effects on the global level (either percentage of funding allocations that produce catalytic effects, or the monetary value of catalytic effects). </w:t>
            </w:r>
          </w:p>
          <w:p w14:paraId="5A16FFA0" w14:textId="06F81E25" w:rsidR="000A6380" w:rsidRPr="000A6380" w:rsidRDefault="00532161" w:rsidP="000A6380">
            <w:pPr>
              <w:pStyle w:val="ListParagraph"/>
              <w:numPr>
                <w:ilvl w:val="0"/>
                <w:numId w:val="11"/>
              </w:numPr>
              <w:rPr>
                <w:rFonts w:ascii="Arial" w:hAnsi="Arial" w:cs="Arial"/>
                <w:b/>
                <w:color w:val="4A66AC" w:themeColor="accent1"/>
                <w:sz w:val="22"/>
                <w:szCs w:val="22"/>
              </w:rPr>
            </w:pPr>
            <w:r w:rsidRPr="000A6380">
              <w:rPr>
                <w:rFonts w:ascii="Arial" w:hAnsi="Arial" w:cs="Arial"/>
                <w:bCs/>
                <w:color w:val="4A66AC" w:themeColor="accent1"/>
                <w:sz w:val="22"/>
                <w:szCs w:val="22"/>
              </w:rPr>
              <w:t>Levels of satisfaction with GP</w:t>
            </w:r>
            <w:r w:rsidR="008C6985" w:rsidRPr="000A6380">
              <w:rPr>
                <w:rFonts w:ascii="Arial" w:hAnsi="Arial" w:cs="Arial"/>
                <w:bCs/>
                <w:color w:val="4A66AC" w:themeColor="accent1"/>
                <w:sz w:val="22"/>
                <w:szCs w:val="22"/>
              </w:rPr>
              <w:t>3</w:t>
            </w:r>
            <w:r w:rsidRPr="000A6380">
              <w:rPr>
                <w:rFonts w:ascii="Arial" w:hAnsi="Arial" w:cs="Arial"/>
                <w:bCs/>
                <w:color w:val="4A66AC" w:themeColor="accent1"/>
                <w:sz w:val="22"/>
                <w:szCs w:val="22"/>
              </w:rPr>
              <w:t xml:space="preserve"> appear relatively high within the core group of donors, though this is tempered by doubts about how accurately and clearly GP results are being tracked and reported, and specifically the linkages between their investments in GP</w:t>
            </w:r>
            <w:r w:rsidR="008C6985" w:rsidRPr="000A6380">
              <w:rPr>
                <w:rFonts w:ascii="Arial" w:hAnsi="Arial" w:cs="Arial"/>
                <w:bCs/>
                <w:color w:val="4A66AC" w:themeColor="accent1"/>
                <w:sz w:val="22"/>
                <w:szCs w:val="22"/>
              </w:rPr>
              <w:t>3</w:t>
            </w:r>
            <w:r w:rsidRPr="000A6380">
              <w:rPr>
                <w:rFonts w:ascii="Arial" w:hAnsi="Arial" w:cs="Arial"/>
                <w:bCs/>
                <w:color w:val="4A66AC" w:themeColor="accent1"/>
                <w:sz w:val="22"/>
                <w:szCs w:val="22"/>
              </w:rPr>
              <w:t xml:space="preserve"> and the (alleged) successes described in the annual reports. </w:t>
            </w:r>
          </w:p>
          <w:p w14:paraId="77A915C7" w14:textId="77777777" w:rsidR="000A6380" w:rsidRDefault="000A6380" w:rsidP="000A6380">
            <w:pPr>
              <w:pStyle w:val="ListParagraph"/>
              <w:ind w:left="718"/>
              <w:rPr>
                <w:rFonts w:ascii="Arial" w:hAnsi="Arial" w:cs="Arial"/>
                <w:b/>
                <w:color w:val="4A66AC" w:themeColor="accent1"/>
                <w:sz w:val="22"/>
                <w:szCs w:val="22"/>
              </w:rPr>
            </w:pPr>
          </w:p>
          <w:p w14:paraId="35BACA82" w14:textId="65B7ADC9" w:rsidR="007354AD" w:rsidRPr="000A6380" w:rsidRDefault="000A6380" w:rsidP="000A6380">
            <w:pPr>
              <w:rPr>
                <w:rFonts w:ascii="Arial" w:hAnsi="Arial" w:cs="Arial"/>
                <w:b/>
                <w:color w:val="4A66AC" w:themeColor="accent1"/>
                <w:sz w:val="22"/>
                <w:szCs w:val="22"/>
              </w:rPr>
            </w:pPr>
            <w:r>
              <w:rPr>
                <w:rFonts w:ascii="Arial" w:hAnsi="Arial" w:cs="Arial"/>
                <w:b/>
                <w:color w:val="4A66AC" w:themeColor="accent1"/>
                <w:sz w:val="22"/>
                <w:szCs w:val="22"/>
              </w:rPr>
              <w:t>Primary c</w:t>
            </w:r>
            <w:r w:rsidR="007354AD" w:rsidRPr="000A6380">
              <w:rPr>
                <w:rFonts w:ascii="Arial" w:hAnsi="Arial" w:cs="Arial"/>
                <w:b/>
                <w:color w:val="4A66AC" w:themeColor="accent1"/>
                <w:sz w:val="22"/>
                <w:szCs w:val="22"/>
              </w:rPr>
              <w:t>hallenges:</w:t>
            </w:r>
          </w:p>
          <w:p w14:paraId="5AA02A3B" w14:textId="741EA47A" w:rsidR="00577E1D" w:rsidRPr="000A6380" w:rsidRDefault="00577E1D" w:rsidP="00577E1D">
            <w:pPr>
              <w:pStyle w:val="ListParagraph"/>
              <w:numPr>
                <w:ilvl w:val="0"/>
                <w:numId w:val="11"/>
              </w:numPr>
              <w:rPr>
                <w:rFonts w:ascii="Arial" w:hAnsi="Arial" w:cs="Arial"/>
                <w:bCs/>
                <w:color w:val="4A66AC" w:themeColor="accent1"/>
                <w:sz w:val="22"/>
                <w:szCs w:val="22"/>
              </w:rPr>
            </w:pPr>
            <w:r w:rsidRPr="000A6380">
              <w:rPr>
                <w:rFonts w:ascii="Arial" w:hAnsi="Arial" w:cs="Arial"/>
                <w:bCs/>
                <w:color w:val="4A66AC" w:themeColor="accent1"/>
                <w:sz w:val="22"/>
                <w:szCs w:val="22"/>
              </w:rPr>
              <w:t xml:space="preserve">Reaching conclusions about the overall effectiveness and impact of the GP in this phase is hampered by the paucity of systematic and relevant monitoring data, and the blending of GP activities/results with those of the UNDP more broadly. </w:t>
            </w:r>
          </w:p>
          <w:p w14:paraId="1FDD5680" w14:textId="77777777" w:rsidR="00532161" w:rsidRPr="000A6380" w:rsidRDefault="00532161" w:rsidP="002C38A7">
            <w:pPr>
              <w:pStyle w:val="ListParagraph"/>
              <w:ind w:left="718"/>
              <w:rPr>
                <w:rFonts w:ascii="Arial" w:hAnsi="Arial" w:cs="Arial"/>
                <w:bCs/>
                <w:color w:val="4A66AC" w:themeColor="accent1"/>
                <w:sz w:val="22"/>
                <w:szCs w:val="22"/>
              </w:rPr>
            </w:pPr>
          </w:p>
        </w:tc>
      </w:tr>
    </w:tbl>
    <w:p w14:paraId="4AA9D204" w14:textId="77777777" w:rsidR="00532161" w:rsidRDefault="00532161" w:rsidP="00532161">
      <w:pPr>
        <w:spacing w:after="0" w:line="240" w:lineRule="auto"/>
        <w:ind w:hanging="2"/>
        <w:rPr>
          <w:rFonts w:ascii="Arial" w:hAnsi="Arial" w:cs="Arial"/>
          <w:b/>
          <w:color w:val="000000"/>
        </w:rPr>
      </w:pPr>
    </w:p>
    <w:p w14:paraId="6B5D3448" w14:textId="2B3E18E8" w:rsidR="007D272B" w:rsidRDefault="00532161" w:rsidP="0021310B">
      <w:pPr>
        <w:pStyle w:val="Heading2"/>
      </w:pPr>
      <w:bookmarkStart w:id="27" w:name="_Toc71701894"/>
      <w:r w:rsidRPr="009E59F6">
        <w:t xml:space="preserve">Programme/Global Level </w:t>
      </w:r>
      <w:r w:rsidR="007D272B">
        <w:t>Findings on Effectiveness and Impact</w:t>
      </w:r>
      <w:bookmarkEnd w:id="27"/>
    </w:p>
    <w:p w14:paraId="1A6CE36E" w14:textId="79C08FE5" w:rsidR="00532161" w:rsidRPr="007D272B" w:rsidRDefault="00532161" w:rsidP="007D272B">
      <w:pPr>
        <w:spacing w:after="0"/>
        <w:rPr>
          <w:rFonts w:ascii="Arial" w:eastAsia="Times New Roman" w:hAnsi="Arial" w:cs="Arial"/>
          <w:b/>
          <w:bCs/>
          <w:i/>
          <w:iCs/>
          <w:sz w:val="22"/>
          <w:szCs w:val="22"/>
        </w:rPr>
      </w:pPr>
      <w:r w:rsidRPr="007D272B">
        <w:rPr>
          <w:rFonts w:ascii="Arial" w:hAnsi="Arial" w:cs="Arial"/>
          <w:b/>
          <w:bCs/>
          <w:i/>
          <w:iCs/>
          <w:sz w:val="22"/>
          <w:szCs w:val="22"/>
        </w:rPr>
        <w:t>Evaluation Questions: </w:t>
      </w:r>
    </w:p>
    <w:p w14:paraId="5E5DBB91" w14:textId="77777777" w:rsidR="00532161" w:rsidRPr="007D272B" w:rsidRDefault="00532161" w:rsidP="00567956">
      <w:pPr>
        <w:pStyle w:val="ListParagraph"/>
        <w:numPr>
          <w:ilvl w:val="0"/>
          <w:numId w:val="7"/>
        </w:numPr>
        <w:spacing w:after="0" w:line="240" w:lineRule="auto"/>
        <w:rPr>
          <w:rFonts w:ascii="Arial" w:eastAsia="Times New Roman" w:hAnsi="Arial" w:cs="Arial"/>
          <w:i/>
          <w:iCs/>
          <w:sz w:val="22"/>
          <w:szCs w:val="22"/>
        </w:rPr>
      </w:pPr>
      <w:r w:rsidRPr="007D272B">
        <w:rPr>
          <w:rFonts w:ascii="Arial" w:hAnsi="Arial" w:cs="Arial"/>
          <w:i/>
          <w:iCs/>
          <w:color w:val="000000"/>
          <w:sz w:val="22"/>
          <w:szCs w:val="22"/>
        </w:rPr>
        <w:t>To what extent has GP3 programming achieved its intended results, especially at the outcome and impact levels?</w:t>
      </w:r>
    </w:p>
    <w:p w14:paraId="4CF183E4" w14:textId="77777777" w:rsidR="00532161" w:rsidRPr="007D272B" w:rsidRDefault="00532161" w:rsidP="00567956">
      <w:pPr>
        <w:pStyle w:val="ListParagraph"/>
        <w:numPr>
          <w:ilvl w:val="0"/>
          <w:numId w:val="7"/>
        </w:numPr>
        <w:spacing w:after="0" w:line="240" w:lineRule="auto"/>
        <w:rPr>
          <w:rFonts w:ascii="Arial" w:hAnsi="Arial" w:cs="Arial"/>
          <w:i/>
          <w:iCs/>
          <w:color w:val="000000"/>
          <w:sz w:val="22"/>
          <w:szCs w:val="22"/>
        </w:rPr>
      </w:pPr>
      <w:r w:rsidRPr="007D272B">
        <w:rPr>
          <w:rFonts w:ascii="Arial" w:hAnsi="Arial" w:cs="Arial"/>
          <w:i/>
          <w:iCs/>
          <w:color w:val="000000"/>
          <w:sz w:val="22"/>
          <w:szCs w:val="22"/>
        </w:rPr>
        <w:t>What significant lessons learned, best practices and innovations have the potential to be scaled up to inform GP3-supported policy development?</w:t>
      </w:r>
    </w:p>
    <w:p w14:paraId="685D8FFA" w14:textId="77777777" w:rsidR="00532161" w:rsidRPr="007D272B" w:rsidRDefault="00532161" w:rsidP="00567956">
      <w:pPr>
        <w:pStyle w:val="ListParagraph"/>
        <w:numPr>
          <w:ilvl w:val="0"/>
          <w:numId w:val="7"/>
        </w:numPr>
        <w:rPr>
          <w:rFonts w:ascii="Arial" w:hAnsi="Arial" w:cs="Arial"/>
          <w:i/>
          <w:iCs/>
          <w:sz w:val="22"/>
          <w:szCs w:val="22"/>
        </w:rPr>
      </w:pPr>
      <w:r w:rsidRPr="007D272B">
        <w:rPr>
          <w:rFonts w:ascii="Arial" w:hAnsi="Arial" w:cs="Arial"/>
          <w:i/>
          <w:iCs/>
          <w:color w:val="000000"/>
          <w:sz w:val="22"/>
          <w:szCs w:val="22"/>
        </w:rPr>
        <w:t>To what extent and in what ways has the GP modality added value to UNDP’s corporate offer on ROLSHR globally in Phase 3? (e.g. influencing strategic plan priorities, contributing to signature solutions, strengthening corporate monitoring, reporting, quality assurance, and communications)</w:t>
      </w:r>
    </w:p>
    <w:p w14:paraId="686954F7" w14:textId="7991681B" w:rsidR="00532161" w:rsidRPr="00E80114" w:rsidRDefault="00532161" w:rsidP="007D272B">
      <w:pPr>
        <w:spacing w:line="240" w:lineRule="auto"/>
        <w:rPr>
          <w:rFonts w:ascii="Arial" w:hAnsi="Arial" w:cs="Arial"/>
          <w:sz w:val="22"/>
          <w:szCs w:val="22"/>
        </w:rPr>
      </w:pPr>
      <w:r w:rsidRPr="00E80114">
        <w:rPr>
          <w:rFonts w:ascii="Arial" w:hAnsi="Arial" w:cs="Arial"/>
          <w:sz w:val="22"/>
          <w:szCs w:val="22"/>
        </w:rPr>
        <w:t xml:space="preserve">Given that the GP devotes most of its resources and efforts on supporting work at country/context level, the primary evidence of effectiveness and added value is found there via Programme documentation and the country case studies, which are discussed in more depth below. Overall, the evaluation found considerable narrative evidence via reports and interviews of positive </w:t>
      </w:r>
      <w:r w:rsidR="00F43835">
        <w:rPr>
          <w:rFonts w:ascii="Arial" w:hAnsi="Arial" w:cs="Arial"/>
          <w:sz w:val="22"/>
          <w:szCs w:val="22"/>
        </w:rPr>
        <w:t>effects</w:t>
      </w:r>
      <w:r w:rsidRPr="00E80114">
        <w:rPr>
          <w:rFonts w:ascii="Arial" w:hAnsi="Arial" w:cs="Arial"/>
          <w:sz w:val="22"/>
          <w:szCs w:val="22"/>
        </w:rPr>
        <w:t xml:space="preserve"> in both priority countries and other contexts that have benefited from GP support in Phase 3. </w:t>
      </w:r>
    </w:p>
    <w:p w14:paraId="2BED7E32" w14:textId="77777777" w:rsidR="00532161" w:rsidRPr="00E80114" w:rsidRDefault="00532161" w:rsidP="00E80114">
      <w:pPr>
        <w:spacing w:line="240" w:lineRule="auto"/>
        <w:rPr>
          <w:rFonts w:ascii="Arial" w:hAnsi="Arial" w:cs="Arial"/>
          <w:sz w:val="22"/>
          <w:szCs w:val="22"/>
        </w:rPr>
      </w:pPr>
      <w:r w:rsidRPr="00E80114">
        <w:rPr>
          <w:rFonts w:ascii="Arial" w:hAnsi="Arial" w:cs="Arial"/>
          <w:sz w:val="22"/>
          <w:szCs w:val="22"/>
        </w:rPr>
        <w:t xml:space="preserve">Technical advice and support from the GP/ROLSHR team was regularly mentioned as having contributed to these outcomes, notably in the design of new or expanded ROLSHR programming. One significant example of strategic coordinated guidance and policy support from the ROLSHR team in designing and establishing innovative interventions is the Special Criminal Court in CAR. As well, the combination of seed funding and technical expertise was described as a useful modality to launch a sensitive line of work in a small-scale way that is less worrisome to the host government than a major new intervention promoted by an external actor.  </w:t>
      </w:r>
    </w:p>
    <w:p w14:paraId="510EFE4F" w14:textId="77777777" w:rsidR="00532161" w:rsidRPr="00E80114" w:rsidRDefault="00532161" w:rsidP="00E80114">
      <w:pPr>
        <w:spacing w:line="240" w:lineRule="auto"/>
        <w:rPr>
          <w:rFonts w:ascii="Arial" w:hAnsi="Arial" w:cs="Arial"/>
          <w:sz w:val="22"/>
          <w:szCs w:val="22"/>
        </w:rPr>
      </w:pPr>
      <w:r w:rsidRPr="00E80114">
        <w:rPr>
          <w:rFonts w:ascii="Arial" w:hAnsi="Arial" w:cs="Arial"/>
          <w:sz w:val="22"/>
          <w:szCs w:val="22"/>
        </w:rPr>
        <w:t xml:space="preserve">With respect to pipeline funding allocations, the evaluators learned of a variety of ways in which GP had contributed to strengthened ROLSHR effectiveness in targeted countries, notably including (but not limited to) the following: </w:t>
      </w:r>
    </w:p>
    <w:p w14:paraId="473EF4BD" w14:textId="34C80F39" w:rsidR="00532161" w:rsidRPr="00E80114" w:rsidRDefault="00532161" w:rsidP="00567956">
      <w:pPr>
        <w:pStyle w:val="ListParagraph"/>
        <w:numPr>
          <w:ilvl w:val="1"/>
          <w:numId w:val="3"/>
        </w:numPr>
        <w:spacing w:line="240" w:lineRule="auto"/>
        <w:ind w:left="709"/>
        <w:contextualSpacing w:val="0"/>
        <w:rPr>
          <w:rFonts w:ascii="Arial" w:hAnsi="Arial" w:cs="Arial"/>
          <w:sz w:val="22"/>
          <w:szCs w:val="22"/>
        </w:rPr>
      </w:pPr>
      <w:r w:rsidRPr="00E80114">
        <w:rPr>
          <w:rFonts w:ascii="Arial" w:hAnsi="Arial" w:cs="Arial"/>
          <w:sz w:val="22"/>
          <w:szCs w:val="22"/>
        </w:rPr>
        <w:t>larger programmes launched with other funding sources after GP provided pilot or seed funding, as exemplified by the major COSED initiative in Burkina Faso</w:t>
      </w:r>
      <w:r w:rsidR="00F43835">
        <w:rPr>
          <w:rFonts w:ascii="Arial" w:hAnsi="Arial" w:cs="Arial"/>
          <w:sz w:val="22"/>
          <w:szCs w:val="22"/>
        </w:rPr>
        <w:t>,</w:t>
      </w:r>
      <w:r w:rsidRPr="00E80114">
        <w:rPr>
          <w:rFonts w:ascii="Arial" w:hAnsi="Arial" w:cs="Arial"/>
          <w:sz w:val="22"/>
          <w:szCs w:val="22"/>
        </w:rPr>
        <w:t xml:space="preserve"> and </w:t>
      </w:r>
      <w:r w:rsidR="00F43835">
        <w:rPr>
          <w:rFonts w:ascii="Arial" w:hAnsi="Arial" w:cs="Arial"/>
          <w:sz w:val="22"/>
          <w:szCs w:val="22"/>
        </w:rPr>
        <w:t xml:space="preserve">significant new programming based on </w:t>
      </w:r>
      <w:r w:rsidRPr="00E80114">
        <w:rPr>
          <w:rFonts w:ascii="Arial" w:hAnsi="Arial" w:cs="Arial"/>
          <w:sz w:val="22"/>
          <w:szCs w:val="22"/>
        </w:rPr>
        <w:t>the Rule of Law Roadmap in Pakistan;</w:t>
      </w:r>
    </w:p>
    <w:p w14:paraId="553FE0E8" w14:textId="77777777" w:rsidR="00532161" w:rsidRPr="00E80114" w:rsidRDefault="00532161" w:rsidP="00567956">
      <w:pPr>
        <w:pStyle w:val="ListParagraph"/>
        <w:numPr>
          <w:ilvl w:val="1"/>
          <w:numId w:val="3"/>
        </w:numPr>
        <w:spacing w:line="240" w:lineRule="auto"/>
        <w:ind w:left="709"/>
        <w:contextualSpacing w:val="0"/>
        <w:rPr>
          <w:rFonts w:ascii="Arial" w:hAnsi="Arial" w:cs="Arial"/>
          <w:sz w:val="22"/>
          <w:szCs w:val="22"/>
        </w:rPr>
      </w:pPr>
      <w:r w:rsidRPr="00E80114">
        <w:rPr>
          <w:rFonts w:ascii="Arial" w:hAnsi="Arial" w:cs="Arial"/>
          <w:sz w:val="22"/>
          <w:szCs w:val="22"/>
        </w:rPr>
        <w:t xml:space="preserve">stronger ROLSHR strategies and portfolios developed by bringing more experienced and technically qualified staff on board and maintaining a stable team, observed in several countries including Colombia; and </w:t>
      </w:r>
    </w:p>
    <w:p w14:paraId="0EA413DA" w14:textId="77777777" w:rsidR="00532161" w:rsidRPr="00E80114" w:rsidRDefault="00532161" w:rsidP="00567956">
      <w:pPr>
        <w:pStyle w:val="ListParagraph"/>
        <w:numPr>
          <w:ilvl w:val="1"/>
          <w:numId w:val="3"/>
        </w:numPr>
        <w:spacing w:line="240" w:lineRule="auto"/>
        <w:ind w:left="709"/>
        <w:contextualSpacing w:val="0"/>
        <w:rPr>
          <w:rFonts w:ascii="Arial" w:hAnsi="Arial" w:cs="Arial"/>
          <w:sz w:val="22"/>
          <w:szCs w:val="22"/>
        </w:rPr>
      </w:pPr>
      <w:r w:rsidRPr="00E80114">
        <w:rPr>
          <w:rFonts w:ascii="Arial" w:hAnsi="Arial" w:cs="Arial"/>
          <w:sz w:val="22"/>
          <w:szCs w:val="22"/>
        </w:rPr>
        <w:t>gaps in programme funding met so that important initiatives (especially in a specific thematic or geographic niche) could be continued until additional resources were identified, for example in Kyrgyzstan and in CAR.</w:t>
      </w:r>
    </w:p>
    <w:p w14:paraId="479A576E" w14:textId="1F0B2FE3" w:rsidR="00532161" w:rsidRPr="00E80114" w:rsidRDefault="00114CA0" w:rsidP="00114CA0">
      <w:pPr>
        <w:spacing w:line="240" w:lineRule="auto"/>
        <w:ind w:left="567" w:right="571"/>
        <w:jc w:val="center"/>
        <w:rPr>
          <w:rFonts w:ascii="Arial" w:hAnsi="Arial" w:cs="Arial"/>
          <w:i/>
          <w:iCs/>
          <w:color w:val="4A66AC" w:themeColor="accent1"/>
          <w:sz w:val="22"/>
          <w:szCs w:val="22"/>
        </w:rPr>
      </w:pPr>
      <w:r>
        <w:rPr>
          <w:rFonts w:ascii="Arial" w:hAnsi="Arial" w:cs="Arial"/>
          <w:i/>
          <w:iCs/>
          <w:color w:val="4A66AC" w:themeColor="accent1"/>
          <w:sz w:val="22"/>
          <w:szCs w:val="22"/>
        </w:rPr>
        <w:t>“</w:t>
      </w:r>
      <w:r w:rsidR="00532161" w:rsidRPr="00E80114">
        <w:rPr>
          <w:rFonts w:ascii="Arial" w:hAnsi="Arial" w:cs="Arial"/>
          <w:i/>
          <w:iCs/>
          <w:color w:val="4A66AC" w:themeColor="accent1"/>
          <w:sz w:val="22"/>
          <w:szCs w:val="22"/>
        </w:rPr>
        <w:t xml:space="preserve">In countries like East Timor, very small money can make a difference, </w:t>
      </w:r>
      <w:r w:rsidR="006F770A">
        <w:rPr>
          <w:rFonts w:ascii="Arial" w:hAnsi="Arial" w:cs="Arial"/>
          <w:i/>
          <w:iCs/>
          <w:color w:val="4A66AC" w:themeColor="accent1"/>
          <w:sz w:val="22"/>
          <w:szCs w:val="22"/>
        </w:rPr>
        <w:t xml:space="preserve">the </w:t>
      </w:r>
      <w:r w:rsidR="00532161" w:rsidRPr="00E80114">
        <w:rPr>
          <w:rFonts w:ascii="Arial" w:hAnsi="Arial" w:cs="Arial"/>
          <w:i/>
          <w:iCs/>
          <w:color w:val="4A66AC" w:themeColor="accent1"/>
          <w:sz w:val="22"/>
          <w:szCs w:val="22"/>
        </w:rPr>
        <w:t xml:space="preserve">ROL programme can be kept going between funding from other donors. </w:t>
      </w:r>
      <w:r w:rsidR="006F770A">
        <w:rPr>
          <w:rFonts w:ascii="Arial" w:hAnsi="Arial" w:cs="Arial"/>
          <w:i/>
          <w:iCs/>
          <w:color w:val="4A66AC" w:themeColor="accent1"/>
          <w:sz w:val="22"/>
          <w:szCs w:val="22"/>
        </w:rPr>
        <w:t>Two times</w:t>
      </w:r>
      <w:r w:rsidR="00532161" w:rsidRPr="00E80114">
        <w:rPr>
          <w:rFonts w:ascii="Arial" w:hAnsi="Arial" w:cs="Arial"/>
          <w:i/>
          <w:iCs/>
          <w:color w:val="4A66AC" w:themeColor="accent1"/>
          <w:sz w:val="22"/>
          <w:szCs w:val="22"/>
        </w:rPr>
        <w:t xml:space="preserve"> we almost had to stop working, but GP funds helped to provide continuity. Nobody else could have done this. GP saved the Timor ROL program in 2019. Since then, two more donors have come on board.</w:t>
      </w:r>
      <w:r>
        <w:rPr>
          <w:rFonts w:ascii="Arial" w:hAnsi="Arial" w:cs="Arial"/>
          <w:i/>
          <w:iCs/>
          <w:color w:val="4A66AC" w:themeColor="accent1"/>
          <w:sz w:val="22"/>
          <w:szCs w:val="22"/>
        </w:rPr>
        <w:t xml:space="preserve">” ~ </w:t>
      </w:r>
      <w:r w:rsidRPr="00E80114">
        <w:rPr>
          <w:rFonts w:ascii="Arial" w:hAnsi="Arial" w:cs="Arial"/>
          <w:color w:val="4A66AC" w:themeColor="accent1"/>
          <w:sz w:val="22"/>
          <w:szCs w:val="22"/>
        </w:rPr>
        <w:t>ROLSHR team member</w:t>
      </w:r>
    </w:p>
    <w:p w14:paraId="0718EA83" w14:textId="79FCC110" w:rsidR="00532161" w:rsidRPr="00E80114" w:rsidRDefault="00114CA0" w:rsidP="00114CA0">
      <w:pPr>
        <w:spacing w:line="240" w:lineRule="auto"/>
        <w:ind w:left="567" w:right="571"/>
        <w:jc w:val="center"/>
        <w:rPr>
          <w:rFonts w:ascii="Arial" w:hAnsi="Arial" w:cs="Arial"/>
          <w:color w:val="4A66AC" w:themeColor="accent1"/>
          <w:sz w:val="22"/>
          <w:szCs w:val="22"/>
        </w:rPr>
      </w:pPr>
      <w:r>
        <w:rPr>
          <w:rFonts w:ascii="Arial" w:hAnsi="Arial" w:cs="Arial"/>
          <w:i/>
          <w:iCs/>
          <w:color w:val="4A66AC" w:themeColor="accent1"/>
          <w:sz w:val="22"/>
          <w:szCs w:val="22"/>
        </w:rPr>
        <w:t>“</w:t>
      </w:r>
      <w:r w:rsidR="00532161" w:rsidRPr="00E80114">
        <w:rPr>
          <w:rFonts w:ascii="Arial" w:hAnsi="Arial" w:cs="Arial"/>
          <w:i/>
          <w:iCs/>
          <w:color w:val="4A66AC" w:themeColor="accent1"/>
          <w:sz w:val="22"/>
          <w:szCs w:val="22"/>
        </w:rPr>
        <w:t>Country offices sometimes need strong technical leadership to get started in an effective way, access more funding. This is often hard to do with the available staff. Usually the GP investment in an international technical advisor pays off with new funding attracted.</w:t>
      </w:r>
      <w:r>
        <w:rPr>
          <w:rFonts w:ascii="Arial" w:hAnsi="Arial" w:cs="Arial"/>
          <w:i/>
          <w:iCs/>
          <w:color w:val="4A66AC" w:themeColor="accent1"/>
          <w:sz w:val="22"/>
          <w:szCs w:val="22"/>
        </w:rPr>
        <w:t xml:space="preserve">” ~ </w:t>
      </w:r>
      <w:r w:rsidRPr="00E80114">
        <w:rPr>
          <w:rFonts w:ascii="Arial" w:hAnsi="Arial" w:cs="Arial"/>
          <w:color w:val="4A66AC" w:themeColor="accent1"/>
          <w:sz w:val="22"/>
          <w:szCs w:val="22"/>
        </w:rPr>
        <w:t>ROLSHR team member</w:t>
      </w:r>
    </w:p>
    <w:p w14:paraId="61E94502" w14:textId="3C3485AA" w:rsidR="00532161" w:rsidRPr="00E80114" w:rsidRDefault="00532161" w:rsidP="00E80114">
      <w:pPr>
        <w:spacing w:line="240" w:lineRule="auto"/>
        <w:rPr>
          <w:rFonts w:ascii="Arial" w:hAnsi="Arial" w:cs="Arial"/>
          <w:sz w:val="22"/>
          <w:szCs w:val="22"/>
        </w:rPr>
      </w:pPr>
      <w:r w:rsidRPr="00E80114">
        <w:rPr>
          <w:rFonts w:ascii="Arial" w:hAnsi="Arial" w:cs="Arial"/>
          <w:sz w:val="22"/>
          <w:szCs w:val="22"/>
        </w:rPr>
        <w:t xml:space="preserve">The GP Prodoc and reporting consistently refer to “catalytic effects” as the key rationale behind the relatively small funds channeled to countries and regions, and indeed, examples abound of changes following GP support that could fall within that term. There is significant anecdotal evidence of </w:t>
      </w:r>
      <w:r w:rsidR="00F43835">
        <w:rPr>
          <w:rFonts w:ascii="Arial" w:hAnsi="Arial" w:cs="Arial"/>
          <w:sz w:val="22"/>
          <w:szCs w:val="22"/>
        </w:rPr>
        <w:t>COs</w:t>
      </w:r>
      <w:r w:rsidRPr="00E80114">
        <w:rPr>
          <w:rFonts w:ascii="Arial" w:hAnsi="Arial" w:cs="Arial"/>
          <w:sz w:val="22"/>
          <w:szCs w:val="22"/>
        </w:rPr>
        <w:t xml:space="preserve"> generat</w:t>
      </w:r>
      <w:r w:rsidR="00F43835">
        <w:rPr>
          <w:rFonts w:ascii="Arial" w:hAnsi="Arial" w:cs="Arial"/>
          <w:sz w:val="22"/>
          <w:szCs w:val="22"/>
        </w:rPr>
        <w:t>ing</w:t>
      </w:r>
      <w:r w:rsidRPr="00E80114">
        <w:rPr>
          <w:rFonts w:ascii="Arial" w:hAnsi="Arial" w:cs="Arial"/>
          <w:sz w:val="22"/>
          <w:szCs w:val="22"/>
        </w:rPr>
        <w:t xml:space="preserve"> more significant funding and programming, including with inputs from other donors and/or national counterparts, after receiv</w:t>
      </w:r>
      <w:r w:rsidR="00F43835">
        <w:rPr>
          <w:rFonts w:ascii="Arial" w:hAnsi="Arial" w:cs="Arial"/>
          <w:sz w:val="22"/>
          <w:szCs w:val="22"/>
        </w:rPr>
        <w:t>ing</w:t>
      </w:r>
      <w:r w:rsidRPr="00E80114">
        <w:rPr>
          <w:rFonts w:ascii="Arial" w:hAnsi="Arial" w:cs="Arial"/>
          <w:sz w:val="22"/>
          <w:szCs w:val="22"/>
        </w:rPr>
        <w:t xml:space="preserve"> </w:t>
      </w:r>
      <w:r w:rsidR="00F43835" w:rsidRPr="00E80114">
        <w:rPr>
          <w:rFonts w:ascii="Arial" w:hAnsi="Arial" w:cs="Arial"/>
          <w:sz w:val="22"/>
          <w:szCs w:val="22"/>
        </w:rPr>
        <w:t xml:space="preserve">GP </w:t>
      </w:r>
      <w:r w:rsidRPr="00E80114">
        <w:rPr>
          <w:rFonts w:ascii="Arial" w:hAnsi="Arial" w:cs="Arial"/>
          <w:sz w:val="22"/>
          <w:szCs w:val="22"/>
        </w:rPr>
        <w:t xml:space="preserve">technical or financial support. However, the interviews and document review did not point to any clear definition or shared understanding of what constitutes “catalytic effect” for this Programme. It was </w:t>
      </w:r>
      <w:r w:rsidR="00F43835">
        <w:rPr>
          <w:rFonts w:ascii="Arial" w:hAnsi="Arial" w:cs="Arial"/>
          <w:sz w:val="22"/>
          <w:szCs w:val="22"/>
        </w:rPr>
        <w:t>learned</w:t>
      </w:r>
      <w:r w:rsidRPr="00E80114">
        <w:rPr>
          <w:rFonts w:ascii="Arial" w:hAnsi="Arial" w:cs="Arial"/>
          <w:sz w:val="22"/>
          <w:szCs w:val="22"/>
        </w:rPr>
        <w:t xml:space="preserve"> that the </w:t>
      </w:r>
      <w:r w:rsidR="00F43835">
        <w:rPr>
          <w:rFonts w:ascii="Arial" w:hAnsi="Arial" w:cs="Arial"/>
          <w:sz w:val="22"/>
          <w:szCs w:val="22"/>
        </w:rPr>
        <w:t>PBF</w:t>
      </w:r>
      <w:r w:rsidRPr="00E80114">
        <w:rPr>
          <w:rFonts w:ascii="Arial" w:hAnsi="Arial" w:cs="Arial"/>
          <w:sz w:val="22"/>
          <w:szCs w:val="22"/>
        </w:rPr>
        <w:t xml:space="preserve"> also places a high priority on achieving catalytic effects with its investments, and has done significant work in recent years to define what this means in the </w:t>
      </w:r>
      <w:r w:rsidR="00F43835" w:rsidRPr="00E80114">
        <w:rPr>
          <w:rFonts w:ascii="Arial" w:hAnsi="Arial" w:cs="Arial"/>
          <w:sz w:val="22"/>
          <w:szCs w:val="22"/>
        </w:rPr>
        <w:t xml:space="preserve">PBF </w:t>
      </w:r>
      <w:r w:rsidRPr="00E80114">
        <w:rPr>
          <w:rFonts w:ascii="Arial" w:hAnsi="Arial" w:cs="Arial"/>
          <w:sz w:val="22"/>
          <w:szCs w:val="22"/>
        </w:rPr>
        <w:t>context and attempt to quantify the</w:t>
      </w:r>
      <w:r w:rsidR="00F43835">
        <w:rPr>
          <w:rFonts w:ascii="Arial" w:hAnsi="Arial" w:cs="Arial"/>
          <w:sz w:val="22"/>
          <w:szCs w:val="22"/>
        </w:rPr>
        <w:t>ir</w:t>
      </w:r>
      <w:r w:rsidRPr="00E80114">
        <w:rPr>
          <w:rFonts w:ascii="Arial" w:hAnsi="Arial" w:cs="Arial"/>
          <w:sz w:val="22"/>
          <w:szCs w:val="22"/>
        </w:rPr>
        <w:t xml:space="preserve"> catalytic effects in monetary “dollar for dollar” terms.</w:t>
      </w:r>
      <w:r w:rsidRPr="00E80114">
        <w:rPr>
          <w:rStyle w:val="FootnoteReference"/>
          <w:rFonts w:ascii="Arial" w:hAnsi="Arial" w:cs="Arial"/>
          <w:sz w:val="22"/>
          <w:szCs w:val="22"/>
        </w:rPr>
        <w:footnoteReference w:id="16"/>
      </w:r>
      <w:r w:rsidRPr="00E80114">
        <w:rPr>
          <w:rFonts w:ascii="Arial" w:hAnsi="Arial" w:cs="Arial"/>
          <w:sz w:val="22"/>
          <w:szCs w:val="22"/>
        </w:rPr>
        <w:t xml:space="preserve"> Efforts in a similar direction were made at the outset of GP3 but were discontinued, reportedly due to the complexity of reliably linking subsequent generation of ROLSHR funding to the different </w:t>
      </w:r>
      <w:r w:rsidR="00F43835">
        <w:rPr>
          <w:rFonts w:ascii="Arial" w:hAnsi="Arial" w:cs="Arial"/>
          <w:sz w:val="22"/>
          <w:szCs w:val="22"/>
        </w:rPr>
        <w:t xml:space="preserve">GP </w:t>
      </w:r>
      <w:r w:rsidRPr="00E80114">
        <w:rPr>
          <w:rFonts w:ascii="Arial" w:hAnsi="Arial" w:cs="Arial"/>
          <w:sz w:val="22"/>
          <w:szCs w:val="22"/>
        </w:rPr>
        <w:t xml:space="preserve">interventions over time. As informants mentioned, new sources of funding may often emerge more than one year after a GP support intervention, and causal connections can be hard to clearly establish.  </w:t>
      </w:r>
    </w:p>
    <w:p w14:paraId="4D093804" w14:textId="22658CAC" w:rsidR="00532161" w:rsidRPr="00E80114" w:rsidRDefault="00114CA0" w:rsidP="00114CA0">
      <w:pPr>
        <w:spacing w:line="240" w:lineRule="auto"/>
        <w:ind w:left="567" w:right="571"/>
        <w:jc w:val="center"/>
        <w:rPr>
          <w:rFonts w:ascii="Arial" w:hAnsi="Arial" w:cs="Arial"/>
          <w:i/>
          <w:iCs/>
          <w:color w:val="4A66AC" w:themeColor="accent1"/>
          <w:sz w:val="22"/>
          <w:szCs w:val="22"/>
        </w:rPr>
      </w:pPr>
      <w:r>
        <w:rPr>
          <w:rFonts w:ascii="Arial" w:hAnsi="Arial" w:cs="Arial"/>
          <w:bCs/>
          <w:i/>
          <w:iCs/>
          <w:color w:val="4A66AC" w:themeColor="accent1"/>
          <w:sz w:val="22"/>
          <w:szCs w:val="22"/>
        </w:rPr>
        <w:t>“</w:t>
      </w:r>
      <w:r w:rsidR="00532161" w:rsidRPr="00E80114">
        <w:rPr>
          <w:rFonts w:ascii="Arial" w:hAnsi="Arial" w:cs="Arial"/>
          <w:bCs/>
          <w:i/>
          <w:iCs/>
          <w:color w:val="4A66AC" w:themeColor="accent1"/>
          <w:sz w:val="22"/>
          <w:szCs w:val="22"/>
        </w:rPr>
        <w:t>How are catalytic effects captured and documented??</w:t>
      </w:r>
      <w:r w:rsidR="00532161" w:rsidRPr="00E80114">
        <w:rPr>
          <w:rFonts w:ascii="Arial" w:hAnsi="Arial" w:cs="Arial"/>
          <w:i/>
          <w:iCs/>
          <w:color w:val="4A66AC" w:themeColor="accent1"/>
          <w:sz w:val="22"/>
          <w:szCs w:val="22"/>
        </w:rPr>
        <w:t xml:space="preserve"> Good question, it is not systematic. I used to produce a report after each mission, which would capture changes in that country, but now (in 2020) the system has fallen aside because we are not able to travel.</w:t>
      </w:r>
      <w:r>
        <w:rPr>
          <w:rFonts w:ascii="Arial" w:hAnsi="Arial" w:cs="Arial"/>
          <w:i/>
          <w:iCs/>
          <w:color w:val="4A66AC" w:themeColor="accent1"/>
          <w:sz w:val="22"/>
          <w:szCs w:val="22"/>
        </w:rPr>
        <w:t xml:space="preserve">” ~ </w:t>
      </w:r>
      <w:r w:rsidRPr="00E80114">
        <w:rPr>
          <w:rFonts w:ascii="Arial" w:hAnsi="Arial" w:cs="Arial"/>
          <w:bCs/>
          <w:color w:val="4A66AC" w:themeColor="accent1"/>
          <w:sz w:val="22"/>
          <w:szCs w:val="22"/>
        </w:rPr>
        <w:t>ROLSHR team member</w:t>
      </w:r>
    </w:p>
    <w:p w14:paraId="75B6C692" w14:textId="2CA8FACE" w:rsidR="00532161" w:rsidRPr="00E80114" w:rsidRDefault="00F43835" w:rsidP="00E80114">
      <w:pPr>
        <w:spacing w:line="240" w:lineRule="auto"/>
        <w:rPr>
          <w:rFonts w:ascii="Arial" w:hAnsi="Arial" w:cs="Arial"/>
          <w:sz w:val="22"/>
          <w:szCs w:val="22"/>
        </w:rPr>
      </w:pPr>
      <w:r>
        <w:rPr>
          <w:rFonts w:ascii="Arial" w:hAnsi="Arial" w:cs="Arial"/>
          <w:sz w:val="22"/>
          <w:szCs w:val="22"/>
        </w:rPr>
        <w:t>T</w:t>
      </w:r>
      <w:r w:rsidR="00532161" w:rsidRPr="00E80114">
        <w:rPr>
          <w:rFonts w:ascii="Arial" w:hAnsi="Arial" w:cs="Arial"/>
          <w:sz w:val="22"/>
          <w:szCs w:val="22"/>
        </w:rPr>
        <w:t>he absence of a programme-wide system of measurement and reporting on this aspect makes it difficult to evaluate the overall “catalytic effect” of GP3. Programme monitoring and reporting does not include methods to systematically capture and present data on catalytic effects over time (e.g.</w:t>
      </w:r>
      <w:r>
        <w:rPr>
          <w:rFonts w:ascii="Arial" w:hAnsi="Arial" w:cs="Arial"/>
          <w:sz w:val="22"/>
          <w:szCs w:val="22"/>
        </w:rPr>
        <w:t>,</w:t>
      </w:r>
      <w:r w:rsidR="00532161" w:rsidRPr="00E80114">
        <w:rPr>
          <w:rFonts w:ascii="Arial" w:hAnsi="Arial" w:cs="Arial"/>
          <w:sz w:val="22"/>
          <w:szCs w:val="22"/>
        </w:rPr>
        <w:t xml:space="preserve"> non-priority countries only </w:t>
      </w:r>
      <w:r>
        <w:rPr>
          <w:rFonts w:ascii="Arial" w:hAnsi="Arial" w:cs="Arial"/>
          <w:sz w:val="22"/>
          <w:szCs w:val="22"/>
        </w:rPr>
        <w:t>r</w:t>
      </w:r>
      <w:r w:rsidR="00532161" w:rsidRPr="00E80114">
        <w:rPr>
          <w:rFonts w:ascii="Arial" w:hAnsi="Arial" w:cs="Arial"/>
          <w:sz w:val="22"/>
          <w:szCs w:val="22"/>
        </w:rPr>
        <w:t xml:space="preserve">eport to GP </w:t>
      </w:r>
      <w:r>
        <w:rPr>
          <w:rFonts w:ascii="Arial" w:hAnsi="Arial" w:cs="Arial"/>
          <w:sz w:val="22"/>
          <w:szCs w:val="22"/>
        </w:rPr>
        <w:t>for</w:t>
      </w:r>
      <w:r w:rsidR="00532161" w:rsidRPr="00E80114">
        <w:rPr>
          <w:rFonts w:ascii="Arial" w:hAnsi="Arial" w:cs="Arial"/>
          <w:sz w:val="22"/>
          <w:szCs w:val="22"/>
        </w:rPr>
        <w:t xml:space="preserve"> the year in which they received funding, which may not reflect subsequent effects). Programme reports and interviews did not mention attempts to analyze trends in catalytic effects across contexts or across years, which could help inform decisions about optimal duration of funding, amounts, types of investments, etc. As a corollary, there is only anecdotal evidence of allocations that have NOT led to any sustained effort or measurable change, which does not appear to have been systematically analyzed. </w:t>
      </w:r>
    </w:p>
    <w:p w14:paraId="7FECB610" w14:textId="7DCDE4D4" w:rsidR="00532161" w:rsidRPr="00E80114" w:rsidRDefault="00532161" w:rsidP="00E80114">
      <w:pPr>
        <w:spacing w:line="240" w:lineRule="auto"/>
        <w:rPr>
          <w:rFonts w:ascii="Arial" w:hAnsi="Arial" w:cs="Arial"/>
          <w:sz w:val="22"/>
          <w:szCs w:val="22"/>
        </w:rPr>
      </w:pPr>
      <w:r w:rsidRPr="00E80114">
        <w:rPr>
          <w:rFonts w:ascii="Arial" w:hAnsi="Arial" w:cs="Arial"/>
          <w:sz w:val="22"/>
          <w:szCs w:val="22"/>
        </w:rPr>
        <w:t xml:space="preserve">The unsystematic measurement of catalytic effects is symptomatic of the wider challenges of GP3 results-based management, as described under Efficiency and detailed in </w:t>
      </w:r>
      <w:r w:rsidR="00B37446" w:rsidRPr="00212C58">
        <w:rPr>
          <w:rFonts w:ascii="Arial" w:hAnsi="Arial" w:cs="Arial"/>
          <w:i/>
          <w:iCs/>
          <w:color w:val="2B579A"/>
          <w:sz w:val="22"/>
          <w:szCs w:val="22"/>
          <w:highlight w:val="yellow"/>
          <w:shd w:val="clear" w:color="auto" w:fill="E6E6E6"/>
        </w:rPr>
        <w:fldChar w:fldCharType="begin"/>
      </w:r>
      <w:r w:rsidR="00B37446" w:rsidRPr="00212C58">
        <w:rPr>
          <w:rFonts w:ascii="Arial" w:hAnsi="Arial" w:cs="Arial"/>
          <w:i/>
          <w:iCs/>
          <w:sz w:val="22"/>
          <w:szCs w:val="22"/>
        </w:rPr>
        <w:instrText xml:space="preserve"> REF _Ref70154641 \h </w:instrText>
      </w:r>
      <w:r w:rsidR="00212C58" w:rsidRPr="00212C58">
        <w:rPr>
          <w:rFonts w:ascii="Arial" w:hAnsi="Arial" w:cs="Arial"/>
          <w:i/>
          <w:iCs/>
          <w:sz w:val="22"/>
          <w:szCs w:val="22"/>
          <w:highlight w:val="yellow"/>
        </w:rPr>
        <w:instrText xml:space="preserve"> \* MERGEFORMAT </w:instrText>
      </w:r>
      <w:r w:rsidR="00B37446" w:rsidRPr="00212C58">
        <w:rPr>
          <w:rFonts w:ascii="Arial" w:hAnsi="Arial" w:cs="Arial"/>
          <w:i/>
          <w:iCs/>
          <w:color w:val="2B579A"/>
          <w:sz w:val="22"/>
          <w:szCs w:val="22"/>
          <w:highlight w:val="yellow"/>
          <w:shd w:val="clear" w:color="auto" w:fill="E6E6E6"/>
        </w:rPr>
      </w:r>
      <w:r w:rsidR="00B37446" w:rsidRPr="00212C58">
        <w:rPr>
          <w:rFonts w:ascii="Arial" w:hAnsi="Arial" w:cs="Arial"/>
          <w:i/>
          <w:iCs/>
          <w:color w:val="2B579A"/>
          <w:sz w:val="22"/>
          <w:szCs w:val="22"/>
          <w:highlight w:val="yellow"/>
          <w:shd w:val="clear" w:color="auto" w:fill="E6E6E6"/>
        </w:rPr>
        <w:fldChar w:fldCharType="separate"/>
      </w:r>
      <w:r w:rsidR="00036841" w:rsidRPr="00036841">
        <w:rPr>
          <w:rFonts w:ascii="Arial" w:hAnsi="Arial" w:cs="Arial"/>
          <w:i/>
          <w:iCs/>
          <w:sz w:val="22"/>
          <w:szCs w:val="22"/>
          <w:lang w:val="en-US" w:eastAsia="de-DE"/>
        </w:rPr>
        <w:t>Annex 3: Analysis of Results-Based Management</w:t>
      </w:r>
      <w:r w:rsidR="00B37446" w:rsidRPr="00212C58">
        <w:rPr>
          <w:rFonts w:ascii="Arial" w:hAnsi="Arial" w:cs="Arial"/>
          <w:i/>
          <w:iCs/>
          <w:color w:val="2B579A"/>
          <w:sz w:val="22"/>
          <w:szCs w:val="22"/>
          <w:highlight w:val="yellow"/>
          <w:shd w:val="clear" w:color="auto" w:fill="E6E6E6"/>
        </w:rPr>
        <w:fldChar w:fldCharType="end"/>
      </w:r>
      <w:r w:rsidRPr="00212C58">
        <w:rPr>
          <w:rFonts w:ascii="Arial" w:hAnsi="Arial" w:cs="Arial"/>
          <w:i/>
          <w:iCs/>
          <w:sz w:val="22"/>
          <w:szCs w:val="22"/>
        </w:rPr>
        <w:t>.</w:t>
      </w:r>
      <w:r w:rsidRPr="00E80114">
        <w:rPr>
          <w:rFonts w:ascii="Arial" w:hAnsi="Arial" w:cs="Arial"/>
          <w:sz w:val="22"/>
          <w:szCs w:val="22"/>
        </w:rPr>
        <w:t xml:space="preserve"> This is corroborated by ISSAT’s comments in their 2018 report to GP management: “</w:t>
      </w:r>
      <w:r w:rsidRPr="00E80114">
        <w:rPr>
          <w:rFonts w:ascii="Arial" w:hAnsi="Arial" w:cs="Arial"/>
          <w:i/>
          <w:iCs/>
          <w:sz w:val="22"/>
          <w:szCs w:val="22"/>
        </w:rPr>
        <w:t>Successful flexible and adaptive programming depends on strong programme management, including ensuring a clear idea of what the aims are, identifying and understanding the measures and milestones to show progress towards those aims, regular and realistic outcomes-based reporting, and the time to periodically reassess the project Theory of Change to understand what was learnt and thus why and how the project should adapt. The absence of such management undermines the whole approach, and leaves a programme lacking the evidence to justify and explain any changes. This makes the longer term aggregation of impact impossible to demonstrate, and puts at risk the sustainment of any achievements.”</w:t>
      </w:r>
    </w:p>
    <w:p w14:paraId="37117AB9" w14:textId="1DE08D17" w:rsidR="00532161" w:rsidRPr="00E80114" w:rsidRDefault="00532161" w:rsidP="00E80114">
      <w:pPr>
        <w:spacing w:line="240" w:lineRule="auto"/>
        <w:rPr>
          <w:rFonts w:ascii="Arial" w:hAnsi="Arial" w:cs="Arial"/>
          <w:sz w:val="22"/>
          <w:szCs w:val="22"/>
        </w:rPr>
      </w:pPr>
      <w:r w:rsidRPr="00E80114">
        <w:rPr>
          <w:rFonts w:ascii="Arial" w:hAnsi="Arial" w:cs="Arial"/>
          <w:sz w:val="22"/>
          <w:szCs w:val="22"/>
        </w:rPr>
        <w:t>Enquiries with several key donor</w:t>
      </w:r>
      <w:r w:rsidR="00212C58">
        <w:rPr>
          <w:rFonts w:ascii="Arial" w:hAnsi="Arial" w:cs="Arial"/>
          <w:sz w:val="22"/>
          <w:szCs w:val="22"/>
        </w:rPr>
        <w:t xml:space="preserve">s </w:t>
      </w:r>
      <w:r w:rsidRPr="00E80114">
        <w:rPr>
          <w:rFonts w:ascii="Arial" w:hAnsi="Arial" w:cs="Arial"/>
          <w:sz w:val="22"/>
          <w:szCs w:val="22"/>
        </w:rPr>
        <w:t xml:space="preserve">indicated that the core group of funding partners has been generally satisfied with the performance of GP3, which is corroborated by the fact that funding flows have been stable during this Phase. The GP management team is highly responsive to donor concerns and questions, and consultation and communication with the donor group was described as unusually frequent compared to other global initiatives. </w:t>
      </w:r>
      <w:r w:rsidR="00212C58">
        <w:rPr>
          <w:rFonts w:ascii="Arial" w:hAnsi="Arial" w:cs="Arial"/>
          <w:sz w:val="22"/>
          <w:szCs w:val="22"/>
        </w:rPr>
        <w:t>However, a</w:t>
      </w:r>
      <w:r w:rsidRPr="00E80114">
        <w:rPr>
          <w:rFonts w:ascii="Arial" w:hAnsi="Arial" w:cs="Arial"/>
          <w:sz w:val="22"/>
          <w:szCs w:val="22"/>
        </w:rPr>
        <w:t>s noted above, donors voiced reservations about how well the Programme reporting reflects their investments in the GP and enables an overall cost-benefit analysis, and several recommended deeper strategic consultations on a timely basis.</w:t>
      </w:r>
    </w:p>
    <w:p w14:paraId="349DEF3D" w14:textId="392FF739" w:rsidR="00532161" w:rsidRPr="00E80114" w:rsidRDefault="00114CA0" w:rsidP="00114CA0">
      <w:pPr>
        <w:spacing w:line="240" w:lineRule="auto"/>
        <w:ind w:left="567" w:right="571"/>
        <w:jc w:val="center"/>
        <w:rPr>
          <w:rFonts w:ascii="Arial" w:hAnsi="Arial" w:cs="Arial"/>
          <w:color w:val="4A66AC" w:themeColor="accent1"/>
          <w:sz w:val="22"/>
          <w:szCs w:val="22"/>
        </w:rPr>
      </w:pPr>
      <w:r>
        <w:rPr>
          <w:rFonts w:ascii="Arial" w:hAnsi="Arial" w:cs="Arial"/>
          <w:i/>
          <w:iCs/>
          <w:color w:val="4A66AC" w:themeColor="accent1"/>
          <w:sz w:val="22"/>
          <w:szCs w:val="22"/>
        </w:rPr>
        <w:t>“</w:t>
      </w:r>
      <w:r w:rsidR="00532161" w:rsidRPr="00E80114">
        <w:rPr>
          <w:rFonts w:ascii="Arial" w:hAnsi="Arial" w:cs="Arial"/>
          <w:i/>
          <w:iCs/>
          <w:color w:val="4A66AC" w:themeColor="accent1"/>
          <w:sz w:val="22"/>
          <w:szCs w:val="22"/>
        </w:rPr>
        <w:t xml:space="preserve">The donors appreciate the Programme because they can channel significant funds, </w:t>
      </w:r>
      <w:r w:rsidR="00212C58">
        <w:rPr>
          <w:rFonts w:ascii="Arial" w:hAnsi="Arial" w:cs="Arial"/>
          <w:i/>
          <w:iCs/>
          <w:color w:val="4A66AC" w:themeColor="accent1"/>
          <w:sz w:val="22"/>
          <w:szCs w:val="22"/>
        </w:rPr>
        <w:t xml:space="preserve">and </w:t>
      </w:r>
      <w:r w:rsidR="00532161" w:rsidRPr="00E80114">
        <w:rPr>
          <w:rFonts w:ascii="Arial" w:hAnsi="Arial" w:cs="Arial"/>
          <w:i/>
          <w:iCs/>
          <w:color w:val="4A66AC" w:themeColor="accent1"/>
          <w:sz w:val="22"/>
          <w:szCs w:val="22"/>
        </w:rPr>
        <w:t>get a single report with high quality assurance</w:t>
      </w:r>
      <w:r w:rsidR="00212C58">
        <w:rPr>
          <w:rFonts w:ascii="Arial" w:hAnsi="Arial" w:cs="Arial"/>
          <w:i/>
          <w:iCs/>
          <w:color w:val="4A66AC" w:themeColor="accent1"/>
          <w:sz w:val="22"/>
          <w:szCs w:val="22"/>
        </w:rPr>
        <w:t>. I</w:t>
      </w:r>
      <w:r w:rsidR="00532161" w:rsidRPr="00E80114">
        <w:rPr>
          <w:rFonts w:ascii="Arial" w:hAnsi="Arial" w:cs="Arial"/>
          <w:i/>
          <w:iCs/>
          <w:color w:val="4A66AC" w:themeColor="accent1"/>
          <w:sz w:val="22"/>
          <w:szCs w:val="22"/>
        </w:rPr>
        <w:t xml:space="preserve">t is easy, transparent, </w:t>
      </w:r>
      <w:r w:rsidR="00212C58">
        <w:rPr>
          <w:rFonts w:ascii="Arial" w:hAnsi="Arial" w:cs="Arial"/>
          <w:i/>
          <w:iCs/>
          <w:color w:val="4A66AC" w:themeColor="accent1"/>
          <w:sz w:val="22"/>
          <w:szCs w:val="22"/>
        </w:rPr>
        <w:t xml:space="preserve">they </w:t>
      </w:r>
      <w:r w:rsidR="00532161" w:rsidRPr="00E80114">
        <w:rPr>
          <w:rFonts w:ascii="Arial" w:hAnsi="Arial" w:cs="Arial"/>
          <w:i/>
          <w:iCs/>
          <w:color w:val="4A66AC" w:themeColor="accent1"/>
          <w:sz w:val="22"/>
          <w:szCs w:val="22"/>
        </w:rPr>
        <w:t>know they will get results. The team puts heavy focus on country offices and donor relations, which has been effective.</w:t>
      </w:r>
      <w:r>
        <w:rPr>
          <w:rFonts w:ascii="Arial" w:hAnsi="Arial" w:cs="Arial"/>
          <w:i/>
          <w:iCs/>
          <w:color w:val="4A66AC" w:themeColor="accent1"/>
          <w:sz w:val="22"/>
          <w:szCs w:val="22"/>
        </w:rPr>
        <w:t xml:space="preserve">” ~ </w:t>
      </w:r>
      <w:r w:rsidRPr="00E80114">
        <w:rPr>
          <w:rFonts w:ascii="Arial" w:hAnsi="Arial" w:cs="Arial"/>
          <w:color w:val="4A66AC" w:themeColor="accent1"/>
          <w:sz w:val="22"/>
          <w:szCs w:val="22"/>
        </w:rPr>
        <w:t>ROLSHR team member</w:t>
      </w:r>
    </w:p>
    <w:p w14:paraId="1FBD2B87" w14:textId="29EFBD72" w:rsidR="00532161" w:rsidRPr="00E80114" w:rsidRDefault="00532161" w:rsidP="00212C58">
      <w:pPr>
        <w:spacing w:line="240" w:lineRule="auto"/>
        <w:rPr>
          <w:sz w:val="22"/>
          <w:szCs w:val="22"/>
          <w:lang w:val="en-US"/>
        </w:rPr>
      </w:pPr>
      <w:r w:rsidRPr="00E80114">
        <w:rPr>
          <w:rFonts w:ascii="Arial" w:hAnsi="Arial" w:cs="Arial"/>
          <w:sz w:val="22"/>
          <w:szCs w:val="22"/>
        </w:rPr>
        <w:t>It is pertinent to reiterate here that the Theory of Change in the Prodoc was never fully elaborated to define the expected results, causal pathways and assumptions underlying the GP3 design. Combined with the above-described constraints in monitoring and reporting systems, there are significant challenges for analyzing and measuring change influenced by the Programme in a concrete or tangible way at global level, across countries and across years.</w:t>
      </w:r>
    </w:p>
    <w:p w14:paraId="7A5BF6AA" w14:textId="36D7B9EB" w:rsidR="005B2D40" w:rsidRDefault="005B2D40" w:rsidP="005B2D40">
      <w:pPr>
        <w:pStyle w:val="Heading2"/>
      </w:pPr>
      <w:bookmarkStart w:id="28" w:name="_Ref70156470"/>
      <w:bookmarkStart w:id="29" w:name="_Toc71701895"/>
      <w:r w:rsidRPr="0029366C">
        <w:t xml:space="preserve">Country Level </w:t>
      </w:r>
      <w:r>
        <w:t>Findings</w:t>
      </w:r>
      <w:r w:rsidRPr="0029366C">
        <w:t xml:space="preserve"> on </w:t>
      </w:r>
      <w:r>
        <w:t>Effectiveness and Impact</w:t>
      </w:r>
      <w:bookmarkEnd w:id="28"/>
      <w:bookmarkEnd w:id="29"/>
    </w:p>
    <w:p w14:paraId="58CECD2D" w14:textId="59F6FC70" w:rsidR="005B2D40" w:rsidRPr="007D272B" w:rsidRDefault="005B2D40" w:rsidP="005B2D40">
      <w:pPr>
        <w:spacing w:after="0" w:line="240" w:lineRule="auto"/>
        <w:jc w:val="both"/>
        <w:rPr>
          <w:rFonts w:ascii="Arial" w:hAnsi="Arial" w:cs="Arial"/>
          <w:i/>
          <w:iCs/>
          <w:color w:val="000000"/>
          <w:sz w:val="22"/>
          <w:szCs w:val="22"/>
          <w:lang w:val="en-US"/>
        </w:rPr>
      </w:pPr>
      <w:r w:rsidRPr="007D272B">
        <w:rPr>
          <w:rFonts w:ascii="Arial" w:hAnsi="Arial" w:cs="Arial"/>
          <w:b/>
          <w:bCs/>
          <w:i/>
          <w:iCs/>
          <w:color w:val="000000"/>
          <w:sz w:val="22"/>
          <w:szCs w:val="22"/>
          <w:lang w:val="en-US"/>
        </w:rPr>
        <w:t>Evaluation Questions:</w:t>
      </w:r>
      <w:r w:rsidRPr="007D272B">
        <w:rPr>
          <w:rFonts w:ascii="Arial" w:hAnsi="Arial" w:cs="Arial"/>
          <w:i/>
          <w:iCs/>
          <w:color w:val="000000"/>
          <w:sz w:val="22"/>
          <w:szCs w:val="22"/>
          <w:lang w:val="en-US"/>
        </w:rPr>
        <w:t xml:space="preserve"> </w:t>
      </w:r>
    </w:p>
    <w:p w14:paraId="03A220C9" w14:textId="77777777" w:rsidR="005B2D40" w:rsidRPr="007D272B" w:rsidRDefault="005B2D40" w:rsidP="00567956">
      <w:pPr>
        <w:pStyle w:val="ListParagraph"/>
        <w:numPr>
          <w:ilvl w:val="0"/>
          <w:numId w:val="17"/>
        </w:numPr>
        <w:spacing w:after="0" w:line="240" w:lineRule="auto"/>
        <w:rPr>
          <w:rFonts w:ascii="Arial" w:eastAsia="Times New Roman" w:hAnsi="Arial" w:cs="Arial"/>
          <w:i/>
          <w:iCs/>
          <w:sz w:val="22"/>
          <w:szCs w:val="22"/>
          <w:lang w:val="en-US"/>
        </w:rPr>
      </w:pPr>
      <w:r w:rsidRPr="007D272B">
        <w:rPr>
          <w:rFonts w:ascii="Arial" w:hAnsi="Arial" w:cs="Arial"/>
          <w:i/>
          <w:iCs/>
          <w:color w:val="000000"/>
          <w:sz w:val="22"/>
          <w:szCs w:val="22"/>
          <w:lang w:val="en-US"/>
        </w:rPr>
        <w:t>To what extent has GP3-supported programming achieved its intended results? </w:t>
      </w:r>
    </w:p>
    <w:p w14:paraId="7DD07E1B" w14:textId="77777777" w:rsidR="005B2D40" w:rsidRPr="007D272B" w:rsidRDefault="005B2D40" w:rsidP="00567956">
      <w:pPr>
        <w:pStyle w:val="ListParagraph"/>
        <w:numPr>
          <w:ilvl w:val="0"/>
          <w:numId w:val="18"/>
        </w:numPr>
        <w:spacing w:after="0" w:line="240" w:lineRule="auto"/>
        <w:jc w:val="both"/>
        <w:rPr>
          <w:rFonts w:ascii="Arial" w:hAnsi="Arial" w:cs="Arial"/>
          <w:i/>
          <w:iCs/>
          <w:color w:val="000000"/>
          <w:sz w:val="22"/>
          <w:szCs w:val="22"/>
          <w:lang w:val="en-US"/>
        </w:rPr>
      </w:pPr>
      <w:r w:rsidRPr="007D272B">
        <w:rPr>
          <w:rFonts w:ascii="Arial" w:hAnsi="Arial" w:cs="Arial"/>
          <w:i/>
          <w:iCs/>
          <w:color w:val="000000"/>
          <w:sz w:val="22"/>
          <w:szCs w:val="22"/>
          <w:lang w:val="en-US"/>
        </w:rPr>
        <w:t xml:space="preserve">What significant lessons learned, best practices and innovations have emerged from GP3 programming? </w:t>
      </w:r>
    </w:p>
    <w:p w14:paraId="4282CFC3" w14:textId="77777777" w:rsidR="005B2D40" w:rsidRPr="007D272B" w:rsidRDefault="005B2D40" w:rsidP="00567956">
      <w:pPr>
        <w:pStyle w:val="ListParagraph"/>
        <w:numPr>
          <w:ilvl w:val="0"/>
          <w:numId w:val="18"/>
        </w:numPr>
        <w:spacing w:after="0" w:line="240" w:lineRule="auto"/>
        <w:jc w:val="both"/>
        <w:rPr>
          <w:rFonts w:ascii="Arial" w:hAnsi="Arial" w:cs="Arial"/>
          <w:i/>
          <w:iCs/>
          <w:color w:val="000000"/>
          <w:sz w:val="22"/>
          <w:szCs w:val="22"/>
          <w:lang w:val="en-US"/>
        </w:rPr>
      </w:pPr>
      <w:r w:rsidRPr="007D272B">
        <w:rPr>
          <w:rFonts w:ascii="Arial" w:hAnsi="Arial" w:cs="Arial"/>
          <w:i/>
          <w:iCs/>
          <w:color w:val="000000"/>
          <w:sz w:val="22"/>
          <w:szCs w:val="22"/>
          <w:lang w:val="en-US"/>
        </w:rPr>
        <w:t xml:space="preserve">To what extent has GP3 contributed to improving the overall ROLSHR situation in priority countries? </w:t>
      </w:r>
    </w:p>
    <w:p w14:paraId="2F6952B8" w14:textId="77777777" w:rsidR="005B2D40" w:rsidRPr="007D272B" w:rsidRDefault="005B2D40" w:rsidP="00567956">
      <w:pPr>
        <w:pStyle w:val="ListParagraph"/>
        <w:numPr>
          <w:ilvl w:val="0"/>
          <w:numId w:val="18"/>
        </w:numPr>
        <w:spacing w:after="0" w:line="240" w:lineRule="auto"/>
        <w:jc w:val="both"/>
        <w:rPr>
          <w:rFonts w:ascii="Arial" w:hAnsi="Arial" w:cs="Arial"/>
          <w:i/>
          <w:iCs/>
          <w:color w:val="000000"/>
          <w:sz w:val="22"/>
          <w:szCs w:val="22"/>
          <w:lang w:val="en-US"/>
        </w:rPr>
      </w:pPr>
      <w:r w:rsidRPr="007D272B">
        <w:rPr>
          <w:rFonts w:ascii="Arial" w:hAnsi="Arial" w:cs="Arial"/>
          <w:i/>
          <w:iCs/>
          <w:color w:val="000000"/>
          <w:sz w:val="22"/>
          <w:szCs w:val="22"/>
          <w:lang w:val="en-US"/>
        </w:rPr>
        <w:t xml:space="preserve">What examples of potential or early impact can be identified? </w:t>
      </w:r>
    </w:p>
    <w:p w14:paraId="352C6818" w14:textId="1408E137" w:rsidR="005B2D40" w:rsidRPr="007D272B" w:rsidRDefault="005B2D40" w:rsidP="00567956">
      <w:pPr>
        <w:pStyle w:val="ListParagraph"/>
        <w:numPr>
          <w:ilvl w:val="0"/>
          <w:numId w:val="18"/>
        </w:numPr>
        <w:spacing w:after="0" w:line="240" w:lineRule="auto"/>
        <w:jc w:val="both"/>
        <w:rPr>
          <w:rFonts w:ascii="Arial" w:hAnsi="Arial" w:cs="Arial"/>
          <w:i/>
          <w:iCs/>
          <w:color w:val="000000"/>
          <w:sz w:val="22"/>
          <w:szCs w:val="22"/>
          <w:lang w:val="en-US"/>
        </w:rPr>
      </w:pPr>
      <w:r w:rsidRPr="007D272B">
        <w:rPr>
          <w:rFonts w:ascii="Arial" w:hAnsi="Arial" w:cs="Arial"/>
          <w:i/>
          <w:iCs/>
          <w:color w:val="000000"/>
          <w:sz w:val="22"/>
          <w:szCs w:val="22"/>
          <w:lang w:val="en-US"/>
        </w:rPr>
        <w:t>To what extent and in what ways has the GP modality added value to UNDP’s offer on ROLSHR in the field in Phase 3? (e.g. flexible funding, expertise, comprehensive programming, coordination with UN system)</w:t>
      </w:r>
    </w:p>
    <w:p w14:paraId="33B4C251" w14:textId="77777777" w:rsidR="007D6022" w:rsidRPr="007D6022" w:rsidRDefault="007D6022" w:rsidP="007D6022">
      <w:pPr>
        <w:pStyle w:val="ListParagraph"/>
        <w:spacing w:after="0" w:line="240" w:lineRule="auto"/>
        <w:jc w:val="both"/>
        <w:rPr>
          <w:rFonts w:ascii="Arial" w:hAnsi="Arial" w:cs="Arial"/>
          <w:i/>
          <w:iCs/>
          <w:color w:val="000000"/>
          <w:lang w:val="en-US"/>
        </w:rPr>
      </w:pPr>
    </w:p>
    <w:p w14:paraId="0C5F4940" w14:textId="52269E59" w:rsidR="005B2D40" w:rsidRPr="00E80114" w:rsidRDefault="005B2D40" w:rsidP="00E80114">
      <w:pPr>
        <w:spacing w:line="240" w:lineRule="auto"/>
        <w:rPr>
          <w:rFonts w:ascii="Arial" w:eastAsia="Times New Roman" w:hAnsi="Arial" w:cs="Arial"/>
          <w:color w:val="000000"/>
          <w:sz w:val="22"/>
          <w:szCs w:val="22"/>
          <w:lang w:val="en-US" w:eastAsia="de-DE"/>
        </w:rPr>
      </w:pPr>
      <w:r w:rsidRPr="00E80114">
        <w:rPr>
          <w:rFonts w:ascii="Arial" w:eastAsia="Times New Roman" w:hAnsi="Arial" w:cs="Arial"/>
          <w:color w:val="000000"/>
          <w:sz w:val="22"/>
          <w:szCs w:val="22"/>
          <w:lang w:val="en-US" w:eastAsia="de-DE"/>
        </w:rPr>
        <w:t xml:space="preserve">The evaluation found strong evidence that comparatively low-volume funds of </w:t>
      </w:r>
      <w:r w:rsidR="00512D35" w:rsidRPr="00E80114">
        <w:rPr>
          <w:rFonts w:ascii="Arial" w:eastAsia="Times New Roman" w:hAnsi="Arial" w:cs="Arial"/>
          <w:color w:val="000000"/>
          <w:sz w:val="22"/>
          <w:szCs w:val="22"/>
          <w:lang w:val="en-US" w:eastAsia="de-DE"/>
        </w:rPr>
        <w:t>$</w:t>
      </w:r>
      <w:r w:rsidRPr="00E80114">
        <w:rPr>
          <w:rFonts w:ascii="Arial" w:eastAsia="Times New Roman" w:hAnsi="Arial" w:cs="Arial"/>
          <w:color w:val="000000"/>
          <w:sz w:val="22"/>
          <w:szCs w:val="22"/>
          <w:lang w:val="en-US" w:eastAsia="de-DE"/>
        </w:rPr>
        <w:t>100</w:t>
      </w:r>
      <w:r w:rsidR="00512D35" w:rsidRPr="00E80114">
        <w:rPr>
          <w:rFonts w:ascii="Arial" w:eastAsia="Times New Roman" w:hAnsi="Arial" w:cs="Arial"/>
          <w:color w:val="000000"/>
          <w:sz w:val="22"/>
          <w:szCs w:val="22"/>
          <w:lang w:val="en-US" w:eastAsia="de-DE"/>
        </w:rPr>
        <w:t xml:space="preserve">,000 to </w:t>
      </w:r>
      <w:r w:rsidR="00212C58">
        <w:rPr>
          <w:rFonts w:ascii="Arial" w:eastAsia="Times New Roman" w:hAnsi="Arial" w:cs="Arial"/>
          <w:color w:val="000000"/>
          <w:sz w:val="22"/>
          <w:szCs w:val="22"/>
          <w:lang w:val="en-US" w:eastAsia="de-DE"/>
        </w:rPr>
        <w:t>$</w:t>
      </w:r>
      <w:r w:rsidRPr="00E80114">
        <w:rPr>
          <w:rFonts w:ascii="Arial" w:eastAsia="Times New Roman" w:hAnsi="Arial" w:cs="Arial"/>
          <w:color w:val="000000"/>
          <w:sz w:val="22"/>
          <w:szCs w:val="22"/>
          <w:lang w:val="en-US" w:eastAsia="de-DE"/>
        </w:rPr>
        <w:t>3</w:t>
      </w:r>
      <w:r w:rsidR="00512D35" w:rsidRPr="00E80114">
        <w:rPr>
          <w:rFonts w:ascii="Arial" w:eastAsia="Times New Roman" w:hAnsi="Arial" w:cs="Arial"/>
          <w:color w:val="000000"/>
          <w:sz w:val="22"/>
          <w:szCs w:val="22"/>
          <w:lang w:val="en-US" w:eastAsia="de-DE"/>
        </w:rPr>
        <w:t>0</w:t>
      </w:r>
      <w:r w:rsidRPr="00E80114">
        <w:rPr>
          <w:rFonts w:ascii="Arial" w:eastAsia="Times New Roman" w:hAnsi="Arial" w:cs="Arial"/>
          <w:color w:val="000000"/>
          <w:sz w:val="22"/>
          <w:szCs w:val="22"/>
          <w:lang w:val="en-US" w:eastAsia="de-DE"/>
        </w:rPr>
        <w:t>0</w:t>
      </w:r>
      <w:r w:rsidR="00512D35" w:rsidRPr="00E80114">
        <w:rPr>
          <w:rFonts w:ascii="Arial" w:eastAsia="Times New Roman" w:hAnsi="Arial" w:cs="Arial"/>
          <w:color w:val="000000"/>
          <w:sz w:val="22"/>
          <w:szCs w:val="22"/>
          <w:lang w:val="en-US" w:eastAsia="de-DE"/>
        </w:rPr>
        <w:t>,000</w:t>
      </w:r>
      <w:r w:rsidRPr="00E80114">
        <w:rPr>
          <w:rFonts w:ascii="Arial" w:eastAsia="Times New Roman" w:hAnsi="Arial" w:cs="Arial"/>
          <w:color w:val="000000"/>
          <w:sz w:val="22"/>
          <w:szCs w:val="22"/>
          <w:lang w:val="en-US" w:eastAsia="de-DE"/>
        </w:rPr>
        <w:t xml:space="preserve"> can go a long way and have a significant leveraging effect, creating what country level staff perceive as relatively uncommon and much-needed maneuvering space for </w:t>
      </w:r>
      <w:r w:rsidR="00212C58">
        <w:rPr>
          <w:rFonts w:ascii="Arial" w:eastAsia="Times New Roman" w:hAnsi="Arial" w:cs="Arial"/>
          <w:color w:val="000000"/>
          <w:sz w:val="22"/>
          <w:szCs w:val="22"/>
          <w:lang w:val="en-US" w:eastAsia="de-DE"/>
        </w:rPr>
        <w:t>CO</w:t>
      </w:r>
      <w:r w:rsidRPr="00E80114">
        <w:rPr>
          <w:rFonts w:ascii="Arial" w:eastAsia="Times New Roman" w:hAnsi="Arial" w:cs="Arial"/>
          <w:color w:val="000000"/>
          <w:sz w:val="22"/>
          <w:szCs w:val="22"/>
          <w:lang w:val="en-US" w:eastAsia="de-DE"/>
        </w:rPr>
        <w:t xml:space="preserve"> ROLSHR teams. This includes the latitude and related opportunities provided through the simple initial effect of “buying time” which allows </w:t>
      </w:r>
      <w:r w:rsidR="00212C58">
        <w:rPr>
          <w:rFonts w:ascii="Arial" w:eastAsia="Times New Roman" w:hAnsi="Arial" w:cs="Arial"/>
          <w:color w:val="000000"/>
          <w:sz w:val="22"/>
          <w:szCs w:val="22"/>
          <w:lang w:val="en-US" w:eastAsia="de-DE"/>
        </w:rPr>
        <w:t>those</w:t>
      </w:r>
      <w:r w:rsidRPr="00E80114">
        <w:rPr>
          <w:rFonts w:ascii="Arial" w:eastAsia="Times New Roman" w:hAnsi="Arial" w:cs="Arial"/>
          <w:color w:val="000000"/>
          <w:sz w:val="22"/>
          <w:szCs w:val="22"/>
          <w:lang w:val="en-US" w:eastAsia="de-DE"/>
        </w:rPr>
        <w:t xml:space="preserve"> </w:t>
      </w:r>
      <w:r w:rsidR="00212C58">
        <w:rPr>
          <w:rFonts w:ascii="Arial" w:eastAsia="Times New Roman" w:hAnsi="Arial" w:cs="Arial"/>
          <w:color w:val="000000"/>
          <w:sz w:val="22"/>
          <w:szCs w:val="22"/>
          <w:lang w:val="en-US" w:eastAsia="de-DE"/>
        </w:rPr>
        <w:t>teams</w:t>
      </w:r>
      <w:r w:rsidRPr="00E80114">
        <w:rPr>
          <w:rFonts w:ascii="Arial" w:eastAsia="Times New Roman" w:hAnsi="Arial" w:cs="Arial"/>
          <w:color w:val="000000"/>
          <w:sz w:val="22"/>
          <w:szCs w:val="22"/>
          <w:lang w:val="en-US" w:eastAsia="de-DE"/>
        </w:rPr>
        <w:t xml:space="preserve"> to establish or consolidate connections, stay on the scene, position themselves in the overall landscape by defining or shaping their niche in the field of ROLSHR, draft programme/project designs</w:t>
      </w:r>
      <w:r w:rsidR="00212C58">
        <w:rPr>
          <w:rFonts w:ascii="Arial" w:eastAsia="Times New Roman" w:hAnsi="Arial" w:cs="Arial"/>
          <w:color w:val="000000"/>
          <w:sz w:val="22"/>
          <w:szCs w:val="22"/>
          <w:lang w:val="en-US" w:eastAsia="de-DE"/>
        </w:rPr>
        <w:t>,</w:t>
      </w:r>
      <w:r w:rsidRPr="00E80114">
        <w:rPr>
          <w:rFonts w:ascii="Arial" w:eastAsia="Times New Roman" w:hAnsi="Arial" w:cs="Arial"/>
          <w:color w:val="000000"/>
          <w:sz w:val="22"/>
          <w:szCs w:val="22"/>
          <w:lang w:val="en-US" w:eastAsia="de-DE"/>
        </w:rPr>
        <w:t xml:space="preserve"> etc. </w:t>
      </w:r>
    </w:p>
    <w:p w14:paraId="46E90034" w14:textId="7D4ECF13" w:rsidR="005B2D40" w:rsidRPr="00E80114" w:rsidRDefault="005B2D40" w:rsidP="00E80114">
      <w:pPr>
        <w:spacing w:line="240" w:lineRule="auto"/>
        <w:rPr>
          <w:rFonts w:ascii="Arial" w:eastAsia="Times New Roman" w:hAnsi="Arial" w:cs="Arial"/>
          <w:sz w:val="22"/>
          <w:szCs w:val="22"/>
          <w:lang w:val="en-US" w:eastAsia="de-DE"/>
        </w:rPr>
      </w:pPr>
      <w:r w:rsidRPr="00E80114">
        <w:rPr>
          <w:rFonts w:ascii="Arial" w:eastAsia="Times New Roman" w:hAnsi="Arial" w:cs="Arial"/>
          <w:sz w:val="22"/>
          <w:szCs w:val="22"/>
          <w:lang w:val="en-US" w:eastAsia="de-DE"/>
        </w:rPr>
        <w:t xml:space="preserve">What can be described as catalytic effects of GP (in the sense of related investments or expanded programming after GP financial or technical support) were reported in all case study countries, although those effects were extremely diverse, sometimes hard to measure or link to the GP, and did not necessarily flow from every investment. </w:t>
      </w:r>
      <w:r w:rsidRPr="00E80114">
        <w:rPr>
          <w:rFonts w:ascii="Arial" w:hAnsi="Arial" w:cs="Arial"/>
          <w:color w:val="000000"/>
          <w:sz w:val="22"/>
          <w:szCs w:val="22"/>
          <w:lang w:val="en-US"/>
        </w:rPr>
        <w:t xml:space="preserve">Overall, GP’s modest funding has proven useful in a variety of contexts, if invested strategically – from mission contexts of ongoing conflict with huge donor presence to relatively stable non-mission contexts with few donors and small UNDP portfolio. </w:t>
      </w:r>
    </w:p>
    <w:p w14:paraId="36612F8B" w14:textId="2E959965" w:rsidR="005B2D40" w:rsidRPr="00E80114" w:rsidRDefault="005B2D40" w:rsidP="00E80114">
      <w:pPr>
        <w:spacing w:line="240" w:lineRule="auto"/>
        <w:rPr>
          <w:rFonts w:ascii="Arial" w:eastAsia="Times New Roman" w:hAnsi="Arial" w:cs="Arial"/>
          <w:sz w:val="22"/>
          <w:szCs w:val="22"/>
          <w:lang w:val="en-US" w:eastAsia="de-DE"/>
        </w:rPr>
      </w:pPr>
      <w:r w:rsidRPr="00E80114">
        <w:rPr>
          <w:rFonts w:ascii="Arial" w:eastAsia="Times New Roman" w:hAnsi="Arial" w:cs="Arial"/>
          <w:sz w:val="22"/>
          <w:szCs w:val="22"/>
          <w:lang w:val="en-US" w:eastAsia="de-DE"/>
        </w:rPr>
        <w:t xml:space="preserve">In terms of effects on the country level ROLSHR situation, these are somewhat more difficult to attribute to the limited GP support, given the complexity of the sector and multiple actors involved, even in a smaller context such as Kyrgyzstan. It was not feasible for this evaluation to investigate sufficiently to clarify these causal relationships. However, case study data points to multiple examples of positive results flowing from UNDP-led country level strategies and specific programming to which the GP has contributed, either in financial or technical terms. These range from innovative new tools and continuation of vital services to support </w:t>
      </w:r>
      <w:r w:rsidR="00512D35" w:rsidRPr="00E80114">
        <w:rPr>
          <w:rFonts w:ascii="Arial" w:eastAsia="Times New Roman" w:hAnsi="Arial" w:cs="Arial"/>
          <w:sz w:val="22"/>
          <w:szCs w:val="22"/>
          <w:lang w:val="en-US" w:eastAsia="de-DE"/>
        </w:rPr>
        <w:t>S</w:t>
      </w:r>
      <w:r w:rsidRPr="00E80114">
        <w:rPr>
          <w:rFonts w:ascii="Arial" w:eastAsia="Times New Roman" w:hAnsi="Arial" w:cs="Arial"/>
          <w:sz w:val="22"/>
          <w:szCs w:val="22"/>
          <w:lang w:val="en-US" w:eastAsia="de-DE"/>
        </w:rPr>
        <w:t>GBV victims (e.g., Colombia and CAR), to operationalization and replication of a consultative roadmap method for planning government and donor investments in the ROL sector (e.g., Pakistan).</w:t>
      </w:r>
    </w:p>
    <w:p w14:paraId="07CD8B5B" w14:textId="72BEB4A7" w:rsidR="002629FB" w:rsidRPr="00E80114" w:rsidRDefault="002629FB" w:rsidP="00E80114">
      <w:pPr>
        <w:spacing w:line="240" w:lineRule="auto"/>
        <w:rPr>
          <w:rFonts w:ascii="Arial" w:eastAsia="Times New Roman" w:hAnsi="Arial" w:cs="Arial"/>
          <w:color w:val="2F5496"/>
          <w:sz w:val="22"/>
          <w:szCs w:val="22"/>
          <w:lang w:val="en-US" w:eastAsia="de-DE"/>
        </w:rPr>
      </w:pPr>
      <w:r w:rsidRPr="00E80114">
        <w:rPr>
          <w:rFonts w:ascii="Arial" w:eastAsia="Times New Roman" w:hAnsi="Arial" w:cs="Arial"/>
          <w:sz w:val="22"/>
          <w:szCs w:val="22"/>
          <w:lang w:val="en-US" w:eastAsia="de-DE"/>
        </w:rPr>
        <w:t xml:space="preserve">At the end of this section, comparative information about Albania and Niger is presented, to complement the data about case study countries. </w:t>
      </w:r>
    </w:p>
    <w:p w14:paraId="7753671F" w14:textId="1686886A" w:rsidR="005B2D40" w:rsidRPr="00E80114" w:rsidRDefault="005B2D40" w:rsidP="00E80114">
      <w:pPr>
        <w:spacing w:line="240" w:lineRule="auto"/>
        <w:rPr>
          <w:rFonts w:ascii="Arial" w:eastAsia="Times New Roman" w:hAnsi="Arial" w:cs="Arial"/>
          <w:color w:val="000000"/>
          <w:sz w:val="22"/>
          <w:szCs w:val="22"/>
          <w:lang w:val="en-US" w:eastAsia="de-DE"/>
        </w:rPr>
      </w:pPr>
      <w:r w:rsidRPr="00E80114">
        <w:rPr>
          <w:rFonts w:ascii="Arial" w:eastAsia="Times New Roman" w:hAnsi="Arial" w:cs="Arial"/>
          <w:sz w:val="22"/>
          <w:szCs w:val="22"/>
          <w:lang w:val="en-US" w:eastAsia="de-DE"/>
        </w:rPr>
        <w:t xml:space="preserve">In </w:t>
      </w:r>
      <w:r w:rsidRPr="00E80114">
        <w:rPr>
          <w:rFonts w:ascii="Arial" w:eastAsia="Times New Roman" w:hAnsi="Arial" w:cs="Arial"/>
          <w:b/>
          <w:bCs/>
          <w:sz w:val="22"/>
          <w:szCs w:val="22"/>
          <w:lang w:val="en-US" w:eastAsia="de-DE"/>
        </w:rPr>
        <w:t>Kyrgyzstan</w:t>
      </w:r>
      <w:r w:rsidRPr="00E80114">
        <w:rPr>
          <w:rFonts w:ascii="Arial" w:eastAsia="Times New Roman" w:hAnsi="Arial" w:cs="Arial"/>
          <w:sz w:val="22"/>
          <w:szCs w:val="22"/>
          <w:lang w:val="en-US" w:eastAsia="de-DE"/>
        </w:rPr>
        <w:t xml:space="preserve">, GP seed funding </w:t>
      </w:r>
      <w:r w:rsidRPr="00E80114">
        <w:rPr>
          <w:rFonts w:ascii="Arial" w:eastAsia="Times New Roman" w:hAnsi="Arial" w:cs="Arial"/>
          <w:color w:val="000000"/>
          <w:sz w:val="22"/>
          <w:szCs w:val="22"/>
          <w:lang w:val="en-US" w:eastAsia="de-DE"/>
        </w:rPr>
        <w:t xml:space="preserve">helped to catalyze substantial development of the ROL portfolio, while cementing UNDP’s credibility and relations with other donors, government and UN entities. </w:t>
      </w:r>
      <w:r w:rsidRPr="00E80114">
        <w:rPr>
          <w:rFonts w:ascii="Arial" w:eastAsia="Times New Roman" w:hAnsi="Arial" w:cs="Arial"/>
          <w:sz w:val="22"/>
          <w:szCs w:val="22"/>
          <w:lang w:val="en-US" w:eastAsia="de-DE"/>
        </w:rPr>
        <w:t xml:space="preserve">Though relatively small, the repeated </w:t>
      </w:r>
      <w:r w:rsidR="002E5D1B">
        <w:rPr>
          <w:rFonts w:ascii="Arial" w:eastAsia="Times New Roman" w:hAnsi="Arial" w:cs="Arial"/>
          <w:sz w:val="22"/>
          <w:szCs w:val="22"/>
          <w:lang w:val="en-US" w:eastAsia="de-DE"/>
        </w:rPr>
        <w:t>injections of funds</w:t>
      </w:r>
      <w:r w:rsidRPr="00E80114">
        <w:rPr>
          <w:rFonts w:ascii="Arial" w:eastAsia="Times New Roman" w:hAnsi="Arial" w:cs="Arial"/>
          <w:sz w:val="22"/>
          <w:szCs w:val="22"/>
          <w:lang w:val="en-US" w:eastAsia="de-DE"/>
        </w:rPr>
        <w:t xml:space="preserve"> </w:t>
      </w:r>
      <w:r w:rsidR="002E5D1B">
        <w:rPr>
          <w:rFonts w:ascii="Arial" w:eastAsia="Times New Roman" w:hAnsi="Arial" w:cs="Arial"/>
          <w:sz w:val="22"/>
          <w:szCs w:val="22"/>
          <w:lang w:val="en-US" w:eastAsia="de-DE"/>
        </w:rPr>
        <w:t>showed</w:t>
      </w:r>
      <w:r w:rsidRPr="00E80114">
        <w:rPr>
          <w:rFonts w:ascii="Arial" w:eastAsia="Times New Roman" w:hAnsi="Arial" w:cs="Arial"/>
          <w:sz w:val="22"/>
          <w:szCs w:val="22"/>
          <w:lang w:val="en-US" w:eastAsia="de-DE"/>
        </w:rPr>
        <w:t xml:space="preserve"> multiple </w:t>
      </w:r>
      <w:r w:rsidR="002E5D1B">
        <w:rPr>
          <w:rFonts w:ascii="Arial" w:eastAsia="Times New Roman" w:hAnsi="Arial" w:cs="Arial"/>
          <w:sz w:val="22"/>
          <w:szCs w:val="22"/>
          <w:lang w:val="en-US" w:eastAsia="de-DE"/>
        </w:rPr>
        <w:t>benefits</w:t>
      </w:r>
      <w:r w:rsidRPr="00E80114">
        <w:rPr>
          <w:rFonts w:ascii="Arial" w:eastAsia="Times New Roman" w:hAnsi="Arial" w:cs="Arial"/>
          <w:sz w:val="22"/>
          <w:szCs w:val="22"/>
          <w:lang w:val="en-US" w:eastAsia="de-DE"/>
        </w:rPr>
        <w:t xml:space="preserve">. </w:t>
      </w:r>
      <w:r w:rsidRPr="00E80114">
        <w:rPr>
          <w:rFonts w:ascii="Arial" w:eastAsia="Times New Roman" w:hAnsi="Arial" w:cs="Arial"/>
          <w:i/>
          <w:iCs/>
          <w:sz w:val="22"/>
          <w:szCs w:val="22"/>
          <w:lang w:val="en-US" w:eastAsia="de-DE"/>
        </w:rPr>
        <w:t xml:space="preserve">“It makes more difference here than in many places” </w:t>
      </w:r>
      <w:r w:rsidRPr="00E80114">
        <w:rPr>
          <w:rFonts w:ascii="Arial" w:eastAsia="Times New Roman" w:hAnsi="Arial" w:cs="Arial"/>
          <w:sz w:val="22"/>
          <w:szCs w:val="22"/>
          <w:lang w:val="en-US" w:eastAsia="de-DE"/>
        </w:rPr>
        <w:t>according to one informant, s</w:t>
      </w:r>
      <w:r w:rsidRPr="00E80114">
        <w:rPr>
          <w:rFonts w:ascii="Arial" w:eastAsia="Times New Roman" w:hAnsi="Arial" w:cs="Arial"/>
          <w:color w:val="000000"/>
          <w:sz w:val="22"/>
          <w:szCs w:val="22"/>
          <w:lang w:val="en-US" w:eastAsia="de-DE"/>
        </w:rPr>
        <w:t xml:space="preserve">ince the country is small and </w:t>
      </w:r>
      <w:r w:rsidRPr="00E80114">
        <w:rPr>
          <w:rFonts w:ascii="Arial" w:eastAsia="Times New Roman" w:hAnsi="Arial" w:cs="Arial"/>
          <w:sz w:val="22"/>
          <w:szCs w:val="22"/>
          <w:lang w:val="en-US" w:eastAsia="de-DE"/>
        </w:rPr>
        <w:t>few donors are interested in ROLSHR</w:t>
      </w:r>
      <w:r w:rsidRPr="00E80114">
        <w:rPr>
          <w:rFonts w:ascii="Arial" w:eastAsia="Times New Roman" w:hAnsi="Arial" w:cs="Arial"/>
          <w:color w:val="000000"/>
          <w:sz w:val="22"/>
          <w:szCs w:val="22"/>
          <w:lang w:val="en-US" w:eastAsia="de-DE"/>
        </w:rPr>
        <w:t xml:space="preserve">. </w:t>
      </w:r>
      <w:r w:rsidRPr="00E80114">
        <w:rPr>
          <w:rFonts w:ascii="Arial" w:eastAsia="Times New Roman" w:hAnsi="Arial" w:cs="Arial"/>
          <w:sz w:val="22"/>
          <w:szCs w:val="22"/>
          <w:lang w:val="en-US" w:eastAsia="de-DE"/>
        </w:rPr>
        <w:t>Complemented in 2019 by $400,000 from INL earmarked support via GP, t</w:t>
      </w:r>
      <w:r w:rsidRPr="00E80114">
        <w:rPr>
          <w:rFonts w:ascii="Arial" w:eastAsia="Times New Roman" w:hAnsi="Arial" w:cs="Arial"/>
          <w:color w:val="000000"/>
          <w:sz w:val="22"/>
          <w:szCs w:val="22"/>
          <w:lang w:val="en-US" w:eastAsia="de-DE"/>
        </w:rPr>
        <w:t xml:space="preserve">he combined funds allowed UNDP to undertake a significant set of activities at a key moment in major judicial reforms, although it is too early to predict the overall impact. The GP had a direct positive effect on protection of vulnerable populations at risk of rights violations and without access to the justice system, </w:t>
      </w:r>
      <w:r w:rsidR="002E5D1B">
        <w:rPr>
          <w:rFonts w:ascii="Arial" w:eastAsia="Times New Roman" w:hAnsi="Arial" w:cs="Arial"/>
          <w:color w:val="000000"/>
          <w:sz w:val="22"/>
          <w:szCs w:val="22"/>
          <w:lang w:val="en-US" w:eastAsia="de-DE"/>
        </w:rPr>
        <w:t xml:space="preserve">by flexibly </w:t>
      </w:r>
      <w:r w:rsidRPr="00E80114">
        <w:rPr>
          <w:rFonts w:ascii="Arial" w:eastAsia="Times New Roman" w:hAnsi="Arial" w:cs="Arial"/>
          <w:color w:val="000000"/>
          <w:sz w:val="22"/>
          <w:szCs w:val="22"/>
          <w:lang w:val="en-US" w:eastAsia="de-DE"/>
        </w:rPr>
        <w:t>allow</w:t>
      </w:r>
      <w:r w:rsidR="002E5D1B">
        <w:rPr>
          <w:rFonts w:ascii="Arial" w:eastAsia="Times New Roman" w:hAnsi="Arial" w:cs="Arial"/>
          <w:color w:val="000000"/>
          <w:sz w:val="22"/>
          <w:szCs w:val="22"/>
          <w:lang w:val="en-US" w:eastAsia="de-DE"/>
        </w:rPr>
        <w:t>ing</w:t>
      </w:r>
      <w:r w:rsidRPr="00E80114">
        <w:rPr>
          <w:rFonts w:ascii="Arial" w:eastAsia="Times New Roman" w:hAnsi="Arial" w:cs="Arial"/>
          <w:color w:val="000000"/>
          <w:sz w:val="22"/>
          <w:szCs w:val="22"/>
          <w:lang w:val="en-US" w:eastAsia="de-DE"/>
        </w:rPr>
        <w:t xml:space="preserve"> budgetary reallocations to innovate in response to the 2020 Covid-19 pandemic. This was highly valued by the CO</w:t>
      </w:r>
      <w:r w:rsidR="002E5D1B">
        <w:rPr>
          <w:rFonts w:ascii="Arial" w:eastAsia="Times New Roman" w:hAnsi="Arial" w:cs="Arial"/>
          <w:color w:val="000000"/>
          <w:sz w:val="22"/>
          <w:szCs w:val="22"/>
          <w:lang w:val="en-US" w:eastAsia="de-DE"/>
        </w:rPr>
        <w:t xml:space="preserve"> team</w:t>
      </w:r>
      <w:r w:rsidRPr="00E80114">
        <w:rPr>
          <w:rFonts w:ascii="Arial" w:eastAsia="Times New Roman" w:hAnsi="Arial" w:cs="Arial"/>
          <w:color w:val="000000"/>
          <w:sz w:val="22"/>
          <w:szCs w:val="22"/>
          <w:lang w:val="en-US" w:eastAsia="de-DE"/>
        </w:rPr>
        <w:t xml:space="preserve"> and other stakeholders</w:t>
      </w:r>
      <w:r w:rsidR="002E5D1B">
        <w:rPr>
          <w:rFonts w:ascii="Arial" w:eastAsia="Times New Roman" w:hAnsi="Arial" w:cs="Arial"/>
          <w:color w:val="000000"/>
          <w:sz w:val="22"/>
          <w:szCs w:val="22"/>
          <w:lang w:val="en-US" w:eastAsia="de-DE"/>
        </w:rPr>
        <w:t xml:space="preserve">, with one </w:t>
      </w:r>
      <w:r w:rsidRPr="00E80114">
        <w:rPr>
          <w:rFonts w:ascii="Arial" w:eastAsia="Times New Roman" w:hAnsi="Arial" w:cs="Arial"/>
          <w:color w:val="000000"/>
          <w:sz w:val="22"/>
          <w:szCs w:val="22"/>
          <w:lang w:val="en-US" w:eastAsia="de-DE"/>
        </w:rPr>
        <w:t>comment</w:t>
      </w:r>
      <w:r w:rsidR="002E5D1B">
        <w:rPr>
          <w:rFonts w:ascii="Arial" w:eastAsia="Times New Roman" w:hAnsi="Arial" w:cs="Arial"/>
          <w:color w:val="000000"/>
          <w:sz w:val="22"/>
          <w:szCs w:val="22"/>
          <w:lang w:val="en-US" w:eastAsia="de-DE"/>
        </w:rPr>
        <w:t>ing</w:t>
      </w:r>
      <w:r w:rsidRPr="00E80114">
        <w:rPr>
          <w:rFonts w:ascii="Arial" w:eastAsia="Times New Roman" w:hAnsi="Arial" w:cs="Arial"/>
          <w:color w:val="000000"/>
          <w:sz w:val="22"/>
          <w:szCs w:val="22"/>
          <w:lang w:val="en-US" w:eastAsia="de-DE"/>
        </w:rPr>
        <w:t>: “</w:t>
      </w:r>
      <w:r w:rsidRPr="00E80114">
        <w:rPr>
          <w:rFonts w:ascii="Arial" w:eastAsia="Times New Roman" w:hAnsi="Arial" w:cs="Arial"/>
          <w:i/>
          <w:iCs/>
          <w:color w:val="000000"/>
          <w:sz w:val="22"/>
          <w:szCs w:val="22"/>
          <w:lang w:val="en-US" w:eastAsia="de-DE"/>
        </w:rPr>
        <w:t>Other donors refused to adjust work plans for Covid. This was important to provide continued legal aid service during pandemic</w:t>
      </w:r>
      <w:r w:rsidRPr="00E80114">
        <w:rPr>
          <w:rFonts w:ascii="Arial" w:eastAsia="Times New Roman" w:hAnsi="Arial" w:cs="Arial"/>
          <w:color w:val="000000"/>
          <w:sz w:val="22"/>
          <w:szCs w:val="22"/>
          <w:lang w:val="en-US" w:eastAsia="de-DE"/>
        </w:rPr>
        <w:t xml:space="preserve">”. </w:t>
      </w:r>
    </w:p>
    <w:p w14:paraId="2947D11A" w14:textId="62D0EE7E" w:rsidR="005B2D40" w:rsidRPr="00E80114" w:rsidRDefault="00114CA0" w:rsidP="00114CA0">
      <w:pPr>
        <w:spacing w:line="240" w:lineRule="auto"/>
        <w:ind w:left="567" w:right="571"/>
        <w:jc w:val="center"/>
        <w:rPr>
          <w:rFonts w:ascii="Arial" w:eastAsia="Times New Roman" w:hAnsi="Arial" w:cs="Arial"/>
          <w:i/>
          <w:iCs/>
          <w:color w:val="4A66AC" w:themeColor="accent1"/>
          <w:sz w:val="22"/>
          <w:szCs w:val="22"/>
          <w:lang w:val="en-US" w:eastAsia="de-DE"/>
        </w:rPr>
      </w:pPr>
      <w:r>
        <w:rPr>
          <w:rFonts w:ascii="Arial" w:eastAsia="Times New Roman" w:hAnsi="Arial" w:cs="Arial"/>
          <w:i/>
          <w:iCs/>
          <w:color w:val="4A66AC" w:themeColor="accent1"/>
          <w:sz w:val="22"/>
          <w:szCs w:val="22"/>
          <w:lang w:val="en-US" w:eastAsia="de-DE"/>
        </w:rPr>
        <w:t>“</w:t>
      </w:r>
      <w:r w:rsidR="005B2D40" w:rsidRPr="00E80114">
        <w:rPr>
          <w:rFonts w:ascii="Arial" w:eastAsia="Times New Roman" w:hAnsi="Arial" w:cs="Arial"/>
          <w:i/>
          <w:iCs/>
          <w:color w:val="4A66AC" w:themeColor="accent1"/>
          <w:sz w:val="22"/>
          <w:szCs w:val="22"/>
          <w:lang w:val="en-US" w:eastAsia="de-DE"/>
        </w:rPr>
        <w:t>GP staff at HQ watch what we do, but do not second guess us: They do not question whether we have identified the right priorities, their attitude is supportive.”</w:t>
      </w:r>
      <w:r>
        <w:rPr>
          <w:rFonts w:ascii="Arial" w:eastAsia="Times New Roman" w:hAnsi="Arial" w:cs="Arial"/>
          <w:i/>
          <w:iCs/>
          <w:color w:val="4A66AC" w:themeColor="accent1"/>
          <w:sz w:val="22"/>
          <w:szCs w:val="22"/>
          <w:lang w:val="en-US" w:eastAsia="de-DE"/>
        </w:rPr>
        <w:t xml:space="preserve"> ~ </w:t>
      </w:r>
      <w:r w:rsidRPr="00114CA0">
        <w:rPr>
          <w:rFonts w:ascii="Arial" w:eastAsia="Times New Roman" w:hAnsi="Arial" w:cs="Arial"/>
          <w:color w:val="4A66AC" w:themeColor="accent1"/>
          <w:sz w:val="22"/>
          <w:szCs w:val="22"/>
          <w:lang w:val="en-US" w:eastAsia="de-DE"/>
        </w:rPr>
        <w:t>UNDP</w:t>
      </w:r>
      <w:r>
        <w:rPr>
          <w:rFonts w:ascii="Arial" w:eastAsia="Times New Roman" w:hAnsi="Arial" w:cs="Arial"/>
          <w:i/>
          <w:iCs/>
          <w:color w:val="4A66AC" w:themeColor="accent1"/>
          <w:sz w:val="22"/>
          <w:szCs w:val="22"/>
          <w:lang w:val="en-US" w:eastAsia="de-DE"/>
        </w:rPr>
        <w:t xml:space="preserve"> </w:t>
      </w:r>
      <w:r w:rsidRPr="00E80114">
        <w:rPr>
          <w:rFonts w:ascii="Arial" w:eastAsia="Times New Roman" w:hAnsi="Arial" w:cs="Arial"/>
          <w:color w:val="4A66AC" w:themeColor="accent1"/>
          <w:sz w:val="22"/>
          <w:szCs w:val="22"/>
          <w:lang w:val="en-US" w:eastAsia="de-DE"/>
        </w:rPr>
        <w:t>Country Office staff</w:t>
      </w:r>
    </w:p>
    <w:p w14:paraId="4976A6DB" w14:textId="33B5B4BB" w:rsidR="005B2D40" w:rsidRPr="00E80114" w:rsidRDefault="005B2D40" w:rsidP="00E80114">
      <w:pPr>
        <w:spacing w:line="240" w:lineRule="auto"/>
        <w:rPr>
          <w:rFonts w:ascii="Arial" w:eastAsia="Times New Roman" w:hAnsi="Arial" w:cs="Arial"/>
          <w:color w:val="000000"/>
          <w:sz w:val="22"/>
          <w:szCs w:val="22"/>
          <w:lang w:val="en-US" w:eastAsia="de-DE"/>
        </w:rPr>
      </w:pPr>
      <w:r w:rsidRPr="00E80114">
        <w:rPr>
          <w:rFonts w:ascii="Arial" w:eastAsia="Times New Roman" w:hAnsi="Arial" w:cs="Arial"/>
          <w:color w:val="000000"/>
          <w:sz w:val="22"/>
          <w:szCs w:val="22"/>
          <w:lang w:val="en-US" w:eastAsia="de-DE"/>
        </w:rPr>
        <w:t xml:space="preserve">In terms of catalytic effects, the GP enabled UNDP to help develop the Unified Registry of Violations. Based on initial analytical work </w:t>
      </w:r>
      <w:r w:rsidR="002E5D1B">
        <w:rPr>
          <w:rFonts w:ascii="Arial" w:eastAsia="Times New Roman" w:hAnsi="Arial" w:cs="Arial"/>
          <w:color w:val="000000"/>
          <w:sz w:val="22"/>
          <w:szCs w:val="22"/>
          <w:lang w:val="en-US" w:eastAsia="de-DE"/>
        </w:rPr>
        <w:t>funded</w:t>
      </w:r>
      <w:r w:rsidRPr="00E80114">
        <w:rPr>
          <w:rFonts w:ascii="Arial" w:eastAsia="Times New Roman" w:hAnsi="Arial" w:cs="Arial"/>
          <w:color w:val="000000"/>
          <w:sz w:val="22"/>
          <w:szCs w:val="22"/>
          <w:lang w:val="en-US" w:eastAsia="de-DE"/>
        </w:rPr>
        <w:t xml:space="preserve"> by </w:t>
      </w:r>
      <w:r w:rsidR="002E5D1B">
        <w:rPr>
          <w:rFonts w:ascii="Arial" w:eastAsia="Times New Roman" w:hAnsi="Arial" w:cs="Arial"/>
          <w:color w:val="000000"/>
          <w:sz w:val="22"/>
          <w:szCs w:val="22"/>
          <w:lang w:val="en-US" w:eastAsia="de-DE"/>
        </w:rPr>
        <w:t xml:space="preserve">the </w:t>
      </w:r>
      <w:r w:rsidRPr="00E80114">
        <w:rPr>
          <w:rFonts w:ascii="Arial" w:eastAsia="Times New Roman" w:hAnsi="Arial" w:cs="Arial"/>
          <w:color w:val="000000"/>
          <w:sz w:val="22"/>
          <w:szCs w:val="22"/>
          <w:lang w:val="en-US" w:eastAsia="de-DE"/>
        </w:rPr>
        <w:t>GP, a multi-stakeholder expert group managed to raise a half million Euros from the EU to fully implement the registry. This registry is an example of innovative practice via partnership with the Ministry of Interior, which is expected to be instrumental for protecting citizens’ rights and safety, ensuring accountability of law enforcement and public officials, and effectively recording, tracking and processing penalties for violations.</w:t>
      </w:r>
    </w:p>
    <w:p w14:paraId="67EC0084" w14:textId="31657C15" w:rsidR="005B2D40" w:rsidRPr="00E80114" w:rsidRDefault="005B2D40" w:rsidP="00E80114">
      <w:pPr>
        <w:spacing w:line="240" w:lineRule="auto"/>
        <w:rPr>
          <w:rFonts w:ascii="Arial" w:hAnsi="Arial" w:cs="Arial"/>
          <w:color w:val="000000"/>
          <w:sz w:val="22"/>
          <w:szCs w:val="22"/>
          <w:lang w:val="en-US"/>
        </w:rPr>
      </w:pPr>
      <w:r w:rsidRPr="00E80114">
        <w:rPr>
          <w:rFonts w:ascii="Arial" w:eastAsia="Times New Roman" w:hAnsi="Arial" w:cs="Arial"/>
          <w:sz w:val="22"/>
          <w:szCs w:val="22"/>
          <w:lang w:val="en-US" w:eastAsia="de-DE"/>
        </w:rPr>
        <w:t xml:space="preserve">In </w:t>
      </w:r>
      <w:r w:rsidRPr="00E80114">
        <w:rPr>
          <w:rFonts w:ascii="Arial" w:eastAsia="Times New Roman" w:hAnsi="Arial" w:cs="Arial"/>
          <w:b/>
          <w:bCs/>
          <w:sz w:val="22"/>
          <w:szCs w:val="22"/>
          <w:lang w:val="en-US" w:eastAsia="de-DE"/>
        </w:rPr>
        <w:t>Colombia</w:t>
      </w:r>
      <w:r w:rsidRPr="00E80114">
        <w:rPr>
          <w:rFonts w:ascii="Arial" w:eastAsia="Times New Roman" w:hAnsi="Arial" w:cs="Arial"/>
          <w:sz w:val="22"/>
          <w:szCs w:val="22"/>
          <w:lang w:val="en-US" w:eastAsia="de-DE"/>
        </w:rPr>
        <w:t xml:space="preserve">, the </w:t>
      </w:r>
      <w:r w:rsidRPr="00E80114">
        <w:rPr>
          <w:rFonts w:ascii="Arial" w:hAnsi="Arial" w:cs="Arial"/>
          <w:color w:val="000000"/>
          <w:sz w:val="22"/>
          <w:szCs w:val="22"/>
          <w:lang w:val="en-US"/>
        </w:rPr>
        <w:t xml:space="preserve">GP had positive effects on ensuring integrated development of the complex UNDP ROLSHR portfolio and helping to fill key staffing gaps. The RoL CTA is now fully funded through project funding. </w:t>
      </w:r>
      <w:r w:rsidRPr="00E80114">
        <w:rPr>
          <w:rFonts w:ascii="Arial" w:hAnsi="Arial" w:cs="Arial"/>
          <w:sz w:val="22"/>
          <w:szCs w:val="22"/>
          <w:lang w:val="en-US"/>
        </w:rPr>
        <w:t xml:space="preserve">ISSAT’s 2018 evaluation of UNDP’s overall ROLSHR work in Colombia observed contributions to significant </w:t>
      </w:r>
      <w:r w:rsidRPr="00E80114">
        <w:rPr>
          <w:rFonts w:ascii="Arial" w:eastAsia="Times New Roman" w:hAnsi="Arial" w:cs="Arial"/>
          <w:sz w:val="22"/>
          <w:szCs w:val="22"/>
          <w:lang w:val="en-US" w:eastAsia="de-DE"/>
        </w:rPr>
        <w:t>changes in policy and legislation,</w:t>
      </w:r>
      <w:r w:rsidR="005B694A">
        <w:rPr>
          <w:rFonts w:ascii="Arial" w:eastAsia="Times New Roman" w:hAnsi="Arial" w:cs="Arial"/>
          <w:sz w:val="22"/>
          <w:szCs w:val="22"/>
          <w:lang w:val="en-US" w:eastAsia="de-DE"/>
        </w:rPr>
        <w:t xml:space="preserve"> </w:t>
      </w:r>
      <w:r w:rsidRPr="00E80114">
        <w:rPr>
          <w:rFonts w:ascii="Arial" w:eastAsia="Times New Roman" w:hAnsi="Arial" w:cs="Arial"/>
          <w:sz w:val="22"/>
          <w:szCs w:val="22"/>
          <w:lang w:val="en-US" w:eastAsia="de-DE"/>
        </w:rPr>
        <w:t xml:space="preserve">and </w:t>
      </w:r>
      <w:r w:rsidR="002E5D1B">
        <w:rPr>
          <w:rFonts w:ascii="Arial" w:eastAsia="Times New Roman" w:hAnsi="Arial" w:cs="Arial"/>
          <w:sz w:val="22"/>
          <w:szCs w:val="22"/>
          <w:lang w:val="en-US" w:eastAsia="de-DE"/>
        </w:rPr>
        <w:t xml:space="preserve">found </w:t>
      </w:r>
      <w:r w:rsidRPr="00E80114">
        <w:rPr>
          <w:rFonts w:ascii="Arial" w:eastAsia="Times New Roman" w:hAnsi="Arial" w:cs="Arial"/>
          <w:sz w:val="22"/>
          <w:szCs w:val="22"/>
          <w:lang w:val="en-US" w:eastAsia="de-DE"/>
        </w:rPr>
        <w:t xml:space="preserve">that </w:t>
      </w:r>
      <w:r w:rsidRPr="00E80114">
        <w:rPr>
          <w:rFonts w:ascii="Arial" w:hAnsi="Arial" w:cs="Arial"/>
          <w:sz w:val="22"/>
          <w:szCs w:val="22"/>
          <w:lang w:val="en-US"/>
        </w:rPr>
        <w:t xml:space="preserve">GP support </w:t>
      </w:r>
      <w:r w:rsidR="00F34C03">
        <w:rPr>
          <w:rFonts w:ascii="Arial" w:hAnsi="Arial" w:cs="Arial"/>
          <w:sz w:val="22"/>
          <w:szCs w:val="22"/>
          <w:lang w:val="en-US"/>
        </w:rPr>
        <w:t>to</w:t>
      </w:r>
      <w:r w:rsidRPr="00E80114">
        <w:rPr>
          <w:rFonts w:ascii="Arial" w:hAnsi="Arial" w:cs="Arial"/>
          <w:sz w:val="22"/>
          <w:szCs w:val="22"/>
          <w:lang w:val="en-US"/>
        </w:rPr>
        <w:t xml:space="preserve"> internal restructuring would be key to supporting </w:t>
      </w:r>
      <w:r w:rsidR="00F34C03">
        <w:rPr>
          <w:rFonts w:ascii="Arial" w:hAnsi="Arial" w:cs="Arial"/>
          <w:sz w:val="22"/>
          <w:szCs w:val="22"/>
          <w:lang w:val="en-US"/>
        </w:rPr>
        <w:t xml:space="preserve">the </w:t>
      </w:r>
      <w:r w:rsidRPr="00E80114">
        <w:rPr>
          <w:rFonts w:ascii="Arial" w:hAnsi="Arial" w:cs="Arial"/>
          <w:sz w:val="22"/>
          <w:szCs w:val="22"/>
          <w:lang w:val="en-US"/>
        </w:rPr>
        <w:t xml:space="preserve">transition to peace in a coherent integrated manner. </w:t>
      </w:r>
      <w:r w:rsidRPr="00E80114">
        <w:rPr>
          <w:rFonts w:ascii="Arial" w:hAnsi="Arial" w:cs="Arial"/>
          <w:color w:val="000000"/>
          <w:sz w:val="22"/>
          <w:szCs w:val="22"/>
          <w:lang w:val="en-US"/>
        </w:rPr>
        <w:t>New initiatives were subsequently piloted and new partnerships formed (including with UNODC), as indirect benefits of the strengthened team capacity. </w:t>
      </w:r>
      <w:r w:rsidRPr="00E80114">
        <w:rPr>
          <w:rFonts w:ascii="Arial" w:hAnsi="Arial" w:cs="Arial"/>
          <w:sz w:val="22"/>
          <w:szCs w:val="22"/>
          <w:lang w:val="en-US"/>
        </w:rPr>
        <w:t xml:space="preserve">In spite of major funding available in the ROLSHR sector in Colombia, the evidence shows that strategically invested GP seed funds can have meaningful catalytic effects. However, those </w:t>
      </w:r>
      <w:r w:rsidRPr="00E80114">
        <w:rPr>
          <w:rFonts w:ascii="Arial" w:hAnsi="Arial" w:cs="Arial"/>
          <w:color w:val="000000"/>
          <w:sz w:val="22"/>
          <w:szCs w:val="22"/>
          <w:lang w:val="en-US"/>
        </w:rPr>
        <w:t xml:space="preserve">effects are not guaranteed, the link to GP is indirect and not visible to external stakeholders, and even successes are </w:t>
      </w:r>
      <w:r w:rsidRPr="00E80114">
        <w:rPr>
          <w:rFonts w:ascii="Arial" w:hAnsi="Arial" w:cs="Arial"/>
          <w:sz w:val="22"/>
          <w:szCs w:val="22"/>
          <w:lang w:val="en-US"/>
        </w:rPr>
        <w:t xml:space="preserve">not necessarily captured in team reporting. As one key staff remarked: </w:t>
      </w:r>
      <w:r w:rsidRPr="00E80114">
        <w:rPr>
          <w:rFonts w:ascii="Arial" w:hAnsi="Arial" w:cs="Arial"/>
          <w:color w:val="000000"/>
          <w:sz w:val="22"/>
          <w:szCs w:val="22"/>
          <w:lang w:val="en-US"/>
        </w:rPr>
        <w:t>“</w:t>
      </w:r>
      <w:r w:rsidRPr="00E80114">
        <w:rPr>
          <w:rFonts w:ascii="Arial" w:hAnsi="Arial" w:cs="Arial"/>
          <w:i/>
          <w:iCs/>
          <w:color w:val="000000"/>
          <w:sz w:val="22"/>
          <w:szCs w:val="22"/>
          <w:lang w:val="en-US"/>
        </w:rPr>
        <w:t>We planted seeds without knowing whether they would grow or not</w:t>
      </w:r>
      <w:r w:rsidRPr="00E80114">
        <w:rPr>
          <w:rFonts w:ascii="Arial" w:hAnsi="Arial" w:cs="Arial"/>
          <w:color w:val="000000"/>
          <w:sz w:val="22"/>
          <w:szCs w:val="22"/>
          <w:lang w:val="en-US"/>
        </w:rPr>
        <w:t xml:space="preserve">”. </w:t>
      </w:r>
    </w:p>
    <w:p w14:paraId="2276F793" w14:textId="604B9754" w:rsidR="005B2D40" w:rsidRPr="00E80114" w:rsidRDefault="005B2D40" w:rsidP="00E80114">
      <w:pPr>
        <w:spacing w:line="240" w:lineRule="auto"/>
        <w:rPr>
          <w:rFonts w:ascii="Arial" w:hAnsi="Arial" w:cs="Arial"/>
          <w:color w:val="000000"/>
          <w:sz w:val="22"/>
          <w:szCs w:val="22"/>
          <w:lang w:val="en-US"/>
        </w:rPr>
      </w:pPr>
      <w:r w:rsidRPr="00E80114">
        <w:rPr>
          <w:rFonts w:ascii="Arial" w:hAnsi="Arial" w:cs="Arial"/>
          <w:sz w:val="22"/>
          <w:szCs w:val="22"/>
          <w:lang w:val="en-US"/>
        </w:rPr>
        <w:t xml:space="preserve">One </w:t>
      </w:r>
      <w:r w:rsidR="00F34C03">
        <w:rPr>
          <w:rFonts w:ascii="Arial" w:hAnsi="Arial" w:cs="Arial"/>
          <w:sz w:val="22"/>
          <w:szCs w:val="22"/>
          <w:lang w:val="en-US"/>
        </w:rPr>
        <w:t xml:space="preserve">specific </w:t>
      </w:r>
      <w:r w:rsidRPr="00E80114">
        <w:rPr>
          <w:rFonts w:ascii="Arial" w:hAnsi="Arial" w:cs="Arial"/>
          <w:sz w:val="22"/>
          <w:szCs w:val="22"/>
          <w:lang w:val="en-US"/>
        </w:rPr>
        <w:t xml:space="preserve">example of delayed catalytic effect has led to a promising new approach to combating </w:t>
      </w:r>
      <w:r w:rsidR="00512D35" w:rsidRPr="00E80114">
        <w:rPr>
          <w:rFonts w:ascii="Arial" w:hAnsi="Arial" w:cs="Arial"/>
          <w:sz w:val="22"/>
          <w:szCs w:val="22"/>
          <w:lang w:val="en-US"/>
        </w:rPr>
        <w:t>S</w:t>
      </w:r>
      <w:r w:rsidRPr="00E80114">
        <w:rPr>
          <w:rFonts w:ascii="Arial" w:hAnsi="Arial" w:cs="Arial"/>
          <w:sz w:val="22"/>
          <w:szCs w:val="22"/>
          <w:lang w:val="en-US"/>
        </w:rPr>
        <w:t xml:space="preserve">GBV. The ROLSHR team sourced GP funds in 2018 for an expert to assess bottlenecks in attention to </w:t>
      </w:r>
      <w:r w:rsidR="00512D35" w:rsidRPr="00E80114">
        <w:rPr>
          <w:rFonts w:ascii="Arial" w:hAnsi="Arial" w:cs="Arial"/>
          <w:sz w:val="22"/>
          <w:szCs w:val="22"/>
          <w:lang w:val="en-US"/>
        </w:rPr>
        <w:t>S</w:t>
      </w:r>
      <w:r w:rsidRPr="00E80114">
        <w:rPr>
          <w:rFonts w:ascii="Arial" w:hAnsi="Arial" w:cs="Arial"/>
          <w:sz w:val="22"/>
          <w:szCs w:val="22"/>
          <w:lang w:val="en-US"/>
        </w:rPr>
        <w:t xml:space="preserve">GBV victims, worked to build relations with relevant government counterparts, developed a joint strategy, and finally conducted a brief pilot in 2020. Later, the Ministry of Justice adopted the approach and is </w:t>
      </w:r>
      <w:r w:rsidR="00F34C03">
        <w:rPr>
          <w:rFonts w:ascii="Arial" w:hAnsi="Arial" w:cs="Arial"/>
          <w:sz w:val="22"/>
          <w:szCs w:val="22"/>
          <w:lang w:val="en-US"/>
        </w:rPr>
        <w:t xml:space="preserve">now </w:t>
      </w:r>
      <w:r w:rsidRPr="00E80114">
        <w:rPr>
          <w:rFonts w:ascii="Arial" w:hAnsi="Arial" w:cs="Arial"/>
          <w:sz w:val="22"/>
          <w:szCs w:val="22"/>
          <w:lang w:val="en-US"/>
        </w:rPr>
        <w:t xml:space="preserve">rolling it out across the country with government resources. Notable cases of impact on end beneficiaries were </w:t>
      </w:r>
      <w:r w:rsidR="00F34C03">
        <w:rPr>
          <w:rFonts w:ascii="Arial" w:hAnsi="Arial" w:cs="Arial"/>
          <w:sz w:val="22"/>
          <w:szCs w:val="22"/>
          <w:lang w:val="en-US"/>
        </w:rPr>
        <w:t xml:space="preserve">also </w:t>
      </w:r>
      <w:r w:rsidRPr="00E80114">
        <w:rPr>
          <w:rFonts w:ascii="Arial" w:hAnsi="Arial" w:cs="Arial"/>
          <w:sz w:val="22"/>
          <w:szCs w:val="22"/>
          <w:lang w:val="en-US"/>
        </w:rPr>
        <w:t xml:space="preserve">described by informants. UNDP-supported CSOs representing victims of civil war crimes pointed to promising early results: the first step of presenting an incident report has given a voice and some solace to victims’ families, and some reports gave rise to new cases or higher prioritization. UNDP collaboration with national transitional justice mechanisms have led to </w:t>
      </w:r>
      <w:r w:rsidRPr="00E80114">
        <w:rPr>
          <w:rFonts w:ascii="Arial" w:hAnsi="Arial" w:cs="Arial"/>
          <w:color w:val="000000"/>
          <w:sz w:val="22"/>
          <w:szCs w:val="22"/>
          <w:lang w:val="en-US"/>
        </w:rPr>
        <w:t xml:space="preserve">thousands of victims being accredited, although there remains a long road ahead, with the so-called “macro-cases” not yet heard by the special jurisdiction. </w:t>
      </w:r>
    </w:p>
    <w:p w14:paraId="49048DDB" w14:textId="1920C600" w:rsidR="005B2D40" w:rsidRPr="00E80114" w:rsidRDefault="005B2D40" w:rsidP="00E80114">
      <w:pPr>
        <w:pStyle w:val="NormalWeb"/>
        <w:spacing w:before="0" w:beforeAutospacing="0" w:after="120" w:afterAutospacing="0"/>
        <w:textAlignment w:val="baseline"/>
        <w:rPr>
          <w:rFonts w:ascii="Arial" w:hAnsi="Arial" w:cs="Arial"/>
          <w:color w:val="000000"/>
          <w:sz w:val="22"/>
          <w:szCs w:val="22"/>
          <w:lang w:val="en-US"/>
        </w:rPr>
      </w:pPr>
      <w:r w:rsidRPr="00E80114">
        <w:rPr>
          <w:rFonts w:ascii="Arial" w:hAnsi="Arial" w:cs="Arial"/>
          <w:sz w:val="22"/>
          <w:szCs w:val="22"/>
          <w:lang w:val="en-US"/>
        </w:rPr>
        <w:t xml:space="preserve">In </w:t>
      </w:r>
      <w:r w:rsidRPr="00E80114">
        <w:rPr>
          <w:rFonts w:ascii="Arial" w:hAnsi="Arial" w:cs="Arial"/>
          <w:b/>
          <w:bCs/>
          <w:sz w:val="22"/>
          <w:szCs w:val="22"/>
          <w:lang w:val="en-US"/>
        </w:rPr>
        <w:t>Pakistan</w:t>
      </w:r>
      <w:r w:rsidRPr="00E80114">
        <w:rPr>
          <w:rFonts w:ascii="Arial" w:hAnsi="Arial" w:cs="Arial"/>
          <w:sz w:val="22"/>
          <w:szCs w:val="22"/>
          <w:lang w:val="en-US"/>
        </w:rPr>
        <w:t>, GP seed funding was used in a highly strategic fashion at a pivotal moment, enabl</w:t>
      </w:r>
      <w:r w:rsidR="00F34C03">
        <w:rPr>
          <w:rFonts w:ascii="Arial" w:hAnsi="Arial" w:cs="Arial"/>
          <w:sz w:val="22"/>
          <w:szCs w:val="22"/>
          <w:lang w:val="en-US"/>
        </w:rPr>
        <w:t>ing</w:t>
      </w:r>
      <w:r w:rsidRPr="00E80114">
        <w:rPr>
          <w:rFonts w:ascii="Arial" w:hAnsi="Arial" w:cs="Arial"/>
          <w:sz w:val="22"/>
          <w:szCs w:val="22"/>
          <w:lang w:val="en-US"/>
        </w:rPr>
        <w:t xml:space="preserve"> UNDP to invest in</w:t>
      </w:r>
      <w:r w:rsidRPr="00E80114">
        <w:rPr>
          <w:rFonts w:ascii="Arial" w:hAnsi="Arial" w:cs="Arial"/>
          <w:color w:val="000000"/>
          <w:sz w:val="22"/>
          <w:szCs w:val="22"/>
          <w:lang w:val="en-US"/>
        </w:rPr>
        <w:t xml:space="preserve"> a carefully selected set of interventions in Balochistan province, including renovation of a library for prosecutors, several major workshops, and support to alternative dispute resolution services. These somewhat disparate investments in conjunction with various justice stakeholders effectively served as the means to an end, as compared to achieving any specific results. In the wake of a major donor withdrawal, the GP funding was sufficient to kick start ROL Roadmap activities, stay engaged with government and the legal profession, and raise </w:t>
      </w:r>
      <w:r w:rsidR="00F34C03" w:rsidRPr="00E80114">
        <w:rPr>
          <w:rFonts w:ascii="Arial" w:hAnsi="Arial" w:cs="Arial"/>
          <w:color w:val="000000"/>
          <w:sz w:val="22"/>
          <w:szCs w:val="22"/>
          <w:lang w:val="en-US"/>
        </w:rPr>
        <w:t>UNDP</w:t>
      </w:r>
      <w:r w:rsidR="00F34C03">
        <w:rPr>
          <w:rFonts w:ascii="Arial" w:hAnsi="Arial" w:cs="Arial"/>
          <w:color w:val="000000"/>
          <w:sz w:val="22"/>
          <w:szCs w:val="22"/>
          <w:lang w:val="en-US"/>
        </w:rPr>
        <w:t>’s</w:t>
      </w:r>
      <w:r w:rsidR="00F34C03" w:rsidRPr="00E80114">
        <w:rPr>
          <w:rFonts w:ascii="Arial" w:hAnsi="Arial" w:cs="Arial"/>
          <w:color w:val="000000"/>
          <w:sz w:val="22"/>
          <w:szCs w:val="22"/>
          <w:lang w:val="en-US"/>
        </w:rPr>
        <w:t xml:space="preserve"> </w:t>
      </w:r>
      <w:r w:rsidRPr="00E80114">
        <w:rPr>
          <w:rFonts w:ascii="Arial" w:hAnsi="Arial" w:cs="Arial"/>
          <w:color w:val="000000"/>
          <w:sz w:val="22"/>
          <w:szCs w:val="22"/>
          <w:lang w:val="en-US"/>
        </w:rPr>
        <w:t xml:space="preserve">profile. This helped establish UNDP in a leadership role in terms of ROLSHR in Balochistan, </w:t>
      </w:r>
      <w:r w:rsidR="00F34C03">
        <w:rPr>
          <w:rFonts w:ascii="Arial" w:hAnsi="Arial" w:cs="Arial"/>
          <w:color w:val="000000"/>
          <w:sz w:val="22"/>
          <w:szCs w:val="22"/>
          <w:lang w:val="en-US"/>
        </w:rPr>
        <w:t>and thus</w:t>
      </w:r>
      <w:r w:rsidRPr="00E80114">
        <w:rPr>
          <w:rFonts w:ascii="Arial" w:hAnsi="Arial" w:cs="Arial"/>
          <w:color w:val="000000"/>
          <w:sz w:val="22"/>
          <w:szCs w:val="22"/>
          <w:lang w:val="en-US"/>
        </w:rPr>
        <w:t xml:space="preserve"> the </w:t>
      </w:r>
      <w:r w:rsidR="00F34C03">
        <w:rPr>
          <w:rFonts w:ascii="Arial" w:hAnsi="Arial" w:cs="Arial"/>
          <w:color w:val="000000"/>
          <w:sz w:val="22"/>
          <w:szCs w:val="22"/>
          <w:lang w:val="en-US"/>
        </w:rPr>
        <w:t>“</w:t>
      </w:r>
      <w:r w:rsidRPr="00E80114">
        <w:rPr>
          <w:rFonts w:ascii="Arial" w:hAnsi="Arial" w:cs="Arial"/>
          <w:color w:val="000000"/>
          <w:sz w:val="22"/>
          <w:szCs w:val="22"/>
          <w:lang w:val="en-US"/>
        </w:rPr>
        <w:t>default option</w:t>
      </w:r>
      <w:r w:rsidR="00F34C03">
        <w:rPr>
          <w:rFonts w:ascii="Arial" w:hAnsi="Arial" w:cs="Arial"/>
          <w:color w:val="000000"/>
          <w:sz w:val="22"/>
          <w:szCs w:val="22"/>
          <w:lang w:val="en-US"/>
        </w:rPr>
        <w:t>”</w:t>
      </w:r>
      <w:r w:rsidRPr="00E80114">
        <w:rPr>
          <w:rFonts w:ascii="Arial" w:hAnsi="Arial" w:cs="Arial"/>
          <w:color w:val="000000"/>
          <w:sz w:val="22"/>
          <w:szCs w:val="22"/>
          <w:lang w:val="en-US"/>
        </w:rPr>
        <w:t xml:space="preserve"> for future donors. Although timing was delayed, there is evidence of a strong causal relation between GP funding and the substantive amount </w:t>
      </w:r>
      <w:r w:rsidR="00F34C03" w:rsidRPr="00E80114">
        <w:rPr>
          <w:rFonts w:ascii="Arial" w:hAnsi="Arial" w:cs="Arial"/>
          <w:color w:val="000000"/>
          <w:sz w:val="22"/>
          <w:szCs w:val="22"/>
          <w:lang w:val="en-US"/>
        </w:rPr>
        <w:t xml:space="preserve">of recently secured EU funding </w:t>
      </w:r>
      <w:r w:rsidRPr="00E80114">
        <w:rPr>
          <w:rFonts w:ascii="Arial" w:hAnsi="Arial" w:cs="Arial"/>
          <w:color w:val="000000"/>
          <w:sz w:val="22"/>
          <w:szCs w:val="22"/>
          <w:lang w:val="en-US"/>
        </w:rPr>
        <w:t>(6.5</w:t>
      </w:r>
      <w:r w:rsidR="00512D35" w:rsidRPr="00E80114">
        <w:rPr>
          <w:rFonts w:ascii="Arial" w:hAnsi="Arial" w:cs="Arial"/>
          <w:color w:val="000000"/>
          <w:sz w:val="22"/>
          <w:szCs w:val="22"/>
          <w:lang w:val="en-US"/>
        </w:rPr>
        <w:t xml:space="preserve"> million</w:t>
      </w:r>
      <w:r w:rsidRPr="00E80114">
        <w:rPr>
          <w:rFonts w:ascii="Arial" w:hAnsi="Arial" w:cs="Arial"/>
          <w:color w:val="000000"/>
          <w:sz w:val="22"/>
          <w:szCs w:val="22"/>
          <w:lang w:val="en-US"/>
        </w:rPr>
        <w:t xml:space="preserve"> Euros) for a significant new programme that will include Balochistan. </w:t>
      </w:r>
    </w:p>
    <w:p w14:paraId="4EC2E106" w14:textId="233FE736" w:rsidR="005B2D40" w:rsidRPr="00E80114" w:rsidRDefault="00114CA0" w:rsidP="006F770A">
      <w:pPr>
        <w:tabs>
          <w:tab w:val="left" w:pos="5468"/>
        </w:tabs>
        <w:spacing w:line="240" w:lineRule="auto"/>
        <w:ind w:left="567" w:right="571"/>
        <w:rPr>
          <w:rFonts w:ascii="Arial" w:eastAsiaTheme="majorEastAsia" w:hAnsi="Arial" w:cs="Arial"/>
          <w:color w:val="4A66AC" w:themeColor="accent1"/>
          <w:sz w:val="22"/>
          <w:szCs w:val="22"/>
          <w:lang w:val="en-US"/>
        </w:rPr>
      </w:pPr>
      <w:r>
        <w:rPr>
          <w:rFonts w:ascii="Arial" w:hAnsi="Arial" w:cs="Arial"/>
          <w:i/>
          <w:iCs/>
          <w:color w:val="4A66AC" w:themeColor="accent1"/>
          <w:sz w:val="22"/>
          <w:szCs w:val="22"/>
          <w:lang w:val="en-US"/>
        </w:rPr>
        <w:t>“</w:t>
      </w:r>
      <w:r w:rsidR="005B2D40" w:rsidRPr="00E80114">
        <w:rPr>
          <w:rFonts w:ascii="Arial" w:hAnsi="Arial" w:cs="Arial"/>
          <w:i/>
          <w:iCs/>
          <w:color w:val="4A66AC" w:themeColor="accent1"/>
          <w:sz w:val="22"/>
          <w:szCs w:val="22"/>
          <w:lang w:val="en-US"/>
        </w:rPr>
        <w:t>The Global Programme funding was a lifeline, not only for Balochistan but the entire ROL programme in Pakistan in a very tight funding period. Thanks to them and one other donor, we were able to stay active in the province.</w:t>
      </w:r>
      <w:r>
        <w:rPr>
          <w:rFonts w:ascii="Arial" w:hAnsi="Arial" w:cs="Arial"/>
          <w:i/>
          <w:iCs/>
          <w:color w:val="4A66AC" w:themeColor="accent1"/>
          <w:sz w:val="22"/>
          <w:szCs w:val="22"/>
          <w:lang w:val="en-US"/>
        </w:rPr>
        <w:t xml:space="preserve">” ~ </w:t>
      </w:r>
      <w:r w:rsidRPr="00E80114">
        <w:rPr>
          <w:rFonts w:ascii="Arial" w:hAnsi="Arial" w:cs="Arial"/>
          <w:color w:val="4A66AC" w:themeColor="accent1"/>
          <w:sz w:val="22"/>
          <w:szCs w:val="22"/>
          <w:lang w:val="en-US"/>
        </w:rPr>
        <w:t>ROLSHR team member</w:t>
      </w:r>
    </w:p>
    <w:p w14:paraId="133291E2" w14:textId="30D16845" w:rsidR="005B2D40" w:rsidRPr="00E80114" w:rsidRDefault="005B2D40" w:rsidP="00E80114">
      <w:pPr>
        <w:pStyle w:val="NormalWeb"/>
        <w:spacing w:before="0" w:beforeAutospacing="0" w:after="120" w:afterAutospacing="0"/>
        <w:textAlignment w:val="baseline"/>
        <w:rPr>
          <w:rFonts w:ascii="Arial" w:hAnsi="Arial" w:cs="Arial"/>
          <w:color w:val="000000"/>
          <w:sz w:val="22"/>
          <w:szCs w:val="22"/>
          <w:lang w:val="en-US"/>
        </w:rPr>
      </w:pPr>
      <w:r w:rsidRPr="00E80114">
        <w:rPr>
          <w:rFonts w:ascii="Arial" w:hAnsi="Arial" w:cs="Arial"/>
          <w:color w:val="000000"/>
          <w:sz w:val="22"/>
          <w:szCs w:val="22"/>
          <w:lang w:val="en-US"/>
        </w:rPr>
        <w:t xml:space="preserve">Also worthy of mention is the recent GP funding to replicate the ROL Roadmap process in the remote area of Gilgit-Baltistan. Of the $500,000 requested from GP, </w:t>
      </w:r>
      <w:r w:rsidR="00F34C03">
        <w:rPr>
          <w:rFonts w:ascii="Arial" w:hAnsi="Arial" w:cs="Arial"/>
          <w:color w:val="000000"/>
          <w:sz w:val="22"/>
          <w:szCs w:val="22"/>
          <w:lang w:val="en-US"/>
        </w:rPr>
        <w:t>the CO</w:t>
      </w:r>
      <w:r w:rsidRPr="00E80114">
        <w:rPr>
          <w:rFonts w:ascii="Arial" w:hAnsi="Arial" w:cs="Arial"/>
          <w:color w:val="000000"/>
          <w:sz w:val="22"/>
          <w:szCs w:val="22"/>
          <w:lang w:val="en-US"/>
        </w:rPr>
        <w:t xml:space="preserve"> received $300,000 for this pilot. Due to territorial disputes and logistical challenges, the donor community has made little investment in this area. This will be an opportunity for UNDP to establish itself in an underserved geographical zone and potentially pave the way for other international actors to follow up with much-needed services to the population. </w:t>
      </w:r>
    </w:p>
    <w:p w14:paraId="16134879" w14:textId="247E526D" w:rsidR="005B2D40" w:rsidRPr="00455150" w:rsidRDefault="005B2D40" w:rsidP="00E80114">
      <w:pPr>
        <w:spacing w:line="240" w:lineRule="auto"/>
        <w:rPr>
          <w:rFonts w:ascii="Arial" w:hAnsi="Arial" w:cs="Arial"/>
          <w:sz w:val="22"/>
          <w:szCs w:val="22"/>
          <w:lang w:val="en-US"/>
        </w:rPr>
      </w:pPr>
      <w:r w:rsidRPr="00E80114">
        <w:rPr>
          <w:rFonts w:ascii="Arial" w:eastAsia="Times New Roman" w:hAnsi="Arial" w:cs="Arial"/>
          <w:color w:val="000000"/>
          <w:sz w:val="22"/>
          <w:szCs w:val="22"/>
          <w:lang w:val="en-US" w:eastAsia="de-DE"/>
        </w:rPr>
        <w:t xml:space="preserve">In </w:t>
      </w:r>
      <w:r w:rsidRPr="00E80114">
        <w:rPr>
          <w:rFonts w:ascii="Arial" w:eastAsia="Times New Roman" w:hAnsi="Arial" w:cs="Arial"/>
          <w:b/>
          <w:bCs/>
          <w:color w:val="000000"/>
          <w:sz w:val="22"/>
          <w:szCs w:val="22"/>
          <w:lang w:val="en-US" w:eastAsia="de-DE"/>
        </w:rPr>
        <w:t>Burkina Faso</w:t>
      </w:r>
      <w:r w:rsidRPr="00E80114">
        <w:rPr>
          <w:rFonts w:ascii="Arial" w:eastAsia="Times New Roman" w:hAnsi="Arial" w:cs="Arial"/>
          <w:color w:val="000000"/>
          <w:sz w:val="22"/>
          <w:szCs w:val="22"/>
          <w:lang w:val="en-US" w:eastAsia="de-DE"/>
        </w:rPr>
        <w:t xml:space="preserve">, the GP funding for the </w:t>
      </w:r>
      <w:r w:rsidR="00F34C03" w:rsidRPr="00E80114">
        <w:rPr>
          <w:rFonts w:ascii="Arial" w:eastAsia="Times New Roman" w:hAnsi="Arial" w:cs="Arial"/>
          <w:color w:val="000000"/>
          <w:sz w:val="22"/>
          <w:szCs w:val="22"/>
          <w:lang w:val="en-US" w:eastAsia="de-DE"/>
        </w:rPr>
        <w:t xml:space="preserve">CTA </w:t>
      </w:r>
      <w:r w:rsidRPr="00E80114">
        <w:rPr>
          <w:rFonts w:ascii="Arial" w:eastAsia="Times New Roman" w:hAnsi="Arial" w:cs="Arial"/>
          <w:color w:val="000000"/>
          <w:sz w:val="22"/>
          <w:szCs w:val="22"/>
          <w:lang w:val="en-US" w:eastAsia="de-DE"/>
        </w:rPr>
        <w:t xml:space="preserve">salary and </w:t>
      </w:r>
      <w:r w:rsidR="00F34C03">
        <w:rPr>
          <w:rFonts w:ascii="Arial" w:eastAsia="Times New Roman" w:hAnsi="Arial" w:cs="Arial"/>
          <w:color w:val="000000"/>
          <w:sz w:val="22"/>
          <w:szCs w:val="22"/>
          <w:lang w:val="en-US" w:eastAsia="de-DE"/>
        </w:rPr>
        <w:t>an</w:t>
      </w:r>
      <w:r w:rsidRPr="00E80114">
        <w:rPr>
          <w:rFonts w:ascii="Arial" w:eastAsia="Times New Roman" w:hAnsi="Arial" w:cs="Arial"/>
          <w:color w:val="000000"/>
          <w:sz w:val="22"/>
          <w:szCs w:val="22"/>
          <w:lang w:val="en-US" w:eastAsia="de-DE"/>
        </w:rPr>
        <w:t xml:space="preserve"> A2J </w:t>
      </w:r>
      <w:r w:rsidR="00F34C03" w:rsidRPr="00E80114">
        <w:rPr>
          <w:rFonts w:ascii="Arial" w:eastAsia="Times New Roman" w:hAnsi="Arial" w:cs="Arial"/>
          <w:color w:val="000000"/>
          <w:sz w:val="22"/>
          <w:szCs w:val="22"/>
          <w:lang w:val="en-US" w:eastAsia="de-DE"/>
        </w:rPr>
        <w:t xml:space="preserve">pilot </w:t>
      </w:r>
      <w:r w:rsidRPr="00E80114">
        <w:rPr>
          <w:rFonts w:ascii="Arial" w:eastAsia="Times New Roman" w:hAnsi="Arial" w:cs="Arial"/>
          <w:color w:val="000000"/>
          <w:sz w:val="22"/>
          <w:szCs w:val="22"/>
          <w:lang w:val="en-US" w:eastAsia="de-DE"/>
        </w:rPr>
        <w:t xml:space="preserve">project including mobile courts proved to be effective, </w:t>
      </w:r>
      <w:r w:rsidR="00F34C03">
        <w:rPr>
          <w:rFonts w:ascii="Arial" w:eastAsia="Times New Roman" w:hAnsi="Arial" w:cs="Arial"/>
          <w:color w:val="000000"/>
          <w:sz w:val="22"/>
          <w:szCs w:val="22"/>
          <w:lang w:val="en-US" w:eastAsia="de-DE"/>
        </w:rPr>
        <w:t>as they</w:t>
      </w:r>
      <w:r w:rsidRPr="00E80114">
        <w:rPr>
          <w:rFonts w:ascii="Arial" w:eastAsia="Times New Roman" w:hAnsi="Arial" w:cs="Arial"/>
          <w:color w:val="000000"/>
          <w:sz w:val="22"/>
          <w:szCs w:val="22"/>
          <w:lang w:val="en-US" w:eastAsia="de-DE"/>
        </w:rPr>
        <w:t xml:space="preserve"> laid the groundwork for subsequent consolidation of the </w:t>
      </w:r>
      <w:r w:rsidR="00F34C03">
        <w:rPr>
          <w:rFonts w:ascii="Arial" w:eastAsia="Times New Roman" w:hAnsi="Arial" w:cs="Arial"/>
          <w:color w:val="000000"/>
          <w:sz w:val="22"/>
          <w:szCs w:val="22"/>
          <w:lang w:val="en-US" w:eastAsia="de-DE"/>
        </w:rPr>
        <w:t>ROLSHR</w:t>
      </w:r>
      <w:r w:rsidRPr="00E80114">
        <w:rPr>
          <w:rFonts w:ascii="Arial" w:eastAsia="Times New Roman" w:hAnsi="Arial" w:cs="Arial"/>
          <w:color w:val="000000"/>
          <w:sz w:val="22"/>
          <w:szCs w:val="22"/>
          <w:lang w:val="en-US" w:eastAsia="de-DE"/>
        </w:rPr>
        <w:t xml:space="preserve"> portfolio. The CO also received planning and project design support from GP’s HQ team, notably including design of the </w:t>
      </w:r>
      <w:r w:rsidRPr="00E80114">
        <w:rPr>
          <w:rFonts w:ascii="Arial" w:hAnsi="Arial" w:cs="Arial"/>
          <w:sz w:val="22"/>
          <w:szCs w:val="22"/>
          <w:lang w:val="en-US"/>
        </w:rPr>
        <w:t>COSED flagship programme. The innovative design was based on recommendations of a multi-agency mission with support from UNDP, OHCHR, and DPO-OROLSI. Although implementation is still in early stages, the model has gained a lot of traction and following early funding</w:t>
      </w:r>
      <w:r w:rsidR="00772F62" w:rsidRPr="00E80114">
        <w:rPr>
          <w:rFonts w:ascii="Arial" w:hAnsi="Arial" w:cs="Arial"/>
          <w:sz w:val="22"/>
          <w:szCs w:val="22"/>
          <w:lang w:val="en-US"/>
        </w:rPr>
        <w:t xml:space="preserve"> from Sweden</w:t>
      </w:r>
      <w:r w:rsidRPr="00E80114">
        <w:rPr>
          <w:rFonts w:ascii="Arial" w:hAnsi="Arial" w:cs="Arial"/>
          <w:sz w:val="22"/>
          <w:szCs w:val="22"/>
          <w:lang w:val="en-US"/>
        </w:rPr>
        <w:t>, now other donors are also contributing substantial amounts</w:t>
      </w:r>
      <w:r w:rsidR="00455150">
        <w:rPr>
          <w:rFonts w:ascii="Arial" w:hAnsi="Arial" w:cs="Arial"/>
          <w:sz w:val="22"/>
          <w:szCs w:val="22"/>
          <w:lang w:val="en-US"/>
        </w:rPr>
        <w:t xml:space="preserve"> (including </w:t>
      </w:r>
      <w:r w:rsidR="00455150" w:rsidRPr="0034407C">
        <w:rPr>
          <w:rFonts w:ascii="Arial" w:hAnsi="Arial" w:cs="Arial"/>
          <w:sz w:val="22"/>
          <w:szCs w:val="22"/>
          <w:lang w:val="en-US"/>
        </w:rPr>
        <w:t xml:space="preserve">a 20 million </w:t>
      </w:r>
      <w:r w:rsidR="00455150">
        <w:rPr>
          <w:rFonts w:ascii="Arial" w:hAnsi="Arial" w:cs="Arial"/>
          <w:sz w:val="22"/>
          <w:szCs w:val="22"/>
          <w:lang w:val="en-US"/>
        </w:rPr>
        <w:t>E</w:t>
      </w:r>
      <w:r w:rsidR="00455150" w:rsidRPr="0034407C">
        <w:rPr>
          <w:rFonts w:ascii="Arial" w:hAnsi="Arial" w:cs="Arial"/>
          <w:sz w:val="22"/>
          <w:szCs w:val="22"/>
          <w:lang w:val="en-US"/>
        </w:rPr>
        <w:t xml:space="preserve">uro contribution </w:t>
      </w:r>
      <w:r w:rsidR="00455150">
        <w:rPr>
          <w:rFonts w:ascii="Arial" w:hAnsi="Arial" w:cs="Arial"/>
          <w:sz w:val="22"/>
          <w:szCs w:val="22"/>
          <w:lang w:val="en-US"/>
        </w:rPr>
        <w:t xml:space="preserve">by Germany </w:t>
      </w:r>
      <w:r w:rsidR="00455150" w:rsidRPr="0034407C">
        <w:rPr>
          <w:rFonts w:ascii="Arial" w:hAnsi="Arial" w:cs="Arial"/>
          <w:sz w:val="22"/>
          <w:szCs w:val="22"/>
          <w:lang w:val="en-US"/>
        </w:rPr>
        <w:t>in December 2020</w:t>
      </w:r>
      <w:r w:rsidR="00455150">
        <w:rPr>
          <w:rFonts w:ascii="Arial" w:hAnsi="Arial" w:cs="Arial"/>
          <w:sz w:val="22"/>
          <w:szCs w:val="22"/>
          <w:lang w:val="en-US"/>
        </w:rPr>
        <w:t>)</w:t>
      </w:r>
      <w:r w:rsidR="00455150" w:rsidRPr="0034407C">
        <w:rPr>
          <w:rFonts w:ascii="Arial" w:hAnsi="Arial" w:cs="Arial"/>
          <w:sz w:val="22"/>
          <w:szCs w:val="22"/>
          <w:lang w:val="en-US"/>
        </w:rPr>
        <w:t>.</w:t>
      </w:r>
      <w:r w:rsidRPr="00E80114">
        <w:rPr>
          <w:rFonts w:ascii="Arial" w:hAnsi="Arial" w:cs="Arial"/>
          <w:sz w:val="22"/>
          <w:szCs w:val="22"/>
          <w:lang w:val="en-US"/>
        </w:rPr>
        <w:t xml:space="preserve"> The original budget of </w:t>
      </w:r>
      <w:r w:rsidR="00772F62" w:rsidRPr="00E80114">
        <w:rPr>
          <w:rFonts w:ascii="Arial" w:hAnsi="Arial" w:cs="Arial"/>
          <w:sz w:val="22"/>
          <w:szCs w:val="22"/>
          <w:lang w:val="en-US"/>
        </w:rPr>
        <w:t>$</w:t>
      </w:r>
      <w:r w:rsidRPr="00E80114">
        <w:rPr>
          <w:rFonts w:ascii="Arial" w:hAnsi="Arial" w:cs="Arial"/>
          <w:sz w:val="22"/>
          <w:szCs w:val="22"/>
          <w:lang w:val="en-US"/>
        </w:rPr>
        <w:t>15</w:t>
      </w:r>
      <w:r w:rsidR="00772F62" w:rsidRPr="00E80114">
        <w:rPr>
          <w:rFonts w:ascii="Arial" w:hAnsi="Arial" w:cs="Arial"/>
          <w:sz w:val="22"/>
          <w:szCs w:val="22"/>
          <w:lang w:val="en-US"/>
        </w:rPr>
        <w:t xml:space="preserve"> million</w:t>
      </w:r>
      <w:r w:rsidRPr="00E80114">
        <w:rPr>
          <w:rFonts w:ascii="Arial" w:hAnsi="Arial" w:cs="Arial"/>
          <w:sz w:val="22"/>
          <w:szCs w:val="22"/>
          <w:lang w:val="en-US"/>
        </w:rPr>
        <w:t xml:space="preserve"> has by now doubled to around </w:t>
      </w:r>
      <w:r w:rsidR="00772F62" w:rsidRPr="00E80114">
        <w:rPr>
          <w:rFonts w:ascii="Arial" w:hAnsi="Arial" w:cs="Arial"/>
          <w:sz w:val="22"/>
          <w:szCs w:val="22"/>
          <w:lang w:val="en-US"/>
        </w:rPr>
        <w:t>$</w:t>
      </w:r>
      <w:r w:rsidRPr="00E80114">
        <w:rPr>
          <w:rFonts w:ascii="Arial" w:hAnsi="Arial" w:cs="Arial"/>
          <w:sz w:val="22"/>
          <w:szCs w:val="22"/>
          <w:lang w:val="en-US"/>
        </w:rPr>
        <w:t>30</w:t>
      </w:r>
      <w:r w:rsidR="00772F62" w:rsidRPr="00E80114">
        <w:rPr>
          <w:rFonts w:ascii="Arial" w:hAnsi="Arial" w:cs="Arial"/>
          <w:sz w:val="22"/>
          <w:szCs w:val="22"/>
          <w:lang w:val="en-US"/>
        </w:rPr>
        <w:t xml:space="preserve"> </w:t>
      </w:r>
      <w:r w:rsidRPr="00E80114">
        <w:rPr>
          <w:rFonts w:ascii="Arial" w:hAnsi="Arial" w:cs="Arial"/>
          <w:sz w:val="22"/>
          <w:szCs w:val="22"/>
          <w:lang w:val="en-US"/>
        </w:rPr>
        <w:t>m</w:t>
      </w:r>
      <w:r w:rsidR="00772F62" w:rsidRPr="00E80114">
        <w:rPr>
          <w:rFonts w:ascii="Arial" w:hAnsi="Arial" w:cs="Arial"/>
          <w:sz w:val="22"/>
          <w:szCs w:val="22"/>
          <w:lang w:val="en-US"/>
        </w:rPr>
        <w:t>illion</w:t>
      </w:r>
      <w:r w:rsidRPr="00E80114">
        <w:rPr>
          <w:rFonts w:ascii="Arial" w:hAnsi="Arial" w:cs="Arial"/>
          <w:sz w:val="22"/>
          <w:szCs w:val="22"/>
          <w:lang w:val="en-US"/>
        </w:rPr>
        <w:t xml:space="preserve">. </w:t>
      </w:r>
    </w:p>
    <w:p w14:paraId="7CCFF45D" w14:textId="076780B3" w:rsidR="005B2D40" w:rsidRPr="00E80114" w:rsidRDefault="005B2D40" w:rsidP="00E80114">
      <w:pPr>
        <w:shd w:val="clear" w:color="auto" w:fill="FFFFFF"/>
        <w:spacing w:line="240" w:lineRule="auto"/>
        <w:rPr>
          <w:rFonts w:ascii="Arial" w:eastAsia="Times New Roman" w:hAnsi="Arial" w:cs="Arial"/>
          <w:color w:val="000000"/>
          <w:sz w:val="22"/>
          <w:szCs w:val="22"/>
          <w:lang w:val="en-US" w:eastAsia="de-DE"/>
        </w:rPr>
      </w:pPr>
      <w:r w:rsidRPr="00E80114">
        <w:rPr>
          <w:rFonts w:ascii="Arial" w:eastAsia="Times New Roman" w:hAnsi="Arial" w:cs="Arial"/>
          <w:color w:val="000000"/>
          <w:sz w:val="22"/>
          <w:szCs w:val="22"/>
          <w:lang w:val="en-US" w:eastAsia="de-DE"/>
        </w:rPr>
        <w:t xml:space="preserve">In </w:t>
      </w:r>
      <w:r w:rsidRPr="00E80114">
        <w:rPr>
          <w:rFonts w:ascii="Arial" w:hAnsi="Arial" w:cs="Arial"/>
          <w:color w:val="000000"/>
          <w:sz w:val="22"/>
          <w:szCs w:val="22"/>
          <w:lang w:val="en-US"/>
        </w:rPr>
        <w:t xml:space="preserve">the </w:t>
      </w:r>
      <w:r w:rsidRPr="00E80114">
        <w:rPr>
          <w:rFonts w:ascii="Arial" w:hAnsi="Arial" w:cs="Arial"/>
          <w:b/>
          <w:bCs/>
          <w:color w:val="000000"/>
          <w:sz w:val="22"/>
          <w:szCs w:val="22"/>
          <w:lang w:val="en-US"/>
        </w:rPr>
        <w:t>Central African Republic</w:t>
      </w:r>
      <w:r w:rsidRPr="00E80114">
        <w:rPr>
          <w:rFonts w:ascii="Arial" w:hAnsi="Arial" w:cs="Arial"/>
          <w:color w:val="000000"/>
          <w:sz w:val="22"/>
          <w:szCs w:val="22"/>
          <w:lang w:val="en-US"/>
        </w:rPr>
        <w:t>, the GP’s financial support hel</w:t>
      </w:r>
      <w:r w:rsidRPr="00E80114">
        <w:rPr>
          <w:rFonts w:ascii="Arial" w:eastAsia="Times New Roman" w:hAnsi="Arial" w:cs="Arial"/>
          <w:color w:val="26282A"/>
          <w:sz w:val="22"/>
          <w:szCs w:val="22"/>
          <w:lang w:val="en-US" w:eastAsia="de-DE"/>
        </w:rPr>
        <w:t xml:space="preserve">ped in keeping the legal clinics in Bangui and Bossangoa afloat under further funding could be mobilized from the PBF. These clinics, managed by the national Association of Women Jurists, provide essential services to the population. Nine locations are now operational providing community level services through lawyers, psychosocial agents and paralegals. </w:t>
      </w:r>
      <w:r w:rsidRPr="00E80114">
        <w:rPr>
          <w:rFonts w:ascii="Arial" w:eastAsia="Times New Roman" w:hAnsi="Arial" w:cs="Arial"/>
          <w:color w:val="000000"/>
          <w:sz w:val="22"/>
          <w:szCs w:val="22"/>
          <w:lang w:val="en-US" w:eastAsia="de-DE"/>
        </w:rPr>
        <w:t xml:space="preserve">Also, the HQ team provided massive support in design of the stand-out </w:t>
      </w:r>
      <w:r w:rsidR="00F34C03" w:rsidRPr="00E80114">
        <w:rPr>
          <w:rFonts w:ascii="Arial" w:eastAsia="Times New Roman" w:hAnsi="Arial" w:cs="Arial"/>
          <w:color w:val="000000"/>
          <w:sz w:val="22"/>
          <w:szCs w:val="22"/>
          <w:lang w:val="en-US" w:eastAsia="de-DE"/>
        </w:rPr>
        <w:t xml:space="preserve">Special Criminal Court </w:t>
      </w:r>
      <w:r w:rsidRPr="00E80114">
        <w:rPr>
          <w:rFonts w:ascii="Arial" w:eastAsia="Times New Roman" w:hAnsi="Arial" w:cs="Arial"/>
          <w:color w:val="000000"/>
          <w:sz w:val="22"/>
          <w:szCs w:val="22"/>
          <w:lang w:val="en-US" w:eastAsia="de-DE"/>
        </w:rPr>
        <w:t>projec</w:t>
      </w:r>
      <w:r w:rsidR="00F34C03">
        <w:rPr>
          <w:rFonts w:ascii="Arial" w:eastAsia="Times New Roman" w:hAnsi="Arial" w:cs="Arial"/>
          <w:color w:val="000000"/>
          <w:sz w:val="22"/>
          <w:szCs w:val="22"/>
          <w:lang w:val="en-US" w:eastAsia="de-DE"/>
        </w:rPr>
        <w:t>t;</w:t>
      </w:r>
      <w:r w:rsidRPr="00E80114">
        <w:rPr>
          <w:rFonts w:ascii="Arial" w:eastAsia="Times New Roman" w:hAnsi="Arial" w:cs="Arial"/>
          <w:color w:val="000000"/>
          <w:sz w:val="22"/>
          <w:szCs w:val="22"/>
          <w:lang w:val="en-US" w:eastAsia="de-DE"/>
        </w:rPr>
        <w:t xml:space="preserve"> while not perfect, </w:t>
      </w:r>
      <w:r w:rsidR="00F34C03">
        <w:rPr>
          <w:rFonts w:ascii="Arial" w:eastAsia="Times New Roman" w:hAnsi="Arial" w:cs="Arial"/>
          <w:color w:val="000000"/>
          <w:sz w:val="22"/>
          <w:szCs w:val="22"/>
          <w:lang w:val="en-US" w:eastAsia="de-DE"/>
        </w:rPr>
        <w:t xml:space="preserve">the Court </w:t>
      </w:r>
      <w:r w:rsidRPr="00E80114">
        <w:rPr>
          <w:rFonts w:ascii="Arial" w:eastAsia="Times New Roman" w:hAnsi="Arial" w:cs="Arial"/>
          <w:color w:val="000000"/>
          <w:sz w:val="22"/>
          <w:szCs w:val="22"/>
          <w:lang w:val="en-US" w:eastAsia="de-DE"/>
        </w:rPr>
        <w:t xml:space="preserve">has key features such as its hybrid structure of national and international judges working together that lend it characteristics of a global pilot. </w:t>
      </w:r>
    </w:p>
    <w:p w14:paraId="50DE8CA5" w14:textId="5CEBFC6A" w:rsidR="005B2D40" w:rsidRPr="00E80114" w:rsidRDefault="005B2D40" w:rsidP="00E80114">
      <w:pPr>
        <w:shd w:val="clear" w:color="auto" w:fill="FFFFFF"/>
        <w:spacing w:line="240" w:lineRule="auto"/>
        <w:rPr>
          <w:rFonts w:ascii="Arial" w:hAnsi="Arial" w:cs="Arial"/>
          <w:color w:val="FF0000"/>
          <w:sz w:val="22"/>
          <w:szCs w:val="22"/>
          <w:lang w:val="en-US"/>
        </w:rPr>
      </w:pPr>
      <w:r w:rsidRPr="00E80114">
        <w:rPr>
          <w:rFonts w:ascii="Arial" w:eastAsia="Times New Roman" w:hAnsi="Arial" w:cs="Arial"/>
          <w:color w:val="000000"/>
          <w:sz w:val="22"/>
          <w:szCs w:val="22"/>
          <w:lang w:val="en-US" w:eastAsia="de-DE"/>
        </w:rPr>
        <w:t>In addition, G</w:t>
      </w:r>
      <w:r w:rsidRPr="00E80114">
        <w:rPr>
          <w:rFonts w:ascii="Arial" w:hAnsi="Arial" w:cs="Arial"/>
          <w:color w:val="000000"/>
          <w:sz w:val="22"/>
          <w:szCs w:val="22"/>
          <w:lang w:val="en-US"/>
        </w:rPr>
        <w:t xml:space="preserve">P provided strategic seed funding to </w:t>
      </w:r>
      <w:r w:rsidRPr="00E80114">
        <w:rPr>
          <w:rFonts w:ascii="Arial" w:eastAsia="Times New Roman" w:hAnsi="Arial" w:cs="Arial"/>
          <w:color w:val="26282A"/>
          <w:sz w:val="22"/>
          <w:szCs w:val="22"/>
          <w:lang w:val="en-US" w:eastAsia="de-DE"/>
        </w:rPr>
        <w:t xml:space="preserve">SDG16+ perception surveys on peace, justice and security and </w:t>
      </w:r>
      <w:r w:rsidR="00F34C03">
        <w:rPr>
          <w:rFonts w:ascii="Arial" w:eastAsia="Times New Roman" w:hAnsi="Arial" w:cs="Arial"/>
          <w:color w:val="26282A"/>
          <w:sz w:val="22"/>
          <w:szCs w:val="22"/>
          <w:lang w:val="en-US" w:eastAsia="de-DE"/>
        </w:rPr>
        <w:t xml:space="preserve">to </w:t>
      </w:r>
      <w:r w:rsidRPr="00E80114">
        <w:rPr>
          <w:rFonts w:ascii="Arial" w:eastAsia="Times New Roman" w:hAnsi="Arial" w:cs="Arial"/>
          <w:color w:val="26282A"/>
          <w:sz w:val="22"/>
          <w:szCs w:val="22"/>
          <w:lang w:val="en-US" w:eastAsia="de-DE"/>
        </w:rPr>
        <w:t>the Voluntary National Report presented at the H</w:t>
      </w:r>
      <w:r w:rsidR="00772F62" w:rsidRPr="00E80114">
        <w:rPr>
          <w:rFonts w:ascii="Arial" w:eastAsia="Times New Roman" w:hAnsi="Arial" w:cs="Arial"/>
          <w:color w:val="26282A"/>
          <w:sz w:val="22"/>
          <w:szCs w:val="22"/>
          <w:lang w:val="en-US" w:eastAsia="de-DE"/>
        </w:rPr>
        <w:t xml:space="preserve">igh Level Political Forum </w:t>
      </w:r>
      <w:r w:rsidRPr="00E80114">
        <w:rPr>
          <w:rFonts w:ascii="Arial" w:eastAsia="Times New Roman" w:hAnsi="Arial" w:cs="Arial"/>
          <w:color w:val="26282A"/>
          <w:sz w:val="22"/>
          <w:szCs w:val="22"/>
          <w:lang w:val="en-US" w:eastAsia="de-DE"/>
        </w:rPr>
        <w:t xml:space="preserve">in 2019; this allowed UNDP and the Government of CAR to attract donor attention at global level. </w:t>
      </w:r>
      <w:r w:rsidR="00F34C03" w:rsidRPr="00E80114">
        <w:rPr>
          <w:rFonts w:ascii="Arial" w:eastAsia="Times New Roman" w:hAnsi="Arial" w:cs="Arial"/>
          <w:color w:val="26282A"/>
          <w:sz w:val="22"/>
          <w:szCs w:val="22"/>
          <w:lang w:val="en-US" w:eastAsia="de-DE"/>
        </w:rPr>
        <w:t>F</w:t>
      </w:r>
      <w:r w:rsidR="00F34C03" w:rsidRPr="00E80114">
        <w:rPr>
          <w:rFonts w:ascii="Arial" w:hAnsi="Arial" w:cs="Arial"/>
          <w:sz w:val="22"/>
          <w:szCs w:val="22"/>
          <w:lang w:val="en-US"/>
        </w:rPr>
        <w:t xml:space="preserve">unding for the Court over the past three years (4.5 million Euros from the EU and 1 million Euros from the Netherlands) </w:t>
      </w:r>
      <w:r w:rsidR="00F34C03">
        <w:rPr>
          <w:rFonts w:ascii="Arial" w:hAnsi="Arial" w:cs="Arial"/>
          <w:sz w:val="22"/>
          <w:szCs w:val="22"/>
          <w:lang w:val="en-US"/>
        </w:rPr>
        <w:t>was</w:t>
      </w:r>
      <w:r w:rsidR="00F34C03" w:rsidRPr="00E80114">
        <w:rPr>
          <w:rFonts w:ascii="Arial" w:hAnsi="Arial" w:cs="Arial"/>
          <w:sz w:val="22"/>
          <w:szCs w:val="22"/>
          <w:lang w:val="en-US"/>
        </w:rPr>
        <w:t xml:space="preserve"> attributable to this exposure.</w:t>
      </w:r>
      <w:r w:rsidR="00F34C03">
        <w:rPr>
          <w:rFonts w:ascii="Arial" w:hAnsi="Arial" w:cs="Arial"/>
          <w:sz w:val="22"/>
          <w:szCs w:val="22"/>
          <w:lang w:val="en-US"/>
        </w:rPr>
        <w:t xml:space="preserve"> </w:t>
      </w:r>
      <w:r w:rsidRPr="00E80114">
        <w:rPr>
          <w:rFonts w:ascii="Arial" w:hAnsi="Arial" w:cs="Arial"/>
          <w:color w:val="000000"/>
          <w:sz w:val="22"/>
          <w:szCs w:val="22"/>
          <w:lang w:val="en-US"/>
        </w:rPr>
        <w:t xml:space="preserve">The Joint Programme on human rights-related criminal justice and relaunch of the justice system was a successful GFP-supported endeavor, which has combined the forces of UNDP with </w:t>
      </w:r>
      <w:r w:rsidR="00772F62" w:rsidRPr="00E80114">
        <w:rPr>
          <w:rFonts w:ascii="Arial" w:hAnsi="Arial" w:cs="Arial"/>
          <w:color w:val="000000"/>
          <w:sz w:val="22"/>
          <w:szCs w:val="22"/>
          <w:lang w:val="en-US"/>
        </w:rPr>
        <w:t>the UN Mission</w:t>
      </w:r>
      <w:r w:rsidRPr="00E80114">
        <w:rPr>
          <w:rFonts w:ascii="Arial" w:hAnsi="Arial" w:cs="Arial"/>
          <w:color w:val="000000"/>
          <w:sz w:val="22"/>
          <w:szCs w:val="22"/>
          <w:lang w:val="en-US"/>
        </w:rPr>
        <w:t xml:space="preserve"> and UN Women</w:t>
      </w:r>
      <w:r w:rsidR="00772F62" w:rsidRPr="00E80114">
        <w:rPr>
          <w:rFonts w:ascii="Arial" w:hAnsi="Arial" w:cs="Arial"/>
          <w:color w:val="000000"/>
          <w:sz w:val="22"/>
          <w:szCs w:val="22"/>
          <w:lang w:val="en-US"/>
        </w:rPr>
        <w:t xml:space="preserve"> and</w:t>
      </w:r>
      <w:r w:rsidRPr="00E80114">
        <w:rPr>
          <w:rFonts w:ascii="Arial" w:hAnsi="Arial" w:cs="Arial"/>
          <w:color w:val="000000"/>
          <w:sz w:val="22"/>
          <w:szCs w:val="22"/>
          <w:lang w:val="en-US"/>
        </w:rPr>
        <w:t xml:space="preserve"> attracted in excess of $20 million since 2014. </w:t>
      </w:r>
    </w:p>
    <w:p w14:paraId="4BA9DE1B" w14:textId="79BD27E2" w:rsidR="005B2D40" w:rsidRPr="00E80114" w:rsidRDefault="005B2D40" w:rsidP="00E80114">
      <w:pPr>
        <w:tabs>
          <w:tab w:val="left" w:pos="3930"/>
        </w:tabs>
        <w:spacing w:line="240" w:lineRule="auto"/>
        <w:rPr>
          <w:rFonts w:ascii="Arial" w:eastAsia="Arial" w:hAnsi="Arial" w:cs="Arial"/>
          <w:sz w:val="22"/>
          <w:szCs w:val="22"/>
          <w:lang w:val="en-US"/>
        </w:rPr>
      </w:pPr>
      <w:r w:rsidRPr="00E80114">
        <w:rPr>
          <w:rFonts w:ascii="Arial" w:eastAsia="Times New Roman" w:hAnsi="Arial" w:cs="Arial"/>
          <w:sz w:val="22"/>
          <w:szCs w:val="22"/>
          <w:lang w:val="en-US" w:eastAsia="de-DE"/>
        </w:rPr>
        <w:t xml:space="preserve">In </w:t>
      </w:r>
      <w:r w:rsidRPr="00E80114">
        <w:rPr>
          <w:rFonts w:ascii="Arial" w:eastAsia="Times New Roman" w:hAnsi="Arial" w:cs="Arial"/>
          <w:b/>
          <w:bCs/>
          <w:sz w:val="22"/>
          <w:szCs w:val="22"/>
          <w:lang w:val="en-US" w:eastAsia="de-DE"/>
        </w:rPr>
        <w:t>Somalia</w:t>
      </w:r>
      <w:r w:rsidRPr="00E80114">
        <w:rPr>
          <w:rFonts w:ascii="Arial" w:eastAsia="Times New Roman" w:hAnsi="Arial" w:cs="Arial"/>
          <w:sz w:val="22"/>
          <w:szCs w:val="22"/>
          <w:lang w:val="en-US" w:eastAsia="de-DE"/>
        </w:rPr>
        <w:t>, GP support to funding a small arms survey culminated in an integrated SSR programme jointly implemented by UNDP with UNSOM</w:t>
      </w:r>
      <w:r w:rsidR="00500865">
        <w:rPr>
          <w:rFonts w:ascii="Arial" w:eastAsia="Times New Roman" w:hAnsi="Arial" w:cs="Arial"/>
          <w:sz w:val="22"/>
          <w:szCs w:val="22"/>
          <w:lang w:val="en-US" w:eastAsia="de-DE"/>
        </w:rPr>
        <w:t>, while t</w:t>
      </w:r>
      <w:r w:rsidRPr="00E80114">
        <w:rPr>
          <w:rFonts w:ascii="Arial" w:eastAsia="Times New Roman" w:hAnsi="Arial" w:cs="Arial"/>
          <w:sz w:val="22"/>
          <w:szCs w:val="22"/>
          <w:lang w:val="en-US" w:eastAsia="de-DE"/>
        </w:rPr>
        <w:t>he GP-backed SDG16 M&amp;E pilot is gradually gaining traction and show</w:t>
      </w:r>
      <w:r w:rsidR="00500865">
        <w:rPr>
          <w:rFonts w:ascii="Arial" w:eastAsia="Times New Roman" w:hAnsi="Arial" w:cs="Arial"/>
          <w:sz w:val="22"/>
          <w:szCs w:val="22"/>
          <w:lang w:val="en-US" w:eastAsia="de-DE"/>
        </w:rPr>
        <w:t>ing</w:t>
      </w:r>
      <w:r w:rsidRPr="00E80114">
        <w:rPr>
          <w:rFonts w:ascii="Arial" w:eastAsia="Times New Roman" w:hAnsi="Arial" w:cs="Arial"/>
          <w:sz w:val="22"/>
          <w:szCs w:val="22"/>
          <w:lang w:val="en-US" w:eastAsia="de-DE"/>
        </w:rPr>
        <w:t xml:space="preserve"> promising early results. T</w:t>
      </w:r>
      <w:r w:rsidRPr="00E80114">
        <w:rPr>
          <w:rFonts w:ascii="Arial" w:eastAsia="Arial" w:hAnsi="Arial" w:cs="Arial"/>
          <w:sz w:val="22"/>
          <w:szCs w:val="22"/>
          <w:lang w:val="en-US"/>
        </w:rPr>
        <w:t xml:space="preserve">here are a number of stand-out GFP-related results including UN-internal collaboration across the ROLSHR portfolio with a strong focus on the JP modality. </w:t>
      </w:r>
      <w:r w:rsidRPr="00E80114">
        <w:rPr>
          <w:rFonts w:ascii="Arial" w:eastAsia="Times New Roman" w:hAnsi="Arial" w:cs="Arial"/>
          <w:sz w:val="22"/>
          <w:szCs w:val="22"/>
          <w:lang w:val="en-US" w:eastAsia="de-DE"/>
        </w:rPr>
        <w:t xml:space="preserve">The multi-partner JJP promoted by the GFP (described under Coherence) has contributed to on-going federalization, state and institution building and support to the formal justice sector. </w:t>
      </w:r>
      <w:r w:rsidRPr="00E80114">
        <w:rPr>
          <w:rFonts w:ascii="Arial" w:eastAsia="Arial" w:hAnsi="Arial" w:cs="Arial"/>
          <w:sz w:val="22"/>
          <w:szCs w:val="22"/>
          <w:lang w:val="en-US"/>
        </w:rPr>
        <w:t xml:space="preserve">The JJP, </w:t>
      </w:r>
      <w:r w:rsidR="00772F62" w:rsidRPr="00E80114">
        <w:rPr>
          <w:rFonts w:ascii="Arial" w:eastAsia="Arial" w:hAnsi="Arial" w:cs="Arial"/>
          <w:sz w:val="22"/>
          <w:szCs w:val="22"/>
          <w:lang w:val="en-US"/>
        </w:rPr>
        <w:t>with</w:t>
      </w:r>
      <w:r w:rsidRPr="00E80114">
        <w:rPr>
          <w:rFonts w:ascii="Arial" w:eastAsia="Arial" w:hAnsi="Arial" w:cs="Arial"/>
          <w:sz w:val="22"/>
          <w:szCs w:val="22"/>
          <w:lang w:val="en-US"/>
        </w:rPr>
        <w:t xml:space="preserve"> UNDP, UNSOM, UN Women, UNICEF and IDLO among its contributing partners, has contributed to on-going federalization, state and institution building and support to the formal justice sector; and provided support to developing new institutions and basic service delivery in the Federal Member States. </w:t>
      </w:r>
    </w:p>
    <w:p w14:paraId="4EBA7D8F" w14:textId="0B97BE1E" w:rsidR="005B2D40" w:rsidRDefault="005B2D40" w:rsidP="00E80114">
      <w:pPr>
        <w:tabs>
          <w:tab w:val="left" w:pos="3930"/>
        </w:tabs>
        <w:spacing w:line="240" w:lineRule="auto"/>
        <w:rPr>
          <w:rFonts w:ascii="Arial" w:eastAsia="Arial" w:hAnsi="Arial" w:cs="Arial"/>
          <w:sz w:val="22"/>
          <w:szCs w:val="22"/>
          <w:lang w:val="en-US"/>
        </w:rPr>
      </w:pPr>
      <w:r w:rsidRPr="00E80114">
        <w:rPr>
          <w:rFonts w:ascii="Arial" w:eastAsia="Arial" w:hAnsi="Arial" w:cs="Arial"/>
          <w:sz w:val="22"/>
          <w:szCs w:val="22"/>
          <w:lang w:val="en-US"/>
        </w:rPr>
        <w:t xml:space="preserve">The JJP focuses on ‘bottom-up’, community driven security and justice initiatives, designed to complement the ‘top-down’ capacity building of State institutions and the operation of the formal justice system. The delivery of basic services to the communities to increase access to justice, particularly for women, children and </w:t>
      </w:r>
      <w:r w:rsidR="00772F62" w:rsidRPr="00E80114">
        <w:rPr>
          <w:rFonts w:ascii="Arial" w:eastAsia="Arial" w:hAnsi="Arial" w:cs="Arial"/>
          <w:sz w:val="22"/>
          <w:szCs w:val="22"/>
          <w:lang w:val="en-US"/>
        </w:rPr>
        <w:t>displaced populations</w:t>
      </w:r>
      <w:r w:rsidRPr="00E80114">
        <w:rPr>
          <w:rFonts w:ascii="Arial" w:eastAsia="Arial" w:hAnsi="Arial" w:cs="Arial"/>
          <w:sz w:val="22"/>
          <w:szCs w:val="22"/>
          <w:lang w:val="en-US"/>
        </w:rPr>
        <w:t>, has shown promising results in protecting women’s and girls’ human rights and providing a user-friendly alternative to Al-Shabab courts.</w:t>
      </w:r>
    </w:p>
    <w:p w14:paraId="45E01F09" w14:textId="52C6AE67" w:rsidR="005B2D40" w:rsidRDefault="005B2D40" w:rsidP="005B2D40">
      <w:pPr>
        <w:tabs>
          <w:tab w:val="left" w:pos="3930"/>
        </w:tabs>
        <w:spacing w:after="0" w:line="240" w:lineRule="auto"/>
        <w:jc w:val="both"/>
        <w:rPr>
          <w:rFonts w:ascii="Arial" w:eastAsia="Arial" w:hAnsi="Arial" w:cs="Arial"/>
          <w:lang w:val="en-US"/>
        </w:rPr>
      </w:pPr>
    </w:p>
    <w:p w14:paraId="14F4C105" w14:textId="77777777" w:rsidR="002272B6" w:rsidRPr="002272B6" w:rsidRDefault="002629FB" w:rsidP="002272B6">
      <w:pPr>
        <w:shd w:val="clear" w:color="auto" w:fill="C0D7EC" w:themeFill="accent2" w:themeFillTint="66"/>
        <w:jc w:val="center"/>
        <w:rPr>
          <w:rFonts w:ascii="Arial" w:hAnsi="Arial" w:cs="Arial"/>
          <w:b/>
          <w:bCs/>
          <w:sz w:val="24"/>
          <w:szCs w:val="24"/>
        </w:rPr>
      </w:pPr>
      <w:r w:rsidRPr="002272B6">
        <w:rPr>
          <w:rFonts w:ascii="Arial" w:hAnsi="Arial" w:cs="Arial"/>
          <w:b/>
          <w:bCs/>
          <w:sz w:val="24"/>
          <w:szCs w:val="24"/>
        </w:rPr>
        <w:t xml:space="preserve">Comparative Snapshot: </w:t>
      </w:r>
    </w:p>
    <w:p w14:paraId="26ECAA09" w14:textId="3A8ED7AC" w:rsidR="002629FB" w:rsidRPr="008660A1" w:rsidRDefault="002629FB" w:rsidP="002272B6">
      <w:pPr>
        <w:shd w:val="clear" w:color="auto" w:fill="C0D7EC" w:themeFill="accent2" w:themeFillTint="66"/>
        <w:jc w:val="center"/>
        <w:rPr>
          <w:rFonts w:ascii="Arial" w:hAnsi="Arial" w:cs="Arial"/>
          <w:b/>
          <w:bCs/>
        </w:rPr>
      </w:pPr>
      <w:r w:rsidRPr="008660A1">
        <w:rPr>
          <w:rFonts w:ascii="Arial" w:hAnsi="Arial" w:cs="Arial"/>
          <w:b/>
          <w:bCs/>
        </w:rPr>
        <w:t>Contexts without Global Programme Support</w:t>
      </w:r>
    </w:p>
    <w:p w14:paraId="6043EF56" w14:textId="5D555876" w:rsidR="002629FB" w:rsidRDefault="002629FB" w:rsidP="002629FB">
      <w:pPr>
        <w:shd w:val="clear" w:color="auto" w:fill="C0D7EC" w:themeFill="accent2" w:themeFillTint="66"/>
        <w:rPr>
          <w:rFonts w:ascii="Arial" w:hAnsi="Arial" w:cs="Arial"/>
        </w:rPr>
      </w:pPr>
      <w:r>
        <w:rPr>
          <w:rFonts w:ascii="Arial" w:hAnsi="Arial" w:cs="Arial"/>
        </w:rPr>
        <w:t xml:space="preserve">The TOR for this evaluation included </w:t>
      </w:r>
      <w:r w:rsidR="00827A19">
        <w:rPr>
          <w:rFonts w:ascii="Arial" w:hAnsi="Arial" w:cs="Arial"/>
        </w:rPr>
        <w:t>brief</w:t>
      </w:r>
      <w:r>
        <w:rPr>
          <w:rFonts w:ascii="Arial" w:hAnsi="Arial" w:cs="Arial"/>
        </w:rPr>
        <w:t xml:space="preserve"> assessments of knowledge about and interest in the Global Programme, in two countries not targeted by GP financial support during Phase 3. </w:t>
      </w:r>
      <w:r w:rsidRPr="007B6B11">
        <w:rPr>
          <w:rFonts w:ascii="Arial" w:hAnsi="Arial" w:cs="Arial"/>
          <w:color w:val="000000"/>
        </w:rPr>
        <w:t>Niger and Albania were selected</w:t>
      </w:r>
      <w:r>
        <w:rPr>
          <w:rFonts w:ascii="Arial" w:hAnsi="Arial" w:cs="Arial"/>
          <w:color w:val="000000"/>
        </w:rPr>
        <w:t xml:space="preserve"> for this purpose</w:t>
      </w:r>
      <w:r w:rsidRPr="007B6B11">
        <w:rPr>
          <w:rFonts w:ascii="Arial" w:hAnsi="Arial" w:cs="Arial"/>
          <w:color w:val="000000"/>
        </w:rPr>
        <w:t xml:space="preserve">. </w:t>
      </w:r>
      <w:r>
        <w:rPr>
          <w:rFonts w:ascii="Arial" w:hAnsi="Arial" w:cs="Arial"/>
          <w:color w:val="000000"/>
        </w:rPr>
        <w:t>Although a full comparative study was beyond the evaluation scope, t</w:t>
      </w:r>
      <w:r w:rsidRPr="007B6B11">
        <w:rPr>
          <w:rFonts w:ascii="Arial" w:eastAsia="Times New Roman" w:hAnsi="Arial" w:cs="Arial"/>
        </w:rPr>
        <w:t xml:space="preserve">he evaluators </w:t>
      </w:r>
      <w:r>
        <w:rPr>
          <w:rFonts w:ascii="Arial" w:eastAsia="Times New Roman" w:hAnsi="Arial" w:cs="Arial"/>
        </w:rPr>
        <w:t xml:space="preserve">briefly investigated </w:t>
      </w:r>
      <w:r w:rsidRPr="007B6B11">
        <w:rPr>
          <w:rFonts w:ascii="Arial" w:eastAsia="Times New Roman" w:hAnsi="Arial" w:cs="Arial"/>
        </w:rPr>
        <w:t xml:space="preserve">the recent engagement of UNDP and other UN entities in </w:t>
      </w:r>
      <w:r>
        <w:rPr>
          <w:rFonts w:ascii="Arial" w:eastAsia="Times New Roman" w:hAnsi="Arial" w:cs="Arial"/>
        </w:rPr>
        <w:t xml:space="preserve">the </w:t>
      </w:r>
      <w:r w:rsidRPr="007B6B11">
        <w:rPr>
          <w:rFonts w:ascii="Arial" w:eastAsia="Times New Roman" w:hAnsi="Arial" w:cs="Arial"/>
        </w:rPr>
        <w:t>ROLSHR</w:t>
      </w:r>
      <w:r>
        <w:rPr>
          <w:rFonts w:ascii="Arial" w:eastAsia="Times New Roman" w:hAnsi="Arial" w:cs="Arial"/>
        </w:rPr>
        <w:t xml:space="preserve"> sector</w:t>
      </w:r>
      <w:r w:rsidRPr="007B6B11">
        <w:rPr>
          <w:rFonts w:ascii="Arial" w:eastAsia="Times New Roman" w:hAnsi="Arial" w:cs="Arial"/>
        </w:rPr>
        <w:t>, gauge</w:t>
      </w:r>
      <w:r>
        <w:rPr>
          <w:rFonts w:ascii="Arial" w:eastAsia="Times New Roman" w:hAnsi="Arial" w:cs="Arial"/>
        </w:rPr>
        <w:t>d</w:t>
      </w:r>
      <w:r w:rsidRPr="007B6B11">
        <w:rPr>
          <w:rFonts w:ascii="Arial" w:eastAsia="Times New Roman" w:hAnsi="Arial" w:cs="Arial"/>
        </w:rPr>
        <w:t xml:space="preserve"> the </w:t>
      </w:r>
      <w:r>
        <w:rPr>
          <w:rFonts w:ascii="Arial" w:eastAsia="Times New Roman" w:hAnsi="Arial" w:cs="Arial"/>
        </w:rPr>
        <w:t>awareness</w:t>
      </w:r>
      <w:r w:rsidRPr="007B6B11">
        <w:rPr>
          <w:rFonts w:ascii="Arial" w:eastAsia="Times New Roman" w:hAnsi="Arial" w:cs="Arial"/>
        </w:rPr>
        <w:t xml:space="preserve"> </w:t>
      </w:r>
      <w:r>
        <w:rPr>
          <w:rFonts w:ascii="Arial" w:eastAsia="Times New Roman" w:hAnsi="Arial" w:cs="Arial"/>
        </w:rPr>
        <w:t>of</w:t>
      </w:r>
      <w:r w:rsidRPr="007B6B11">
        <w:rPr>
          <w:rFonts w:ascii="Arial" w:eastAsia="Times New Roman" w:hAnsi="Arial" w:cs="Arial"/>
        </w:rPr>
        <w:t xml:space="preserve"> key </w:t>
      </w:r>
      <w:r w:rsidR="00153F44">
        <w:rPr>
          <w:rFonts w:ascii="Arial" w:eastAsia="Times New Roman" w:hAnsi="Arial" w:cs="Arial"/>
        </w:rPr>
        <w:t>country team</w:t>
      </w:r>
      <w:r w:rsidRPr="007B6B11">
        <w:rPr>
          <w:rFonts w:ascii="Arial" w:eastAsia="Times New Roman" w:hAnsi="Arial" w:cs="Arial"/>
        </w:rPr>
        <w:t xml:space="preserve"> staff about the GP and GFP, </w:t>
      </w:r>
      <w:r>
        <w:rPr>
          <w:rFonts w:ascii="Arial" w:eastAsia="Times New Roman" w:hAnsi="Arial" w:cs="Arial"/>
        </w:rPr>
        <w:t>identified</w:t>
      </w:r>
      <w:r w:rsidRPr="007B6B11">
        <w:rPr>
          <w:rFonts w:ascii="Arial" w:eastAsia="Times New Roman" w:hAnsi="Arial" w:cs="Arial"/>
        </w:rPr>
        <w:t xml:space="preserve"> </w:t>
      </w:r>
      <w:r>
        <w:rPr>
          <w:rFonts w:ascii="Arial" w:eastAsia="Times New Roman" w:hAnsi="Arial" w:cs="Arial"/>
        </w:rPr>
        <w:t xml:space="preserve">any </w:t>
      </w:r>
      <w:r w:rsidRPr="007B6B11">
        <w:rPr>
          <w:rFonts w:ascii="Arial" w:eastAsia="Times New Roman" w:hAnsi="Arial" w:cs="Arial"/>
        </w:rPr>
        <w:t xml:space="preserve">technical </w:t>
      </w:r>
      <w:r>
        <w:rPr>
          <w:rFonts w:ascii="Arial" w:eastAsia="Times New Roman" w:hAnsi="Arial" w:cs="Arial"/>
        </w:rPr>
        <w:t xml:space="preserve">assistance </w:t>
      </w:r>
      <w:r w:rsidRPr="007B6B11">
        <w:rPr>
          <w:rFonts w:ascii="Arial" w:eastAsia="Times New Roman" w:hAnsi="Arial" w:cs="Arial"/>
        </w:rPr>
        <w:t>provided by GP</w:t>
      </w:r>
      <w:r>
        <w:rPr>
          <w:rFonts w:ascii="Arial" w:eastAsia="Times New Roman" w:hAnsi="Arial" w:cs="Arial"/>
        </w:rPr>
        <w:t>3</w:t>
      </w:r>
      <w:r w:rsidRPr="007B6B11">
        <w:rPr>
          <w:rFonts w:ascii="Arial" w:eastAsia="Times New Roman" w:hAnsi="Arial" w:cs="Arial"/>
        </w:rPr>
        <w:t>, and explore</w:t>
      </w:r>
      <w:r>
        <w:rPr>
          <w:rFonts w:ascii="Arial" w:eastAsia="Times New Roman" w:hAnsi="Arial" w:cs="Arial"/>
        </w:rPr>
        <w:t>d</w:t>
      </w:r>
      <w:r w:rsidRPr="007B6B11">
        <w:rPr>
          <w:rFonts w:ascii="Arial" w:eastAsia="Times New Roman" w:hAnsi="Arial" w:cs="Arial"/>
        </w:rPr>
        <w:t xml:space="preserve"> </w:t>
      </w:r>
      <w:r w:rsidRPr="007B6B11">
        <w:rPr>
          <w:rFonts w:ascii="Arial" w:hAnsi="Arial" w:cs="Arial"/>
        </w:rPr>
        <w:t xml:space="preserve">the </w:t>
      </w:r>
      <w:r>
        <w:rPr>
          <w:rFonts w:ascii="Arial" w:hAnsi="Arial" w:cs="Arial"/>
        </w:rPr>
        <w:t>needs and challenges related to</w:t>
      </w:r>
      <w:r w:rsidRPr="007B6B11">
        <w:rPr>
          <w:rFonts w:ascii="Arial" w:hAnsi="Arial" w:cs="Arial"/>
        </w:rPr>
        <w:t xml:space="preserve"> future collaboration</w:t>
      </w:r>
      <w:r>
        <w:rPr>
          <w:rFonts w:ascii="Arial" w:hAnsi="Arial" w:cs="Arial"/>
        </w:rPr>
        <w:t xml:space="preserve"> with the GP</w:t>
      </w:r>
      <w:r w:rsidRPr="007B6B11">
        <w:rPr>
          <w:rFonts w:ascii="Arial" w:hAnsi="Arial" w:cs="Arial"/>
        </w:rPr>
        <w:t xml:space="preserve">. </w:t>
      </w:r>
      <w:r w:rsidRPr="007B6B11">
        <w:rPr>
          <w:rFonts w:ascii="Arial" w:hAnsi="Arial" w:cs="Arial"/>
          <w:color w:val="000000"/>
        </w:rPr>
        <w:t xml:space="preserve">Interviews focused on current and former UNDP and other </w:t>
      </w:r>
      <w:r w:rsidR="00153F44">
        <w:rPr>
          <w:rFonts w:ascii="Arial" w:hAnsi="Arial" w:cs="Arial"/>
          <w:color w:val="000000"/>
        </w:rPr>
        <w:t>CO</w:t>
      </w:r>
      <w:r w:rsidRPr="007B6B11">
        <w:rPr>
          <w:rFonts w:ascii="Arial" w:hAnsi="Arial" w:cs="Arial"/>
          <w:color w:val="000000"/>
        </w:rPr>
        <w:t xml:space="preserve"> staff responsible for ROLSHR or related thematic areas, and/or </w:t>
      </w:r>
      <w:r>
        <w:rPr>
          <w:rFonts w:ascii="Arial" w:hAnsi="Arial" w:cs="Arial"/>
          <w:color w:val="000000"/>
        </w:rPr>
        <w:t xml:space="preserve">involved in </w:t>
      </w:r>
      <w:r w:rsidRPr="007B6B11">
        <w:rPr>
          <w:rFonts w:ascii="Arial" w:hAnsi="Arial" w:cs="Arial"/>
          <w:color w:val="000000"/>
        </w:rPr>
        <w:t>overall strategic decision-making.</w:t>
      </w:r>
    </w:p>
    <w:p w14:paraId="2941AECE" w14:textId="64301C84" w:rsidR="002629FB" w:rsidRPr="00963476" w:rsidRDefault="002629FB" w:rsidP="002629FB">
      <w:pPr>
        <w:shd w:val="clear" w:color="auto" w:fill="C0D7EC" w:themeFill="accent2" w:themeFillTint="66"/>
        <w:rPr>
          <w:rFonts w:ascii="Arial" w:hAnsi="Arial" w:cs="Arial"/>
          <w:b/>
          <w:bCs/>
          <w:i/>
          <w:iCs/>
        </w:rPr>
      </w:pPr>
      <w:r w:rsidRPr="00963476">
        <w:rPr>
          <w:rFonts w:ascii="Arial" w:hAnsi="Arial" w:cs="Arial"/>
          <w:b/>
          <w:bCs/>
          <w:i/>
          <w:iCs/>
        </w:rPr>
        <w:t xml:space="preserve">Albania </w:t>
      </w:r>
    </w:p>
    <w:p w14:paraId="57DBD247" w14:textId="2B92727A" w:rsidR="002629FB" w:rsidRDefault="002629FB" w:rsidP="002629FB">
      <w:pPr>
        <w:shd w:val="clear" w:color="auto" w:fill="C0D7EC" w:themeFill="accent2" w:themeFillTint="66"/>
        <w:rPr>
          <w:rFonts w:ascii="Arial" w:hAnsi="Arial" w:cs="Arial"/>
        </w:rPr>
      </w:pPr>
      <w:r>
        <w:rPr>
          <w:rFonts w:ascii="Arial" w:hAnsi="Arial" w:cs="Arial"/>
        </w:rPr>
        <w:t xml:space="preserve">UNDP Albania has a small but active ROLSHR team managing a modest portfolio of activities, primarily in the realm of </w:t>
      </w:r>
      <w:r w:rsidR="00153F44">
        <w:rPr>
          <w:rFonts w:ascii="Arial" w:hAnsi="Arial" w:cs="Arial"/>
        </w:rPr>
        <w:t>A2J</w:t>
      </w:r>
      <w:r>
        <w:rPr>
          <w:rFonts w:ascii="Arial" w:hAnsi="Arial" w:cs="Arial"/>
        </w:rPr>
        <w:t xml:space="preserve"> and legal aid for vulnerable populations. The team benefited from significant technical advice from the GP</w:t>
      </w:r>
      <w:r w:rsidR="00772F62">
        <w:rPr>
          <w:rFonts w:ascii="Arial" w:hAnsi="Arial" w:cs="Arial"/>
        </w:rPr>
        <w:t>/ROLSHR team</w:t>
      </w:r>
      <w:r>
        <w:rPr>
          <w:rFonts w:ascii="Arial" w:hAnsi="Arial" w:cs="Arial"/>
        </w:rPr>
        <w:t xml:space="preserve"> Focal Point in </w:t>
      </w:r>
      <w:r w:rsidR="00772F62">
        <w:rPr>
          <w:rFonts w:ascii="Arial" w:hAnsi="Arial" w:cs="Arial"/>
        </w:rPr>
        <w:t xml:space="preserve">the </w:t>
      </w:r>
      <w:r>
        <w:rPr>
          <w:rFonts w:ascii="Arial" w:hAnsi="Arial" w:cs="Arial"/>
        </w:rPr>
        <w:t xml:space="preserve">Istanbul regional hub to: 1) design an </w:t>
      </w:r>
      <w:r w:rsidR="00153F44">
        <w:rPr>
          <w:rFonts w:ascii="Arial" w:hAnsi="Arial" w:cs="Arial"/>
        </w:rPr>
        <w:t>A2J</w:t>
      </w:r>
      <w:r>
        <w:rPr>
          <w:rFonts w:ascii="Arial" w:hAnsi="Arial" w:cs="Arial"/>
        </w:rPr>
        <w:t xml:space="preserve"> survey in 2016-17, and 2) make inputs to new legal aid </w:t>
      </w:r>
      <w:r w:rsidR="00153F44">
        <w:rPr>
          <w:rFonts w:ascii="Arial" w:hAnsi="Arial" w:cs="Arial"/>
        </w:rPr>
        <w:t>legislation</w:t>
      </w:r>
      <w:r>
        <w:rPr>
          <w:rFonts w:ascii="Arial" w:hAnsi="Arial" w:cs="Arial"/>
        </w:rPr>
        <w:t xml:space="preserve">. These activities assisted UNDP to carve out a solid niche in </w:t>
      </w:r>
      <w:r w:rsidR="00153F44">
        <w:rPr>
          <w:rFonts w:ascii="Arial" w:hAnsi="Arial" w:cs="Arial"/>
        </w:rPr>
        <w:t>A2J</w:t>
      </w:r>
      <w:r>
        <w:rPr>
          <w:rFonts w:ascii="Arial" w:hAnsi="Arial" w:cs="Arial"/>
        </w:rPr>
        <w:t xml:space="preserve">, and helped the government to create a legal aid directorate charged with overseeing implementation of the new law. Bilateral funding from a new donor (Austria) was secured to continue work on access to justice, replacing earlier donors. This evidence suggests some catalytic effects of GP-related technical support. </w:t>
      </w:r>
    </w:p>
    <w:p w14:paraId="3DFC91A4" w14:textId="59CBB85C" w:rsidR="006F770A" w:rsidRDefault="002629FB" w:rsidP="006F770A">
      <w:pPr>
        <w:shd w:val="clear" w:color="auto" w:fill="C0D7EC" w:themeFill="accent2" w:themeFillTint="66"/>
        <w:rPr>
          <w:rFonts w:ascii="Arial" w:hAnsi="Arial" w:cs="Arial"/>
        </w:rPr>
      </w:pPr>
      <w:r>
        <w:rPr>
          <w:rFonts w:ascii="Arial" w:hAnsi="Arial" w:cs="Arial"/>
        </w:rPr>
        <w:t xml:space="preserve">The </w:t>
      </w:r>
      <w:r w:rsidR="00153F44">
        <w:rPr>
          <w:rFonts w:ascii="Arial" w:hAnsi="Arial" w:cs="Arial"/>
        </w:rPr>
        <w:t xml:space="preserve">CO’s </w:t>
      </w:r>
      <w:r>
        <w:rPr>
          <w:rFonts w:ascii="Arial" w:hAnsi="Arial" w:cs="Arial"/>
        </w:rPr>
        <w:t>ROLSHR team</w:t>
      </w:r>
      <w:r w:rsidR="00153F44">
        <w:rPr>
          <w:rFonts w:ascii="Arial" w:hAnsi="Arial" w:cs="Arial"/>
        </w:rPr>
        <w:t xml:space="preserve"> </w:t>
      </w:r>
      <w:r>
        <w:rPr>
          <w:rFonts w:ascii="Arial" w:hAnsi="Arial" w:cs="Arial"/>
        </w:rPr>
        <w:t xml:space="preserve">is reasonably aware of the GP thanks to regional meetings and temporary duty by one staffer with the ROLSHR team in New York, but has limited understanding of which countries can obtain GP funding (and on what conditions) and of the GFP mechanism. Justice reform is a high priority throughout the Balkans as countries seek to boost their chances for eventual </w:t>
      </w:r>
      <w:r w:rsidR="00153F44">
        <w:rPr>
          <w:rFonts w:ascii="Arial" w:hAnsi="Arial" w:cs="Arial"/>
        </w:rPr>
        <w:t>EU</w:t>
      </w:r>
      <w:r>
        <w:rPr>
          <w:rFonts w:ascii="Arial" w:hAnsi="Arial" w:cs="Arial"/>
        </w:rPr>
        <w:t xml:space="preserve"> membership. Additional UNDP investments in the ROL sector could strengthen Albania’s EU candidacy and promote social stability, complementing EU and U.S. Government funding for institutional reforms in what informants described as a politically tense and potentially fragile environment. No specific obstacles to GP support were identified. </w:t>
      </w:r>
    </w:p>
    <w:p w14:paraId="628CE725" w14:textId="0D9ACD71" w:rsidR="002629FB" w:rsidRPr="002629FB" w:rsidRDefault="00114CA0" w:rsidP="006F770A">
      <w:pPr>
        <w:shd w:val="clear" w:color="auto" w:fill="C0D7EC" w:themeFill="accent2" w:themeFillTint="66"/>
        <w:jc w:val="center"/>
        <w:rPr>
          <w:rFonts w:ascii="Arial" w:hAnsi="Arial"/>
          <w:i/>
          <w:iCs/>
          <w:color w:val="4A66AC" w:themeColor="accent1"/>
        </w:rPr>
      </w:pPr>
      <w:r>
        <w:rPr>
          <w:rFonts w:ascii="Arial" w:hAnsi="Arial"/>
          <w:i/>
          <w:iCs/>
          <w:color w:val="4A66AC" w:themeColor="accent1"/>
        </w:rPr>
        <w:t>“</w:t>
      </w:r>
      <w:r w:rsidR="002629FB" w:rsidRPr="002629FB">
        <w:rPr>
          <w:rFonts w:ascii="Arial" w:hAnsi="Arial"/>
          <w:i/>
          <w:iCs/>
          <w:color w:val="4A66AC" w:themeColor="accent1"/>
        </w:rPr>
        <w:t>ROLSHR issues are not only for countries in conflict. All countries on the development path have serious needs. I am not sure if GP could intervene here, but UNDP could play a bigger role in the world to support countries like Albania struggling with ROLSHR challenges.</w:t>
      </w:r>
      <w:r>
        <w:rPr>
          <w:rFonts w:ascii="Arial" w:hAnsi="Arial"/>
          <w:i/>
          <w:iCs/>
          <w:color w:val="4A66AC" w:themeColor="accent1"/>
        </w:rPr>
        <w:t xml:space="preserve">” ~ </w:t>
      </w:r>
      <w:r w:rsidRPr="00114CA0">
        <w:rPr>
          <w:rFonts w:ascii="Arial" w:hAnsi="Arial"/>
          <w:color w:val="4A66AC" w:themeColor="accent1"/>
        </w:rPr>
        <w:t>UNDP</w:t>
      </w:r>
      <w:r>
        <w:rPr>
          <w:rFonts w:ascii="Arial" w:hAnsi="Arial"/>
          <w:i/>
          <w:iCs/>
          <w:color w:val="4A66AC" w:themeColor="accent1"/>
        </w:rPr>
        <w:t xml:space="preserve"> </w:t>
      </w:r>
      <w:r w:rsidRPr="002629FB">
        <w:rPr>
          <w:rFonts w:ascii="Arial" w:hAnsi="Arial"/>
          <w:color w:val="4A66AC" w:themeColor="accent1"/>
        </w:rPr>
        <w:t xml:space="preserve">Albania </w:t>
      </w:r>
      <w:r>
        <w:rPr>
          <w:rFonts w:ascii="Arial" w:hAnsi="Arial"/>
          <w:color w:val="4A66AC" w:themeColor="accent1"/>
        </w:rPr>
        <w:t>staff</w:t>
      </w:r>
    </w:p>
    <w:p w14:paraId="5F4C2F2B" w14:textId="77777777" w:rsidR="002629FB" w:rsidRDefault="002629FB" w:rsidP="002629FB">
      <w:pPr>
        <w:shd w:val="clear" w:color="auto" w:fill="C0D7EC" w:themeFill="accent2" w:themeFillTint="66"/>
        <w:rPr>
          <w:rFonts w:ascii="Arial" w:hAnsi="Arial" w:cs="Arial"/>
          <w:b/>
          <w:bCs/>
          <w:i/>
          <w:iCs/>
        </w:rPr>
      </w:pPr>
    </w:p>
    <w:p w14:paraId="528C5021" w14:textId="74BA7903" w:rsidR="002629FB" w:rsidRPr="00963476" w:rsidRDefault="002629FB" w:rsidP="002629FB">
      <w:pPr>
        <w:shd w:val="clear" w:color="auto" w:fill="C0D7EC" w:themeFill="accent2" w:themeFillTint="66"/>
        <w:rPr>
          <w:rFonts w:ascii="Arial" w:hAnsi="Arial" w:cs="Arial"/>
          <w:b/>
          <w:bCs/>
          <w:i/>
          <w:iCs/>
        </w:rPr>
      </w:pPr>
      <w:r w:rsidRPr="00963476">
        <w:rPr>
          <w:rFonts w:ascii="Arial" w:hAnsi="Arial" w:cs="Arial"/>
          <w:b/>
          <w:bCs/>
          <w:i/>
          <w:iCs/>
        </w:rPr>
        <w:t xml:space="preserve">Niger </w:t>
      </w:r>
    </w:p>
    <w:p w14:paraId="6BEAEC16" w14:textId="6E825802" w:rsidR="002629FB" w:rsidRDefault="002629FB" w:rsidP="002629FB">
      <w:pPr>
        <w:shd w:val="clear" w:color="auto" w:fill="C0D7EC" w:themeFill="accent2" w:themeFillTint="66"/>
        <w:rPr>
          <w:rFonts w:ascii="Arial" w:hAnsi="Arial"/>
        </w:rPr>
      </w:pPr>
      <w:r>
        <w:rPr>
          <w:rFonts w:ascii="Arial" w:hAnsi="Arial"/>
        </w:rPr>
        <w:t xml:space="preserve">UNDP Niger </w:t>
      </w:r>
      <w:r w:rsidRPr="00F911F4">
        <w:rPr>
          <w:rFonts w:ascii="Arial" w:hAnsi="Arial"/>
        </w:rPr>
        <w:t xml:space="preserve">has a </w:t>
      </w:r>
      <w:r>
        <w:rPr>
          <w:rFonts w:ascii="Arial" w:hAnsi="Arial"/>
        </w:rPr>
        <w:t>wide</w:t>
      </w:r>
      <w:r w:rsidRPr="00F911F4">
        <w:rPr>
          <w:rFonts w:ascii="Arial" w:hAnsi="Arial"/>
        </w:rPr>
        <w:t xml:space="preserve"> array of </w:t>
      </w:r>
      <w:r>
        <w:rPr>
          <w:rFonts w:ascii="Arial" w:hAnsi="Arial"/>
        </w:rPr>
        <w:t xml:space="preserve">ROLSHR </w:t>
      </w:r>
      <w:r w:rsidRPr="00F911F4">
        <w:rPr>
          <w:rFonts w:ascii="Arial" w:hAnsi="Arial"/>
        </w:rPr>
        <w:t>projects incl</w:t>
      </w:r>
      <w:r>
        <w:rPr>
          <w:rFonts w:ascii="Arial" w:hAnsi="Arial"/>
        </w:rPr>
        <w:t>uding</w:t>
      </w:r>
      <w:r w:rsidRPr="00F911F4">
        <w:rPr>
          <w:rFonts w:ascii="Arial" w:hAnsi="Arial"/>
        </w:rPr>
        <w:t xml:space="preserve"> peacebuilding, security sector reform, justice sector governance, </w:t>
      </w:r>
      <w:r>
        <w:rPr>
          <w:rFonts w:ascii="Arial" w:hAnsi="Arial"/>
        </w:rPr>
        <w:t xml:space="preserve">and </w:t>
      </w:r>
      <w:r w:rsidRPr="00F911F4">
        <w:rPr>
          <w:rFonts w:ascii="Arial" w:hAnsi="Arial"/>
        </w:rPr>
        <w:t>human rights</w:t>
      </w:r>
      <w:r>
        <w:rPr>
          <w:rFonts w:ascii="Arial" w:hAnsi="Arial"/>
        </w:rPr>
        <w:t>, among others.</w:t>
      </w:r>
      <w:r w:rsidRPr="00F911F4">
        <w:rPr>
          <w:rFonts w:ascii="Arial" w:hAnsi="Arial"/>
        </w:rPr>
        <w:t xml:space="preserve"> </w:t>
      </w:r>
      <w:r>
        <w:rPr>
          <w:rFonts w:ascii="Arial" w:hAnsi="Arial" w:cs="Arial"/>
        </w:rPr>
        <w:t>Niger was part of a regional stabilization programme for the Lake Chad Basin, along with three neighboring countries, which received GP technical and financial support ($400,000 in 2019). UNDP Niger is currently involved in design discussions for the sub-regional “</w:t>
      </w:r>
      <w:r w:rsidRPr="00F911F4">
        <w:rPr>
          <w:rFonts w:ascii="Arial" w:hAnsi="Arial"/>
        </w:rPr>
        <w:t>Liptako Gourma</w:t>
      </w:r>
      <w:r>
        <w:rPr>
          <w:rFonts w:ascii="Arial" w:hAnsi="Arial"/>
        </w:rPr>
        <w:t>”</w:t>
      </w:r>
      <w:r w:rsidRPr="00F911F4">
        <w:rPr>
          <w:rFonts w:ascii="Arial" w:hAnsi="Arial"/>
        </w:rPr>
        <w:t xml:space="preserve"> programme</w:t>
      </w:r>
      <w:r>
        <w:rPr>
          <w:rFonts w:ascii="Arial" w:hAnsi="Arial"/>
        </w:rPr>
        <w:t xml:space="preserve"> that would include Burkina Faso and Mali. Analysis to inform that programme design was funded by the PBF across the three countries. UNDP’s regional emphasis is driven by a complex set of trans-border conflict drivers, ranging from climate change effects on livelihoods to traditional herder/farmer clashes. Unlike Albania, key </w:t>
      </w:r>
      <w:r w:rsidR="00153F44">
        <w:rPr>
          <w:rFonts w:ascii="Arial" w:hAnsi="Arial"/>
        </w:rPr>
        <w:t>CO</w:t>
      </w:r>
      <w:r>
        <w:rPr>
          <w:rFonts w:ascii="Arial" w:hAnsi="Arial"/>
        </w:rPr>
        <w:t xml:space="preserve"> staff had not heard of either the GP or the GFP, although the CTA was aware of the DPO-OROLSI standing police capacity based in Brindisi. They expressed keen interest in the GP/GFP, requesting an orientation session and information materials (ideally in French). </w:t>
      </w:r>
    </w:p>
    <w:p w14:paraId="2E6FE9A0" w14:textId="44E2148C" w:rsidR="002629FB" w:rsidRDefault="002629FB" w:rsidP="002629FB">
      <w:pPr>
        <w:shd w:val="clear" w:color="auto" w:fill="C0D7EC" w:themeFill="accent2" w:themeFillTint="66"/>
        <w:rPr>
          <w:rFonts w:ascii="Arial" w:hAnsi="Arial" w:cs="Arial"/>
        </w:rPr>
      </w:pPr>
      <w:r>
        <w:rPr>
          <w:rFonts w:ascii="Arial" w:hAnsi="Arial"/>
        </w:rPr>
        <w:t>Informants described a volatile situation both in country and in neighboring areas, with significant needs for ROLSHR strengthening and growing interest among bilateral and multilateral donor</w:t>
      </w:r>
      <w:r w:rsidR="00153F44">
        <w:rPr>
          <w:rFonts w:ascii="Arial" w:hAnsi="Arial"/>
        </w:rPr>
        <w:t xml:space="preserve">s </w:t>
      </w:r>
      <w:r>
        <w:rPr>
          <w:rFonts w:ascii="Arial" w:hAnsi="Arial"/>
        </w:rPr>
        <w:t xml:space="preserve">(especially in </w:t>
      </w:r>
      <w:r w:rsidR="00153F44">
        <w:rPr>
          <w:rFonts w:ascii="Arial" w:hAnsi="Arial"/>
        </w:rPr>
        <w:t xml:space="preserve">the </w:t>
      </w:r>
      <w:r>
        <w:rPr>
          <w:rFonts w:ascii="Arial" w:hAnsi="Arial"/>
        </w:rPr>
        <w:t xml:space="preserve">security sector). Challenges for effective support by the GP include the diverse set of local, regional and international actors already engaged in a complex array of country and regional level interventions. </w:t>
      </w:r>
      <w:r>
        <w:rPr>
          <w:rFonts w:ascii="Arial" w:hAnsi="Arial" w:cs="Arial"/>
        </w:rPr>
        <w:t>Moreover</w:t>
      </w:r>
      <w:r w:rsidRPr="007B3FDA">
        <w:rPr>
          <w:rFonts w:ascii="Arial" w:hAnsi="Arial" w:cs="Arial"/>
        </w:rPr>
        <w:t>, the United Nations Integrated Strategy for the Sahel (UNISS) governance structure does not follow the logic of a comprehensive RoLSHR cluster</w:t>
      </w:r>
      <w:r>
        <w:rPr>
          <w:rFonts w:ascii="Arial" w:hAnsi="Arial" w:cs="Arial"/>
        </w:rPr>
        <w:t>,</w:t>
      </w:r>
      <w:r w:rsidRPr="007B3FDA">
        <w:rPr>
          <w:rFonts w:ascii="Arial" w:hAnsi="Arial" w:cs="Arial"/>
        </w:rPr>
        <w:t xml:space="preserve"> but rather separates governance from security issues.</w:t>
      </w:r>
      <w:r>
        <w:rPr>
          <w:rFonts w:ascii="Arial" w:hAnsi="Arial" w:cs="Arial"/>
        </w:rPr>
        <w:t xml:space="preserve"> These factors could hamper effective </w:t>
      </w:r>
      <w:r>
        <w:rPr>
          <w:rFonts w:ascii="Arial" w:hAnsi="Arial"/>
        </w:rPr>
        <w:t>coordination and complicate identification of a niche for GP that could generate results with a small contribution</w:t>
      </w:r>
      <w:r w:rsidRPr="007B3FDA">
        <w:rPr>
          <w:rFonts w:ascii="Arial" w:hAnsi="Arial" w:cs="Arial"/>
        </w:rPr>
        <w:t>.</w:t>
      </w:r>
    </w:p>
    <w:p w14:paraId="303B25D0" w14:textId="77777777" w:rsidR="00153F44" w:rsidRDefault="00153F44" w:rsidP="002629FB">
      <w:pPr>
        <w:shd w:val="clear" w:color="auto" w:fill="C0D7EC" w:themeFill="accent2" w:themeFillTint="66"/>
        <w:rPr>
          <w:rFonts w:ascii="Arial" w:hAnsi="Arial" w:cs="Arial"/>
        </w:rPr>
      </w:pPr>
    </w:p>
    <w:p w14:paraId="2B1D87BA" w14:textId="77777777" w:rsidR="002629FB" w:rsidRPr="002629FB" w:rsidRDefault="002629FB" w:rsidP="005B2D40">
      <w:pPr>
        <w:tabs>
          <w:tab w:val="left" w:pos="3930"/>
        </w:tabs>
        <w:spacing w:after="0" w:line="240" w:lineRule="auto"/>
        <w:jc w:val="both"/>
        <w:rPr>
          <w:rFonts w:ascii="Arial" w:eastAsia="Arial" w:hAnsi="Arial" w:cs="Arial"/>
        </w:rPr>
      </w:pPr>
    </w:p>
    <w:p w14:paraId="63F1B4F7" w14:textId="06C24B82" w:rsidR="00CC707B" w:rsidRPr="004563ED" w:rsidRDefault="00CC707B" w:rsidP="00677AEE">
      <w:pPr>
        <w:pStyle w:val="Heading2"/>
        <w:rPr>
          <w:b w:val="0"/>
          <w:bCs/>
        </w:rPr>
      </w:pPr>
      <w:bookmarkStart w:id="30" w:name="_Toc71701896"/>
      <w:r w:rsidRPr="004563ED">
        <w:rPr>
          <w:rStyle w:val="Strong"/>
          <w:rFonts w:ascii="Arial" w:hAnsi="Arial" w:cs="Arial"/>
          <w:b/>
          <w:bCs w:val="0"/>
        </w:rPr>
        <w:t>Sustainability</w:t>
      </w:r>
      <w:r w:rsidRPr="004563ED">
        <w:rPr>
          <w:b w:val="0"/>
          <w:bCs/>
        </w:rPr>
        <w:t xml:space="preserve"> </w:t>
      </w:r>
      <w:r w:rsidR="00816A60" w:rsidRPr="004563ED">
        <w:rPr>
          <w:b w:val="0"/>
          <w:bCs/>
        </w:rPr>
        <w:t xml:space="preserve">– </w:t>
      </w:r>
      <w:r w:rsidR="00B012C6">
        <w:rPr>
          <w:rFonts w:ascii="Arial" w:hAnsi="Arial" w:cs="Arial"/>
          <w:b w:val="0"/>
          <w:bCs/>
          <w:i/>
          <w:iCs/>
        </w:rPr>
        <w:t>W</w:t>
      </w:r>
      <w:r w:rsidR="00816A60" w:rsidRPr="004563ED">
        <w:rPr>
          <w:rFonts w:ascii="Arial" w:hAnsi="Arial" w:cs="Arial"/>
          <w:b w:val="0"/>
          <w:bCs/>
          <w:i/>
          <w:iCs/>
        </w:rPr>
        <w:t xml:space="preserve">ill the </w:t>
      </w:r>
      <w:r w:rsidR="00816A60" w:rsidRPr="004563ED">
        <w:rPr>
          <w:rStyle w:val="Strong"/>
          <w:rFonts w:ascii="Arial" w:hAnsi="Arial" w:cs="Arial"/>
          <w:i/>
          <w:iCs/>
        </w:rPr>
        <w:t>benefits</w:t>
      </w:r>
      <w:r w:rsidR="00816A60" w:rsidRPr="004563ED">
        <w:rPr>
          <w:rFonts w:ascii="Arial" w:hAnsi="Arial" w:cs="Arial"/>
          <w:b w:val="0"/>
          <w:bCs/>
          <w:i/>
          <w:iCs/>
        </w:rPr>
        <w:t xml:space="preserve"> last? </w:t>
      </w:r>
      <w:r w:rsidR="00B012C6">
        <w:rPr>
          <w:rFonts w:ascii="Arial" w:hAnsi="Arial" w:cs="Arial"/>
          <w:b w:val="0"/>
          <w:bCs/>
          <w:i/>
          <w:iCs/>
        </w:rPr>
        <w:t>W</w:t>
      </w:r>
      <w:r w:rsidR="00816A60" w:rsidRPr="004563ED">
        <w:rPr>
          <w:rFonts w:ascii="Arial" w:hAnsi="Arial" w:cs="Arial"/>
          <w:b w:val="0"/>
          <w:bCs/>
          <w:i/>
          <w:iCs/>
        </w:rPr>
        <w:t xml:space="preserve">ill the </w:t>
      </w:r>
      <w:r w:rsidR="002F471D" w:rsidRPr="004563ED">
        <w:rPr>
          <w:rFonts w:ascii="Arial" w:hAnsi="Arial" w:cs="Arial"/>
          <w:b w:val="0"/>
          <w:bCs/>
          <w:i/>
          <w:iCs/>
        </w:rPr>
        <w:t xml:space="preserve">GP </w:t>
      </w:r>
      <w:r w:rsidR="00816A60" w:rsidRPr="004563ED">
        <w:rPr>
          <w:rFonts w:ascii="Arial" w:hAnsi="Arial" w:cs="Arial"/>
          <w:b w:val="0"/>
          <w:bCs/>
          <w:i/>
          <w:iCs/>
        </w:rPr>
        <w:t>platform itself endure?</w:t>
      </w:r>
      <w:bookmarkEnd w:id="30"/>
      <w:r w:rsidR="00816A60" w:rsidRPr="004563ED">
        <w:rPr>
          <w:b w:val="0"/>
          <w:bCs/>
        </w:rPr>
        <w:t xml:space="preserve"> </w:t>
      </w:r>
    </w:p>
    <w:tbl>
      <w:tblPr>
        <w:tblStyle w:val="TableGrid"/>
        <w:tblW w:w="0" w:type="auto"/>
        <w:tblLook w:val="04A0" w:firstRow="1" w:lastRow="0" w:firstColumn="1" w:lastColumn="0" w:noHBand="0" w:noVBand="1"/>
      </w:tblPr>
      <w:tblGrid>
        <w:gridCol w:w="9350"/>
      </w:tblGrid>
      <w:tr w:rsidR="00160347" w:rsidRPr="000F3C85" w14:paraId="347C756C" w14:textId="77777777" w:rsidTr="008D3E98">
        <w:tc>
          <w:tcPr>
            <w:tcW w:w="9350" w:type="dxa"/>
            <w:shd w:val="clear" w:color="auto" w:fill="C0D7EC" w:themeFill="accent2" w:themeFillTint="66"/>
          </w:tcPr>
          <w:p w14:paraId="5A02B23B" w14:textId="77777777" w:rsidR="00160347" w:rsidRPr="000F3C85" w:rsidRDefault="00160347" w:rsidP="006F770A">
            <w:pPr>
              <w:spacing w:after="120"/>
              <w:rPr>
                <w:rFonts w:ascii="Arial" w:hAnsi="Arial" w:cs="Arial"/>
                <w:b/>
                <w:color w:val="4A66AC" w:themeColor="accent1"/>
                <w:sz w:val="22"/>
                <w:szCs w:val="22"/>
              </w:rPr>
            </w:pPr>
            <w:r w:rsidRPr="000F3C85">
              <w:rPr>
                <w:rFonts w:ascii="Arial" w:hAnsi="Arial" w:cs="Arial"/>
                <w:b/>
                <w:color w:val="4A66AC" w:themeColor="accent1"/>
                <w:sz w:val="22"/>
                <w:szCs w:val="22"/>
              </w:rPr>
              <w:t>Conclusions on Sustainability</w:t>
            </w:r>
          </w:p>
        </w:tc>
      </w:tr>
      <w:tr w:rsidR="00160347" w:rsidRPr="000F3C85" w14:paraId="281340AE" w14:textId="77777777" w:rsidTr="000A6380">
        <w:tc>
          <w:tcPr>
            <w:tcW w:w="9350" w:type="dxa"/>
            <w:shd w:val="clear" w:color="auto" w:fill="auto"/>
          </w:tcPr>
          <w:p w14:paraId="28CD45A0" w14:textId="77777777" w:rsidR="00F171B3" w:rsidRPr="000F3C85" w:rsidRDefault="00F171B3" w:rsidP="00F171B3">
            <w:pPr>
              <w:pStyle w:val="ListParagraph"/>
              <w:ind w:left="718"/>
              <w:rPr>
                <w:rFonts w:ascii="Arial" w:hAnsi="Arial" w:cs="Arial"/>
                <w:bCs/>
                <w:color w:val="4A66AC" w:themeColor="accent1"/>
                <w:sz w:val="22"/>
                <w:szCs w:val="22"/>
              </w:rPr>
            </w:pPr>
          </w:p>
          <w:p w14:paraId="01A897F1" w14:textId="480346D4" w:rsidR="007354AD" w:rsidRPr="000A6380" w:rsidRDefault="007354AD" w:rsidP="000A6380">
            <w:pPr>
              <w:rPr>
                <w:rFonts w:ascii="Arial" w:hAnsi="Arial" w:cs="Arial"/>
                <w:b/>
                <w:color w:val="4A66AC" w:themeColor="accent1"/>
                <w:sz w:val="22"/>
                <w:szCs w:val="22"/>
              </w:rPr>
            </w:pPr>
            <w:r w:rsidRPr="000A6380">
              <w:rPr>
                <w:rFonts w:ascii="Arial" w:hAnsi="Arial" w:cs="Arial"/>
                <w:b/>
                <w:color w:val="4A66AC" w:themeColor="accent1"/>
                <w:sz w:val="22"/>
                <w:szCs w:val="22"/>
              </w:rPr>
              <w:t xml:space="preserve">Key </w:t>
            </w:r>
            <w:r w:rsidR="00EC5EF0" w:rsidRPr="000A6380">
              <w:rPr>
                <w:rFonts w:ascii="Arial" w:hAnsi="Arial" w:cs="Arial"/>
                <w:b/>
                <w:color w:val="4A66AC" w:themeColor="accent1"/>
                <w:sz w:val="22"/>
                <w:szCs w:val="22"/>
              </w:rPr>
              <w:t>achievements</w:t>
            </w:r>
            <w:r w:rsidRPr="000A6380">
              <w:rPr>
                <w:rFonts w:ascii="Arial" w:hAnsi="Arial" w:cs="Arial"/>
                <w:b/>
                <w:color w:val="4A66AC" w:themeColor="accent1"/>
                <w:sz w:val="22"/>
                <w:szCs w:val="22"/>
              </w:rPr>
              <w:t>:</w:t>
            </w:r>
          </w:p>
          <w:p w14:paraId="21EAFDDD" w14:textId="0D2C904D" w:rsidR="00160347" w:rsidRPr="000A6380" w:rsidRDefault="00160347" w:rsidP="00567956">
            <w:pPr>
              <w:pStyle w:val="ListParagraph"/>
              <w:numPr>
                <w:ilvl w:val="0"/>
                <w:numId w:val="12"/>
              </w:numPr>
              <w:rPr>
                <w:rFonts w:ascii="Arial" w:hAnsi="Arial" w:cs="Arial"/>
                <w:bCs/>
                <w:color w:val="4A66AC" w:themeColor="accent1"/>
                <w:sz w:val="22"/>
                <w:szCs w:val="22"/>
              </w:rPr>
            </w:pPr>
            <w:r w:rsidRPr="000A6380">
              <w:rPr>
                <w:rFonts w:ascii="Arial" w:hAnsi="Arial" w:cs="Arial"/>
                <w:bCs/>
                <w:color w:val="4A66AC" w:themeColor="accent1"/>
                <w:sz w:val="22"/>
                <w:szCs w:val="22"/>
              </w:rPr>
              <w:t xml:space="preserve">The GP at global level has maintained a steady base of donor support in Phase 3, in large part due to its superior attention to donor interests and feedback, its appealing emphasis on country-level support, and the diverse list of achievements in its annual reports. However, the Programme is highly dependent on two funding sources: INL (all earmarked funds) and the Netherlands government (with a softer 80% earmark). </w:t>
            </w:r>
          </w:p>
          <w:p w14:paraId="2DE7256C" w14:textId="5038E136" w:rsidR="00160347" w:rsidRPr="000A6380" w:rsidRDefault="00160347" w:rsidP="00567956">
            <w:pPr>
              <w:pStyle w:val="ListParagraph"/>
              <w:numPr>
                <w:ilvl w:val="0"/>
                <w:numId w:val="12"/>
              </w:numPr>
              <w:ind w:left="709" w:hanging="425"/>
              <w:rPr>
                <w:rFonts w:ascii="Arial" w:hAnsi="Arial" w:cs="Arial"/>
                <w:b/>
                <w:color w:val="4A66AC" w:themeColor="accent1"/>
                <w:sz w:val="22"/>
                <w:szCs w:val="22"/>
              </w:rPr>
            </w:pPr>
            <w:r w:rsidRPr="000A6380">
              <w:rPr>
                <w:rFonts w:ascii="Arial" w:hAnsi="Arial" w:cs="Arial"/>
                <w:bCs/>
                <w:color w:val="4A66AC" w:themeColor="accent1"/>
                <w:sz w:val="22"/>
                <w:szCs w:val="22"/>
              </w:rPr>
              <w:t xml:space="preserve">Mobilization of funds at country level has been positively influenced by GP technical and financial support in all case study countries, </w:t>
            </w:r>
            <w:r w:rsidR="00153F44" w:rsidRPr="000A6380">
              <w:rPr>
                <w:rFonts w:ascii="Arial" w:hAnsi="Arial" w:cs="Arial"/>
                <w:bCs/>
                <w:color w:val="4A66AC" w:themeColor="accent1"/>
                <w:sz w:val="22"/>
                <w:szCs w:val="22"/>
              </w:rPr>
              <w:t>al</w:t>
            </w:r>
            <w:r w:rsidRPr="000A6380">
              <w:rPr>
                <w:rFonts w:ascii="Arial" w:hAnsi="Arial" w:cs="Arial"/>
                <w:bCs/>
                <w:color w:val="4A66AC" w:themeColor="accent1"/>
                <w:sz w:val="22"/>
                <w:szCs w:val="22"/>
              </w:rPr>
              <w:t xml:space="preserve">though total catalytic effects are difficult to assess. </w:t>
            </w:r>
            <w:r w:rsidRPr="000A6380">
              <w:rPr>
                <w:rFonts w:ascii="Arial" w:hAnsi="Arial" w:cs="Arial"/>
                <w:color w:val="4A66AC" w:themeColor="accent1"/>
                <w:sz w:val="22"/>
                <w:szCs w:val="22"/>
                <w:lang w:val="en-US"/>
              </w:rPr>
              <w:t xml:space="preserve">The short-term nature and modest amount of GP funding to COs are not always conducive to stimulating longer-term change, though repeated funding alleviated this issue. </w:t>
            </w:r>
          </w:p>
          <w:p w14:paraId="3124A398" w14:textId="5C75B52A" w:rsidR="007354AD" w:rsidRPr="000A6380" w:rsidRDefault="007354AD" w:rsidP="007354AD">
            <w:pPr>
              <w:rPr>
                <w:rFonts w:ascii="Arial" w:hAnsi="Arial" w:cs="Arial"/>
                <w:b/>
                <w:color w:val="4A66AC" w:themeColor="accent1"/>
                <w:sz w:val="22"/>
                <w:szCs w:val="22"/>
              </w:rPr>
            </w:pPr>
          </w:p>
          <w:p w14:paraId="2AB3F65C" w14:textId="0939CD2A" w:rsidR="007354AD" w:rsidRPr="000A6380" w:rsidRDefault="000A6380" w:rsidP="000A6380">
            <w:pPr>
              <w:rPr>
                <w:rFonts w:ascii="Arial" w:hAnsi="Arial" w:cs="Arial"/>
                <w:b/>
                <w:color w:val="4A66AC" w:themeColor="accent1"/>
                <w:sz w:val="22"/>
                <w:szCs w:val="22"/>
              </w:rPr>
            </w:pPr>
            <w:r>
              <w:rPr>
                <w:rFonts w:ascii="Arial" w:hAnsi="Arial" w:cs="Arial"/>
                <w:b/>
                <w:color w:val="4A66AC" w:themeColor="accent1"/>
                <w:sz w:val="22"/>
                <w:szCs w:val="22"/>
              </w:rPr>
              <w:t>Primary c</w:t>
            </w:r>
            <w:r w:rsidR="007354AD" w:rsidRPr="000A6380">
              <w:rPr>
                <w:rFonts w:ascii="Arial" w:hAnsi="Arial" w:cs="Arial"/>
                <w:b/>
                <w:color w:val="4A66AC" w:themeColor="accent1"/>
                <w:sz w:val="22"/>
                <w:szCs w:val="22"/>
              </w:rPr>
              <w:t>hallenges:</w:t>
            </w:r>
          </w:p>
          <w:p w14:paraId="3B192F50" w14:textId="77777777" w:rsidR="007354AD" w:rsidRPr="000A6380" w:rsidRDefault="007354AD" w:rsidP="000A6380">
            <w:pPr>
              <w:pStyle w:val="ListParagraph"/>
              <w:numPr>
                <w:ilvl w:val="0"/>
                <w:numId w:val="12"/>
              </w:numPr>
              <w:ind w:left="709" w:hanging="425"/>
              <w:rPr>
                <w:rFonts w:ascii="Arial" w:hAnsi="Arial" w:cs="Arial"/>
                <w:b/>
                <w:color w:val="4A66AC" w:themeColor="accent1"/>
                <w:sz w:val="22"/>
                <w:szCs w:val="22"/>
              </w:rPr>
            </w:pPr>
            <w:r w:rsidRPr="000A6380">
              <w:rPr>
                <w:rFonts w:ascii="Arial" w:hAnsi="Arial" w:cs="Arial"/>
                <w:bCs/>
                <w:color w:val="4A66AC" w:themeColor="accent1"/>
                <w:sz w:val="22"/>
                <w:szCs w:val="22"/>
              </w:rPr>
              <w:t xml:space="preserve">The management of INL earmarked funding requires the devotion of significant GP staff time at HQ, while the fees paid for those services are nominal at only 8% of the managed funds, which have all been passed on by UNDP to the COs implementing the funded interventions. There is a risk of this arrangement undermining the ability of the HQ team to effectively handle the full gamut of tasks on their plate, while arguably generating minimal benefits. </w:t>
            </w:r>
          </w:p>
          <w:p w14:paraId="3B7AA964" w14:textId="3109E9ED" w:rsidR="00160347" w:rsidRPr="000A6380" w:rsidRDefault="00160347" w:rsidP="000A6380">
            <w:pPr>
              <w:pStyle w:val="ListParagraph"/>
              <w:numPr>
                <w:ilvl w:val="0"/>
                <w:numId w:val="12"/>
              </w:numPr>
              <w:ind w:left="709" w:hanging="425"/>
              <w:rPr>
                <w:rFonts w:ascii="Arial" w:hAnsi="Arial" w:cs="Arial"/>
                <w:bCs/>
                <w:color w:val="4A66AC" w:themeColor="accent1"/>
                <w:sz w:val="22"/>
                <w:szCs w:val="22"/>
              </w:rPr>
            </w:pPr>
            <w:r w:rsidRPr="000A6380">
              <w:rPr>
                <w:rFonts w:ascii="Arial" w:hAnsi="Arial" w:cs="Arial"/>
                <w:bCs/>
                <w:color w:val="4A66AC" w:themeColor="accent1"/>
                <w:sz w:val="22"/>
                <w:szCs w:val="22"/>
              </w:rPr>
              <w:t xml:space="preserve">Key factors affecting fundraising success as well as general sustainability of results include the </w:t>
            </w:r>
            <w:r w:rsidRPr="000A6380">
              <w:rPr>
                <w:rFonts w:ascii="Arial" w:hAnsi="Arial" w:cs="Arial"/>
                <w:color w:val="4A66AC" w:themeColor="accent1"/>
                <w:sz w:val="22"/>
                <w:szCs w:val="22"/>
                <w:lang w:val="en-US"/>
              </w:rPr>
              <w:t xml:space="preserve">level of donor interest/presence in the country, and </w:t>
            </w:r>
            <w:r w:rsidR="005366FA" w:rsidRPr="000A6380">
              <w:rPr>
                <w:rFonts w:ascii="Arial" w:hAnsi="Arial" w:cs="Arial"/>
                <w:color w:val="4A66AC" w:themeColor="accent1"/>
                <w:sz w:val="22"/>
                <w:szCs w:val="22"/>
                <w:lang w:val="en-US"/>
              </w:rPr>
              <w:t xml:space="preserve">the </w:t>
            </w:r>
            <w:r w:rsidRPr="000A6380">
              <w:rPr>
                <w:rFonts w:ascii="Arial" w:hAnsi="Arial" w:cs="Arial"/>
                <w:color w:val="4A66AC" w:themeColor="accent1"/>
                <w:sz w:val="22"/>
                <w:szCs w:val="22"/>
                <w:lang w:val="en-US"/>
              </w:rPr>
              <w:t xml:space="preserve">prevailing security and political environment. With a focus on fragile and crisis-affected contexts, the deterioration of security or political conditions will inevitably be a risk factor for achieving longer term impact with GP interventions. </w:t>
            </w:r>
            <w:r w:rsidR="00887C8E" w:rsidRPr="000A6380">
              <w:rPr>
                <w:rFonts w:ascii="Arial" w:hAnsi="Arial" w:cs="Arial"/>
                <w:color w:val="4A66AC" w:themeColor="accent1"/>
                <w:sz w:val="22"/>
                <w:szCs w:val="22"/>
                <w:lang w:val="en-US"/>
              </w:rPr>
              <w:t xml:space="preserve">On the other hand, </w:t>
            </w:r>
            <w:r w:rsidR="00772F62" w:rsidRPr="000A6380">
              <w:rPr>
                <w:rFonts w:ascii="Arial" w:hAnsi="Arial" w:cs="Arial"/>
                <w:color w:val="4A66AC" w:themeColor="accent1"/>
                <w:sz w:val="22"/>
                <w:szCs w:val="22"/>
                <w:lang w:val="en-US"/>
              </w:rPr>
              <w:t xml:space="preserve">the </w:t>
            </w:r>
            <w:r w:rsidR="00887C8E" w:rsidRPr="000A6380">
              <w:rPr>
                <w:rFonts w:ascii="Arial" w:hAnsi="Arial" w:cs="Arial"/>
                <w:color w:val="4A66AC" w:themeColor="accent1"/>
                <w:sz w:val="22"/>
                <w:szCs w:val="22"/>
                <w:lang w:val="en-US"/>
              </w:rPr>
              <w:t xml:space="preserve">GP’s ability to provide strategic support to sustain peace in more stable contexts (such as Albania) is restricted—in large part because they are not the priority of </w:t>
            </w:r>
            <w:r w:rsidR="00772F62" w:rsidRPr="000A6380">
              <w:rPr>
                <w:rFonts w:ascii="Arial" w:hAnsi="Arial" w:cs="Arial"/>
                <w:color w:val="4A66AC" w:themeColor="accent1"/>
                <w:sz w:val="22"/>
                <w:szCs w:val="22"/>
                <w:lang w:val="en-US"/>
              </w:rPr>
              <w:t xml:space="preserve">the </w:t>
            </w:r>
            <w:r w:rsidR="00887C8E" w:rsidRPr="000A6380">
              <w:rPr>
                <w:rFonts w:ascii="Arial" w:hAnsi="Arial" w:cs="Arial"/>
                <w:color w:val="4A66AC" w:themeColor="accent1"/>
                <w:sz w:val="22"/>
                <w:szCs w:val="22"/>
                <w:lang w:val="en-US"/>
              </w:rPr>
              <w:t xml:space="preserve">GP’s current core donors. </w:t>
            </w:r>
          </w:p>
          <w:p w14:paraId="25B190F8" w14:textId="1CE0A8DB" w:rsidR="00F171B3" w:rsidRPr="000F3C85" w:rsidRDefault="00F171B3" w:rsidP="002F471D">
            <w:pPr>
              <w:pStyle w:val="ListParagraph"/>
              <w:ind w:left="709"/>
              <w:rPr>
                <w:rFonts w:ascii="Arial" w:hAnsi="Arial" w:cs="Arial"/>
                <w:bCs/>
                <w:color w:val="4A66AC" w:themeColor="accent1"/>
                <w:sz w:val="22"/>
                <w:szCs w:val="22"/>
              </w:rPr>
            </w:pPr>
          </w:p>
        </w:tc>
      </w:tr>
    </w:tbl>
    <w:p w14:paraId="157C76B9" w14:textId="77777777" w:rsidR="0081258F" w:rsidRPr="009E59F6" w:rsidRDefault="0081258F" w:rsidP="0081258F">
      <w:pPr>
        <w:spacing w:after="0" w:line="240" w:lineRule="auto"/>
        <w:ind w:hanging="2"/>
        <w:rPr>
          <w:rFonts w:ascii="Arial" w:hAnsi="Arial" w:cs="Arial"/>
          <w:b/>
          <w:color w:val="000000"/>
        </w:rPr>
      </w:pPr>
    </w:p>
    <w:p w14:paraId="14308490" w14:textId="4DEE5C1E" w:rsidR="007D272B" w:rsidRDefault="0081258F" w:rsidP="0021310B">
      <w:pPr>
        <w:pStyle w:val="Heading2"/>
      </w:pPr>
      <w:bookmarkStart w:id="31" w:name="_Toc71701897"/>
      <w:r w:rsidRPr="009E59F6">
        <w:t xml:space="preserve">Programme/Global Level </w:t>
      </w:r>
      <w:r w:rsidR="007D272B">
        <w:t>Findings on Sustainability</w:t>
      </w:r>
      <w:bookmarkEnd w:id="31"/>
    </w:p>
    <w:p w14:paraId="18378B5C" w14:textId="447694A0" w:rsidR="0081258F" w:rsidRPr="007D272B" w:rsidRDefault="0081258F" w:rsidP="007D272B">
      <w:pPr>
        <w:rPr>
          <w:rFonts w:ascii="Arial" w:eastAsia="Times New Roman" w:hAnsi="Arial" w:cs="Arial"/>
          <w:b/>
          <w:bCs/>
          <w:i/>
          <w:iCs/>
          <w:sz w:val="22"/>
          <w:szCs w:val="22"/>
        </w:rPr>
      </w:pPr>
      <w:r w:rsidRPr="007D272B">
        <w:rPr>
          <w:rFonts w:ascii="Arial" w:hAnsi="Arial" w:cs="Arial"/>
          <w:b/>
          <w:bCs/>
          <w:i/>
          <w:iCs/>
          <w:sz w:val="22"/>
          <w:szCs w:val="22"/>
        </w:rPr>
        <w:t>Evaluation Questions: </w:t>
      </w:r>
    </w:p>
    <w:p w14:paraId="39FEF16C" w14:textId="1B8BC76B" w:rsidR="00C56EB7" w:rsidRPr="007D272B" w:rsidRDefault="00C56EB7" w:rsidP="00567956">
      <w:pPr>
        <w:pStyle w:val="ListParagraph"/>
        <w:numPr>
          <w:ilvl w:val="0"/>
          <w:numId w:val="8"/>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 xml:space="preserve">To what extent has the GP been able to mobilize resources in Phase 3 to support ROLSHR programming?  </w:t>
      </w:r>
    </w:p>
    <w:p w14:paraId="048098DA" w14:textId="7A3669A0" w:rsidR="00C56EB7" w:rsidRPr="007D272B" w:rsidRDefault="00C56EB7" w:rsidP="00567956">
      <w:pPr>
        <w:pStyle w:val="ListParagraph"/>
        <w:numPr>
          <w:ilvl w:val="0"/>
          <w:numId w:val="8"/>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 xml:space="preserve">What factors have influenced the success of ongoing GP-led resource mobilization efforts?  </w:t>
      </w:r>
    </w:p>
    <w:p w14:paraId="547483CA" w14:textId="538DA12E" w:rsidR="00C56EB7" w:rsidRPr="007D272B" w:rsidRDefault="00C56EB7" w:rsidP="00567956">
      <w:pPr>
        <w:pStyle w:val="ListParagraph"/>
        <w:numPr>
          <w:ilvl w:val="0"/>
          <w:numId w:val="8"/>
        </w:numPr>
        <w:spacing w:after="0" w:line="240" w:lineRule="auto"/>
        <w:rPr>
          <w:rFonts w:ascii="Arial" w:hAnsi="Arial" w:cs="Arial"/>
          <w:i/>
          <w:iCs/>
          <w:color w:val="000000"/>
          <w:sz w:val="22"/>
          <w:szCs w:val="22"/>
          <w:highlight w:val="white"/>
        </w:rPr>
      </w:pPr>
      <w:r w:rsidRPr="007D272B">
        <w:rPr>
          <w:rFonts w:ascii="Arial" w:hAnsi="Arial" w:cs="Arial"/>
          <w:i/>
          <w:iCs/>
          <w:color w:val="000000"/>
          <w:sz w:val="22"/>
          <w:szCs w:val="22"/>
          <w:highlight w:val="white"/>
        </w:rPr>
        <w:t>To what extent is the current practice of funneling earmarked non-GP external funding streams through the GP office sustainable?</w:t>
      </w:r>
    </w:p>
    <w:p w14:paraId="4AED728F" w14:textId="77777777" w:rsidR="00C56EB7" w:rsidRDefault="00C56EB7" w:rsidP="00BA2EC5">
      <w:pPr>
        <w:rPr>
          <w:rFonts w:ascii="Arial" w:hAnsi="Arial" w:cs="Arial"/>
        </w:rPr>
      </w:pPr>
    </w:p>
    <w:p w14:paraId="3B3089B6" w14:textId="27FC6EDE" w:rsidR="004D22ED" w:rsidRPr="000F3C85" w:rsidRDefault="00695E1D" w:rsidP="004563ED">
      <w:pPr>
        <w:spacing w:line="240" w:lineRule="auto"/>
        <w:rPr>
          <w:rFonts w:ascii="Arial" w:hAnsi="Arial" w:cs="Arial"/>
          <w:sz w:val="22"/>
          <w:szCs w:val="22"/>
        </w:rPr>
      </w:pPr>
      <w:r w:rsidRPr="000F3C85">
        <w:rPr>
          <w:rFonts w:ascii="Arial" w:hAnsi="Arial" w:cs="Arial"/>
          <w:sz w:val="22"/>
          <w:szCs w:val="22"/>
        </w:rPr>
        <w:t xml:space="preserve">The Global Programme is </w:t>
      </w:r>
      <w:r w:rsidR="00C40798" w:rsidRPr="000F3C85">
        <w:rPr>
          <w:rFonts w:ascii="Arial" w:hAnsi="Arial" w:cs="Arial"/>
          <w:sz w:val="22"/>
          <w:szCs w:val="22"/>
        </w:rPr>
        <w:t>seen</w:t>
      </w:r>
      <w:r w:rsidRPr="000F3C85">
        <w:rPr>
          <w:rFonts w:ascii="Arial" w:hAnsi="Arial" w:cs="Arial"/>
          <w:sz w:val="22"/>
          <w:szCs w:val="22"/>
        </w:rPr>
        <w:t xml:space="preserve"> as a highly successful platform for mobilization of funds from bilateral donors for ROLSHR programming in fragile and crisis-affected countries. The </w:t>
      </w:r>
      <w:r w:rsidR="004D22ED" w:rsidRPr="000F3C85">
        <w:rPr>
          <w:rFonts w:ascii="Arial" w:hAnsi="Arial" w:cs="Arial"/>
          <w:sz w:val="22"/>
          <w:szCs w:val="22"/>
        </w:rPr>
        <w:t xml:space="preserve">GP focus on </w:t>
      </w:r>
      <w:r w:rsidR="006B7733" w:rsidRPr="000F3C85">
        <w:rPr>
          <w:rFonts w:ascii="Arial" w:hAnsi="Arial" w:cs="Arial"/>
          <w:sz w:val="22"/>
          <w:szCs w:val="22"/>
        </w:rPr>
        <w:t xml:space="preserve">providing flexible financial and/or substantive technical support to </w:t>
      </w:r>
      <w:r w:rsidR="004D22ED" w:rsidRPr="000F3C85">
        <w:rPr>
          <w:rFonts w:ascii="Arial" w:hAnsi="Arial" w:cs="Arial"/>
          <w:sz w:val="22"/>
          <w:szCs w:val="22"/>
        </w:rPr>
        <w:t xml:space="preserve">countries is </w:t>
      </w:r>
      <w:r w:rsidR="00C85293" w:rsidRPr="000F3C85">
        <w:rPr>
          <w:rFonts w:ascii="Arial" w:hAnsi="Arial" w:cs="Arial"/>
          <w:sz w:val="22"/>
          <w:szCs w:val="22"/>
        </w:rPr>
        <w:t xml:space="preserve">seen as </w:t>
      </w:r>
      <w:r w:rsidR="004D22ED" w:rsidRPr="000F3C85">
        <w:rPr>
          <w:rFonts w:ascii="Arial" w:hAnsi="Arial" w:cs="Arial"/>
          <w:sz w:val="22"/>
          <w:szCs w:val="22"/>
        </w:rPr>
        <w:t>unusual</w:t>
      </w:r>
      <w:r w:rsidRPr="000F3C85">
        <w:rPr>
          <w:rFonts w:ascii="Arial" w:hAnsi="Arial" w:cs="Arial"/>
          <w:sz w:val="22"/>
          <w:szCs w:val="22"/>
        </w:rPr>
        <w:t>, and described as the</w:t>
      </w:r>
      <w:r w:rsidR="004D22ED" w:rsidRPr="000F3C85">
        <w:rPr>
          <w:rFonts w:ascii="Arial" w:hAnsi="Arial" w:cs="Arial"/>
          <w:sz w:val="22"/>
          <w:szCs w:val="22"/>
        </w:rPr>
        <w:t xml:space="preserve"> </w:t>
      </w:r>
      <w:r w:rsidRPr="000F3C85">
        <w:rPr>
          <w:rFonts w:ascii="Arial" w:hAnsi="Arial" w:cs="Arial"/>
          <w:sz w:val="22"/>
          <w:szCs w:val="22"/>
        </w:rPr>
        <w:t>“</w:t>
      </w:r>
      <w:r w:rsidR="004D22ED" w:rsidRPr="000F3C85">
        <w:rPr>
          <w:rFonts w:ascii="Arial" w:hAnsi="Arial" w:cs="Arial"/>
          <w:sz w:val="22"/>
          <w:szCs w:val="22"/>
        </w:rPr>
        <w:t xml:space="preserve">secret of </w:t>
      </w:r>
      <w:r w:rsidRPr="000F3C85">
        <w:rPr>
          <w:rFonts w:ascii="Arial" w:hAnsi="Arial" w:cs="Arial"/>
          <w:sz w:val="22"/>
          <w:szCs w:val="22"/>
        </w:rPr>
        <w:t xml:space="preserve">its </w:t>
      </w:r>
      <w:r w:rsidR="004D22ED" w:rsidRPr="000F3C85">
        <w:rPr>
          <w:rFonts w:ascii="Arial" w:hAnsi="Arial" w:cs="Arial"/>
          <w:sz w:val="22"/>
          <w:szCs w:val="22"/>
        </w:rPr>
        <w:t>success</w:t>
      </w:r>
      <w:r w:rsidRPr="000F3C85">
        <w:rPr>
          <w:rFonts w:ascii="Arial" w:hAnsi="Arial" w:cs="Arial"/>
          <w:sz w:val="22"/>
          <w:szCs w:val="22"/>
        </w:rPr>
        <w:t>” by more than one informant</w:t>
      </w:r>
      <w:r w:rsidR="004D22ED" w:rsidRPr="000F3C85">
        <w:rPr>
          <w:rFonts w:ascii="Arial" w:hAnsi="Arial" w:cs="Arial"/>
          <w:sz w:val="22"/>
          <w:szCs w:val="22"/>
        </w:rPr>
        <w:t>,</w:t>
      </w:r>
      <w:r w:rsidRPr="000F3C85">
        <w:rPr>
          <w:rFonts w:ascii="Arial" w:hAnsi="Arial" w:cs="Arial"/>
          <w:sz w:val="22"/>
          <w:szCs w:val="22"/>
        </w:rPr>
        <w:t xml:space="preserve"> citing the high proportion of resources directly </w:t>
      </w:r>
      <w:r w:rsidR="004D22ED" w:rsidRPr="000F3C85">
        <w:rPr>
          <w:rFonts w:ascii="Arial" w:hAnsi="Arial" w:cs="Arial"/>
          <w:sz w:val="22"/>
          <w:szCs w:val="22"/>
        </w:rPr>
        <w:t xml:space="preserve">channeled to </w:t>
      </w:r>
      <w:r w:rsidRPr="000F3C85">
        <w:rPr>
          <w:rFonts w:ascii="Arial" w:hAnsi="Arial" w:cs="Arial"/>
          <w:sz w:val="22"/>
          <w:szCs w:val="22"/>
        </w:rPr>
        <w:t>country offices</w:t>
      </w:r>
      <w:r w:rsidR="004D22ED" w:rsidRPr="000F3C85">
        <w:rPr>
          <w:rFonts w:ascii="Arial" w:hAnsi="Arial" w:cs="Arial"/>
          <w:sz w:val="22"/>
          <w:szCs w:val="22"/>
        </w:rPr>
        <w:t xml:space="preserve">. </w:t>
      </w:r>
      <w:r w:rsidRPr="000F3C85">
        <w:rPr>
          <w:rFonts w:ascii="Arial" w:hAnsi="Arial" w:cs="Arial"/>
          <w:sz w:val="22"/>
          <w:szCs w:val="22"/>
        </w:rPr>
        <w:t xml:space="preserve">This is greatly appreciated by </w:t>
      </w:r>
      <w:r w:rsidR="007C3249">
        <w:rPr>
          <w:rFonts w:ascii="Arial" w:hAnsi="Arial" w:cs="Arial"/>
          <w:sz w:val="22"/>
          <w:szCs w:val="22"/>
        </w:rPr>
        <w:t>COs</w:t>
      </w:r>
      <w:r w:rsidRPr="000F3C85">
        <w:rPr>
          <w:rFonts w:ascii="Arial" w:hAnsi="Arial" w:cs="Arial"/>
          <w:sz w:val="22"/>
          <w:szCs w:val="22"/>
        </w:rPr>
        <w:t xml:space="preserve"> as well as the GP’s</w:t>
      </w:r>
      <w:r w:rsidR="004D22ED" w:rsidRPr="000F3C85">
        <w:rPr>
          <w:rFonts w:ascii="Arial" w:hAnsi="Arial" w:cs="Arial"/>
          <w:sz w:val="22"/>
          <w:szCs w:val="22"/>
        </w:rPr>
        <w:t xml:space="preserve"> major donors</w:t>
      </w:r>
      <w:r w:rsidR="00C40798" w:rsidRPr="000F3C85">
        <w:rPr>
          <w:rFonts w:ascii="Arial" w:hAnsi="Arial" w:cs="Arial"/>
          <w:sz w:val="22"/>
          <w:szCs w:val="22"/>
        </w:rPr>
        <w:t>, and its funding stream is considered with a certain amount of envy by other UN entities</w:t>
      </w:r>
      <w:r w:rsidR="004D22ED" w:rsidRPr="000F3C85">
        <w:rPr>
          <w:rFonts w:ascii="Arial" w:hAnsi="Arial" w:cs="Arial"/>
          <w:sz w:val="22"/>
          <w:szCs w:val="22"/>
        </w:rPr>
        <w:t xml:space="preserve">. </w:t>
      </w:r>
      <w:r w:rsidR="00C40798" w:rsidRPr="000F3C85">
        <w:rPr>
          <w:rFonts w:ascii="Arial" w:hAnsi="Arial" w:cs="Arial"/>
          <w:sz w:val="22"/>
          <w:szCs w:val="22"/>
        </w:rPr>
        <w:t xml:space="preserve">The Programme is viewed as the central pillar of the ROLSHR team and appears to be firmly established within the UNDP Crisis Bureau, where the entire team was relocated </w:t>
      </w:r>
      <w:r w:rsidR="00C85293" w:rsidRPr="000F3C85">
        <w:rPr>
          <w:rFonts w:ascii="Arial" w:hAnsi="Arial" w:cs="Arial"/>
          <w:sz w:val="22"/>
          <w:szCs w:val="22"/>
        </w:rPr>
        <w:t>during Phase 3 as part of</w:t>
      </w:r>
      <w:r w:rsidR="00C40798" w:rsidRPr="000F3C85">
        <w:rPr>
          <w:rFonts w:ascii="Arial" w:hAnsi="Arial" w:cs="Arial"/>
          <w:sz w:val="22"/>
          <w:szCs w:val="22"/>
        </w:rPr>
        <w:t xml:space="preserve"> </w:t>
      </w:r>
      <w:r w:rsidR="007B50B8" w:rsidRPr="000F3C85">
        <w:rPr>
          <w:rFonts w:ascii="Arial" w:hAnsi="Arial" w:cs="Arial"/>
          <w:sz w:val="22"/>
          <w:szCs w:val="22"/>
        </w:rPr>
        <w:t>a broader</w:t>
      </w:r>
      <w:r w:rsidR="00C40798" w:rsidRPr="000F3C85">
        <w:rPr>
          <w:rFonts w:ascii="Arial" w:hAnsi="Arial" w:cs="Arial"/>
          <w:sz w:val="22"/>
          <w:szCs w:val="22"/>
        </w:rPr>
        <w:t xml:space="preserve"> internal reorganization</w:t>
      </w:r>
      <w:r w:rsidR="007B50B8" w:rsidRPr="000F3C85">
        <w:rPr>
          <w:rFonts w:ascii="Arial" w:hAnsi="Arial" w:cs="Arial"/>
          <w:sz w:val="22"/>
          <w:szCs w:val="22"/>
        </w:rPr>
        <w:t xml:space="preserve"> process</w:t>
      </w:r>
      <w:r w:rsidR="00C85293" w:rsidRPr="000F3C85">
        <w:rPr>
          <w:rFonts w:ascii="Arial" w:hAnsi="Arial" w:cs="Arial"/>
          <w:sz w:val="22"/>
          <w:szCs w:val="22"/>
        </w:rPr>
        <w:t>.</w:t>
      </w:r>
      <w:r w:rsidR="00C40798" w:rsidRPr="000F3C85">
        <w:rPr>
          <w:rFonts w:ascii="Arial" w:hAnsi="Arial" w:cs="Arial"/>
          <w:sz w:val="22"/>
          <w:szCs w:val="22"/>
        </w:rPr>
        <w:t xml:space="preserve"> </w:t>
      </w:r>
    </w:p>
    <w:p w14:paraId="3F26A12F" w14:textId="20B3F815" w:rsidR="008B74DE" w:rsidRPr="000F3C85" w:rsidRDefault="00695E1D" w:rsidP="004563ED">
      <w:pPr>
        <w:spacing w:line="240" w:lineRule="auto"/>
        <w:rPr>
          <w:rFonts w:ascii="Arial" w:hAnsi="Arial" w:cs="Arial"/>
          <w:sz w:val="22"/>
          <w:szCs w:val="22"/>
        </w:rPr>
      </w:pPr>
      <w:r w:rsidRPr="000F3C85">
        <w:rPr>
          <w:rFonts w:ascii="Arial" w:hAnsi="Arial" w:cs="Arial"/>
          <w:sz w:val="22"/>
          <w:szCs w:val="22"/>
        </w:rPr>
        <w:t>Phase 3 of the GP has enjoyed a f</w:t>
      </w:r>
      <w:r w:rsidR="004D22ED" w:rsidRPr="000F3C85">
        <w:rPr>
          <w:rFonts w:ascii="Arial" w:hAnsi="Arial" w:cs="Arial"/>
          <w:sz w:val="22"/>
          <w:szCs w:val="22"/>
        </w:rPr>
        <w:t xml:space="preserve">airly stable level of donor contributions, fluctuating between annual total of </w:t>
      </w:r>
      <w:r w:rsidRPr="000F3C85">
        <w:rPr>
          <w:rFonts w:ascii="Arial" w:hAnsi="Arial" w:cs="Arial"/>
          <w:sz w:val="22"/>
          <w:szCs w:val="22"/>
        </w:rPr>
        <w:t>$</w:t>
      </w:r>
      <w:r w:rsidR="004D22ED" w:rsidRPr="000F3C85">
        <w:rPr>
          <w:rFonts w:ascii="Arial" w:hAnsi="Arial" w:cs="Arial"/>
          <w:sz w:val="22"/>
          <w:szCs w:val="22"/>
        </w:rPr>
        <w:t>24</w:t>
      </w:r>
      <w:r w:rsidRPr="000F3C85">
        <w:rPr>
          <w:rFonts w:ascii="Arial" w:hAnsi="Arial" w:cs="Arial"/>
          <w:sz w:val="22"/>
          <w:szCs w:val="22"/>
        </w:rPr>
        <w:t xml:space="preserve"> million</w:t>
      </w:r>
      <w:r w:rsidR="004D22ED" w:rsidRPr="000F3C85">
        <w:rPr>
          <w:rFonts w:ascii="Arial" w:hAnsi="Arial" w:cs="Arial"/>
          <w:sz w:val="22"/>
          <w:szCs w:val="22"/>
        </w:rPr>
        <w:t xml:space="preserve"> to </w:t>
      </w:r>
      <w:r w:rsidRPr="000F3C85">
        <w:rPr>
          <w:rFonts w:ascii="Arial" w:hAnsi="Arial" w:cs="Arial"/>
          <w:sz w:val="22"/>
          <w:szCs w:val="22"/>
        </w:rPr>
        <w:t>$</w:t>
      </w:r>
      <w:r w:rsidR="004D22ED" w:rsidRPr="000F3C85">
        <w:rPr>
          <w:rFonts w:ascii="Arial" w:hAnsi="Arial" w:cs="Arial"/>
          <w:sz w:val="22"/>
          <w:szCs w:val="22"/>
        </w:rPr>
        <w:t>36</w:t>
      </w:r>
      <w:r w:rsidRPr="000F3C85">
        <w:rPr>
          <w:rFonts w:ascii="Arial" w:hAnsi="Arial" w:cs="Arial"/>
          <w:sz w:val="22"/>
          <w:szCs w:val="22"/>
        </w:rPr>
        <w:t xml:space="preserve"> million</w:t>
      </w:r>
      <w:r w:rsidR="004D22ED" w:rsidRPr="000F3C85">
        <w:rPr>
          <w:rFonts w:ascii="Arial" w:hAnsi="Arial" w:cs="Arial"/>
          <w:sz w:val="22"/>
          <w:szCs w:val="22"/>
        </w:rPr>
        <w:t xml:space="preserve"> (</w:t>
      </w:r>
      <w:r w:rsidRPr="000F3C85">
        <w:rPr>
          <w:rFonts w:ascii="Arial" w:hAnsi="Arial" w:cs="Arial"/>
          <w:sz w:val="22"/>
          <w:szCs w:val="22"/>
        </w:rPr>
        <w:t>once</w:t>
      </w:r>
      <w:r w:rsidR="004D22ED" w:rsidRPr="000F3C85">
        <w:rPr>
          <w:rFonts w:ascii="Arial" w:hAnsi="Arial" w:cs="Arial"/>
          <w:sz w:val="22"/>
          <w:szCs w:val="22"/>
        </w:rPr>
        <w:t xml:space="preserve"> multi-year </w:t>
      </w:r>
      <w:r w:rsidRPr="000F3C85">
        <w:rPr>
          <w:rFonts w:ascii="Arial" w:hAnsi="Arial" w:cs="Arial"/>
          <w:sz w:val="22"/>
          <w:szCs w:val="22"/>
        </w:rPr>
        <w:t>contributions are spread</w:t>
      </w:r>
      <w:r w:rsidR="004D22ED" w:rsidRPr="000F3C85">
        <w:rPr>
          <w:rFonts w:ascii="Arial" w:hAnsi="Arial" w:cs="Arial"/>
          <w:sz w:val="22"/>
          <w:szCs w:val="22"/>
        </w:rPr>
        <w:t xml:space="preserve"> across </w:t>
      </w:r>
      <w:r w:rsidRPr="000F3C85">
        <w:rPr>
          <w:rFonts w:ascii="Arial" w:hAnsi="Arial" w:cs="Arial"/>
          <w:sz w:val="22"/>
          <w:szCs w:val="22"/>
        </w:rPr>
        <w:t xml:space="preserve">the relevant </w:t>
      </w:r>
      <w:r w:rsidR="004D22ED" w:rsidRPr="000F3C85">
        <w:rPr>
          <w:rFonts w:ascii="Arial" w:hAnsi="Arial" w:cs="Arial"/>
          <w:sz w:val="22"/>
          <w:szCs w:val="22"/>
        </w:rPr>
        <w:t>years)</w:t>
      </w:r>
      <w:r w:rsidRPr="000F3C85">
        <w:rPr>
          <w:rFonts w:ascii="Arial" w:hAnsi="Arial" w:cs="Arial"/>
          <w:sz w:val="22"/>
          <w:szCs w:val="22"/>
        </w:rPr>
        <w:t>. There was</w:t>
      </w:r>
      <w:r w:rsidR="004D22ED" w:rsidRPr="000F3C85">
        <w:rPr>
          <w:rFonts w:ascii="Arial" w:hAnsi="Arial" w:cs="Arial"/>
          <w:sz w:val="22"/>
          <w:szCs w:val="22"/>
        </w:rPr>
        <w:t xml:space="preserve"> no clear upward or downward trend</w:t>
      </w:r>
      <w:r w:rsidRPr="000F3C85">
        <w:rPr>
          <w:rFonts w:ascii="Arial" w:hAnsi="Arial" w:cs="Arial"/>
          <w:sz w:val="22"/>
          <w:szCs w:val="22"/>
        </w:rPr>
        <w:t xml:space="preserve"> of funding since 2016 based on analysis of the annual reports</w:t>
      </w:r>
      <w:r w:rsidR="00296905" w:rsidRPr="000F3C85">
        <w:rPr>
          <w:rFonts w:ascii="Arial" w:hAnsi="Arial" w:cs="Arial"/>
          <w:sz w:val="22"/>
          <w:szCs w:val="22"/>
        </w:rPr>
        <w:t>.</w:t>
      </w:r>
      <w:r w:rsidRPr="000F3C85">
        <w:rPr>
          <w:rFonts w:ascii="Arial" w:hAnsi="Arial" w:cs="Arial"/>
          <w:sz w:val="22"/>
          <w:szCs w:val="22"/>
        </w:rPr>
        <w:t xml:space="preserve"> The Programme relies on a r</w:t>
      </w:r>
      <w:r w:rsidR="008B74DE" w:rsidRPr="000F3C85">
        <w:rPr>
          <w:rFonts w:ascii="Arial" w:hAnsi="Arial" w:cs="Arial"/>
          <w:sz w:val="22"/>
          <w:szCs w:val="22"/>
        </w:rPr>
        <w:t>elatively small cohort of donors</w:t>
      </w:r>
      <w:r w:rsidR="009B23B9" w:rsidRPr="000F3C85">
        <w:rPr>
          <w:rFonts w:ascii="Arial" w:hAnsi="Arial" w:cs="Arial"/>
          <w:sz w:val="22"/>
          <w:szCs w:val="22"/>
        </w:rPr>
        <w:t xml:space="preserve"> (</w:t>
      </w:r>
      <w:r w:rsidRPr="000F3C85">
        <w:rPr>
          <w:rFonts w:ascii="Arial" w:hAnsi="Arial" w:cs="Arial"/>
          <w:sz w:val="22"/>
          <w:szCs w:val="22"/>
        </w:rPr>
        <w:t>seven</w:t>
      </w:r>
      <w:r w:rsidR="009B23B9" w:rsidRPr="000F3C85">
        <w:rPr>
          <w:rFonts w:ascii="Arial" w:hAnsi="Arial" w:cs="Arial"/>
          <w:sz w:val="22"/>
          <w:szCs w:val="22"/>
        </w:rPr>
        <w:t xml:space="preserve"> in most years)</w:t>
      </w:r>
      <w:r w:rsidR="008B74DE" w:rsidRPr="000F3C85">
        <w:rPr>
          <w:rFonts w:ascii="Arial" w:hAnsi="Arial" w:cs="Arial"/>
          <w:sz w:val="22"/>
          <w:szCs w:val="22"/>
        </w:rPr>
        <w:t xml:space="preserve">, </w:t>
      </w:r>
      <w:r w:rsidRPr="000F3C85">
        <w:rPr>
          <w:rFonts w:ascii="Arial" w:hAnsi="Arial" w:cs="Arial"/>
          <w:sz w:val="22"/>
          <w:szCs w:val="22"/>
        </w:rPr>
        <w:t>which could</w:t>
      </w:r>
      <w:r w:rsidR="009B23B9" w:rsidRPr="000F3C85">
        <w:rPr>
          <w:rFonts w:ascii="Arial" w:hAnsi="Arial" w:cs="Arial"/>
          <w:sz w:val="22"/>
          <w:szCs w:val="22"/>
        </w:rPr>
        <w:t xml:space="preserve"> represent a </w:t>
      </w:r>
      <w:r w:rsidR="008B74DE" w:rsidRPr="000F3C85">
        <w:rPr>
          <w:rFonts w:ascii="Arial" w:hAnsi="Arial" w:cs="Arial"/>
          <w:sz w:val="22"/>
          <w:szCs w:val="22"/>
        </w:rPr>
        <w:t>risk</w:t>
      </w:r>
      <w:r w:rsidRPr="000F3C85">
        <w:rPr>
          <w:rFonts w:ascii="Arial" w:hAnsi="Arial" w:cs="Arial"/>
          <w:sz w:val="22"/>
          <w:szCs w:val="22"/>
        </w:rPr>
        <w:t xml:space="preserve"> to sustainability</w:t>
      </w:r>
      <w:r w:rsidR="008B74DE" w:rsidRPr="000F3C85">
        <w:rPr>
          <w:rFonts w:ascii="Arial" w:hAnsi="Arial" w:cs="Arial"/>
          <w:sz w:val="22"/>
          <w:szCs w:val="22"/>
        </w:rPr>
        <w:t xml:space="preserve">. In </w:t>
      </w:r>
      <w:r w:rsidRPr="000F3C85">
        <w:rPr>
          <w:rFonts w:ascii="Arial" w:hAnsi="Arial" w:cs="Arial"/>
          <w:sz w:val="22"/>
          <w:szCs w:val="22"/>
        </w:rPr>
        <w:t xml:space="preserve">the </w:t>
      </w:r>
      <w:r w:rsidR="008B74DE" w:rsidRPr="000F3C85">
        <w:rPr>
          <w:rFonts w:ascii="Arial" w:hAnsi="Arial" w:cs="Arial"/>
          <w:sz w:val="22"/>
          <w:szCs w:val="22"/>
        </w:rPr>
        <w:t xml:space="preserve">last three years, </w:t>
      </w:r>
      <w:r w:rsidRPr="000F3C85">
        <w:rPr>
          <w:rFonts w:ascii="Arial" w:hAnsi="Arial" w:cs="Arial"/>
          <w:sz w:val="22"/>
          <w:szCs w:val="22"/>
        </w:rPr>
        <w:t xml:space="preserve">the </w:t>
      </w:r>
      <w:r w:rsidR="008B74DE" w:rsidRPr="000F3C85">
        <w:rPr>
          <w:rFonts w:ascii="Arial" w:hAnsi="Arial" w:cs="Arial"/>
          <w:sz w:val="22"/>
          <w:szCs w:val="22"/>
        </w:rPr>
        <w:t xml:space="preserve">Netherlands has contributed about 30% of </w:t>
      </w:r>
      <w:r w:rsidRPr="000F3C85">
        <w:rPr>
          <w:rFonts w:ascii="Arial" w:hAnsi="Arial" w:cs="Arial"/>
          <w:sz w:val="22"/>
          <w:szCs w:val="22"/>
        </w:rPr>
        <w:t xml:space="preserve">the </w:t>
      </w:r>
      <w:r w:rsidR="008B74DE" w:rsidRPr="000F3C85">
        <w:rPr>
          <w:rFonts w:ascii="Arial" w:hAnsi="Arial" w:cs="Arial"/>
          <w:sz w:val="22"/>
          <w:szCs w:val="22"/>
        </w:rPr>
        <w:t>total</w:t>
      </w:r>
      <w:r w:rsidRPr="000F3C85">
        <w:rPr>
          <w:rFonts w:ascii="Arial" w:hAnsi="Arial" w:cs="Arial"/>
          <w:sz w:val="22"/>
          <w:szCs w:val="22"/>
        </w:rPr>
        <w:t xml:space="preserve"> received by GP</w:t>
      </w:r>
      <w:r w:rsidR="008B74DE" w:rsidRPr="000F3C85">
        <w:rPr>
          <w:rFonts w:ascii="Arial" w:hAnsi="Arial" w:cs="Arial"/>
          <w:sz w:val="22"/>
          <w:szCs w:val="22"/>
        </w:rPr>
        <w:t xml:space="preserve"> from external sources</w:t>
      </w:r>
      <w:r w:rsidRPr="000F3C85">
        <w:rPr>
          <w:rFonts w:ascii="Arial" w:hAnsi="Arial" w:cs="Arial"/>
          <w:sz w:val="22"/>
          <w:szCs w:val="22"/>
        </w:rPr>
        <w:t>,</w:t>
      </w:r>
      <w:r w:rsidR="007C3249">
        <w:rPr>
          <w:rFonts w:ascii="Arial" w:hAnsi="Arial" w:cs="Arial"/>
          <w:sz w:val="22"/>
          <w:szCs w:val="22"/>
        </w:rPr>
        <w:t xml:space="preserve"> while</w:t>
      </w:r>
      <w:r w:rsidR="008B74DE" w:rsidRPr="000F3C85">
        <w:rPr>
          <w:rFonts w:ascii="Arial" w:hAnsi="Arial" w:cs="Arial"/>
          <w:sz w:val="22"/>
          <w:szCs w:val="22"/>
        </w:rPr>
        <w:t xml:space="preserve"> </w:t>
      </w:r>
      <w:r w:rsidR="00693849" w:rsidRPr="000F3C85">
        <w:rPr>
          <w:rFonts w:ascii="Arial" w:hAnsi="Arial" w:cs="Arial"/>
          <w:sz w:val="22"/>
          <w:szCs w:val="22"/>
        </w:rPr>
        <w:t>the funding channeled through the GP by the U.S. Department of State/</w:t>
      </w:r>
      <w:r w:rsidR="008B74DE" w:rsidRPr="000F3C85">
        <w:rPr>
          <w:rFonts w:ascii="Arial" w:hAnsi="Arial" w:cs="Arial"/>
          <w:sz w:val="22"/>
          <w:szCs w:val="22"/>
        </w:rPr>
        <w:t xml:space="preserve">INL </w:t>
      </w:r>
      <w:r w:rsidR="007C3249" w:rsidRPr="000F3C85">
        <w:rPr>
          <w:rFonts w:ascii="Arial" w:hAnsi="Arial" w:cs="Arial"/>
          <w:sz w:val="22"/>
          <w:szCs w:val="22"/>
        </w:rPr>
        <w:t>constitutes around 50% of annual donor contributions</w:t>
      </w:r>
      <w:r w:rsidR="007C3249">
        <w:rPr>
          <w:rFonts w:ascii="Arial" w:hAnsi="Arial" w:cs="Arial"/>
          <w:sz w:val="22"/>
          <w:szCs w:val="22"/>
        </w:rPr>
        <w:t>. The latter funding</w:t>
      </w:r>
      <w:r w:rsidR="007C3249" w:rsidRPr="000F3C85">
        <w:rPr>
          <w:rFonts w:ascii="Arial" w:hAnsi="Arial" w:cs="Arial"/>
          <w:sz w:val="22"/>
          <w:szCs w:val="22"/>
        </w:rPr>
        <w:t xml:space="preserve"> </w:t>
      </w:r>
      <w:r w:rsidR="00693849" w:rsidRPr="000F3C85">
        <w:rPr>
          <w:rFonts w:ascii="Arial" w:hAnsi="Arial" w:cs="Arial"/>
          <w:sz w:val="22"/>
          <w:szCs w:val="22"/>
        </w:rPr>
        <w:t xml:space="preserve">is strictly earmarked for </w:t>
      </w:r>
      <w:r w:rsidR="007C3249">
        <w:rPr>
          <w:rFonts w:ascii="Arial" w:hAnsi="Arial" w:cs="Arial"/>
          <w:sz w:val="22"/>
          <w:szCs w:val="22"/>
        </w:rPr>
        <w:t>COs</w:t>
      </w:r>
      <w:r w:rsidR="00693849" w:rsidRPr="000F3C85">
        <w:rPr>
          <w:rFonts w:ascii="Arial" w:hAnsi="Arial" w:cs="Arial"/>
          <w:sz w:val="22"/>
          <w:szCs w:val="22"/>
        </w:rPr>
        <w:t xml:space="preserve"> and interventions chosen by INL</w:t>
      </w:r>
      <w:r w:rsidR="007C3249">
        <w:rPr>
          <w:rFonts w:ascii="Arial" w:hAnsi="Arial" w:cs="Arial"/>
          <w:sz w:val="22"/>
          <w:szCs w:val="22"/>
        </w:rPr>
        <w:t xml:space="preserve"> and is </w:t>
      </w:r>
      <w:r w:rsidR="00693849" w:rsidRPr="000F3C85">
        <w:rPr>
          <w:rFonts w:ascii="Arial" w:hAnsi="Arial" w:cs="Arial"/>
          <w:sz w:val="22"/>
          <w:szCs w:val="22"/>
        </w:rPr>
        <w:t xml:space="preserve">not available for core GP expenses and activities, including the pipeline for country allocations. </w:t>
      </w:r>
      <w:r w:rsidR="00827A19" w:rsidRPr="000F3C85">
        <w:rPr>
          <w:rFonts w:ascii="Arial" w:hAnsi="Arial" w:cs="Arial"/>
          <w:sz w:val="22"/>
          <w:szCs w:val="22"/>
        </w:rPr>
        <w:t xml:space="preserve">(More detailed information on the INL-GP arrangement is found in the text box at the end of this sub-section.) </w:t>
      </w:r>
      <w:r w:rsidR="00693849" w:rsidRPr="000F3C85">
        <w:rPr>
          <w:rFonts w:ascii="Arial" w:hAnsi="Arial" w:cs="Arial"/>
          <w:sz w:val="22"/>
          <w:szCs w:val="22"/>
        </w:rPr>
        <w:t xml:space="preserve">If that </w:t>
      </w:r>
      <w:r w:rsidR="007C1EC2" w:rsidRPr="000F3C85">
        <w:rPr>
          <w:rFonts w:ascii="Arial" w:hAnsi="Arial" w:cs="Arial"/>
          <w:sz w:val="22"/>
          <w:szCs w:val="22"/>
        </w:rPr>
        <w:t xml:space="preserve">INL </w:t>
      </w:r>
      <w:r w:rsidR="00693849" w:rsidRPr="000F3C85">
        <w:rPr>
          <w:rFonts w:ascii="Arial" w:hAnsi="Arial" w:cs="Arial"/>
          <w:sz w:val="22"/>
          <w:szCs w:val="22"/>
        </w:rPr>
        <w:t>funding is</w:t>
      </w:r>
      <w:r w:rsidR="008B74DE" w:rsidRPr="000F3C85">
        <w:rPr>
          <w:rFonts w:ascii="Arial" w:hAnsi="Arial" w:cs="Arial"/>
          <w:sz w:val="22"/>
          <w:szCs w:val="22"/>
        </w:rPr>
        <w:t xml:space="preserve"> </w:t>
      </w:r>
      <w:r w:rsidR="009B23B9" w:rsidRPr="000F3C85">
        <w:rPr>
          <w:rFonts w:ascii="Arial" w:hAnsi="Arial" w:cs="Arial"/>
          <w:sz w:val="22"/>
          <w:szCs w:val="22"/>
        </w:rPr>
        <w:t xml:space="preserve">taken </w:t>
      </w:r>
      <w:r w:rsidR="008B74DE" w:rsidRPr="000F3C85">
        <w:rPr>
          <w:rFonts w:ascii="Arial" w:hAnsi="Arial" w:cs="Arial"/>
          <w:sz w:val="22"/>
          <w:szCs w:val="22"/>
        </w:rPr>
        <w:t xml:space="preserve">out of </w:t>
      </w:r>
      <w:r w:rsidR="00693849" w:rsidRPr="000F3C85">
        <w:rPr>
          <w:rFonts w:ascii="Arial" w:hAnsi="Arial" w:cs="Arial"/>
          <w:sz w:val="22"/>
          <w:szCs w:val="22"/>
        </w:rPr>
        <w:t xml:space="preserve">the </w:t>
      </w:r>
      <w:r w:rsidR="008B74DE" w:rsidRPr="000F3C85">
        <w:rPr>
          <w:rFonts w:ascii="Arial" w:hAnsi="Arial" w:cs="Arial"/>
          <w:sz w:val="22"/>
          <w:szCs w:val="22"/>
        </w:rPr>
        <w:t xml:space="preserve">equation, </w:t>
      </w:r>
      <w:r w:rsidR="00693849" w:rsidRPr="000F3C85">
        <w:rPr>
          <w:rFonts w:ascii="Arial" w:hAnsi="Arial" w:cs="Arial"/>
          <w:sz w:val="22"/>
          <w:szCs w:val="22"/>
        </w:rPr>
        <w:t>the Netherlands share is</w:t>
      </w:r>
      <w:r w:rsidR="008B74DE" w:rsidRPr="000F3C85">
        <w:rPr>
          <w:rFonts w:ascii="Arial" w:hAnsi="Arial" w:cs="Arial"/>
          <w:sz w:val="22"/>
          <w:szCs w:val="22"/>
        </w:rPr>
        <w:t xml:space="preserve"> close to 50%</w:t>
      </w:r>
      <w:r w:rsidR="00693849" w:rsidRPr="000F3C85">
        <w:rPr>
          <w:rFonts w:ascii="Arial" w:hAnsi="Arial" w:cs="Arial"/>
          <w:sz w:val="22"/>
          <w:szCs w:val="22"/>
        </w:rPr>
        <w:t xml:space="preserve"> of annual donor contributions</w:t>
      </w:r>
      <w:r w:rsidR="008B74DE" w:rsidRPr="000F3C85">
        <w:rPr>
          <w:rFonts w:ascii="Arial" w:hAnsi="Arial" w:cs="Arial"/>
          <w:sz w:val="22"/>
          <w:szCs w:val="22"/>
        </w:rPr>
        <w:t>.</w:t>
      </w:r>
      <w:r w:rsidRPr="000F3C85">
        <w:rPr>
          <w:rFonts w:ascii="Arial" w:hAnsi="Arial" w:cs="Arial"/>
          <w:sz w:val="22"/>
          <w:szCs w:val="22"/>
        </w:rPr>
        <w:t xml:space="preserve"> </w:t>
      </w:r>
      <w:r w:rsidR="00693849" w:rsidRPr="000F3C85">
        <w:rPr>
          <w:rFonts w:ascii="Arial" w:hAnsi="Arial" w:cs="Arial"/>
          <w:sz w:val="22"/>
          <w:szCs w:val="22"/>
        </w:rPr>
        <w:t xml:space="preserve">This </w:t>
      </w:r>
      <w:r w:rsidR="007C1EC2" w:rsidRPr="000F3C85">
        <w:rPr>
          <w:rFonts w:ascii="Arial" w:hAnsi="Arial" w:cs="Arial"/>
          <w:sz w:val="22"/>
          <w:szCs w:val="22"/>
        </w:rPr>
        <w:t>translates into</w:t>
      </w:r>
      <w:r w:rsidR="00693849" w:rsidRPr="000F3C85">
        <w:rPr>
          <w:rFonts w:ascii="Arial" w:hAnsi="Arial" w:cs="Arial"/>
          <w:sz w:val="22"/>
          <w:szCs w:val="22"/>
        </w:rPr>
        <w:t xml:space="preserve"> a significant level of </w:t>
      </w:r>
      <w:r w:rsidR="007C1EC2" w:rsidRPr="000F3C85">
        <w:rPr>
          <w:rFonts w:ascii="Arial" w:hAnsi="Arial" w:cs="Arial"/>
          <w:sz w:val="22"/>
          <w:szCs w:val="22"/>
        </w:rPr>
        <w:t xml:space="preserve">GP </w:t>
      </w:r>
      <w:r w:rsidRPr="000F3C85">
        <w:rPr>
          <w:rFonts w:ascii="Arial" w:hAnsi="Arial" w:cs="Arial"/>
          <w:sz w:val="22"/>
          <w:szCs w:val="22"/>
        </w:rPr>
        <w:t>dependen</w:t>
      </w:r>
      <w:r w:rsidR="00693849" w:rsidRPr="000F3C85">
        <w:rPr>
          <w:rFonts w:ascii="Arial" w:hAnsi="Arial" w:cs="Arial"/>
          <w:sz w:val="22"/>
          <w:szCs w:val="22"/>
        </w:rPr>
        <w:t>cy</w:t>
      </w:r>
      <w:r w:rsidRPr="000F3C85">
        <w:rPr>
          <w:rFonts w:ascii="Arial" w:hAnsi="Arial" w:cs="Arial"/>
          <w:sz w:val="22"/>
          <w:szCs w:val="22"/>
        </w:rPr>
        <w:t xml:space="preserve"> on </w:t>
      </w:r>
      <w:r w:rsidR="00693849" w:rsidRPr="000F3C85">
        <w:rPr>
          <w:rFonts w:ascii="Arial" w:hAnsi="Arial" w:cs="Arial"/>
          <w:sz w:val="22"/>
          <w:szCs w:val="22"/>
        </w:rPr>
        <w:t xml:space="preserve">two income sources. </w:t>
      </w:r>
    </w:p>
    <w:p w14:paraId="1A5D7377" w14:textId="69BE27F1" w:rsidR="005D6B6D" w:rsidRPr="000F3C85" w:rsidRDefault="00693849" w:rsidP="004563ED">
      <w:pPr>
        <w:spacing w:line="240" w:lineRule="auto"/>
        <w:rPr>
          <w:rFonts w:ascii="Arial" w:hAnsi="Arial" w:cs="Arial"/>
          <w:sz w:val="22"/>
          <w:szCs w:val="22"/>
        </w:rPr>
      </w:pPr>
      <w:r w:rsidRPr="000F3C85">
        <w:rPr>
          <w:rFonts w:ascii="Arial" w:hAnsi="Arial" w:cs="Arial"/>
          <w:sz w:val="22"/>
          <w:szCs w:val="22"/>
        </w:rPr>
        <w:t xml:space="preserve">While the INL </w:t>
      </w:r>
      <w:r w:rsidRPr="00480448">
        <w:rPr>
          <w:rFonts w:ascii="Arial" w:hAnsi="Arial" w:cs="Arial"/>
          <w:sz w:val="22"/>
          <w:szCs w:val="22"/>
        </w:rPr>
        <w:t xml:space="preserve">funding is “hard earmarked”, the Dutch financing also comes with constraints: a “soft earmark” requires that 80% of those funds be used to cover expenses related to </w:t>
      </w:r>
      <w:r w:rsidR="00F85137" w:rsidRPr="00480448">
        <w:rPr>
          <w:rFonts w:ascii="Arial" w:hAnsi="Arial" w:cs="Arial"/>
          <w:sz w:val="22"/>
          <w:szCs w:val="22"/>
        </w:rPr>
        <w:t xml:space="preserve">their priority contexts, </w:t>
      </w:r>
      <w:r w:rsidR="00E37DF7" w:rsidRPr="00480448">
        <w:rPr>
          <w:rFonts w:ascii="Arial" w:hAnsi="Arial" w:cs="Arial"/>
          <w:sz w:val="22"/>
          <w:szCs w:val="22"/>
        </w:rPr>
        <w:t>including the Middle East, North Africa, Horn of Africa, the Great Lakes, Sahel-Mali, Afghanistan and Pakistan.</w:t>
      </w:r>
      <w:r w:rsidRPr="00480448">
        <w:rPr>
          <w:rFonts w:ascii="Arial" w:hAnsi="Arial" w:cs="Arial"/>
          <w:sz w:val="22"/>
          <w:szCs w:val="22"/>
        </w:rPr>
        <w:t xml:space="preserve"> </w:t>
      </w:r>
      <w:r w:rsidR="004844C3" w:rsidRPr="00480448">
        <w:rPr>
          <w:rFonts w:ascii="Arial" w:hAnsi="Arial" w:cs="Arial"/>
          <w:sz w:val="22"/>
          <w:szCs w:val="22"/>
        </w:rPr>
        <w:t>Combining</w:t>
      </w:r>
      <w:r w:rsidR="004844C3" w:rsidRPr="000F3C85">
        <w:rPr>
          <w:rFonts w:ascii="Arial" w:hAnsi="Arial" w:cs="Arial"/>
          <w:sz w:val="22"/>
          <w:szCs w:val="22"/>
        </w:rPr>
        <w:t xml:space="preserve"> the two, up to 85% of donor contributions to the GP </w:t>
      </w:r>
      <w:r w:rsidR="007C1EC2" w:rsidRPr="000F3C85">
        <w:rPr>
          <w:rFonts w:ascii="Arial" w:hAnsi="Arial" w:cs="Arial"/>
          <w:sz w:val="22"/>
          <w:szCs w:val="22"/>
        </w:rPr>
        <w:t>from</w:t>
      </w:r>
      <w:r w:rsidR="004844C3" w:rsidRPr="000F3C85">
        <w:rPr>
          <w:rFonts w:ascii="Arial" w:hAnsi="Arial" w:cs="Arial"/>
          <w:sz w:val="22"/>
          <w:szCs w:val="22"/>
        </w:rPr>
        <w:t xml:space="preserve"> </w:t>
      </w:r>
      <w:r w:rsidR="007C1EC2" w:rsidRPr="000F3C85">
        <w:rPr>
          <w:rFonts w:ascii="Arial" w:hAnsi="Arial" w:cs="Arial"/>
          <w:sz w:val="22"/>
          <w:szCs w:val="22"/>
        </w:rPr>
        <w:t>2016 to 2019</w:t>
      </w:r>
      <w:r w:rsidR="004844C3" w:rsidRPr="000F3C85">
        <w:rPr>
          <w:rFonts w:ascii="Arial" w:hAnsi="Arial" w:cs="Arial"/>
          <w:sz w:val="22"/>
          <w:szCs w:val="22"/>
        </w:rPr>
        <w:t xml:space="preserve"> have been earmarked. </w:t>
      </w:r>
      <w:r w:rsidR="009B23B9" w:rsidRPr="000F3C85">
        <w:rPr>
          <w:rFonts w:ascii="Arial" w:hAnsi="Arial" w:cs="Arial"/>
          <w:sz w:val="22"/>
          <w:szCs w:val="22"/>
        </w:rPr>
        <w:t xml:space="preserve">This </w:t>
      </w:r>
      <w:r w:rsidR="007C1EC2" w:rsidRPr="000F3C85">
        <w:rPr>
          <w:rFonts w:ascii="Arial" w:hAnsi="Arial" w:cs="Arial"/>
          <w:sz w:val="22"/>
          <w:szCs w:val="22"/>
        </w:rPr>
        <w:t>was described as</w:t>
      </w:r>
      <w:r w:rsidRPr="000F3C85">
        <w:rPr>
          <w:rFonts w:ascii="Arial" w:hAnsi="Arial" w:cs="Arial"/>
          <w:sz w:val="22"/>
          <w:szCs w:val="22"/>
        </w:rPr>
        <w:t xml:space="preserve"> </w:t>
      </w:r>
      <w:r w:rsidR="005D6B6D" w:rsidRPr="000F3C85">
        <w:rPr>
          <w:rFonts w:ascii="Arial" w:hAnsi="Arial" w:cs="Arial"/>
          <w:sz w:val="22"/>
          <w:szCs w:val="22"/>
        </w:rPr>
        <w:t>hamper</w:t>
      </w:r>
      <w:r w:rsidR="007C1EC2" w:rsidRPr="000F3C85">
        <w:rPr>
          <w:rFonts w:ascii="Arial" w:hAnsi="Arial" w:cs="Arial"/>
          <w:sz w:val="22"/>
          <w:szCs w:val="22"/>
        </w:rPr>
        <w:t>ing</w:t>
      </w:r>
      <w:r w:rsidR="009B23B9" w:rsidRPr="000F3C85">
        <w:rPr>
          <w:rFonts w:ascii="Arial" w:hAnsi="Arial" w:cs="Arial"/>
          <w:sz w:val="22"/>
          <w:szCs w:val="22"/>
        </w:rPr>
        <w:t xml:space="preserve"> </w:t>
      </w:r>
      <w:r w:rsidRPr="000F3C85">
        <w:rPr>
          <w:rFonts w:ascii="Arial" w:hAnsi="Arial" w:cs="Arial"/>
          <w:sz w:val="22"/>
          <w:szCs w:val="22"/>
        </w:rPr>
        <w:t xml:space="preserve">the </w:t>
      </w:r>
      <w:r w:rsidR="009B23B9" w:rsidRPr="000F3C85">
        <w:rPr>
          <w:rFonts w:ascii="Arial" w:hAnsi="Arial" w:cs="Arial"/>
          <w:sz w:val="22"/>
          <w:szCs w:val="22"/>
        </w:rPr>
        <w:t xml:space="preserve">ability </w:t>
      </w:r>
      <w:r w:rsidRPr="000F3C85">
        <w:rPr>
          <w:rFonts w:ascii="Arial" w:hAnsi="Arial" w:cs="Arial"/>
          <w:sz w:val="22"/>
          <w:szCs w:val="22"/>
        </w:rPr>
        <w:t xml:space="preserve">of the ROLSHR team of experts at HQ and regional levels </w:t>
      </w:r>
      <w:r w:rsidR="009B23B9" w:rsidRPr="000F3C85">
        <w:rPr>
          <w:rFonts w:ascii="Arial" w:hAnsi="Arial" w:cs="Arial"/>
          <w:sz w:val="22"/>
          <w:szCs w:val="22"/>
        </w:rPr>
        <w:t xml:space="preserve">to </w:t>
      </w:r>
      <w:r w:rsidR="00C47084" w:rsidRPr="000F3C85">
        <w:rPr>
          <w:rFonts w:ascii="Arial" w:hAnsi="Arial" w:cs="Arial"/>
          <w:sz w:val="22"/>
          <w:szCs w:val="22"/>
        </w:rPr>
        <w:t>flexibly prioritize</w:t>
      </w:r>
      <w:r w:rsidR="009B23B9" w:rsidRPr="000F3C85">
        <w:rPr>
          <w:rFonts w:ascii="Arial" w:hAnsi="Arial" w:cs="Arial"/>
          <w:sz w:val="22"/>
          <w:szCs w:val="22"/>
        </w:rPr>
        <w:t xml:space="preserve"> contexts based on </w:t>
      </w:r>
      <w:r w:rsidR="005D6B6D" w:rsidRPr="000F3C85">
        <w:rPr>
          <w:rFonts w:ascii="Arial" w:hAnsi="Arial" w:cs="Arial"/>
          <w:sz w:val="22"/>
          <w:szCs w:val="22"/>
        </w:rPr>
        <w:t xml:space="preserve">overarching strategy and </w:t>
      </w:r>
      <w:r w:rsidR="009B23B9" w:rsidRPr="000F3C85">
        <w:rPr>
          <w:rFonts w:ascii="Arial" w:hAnsi="Arial" w:cs="Arial"/>
          <w:sz w:val="22"/>
          <w:szCs w:val="22"/>
        </w:rPr>
        <w:t xml:space="preserve">evolving needs, and to </w:t>
      </w:r>
      <w:r w:rsidRPr="000F3C85">
        <w:rPr>
          <w:rFonts w:ascii="Arial" w:hAnsi="Arial" w:cs="Arial"/>
          <w:sz w:val="22"/>
          <w:szCs w:val="22"/>
        </w:rPr>
        <w:t xml:space="preserve">adequately </w:t>
      </w:r>
      <w:r w:rsidR="009B23B9" w:rsidRPr="000F3C85">
        <w:rPr>
          <w:rFonts w:ascii="Arial" w:hAnsi="Arial" w:cs="Arial"/>
          <w:sz w:val="22"/>
          <w:szCs w:val="22"/>
        </w:rPr>
        <w:t xml:space="preserve">fund HQ costs. </w:t>
      </w:r>
      <w:r w:rsidR="005D6B6D" w:rsidRPr="000F3C85">
        <w:rPr>
          <w:rFonts w:ascii="Arial" w:hAnsi="Arial" w:cs="Arial"/>
          <w:sz w:val="22"/>
          <w:szCs w:val="22"/>
        </w:rPr>
        <w:t xml:space="preserve">The Dutch earmark has </w:t>
      </w:r>
      <w:r w:rsidR="007C1EC2" w:rsidRPr="000F3C85">
        <w:rPr>
          <w:rFonts w:ascii="Arial" w:hAnsi="Arial" w:cs="Arial"/>
          <w:sz w:val="22"/>
          <w:szCs w:val="22"/>
        </w:rPr>
        <w:t>visibly</w:t>
      </w:r>
      <w:r w:rsidR="005D6B6D" w:rsidRPr="000F3C85">
        <w:rPr>
          <w:rFonts w:ascii="Arial" w:hAnsi="Arial" w:cs="Arial"/>
          <w:sz w:val="22"/>
          <w:szCs w:val="22"/>
        </w:rPr>
        <w:t xml:space="preserve"> affected allocation of pipeline funds, of which </w:t>
      </w:r>
      <w:r w:rsidR="000E0EFE" w:rsidRPr="000F3C85">
        <w:rPr>
          <w:rFonts w:ascii="Arial" w:hAnsi="Arial" w:cs="Arial"/>
          <w:sz w:val="22"/>
          <w:szCs w:val="22"/>
        </w:rPr>
        <w:t>43</w:t>
      </w:r>
      <w:r w:rsidR="005D6B6D" w:rsidRPr="000F3C85">
        <w:rPr>
          <w:rFonts w:ascii="Arial" w:hAnsi="Arial" w:cs="Arial"/>
          <w:sz w:val="22"/>
          <w:szCs w:val="22"/>
        </w:rPr>
        <w:t xml:space="preserve">% </w:t>
      </w:r>
      <w:r w:rsidR="000E0EFE" w:rsidRPr="000F3C85">
        <w:rPr>
          <w:rFonts w:ascii="Arial" w:hAnsi="Arial" w:cs="Arial"/>
          <w:sz w:val="22"/>
          <w:szCs w:val="22"/>
        </w:rPr>
        <w:t>went</w:t>
      </w:r>
      <w:r w:rsidR="005D6B6D" w:rsidRPr="000F3C85">
        <w:rPr>
          <w:rFonts w:ascii="Arial" w:hAnsi="Arial" w:cs="Arial"/>
          <w:sz w:val="22"/>
          <w:szCs w:val="22"/>
        </w:rPr>
        <w:t xml:space="preserve"> to sub-Saharan Africa</w:t>
      </w:r>
      <w:r w:rsidR="000E0EFE" w:rsidRPr="000F3C85">
        <w:rPr>
          <w:rFonts w:ascii="Arial" w:hAnsi="Arial" w:cs="Arial"/>
          <w:sz w:val="22"/>
          <w:szCs w:val="22"/>
        </w:rPr>
        <w:t>n contexts between 2017 and 2019</w:t>
      </w:r>
      <w:r w:rsidR="00C34F3E" w:rsidRPr="000F3C85">
        <w:rPr>
          <w:rFonts w:ascii="Arial" w:hAnsi="Arial" w:cs="Arial"/>
          <w:sz w:val="22"/>
          <w:szCs w:val="22"/>
        </w:rPr>
        <w:t xml:space="preserve">, including nine countries </w:t>
      </w:r>
      <w:r w:rsidR="00C34F3E" w:rsidRPr="005E4208">
        <w:rPr>
          <w:rFonts w:ascii="Arial" w:hAnsi="Arial" w:cs="Arial"/>
          <w:sz w:val="22"/>
          <w:szCs w:val="22"/>
          <w:u w:val="single"/>
        </w:rPr>
        <w:t>not</w:t>
      </w:r>
      <w:r w:rsidR="00C34F3E" w:rsidRPr="000F3C85">
        <w:rPr>
          <w:rFonts w:ascii="Arial" w:hAnsi="Arial" w:cs="Arial"/>
          <w:sz w:val="22"/>
          <w:szCs w:val="22"/>
        </w:rPr>
        <w:t xml:space="preserve"> on the GP priority list</w:t>
      </w:r>
      <w:r w:rsidR="005C7BAF" w:rsidRPr="000F3C85">
        <w:rPr>
          <w:rFonts w:ascii="Arial" w:hAnsi="Arial" w:cs="Arial"/>
          <w:sz w:val="22"/>
          <w:szCs w:val="22"/>
        </w:rPr>
        <w:t xml:space="preserve"> (compared to only 11% for Latin America and the Caribbean)</w:t>
      </w:r>
      <w:r w:rsidR="000E0EFE" w:rsidRPr="000F3C85">
        <w:rPr>
          <w:rFonts w:ascii="Arial" w:hAnsi="Arial" w:cs="Arial"/>
          <w:sz w:val="22"/>
          <w:szCs w:val="22"/>
        </w:rPr>
        <w:t xml:space="preserve">. </w:t>
      </w:r>
      <w:r w:rsidR="005C7BAF" w:rsidRPr="000F3C85">
        <w:rPr>
          <w:rFonts w:ascii="Arial" w:hAnsi="Arial" w:cs="Arial"/>
          <w:sz w:val="22"/>
          <w:szCs w:val="22"/>
        </w:rPr>
        <w:t xml:space="preserve">GP staff highlighted the ongoing difficulty of raising funds for programming in Central America, Eastern Europe, and transition settings such as Sudan. </w:t>
      </w:r>
    </w:p>
    <w:p w14:paraId="79EA6F0A" w14:textId="586F8FAA" w:rsidR="00EC1D6F" w:rsidRPr="000F3C85" w:rsidRDefault="00251E1C" w:rsidP="006F770A">
      <w:pPr>
        <w:spacing w:line="240" w:lineRule="auto"/>
        <w:ind w:left="567" w:right="571"/>
        <w:jc w:val="center"/>
        <w:rPr>
          <w:rFonts w:ascii="Arial" w:hAnsi="Arial" w:cs="Arial"/>
          <w:color w:val="4A66AC" w:themeColor="accent1"/>
          <w:sz w:val="22"/>
          <w:szCs w:val="22"/>
        </w:rPr>
      </w:pPr>
      <w:r>
        <w:rPr>
          <w:rFonts w:ascii="Arial" w:hAnsi="Arial" w:cs="Arial"/>
          <w:i/>
          <w:iCs/>
          <w:color w:val="4A66AC" w:themeColor="accent1"/>
          <w:sz w:val="22"/>
          <w:szCs w:val="22"/>
        </w:rPr>
        <w:t>“</w:t>
      </w:r>
      <w:r w:rsidR="00BB185D" w:rsidRPr="000F3C85">
        <w:rPr>
          <w:rFonts w:ascii="Arial" w:hAnsi="Arial" w:cs="Arial"/>
          <w:i/>
          <w:iCs/>
          <w:color w:val="4A66AC" w:themeColor="accent1"/>
          <w:sz w:val="22"/>
          <w:szCs w:val="22"/>
        </w:rPr>
        <w:t>The p</w:t>
      </w:r>
      <w:r w:rsidR="00EC1D6F" w:rsidRPr="000F3C85">
        <w:rPr>
          <w:rFonts w:ascii="Arial" w:hAnsi="Arial" w:cs="Arial"/>
          <w:i/>
          <w:iCs/>
          <w:color w:val="4A66AC" w:themeColor="accent1"/>
          <w:sz w:val="22"/>
          <w:szCs w:val="22"/>
        </w:rPr>
        <w:t>revention aspect needs attention as well. How can these interventions contribute to prevention of conflicts and violations of human rights? This would generate more sustainability</w:t>
      </w:r>
      <w:r w:rsidR="00BB185D" w:rsidRPr="000F3C85">
        <w:rPr>
          <w:rFonts w:ascii="Arial" w:hAnsi="Arial" w:cs="Arial"/>
          <w:i/>
          <w:iCs/>
          <w:color w:val="4A66AC" w:themeColor="accent1"/>
          <w:sz w:val="22"/>
          <w:szCs w:val="22"/>
        </w:rPr>
        <w:t xml:space="preserve"> for UNDP</w:t>
      </w:r>
      <w:r w:rsidR="00EC1D6F" w:rsidRPr="000F3C85">
        <w:rPr>
          <w:rFonts w:ascii="Arial" w:hAnsi="Arial" w:cs="Arial"/>
          <w:i/>
          <w:iCs/>
          <w:color w:val="4A66AC" w:themeColor="accent1"/>
          <w:sz w:val="22"/>
          <w:szCs w:val="22"/>
        </w:rPr>
        <w:t>.</w:t>
      </w:r>
      <w:r>
        <w:rPr>
          <w:rFonts w:ascii="Arial" w:hAnsi="Arial" w:cs="Arial"/>
          <w:i/>
          <w:iCs/>
          <w:color w:val="4A66AC" w:themeColor="accent1"/>
          <w:sz w:val="22"/>
          <w:szCs w:val="22"/>
        </w:rPr>
        <w:t xml:space="preserve">” ~ </w:t>
      </w:r>
      <w:r w:rsidRPr="000F3C85">
        <w:rPr>
          <w:rFonts w:ascii="Arial" w:hAnsi="Arial" w:cs="Arial"/>
          <w:color w:val="4A66AC" w:themeColor="accent1"/>
          <w:sz w:val="22"/>
          <w:szCs w:val="22"/>
        </w:rPr>
        <w:t>UN entity representative</w:t>
      </w:r>
    </w:p>
    <w:p w14:paraId="3FB02586" w14:textId="77777777" w:rsidR="005E4208" w:rsidRDefault="00C47084" w:rsidP="004563ED">
      <w:pPr>
        <w:spacing w:line="240" w:lineRule="auto"/>
        <w:rPr>
          <w:rFonts w:ascii="Arial" w:hAnsi="Arial" w:cs="Arial"/>
          <w:sz w:val="22"/>
          <w:szCs w:val="22"/>
        </w:rPr>
      </w:pPr>
      <w:r w:rsidRPr="000F3C85">
        <w:rPr>
          <w:rFonts w:ascii="Arial" w:hAnsi="Arial" w:cs="Arial"/>
          <w:sz w:val="22"/>
          <w:szCs w:val="22"/>
        </w:rPr>
        <w:t>Some informants remarked that the GP’s reliance on bilateral donor stabili</w:t>
      </w:r>
      <w:r w:rsidR="005213A6" w:rsidRPr="000F3C85">
        <w:rPr>
          <w:rFonts w:ascii="Arial" w:hAnsi="Arial" w:cs="Arial"/>
          <w:sz w:val="22"/>
          <w:szCs w:val="22"/>
        </w:rPr>
        <w:t>zation</w:t>
      </w:r>
      <w:r w:rsidRPr="000F3C85">
        <w:rPr>
          <w:rFonts w:ascii="Arial" w:hAnsi="Arial" w:cs="Arial"/>
          <w:sz w:val="22"/>
          <w:szCs w:val="22"/>
        </w:rPr>
        <w:t xml:space="preserve"> funds</w:t>
      </w:r>
      <w:r w:rsidR="003827AA" w:rsidRPr="000F3C85">
        <w:rPr>
          <w:rFonts w:ascii="Arial" w:hAnsi="Arial" w:cs="Arial"/>
          <w:sz w:val="22"/>
          <w:szCs w:val="22"/>
        </w:rPr>
        <w:t xml:space="preserve">, which are often short term in nature, </w:t>
      </w:r>
      <w:r w:rsidRPr="000F3C85">
        <w:rPr>
          <w:rFonts w:ascii="Arial" w:hAnsi="Arial" w:cs="Arial"/>
          <w:sz w:val="22"/>
          <w:szCs w:val="22"/>
        </w:rPr>
        <w:t xml:space="preserve">could </w:t>
      </w:r>
      <w:r w:rsidR="00C40798" w:rsidRPr="000F3C85">
        <w:rPr>
          <w:rFonts w:ascii="Arial" w:hAnsi="Arial" w:cs="Arial"/>
          <w:sz w:val="22"/>
          <w:szCs w:val="22"/>
        </w:rPr>
        <w:t>weaken</w:t>
      </w:r>
      <w:r w:rsidRPr="000F3C85">
        <w:rPr>
          <w:rFonts w:ascii="Arial" w:hAnsi="Arial" w:cs="Arial"/>
          <w:sz w:val="22"/>
          <w:szCs w:val="22"/>
        </w:rPr>
        <w:t xml:space="preserve"> the l</w:t>
      </w:r>
      <w:r w:rsidR="00C40798" w:rsidRPr="000F3C85">
        <w:rPr>
          <w:rFonts w:ascii="Arial" w:hAnsi="Arial" w:cs="Arial"/>
          <w:sz w:val="22"/>
          <w:szCs w:val="22"/>
        </w:rPr>
        <w:t>o</w:t>
      </w:r>
      <w:r w:rsidRPr="000F3C85">
        <w:rPr>
          <w:rFonts w:ascii="Arial" w:hAnsi="Arial" w:cs="Arial"/>
          <w:sz w:val="22"/>
          <w:szCs w:val="22"/>
        </w:rPr>
        <w:t xml:space="preserve">nger term development focus that should be backbone of UNDP interventions. </w:t>
      </w:r>
      <w:r w:rsidR="00C40798" w:rsidRPr="000F3C85">
        <w:rPr>
          <w:rFonts w:ascii="Arial" w:hAnsi="Arial" w:cs="Arial"/>
          <w:sz w:val="22"/>
          <w:szCs w:val="22"/>
        </w:rPr>
        <w:t>As mentioned earlier, this type of funding source does imply certain constraints: the limitation to countries affected by crisis or conflict</w:t>
      </w:r>
      <w:r w:rsidR="005D6B6D" w:rsidRPr="000F3C85">
        <w:rPr>
          <w:rFonts w:ascii="Arial" w:hAnsi="Arial" w:cs="Arial"/>
          <w:sz w:val="22"/>
          <w:szCs w:val="22"/>
        </w:rPr>
        <w:t xml:space="preserve"> (especially mission contexts) to the exclusion of others that may have equally important ROLSHR needs</w:t>
      </w:r>
      <w:r w:rsidR="00C40798" w:rsidRPr="000F3C85">
        <w:rPr>
          <w:rFonts w:ascii="Arial" w:hAnsi="Arial" w:cs="Arial"/>
          <w:sz w:val="22"/>
          <w:szCs w:val="22"/>
        </w:rPr>
        <w:t>,</w:t>
      </w:r>
      <w:r w:rsidR="005D6B6D" w:rsidRPr="000F3C85">
        <w:rPr>
          <w:rFonts w:ascii="Arial" w:hAnsi="Arial" w:cs="Arial"/>
          <w:sz w:val="22"/>
          <w:szCs w:val="22"/>
        </w:rPr>
        <w:t xml:space="preserve"> and </w:t>
      </w:r>
      <w:r w:rsidR="00C40798" w:rsidRPr="000F3C85">
        <w:rPr>
          <w:rFonts w:ascii="Arial" w:hAnsi="Arial" w:cs="Arial"/>
          <w:sz w:val="22"/>
          <w:szCs w:val="22"/>
        </w:rPr>
        <w:t xml:space="preserve">the lower priority </w:t>
      </w:r>
      <w:r w:rsidR="005D6B6D" w:rsidRPr="000F3C85">
        <w:rPr>
          <w:rFonts w:ascii="Arial" w:hAnsi="Arial" w:cs="Arial"/>
          <w:sz w:val="22"/>
          <w:szCs w:val="22"/>
        </w:rPr>
        <w:t xml:space="preserve">often </w:t>
      </w:r>
      <w:r w:rsidR="00C40798" w:rsidRPr="000F3C85">
        <w:rPr>
          <w:rFonts w:ascii="Arial" w:hAnsi="Arial" w:cs="Arial"/>
          <w:sz w:val="22"/>
          <w:szCs w:val="22"/>
        </w:rPr>
        <w:t>given to human rights-focused interventions</w:t>
      </w:r>
      <w:r w:rsidR="005D6B6D" w:rsidRPr="000F3C85">
        <w:rPr>
          <w:rFonts w:ascii="Arial" w:hAnsi="Arial" w:cs="Arial"/>
          <w:sz w:val="22"/>
          <w:szCs w:val="22"/>
        </w:rPr>
        <w:t xml:space="preserve"> by donor bodies focused on those contexts. </w:t>
      </w:r>
    </w:p>
    <w:p w14:paraId="2CF1BB03" w14:textId="3DAD62B2" w:rsidR="004844C3" w:rsidRPr="000F3C85" w:rsidRDefault="003827AA" w:rsidP="004563ED">
      <w:pPr>
        <w:spacing w:line="240" w:lineRule="auto"/>
        <w:rPr>
          <w:rFonts w:ascii="Arial" w:eastAsia="Times New Roman" w:hAnsi="Arial" w:cs="Arial"/>
          <w:sz w:val="22"/>
          <w:szCs w:val="22"/>
          <w:lang w:eastAsia="en-CA"/>
        </w:rPr>
      </w:pPr>
      <w:r w:rsidRPr="000F3C85">
        <w:rPr>
          <w:rFonts w:ascii="Arial" w:hAnsi="Arial" w:cs="Arial"/>
          <w:sz w:val="22"/>
          <w:szCs w:val="22"/>
        </w:rPr>
        <w:t xml:space="preserve">Informants at global and country level also emphasized that the short </w:t>
      </w:r>
      <w:r w:rsidR="005213A6" w:rsidRPr="000F3C85">
        <w:rPr>
          <w:rFonts w:ascii="Arial" w:hAnsi="Arial" w:cs="Arial"/>
          <w:sz w:val="22"/>
          <w:szCs w:val="22"/>
        </w:rPr>
        <w:t>duration</w:t>
      </w:r>
      <w:r w:rsidRPr="000F3C85">
        <w:rPr>
          <w:rFonts w:ascii="Arial" w:hAnsi="Arial" w:cs="Arial"/>
          <w:sz w:val="22"/>
          <w:szCs w:val="22"/>
        </w:rPr>
        <w:t xml:space="preserve"> of GP funding support could undermine sustainability of results, especially if catalytic effects cannot be generated quickly. They pointed to the risk that new initiatives in particular will not survive after only one year of seed funding, which could have neutral or even negative effects, and underlined the need for closer ongoing monitoring to generate more learning on this subject. </w:t>
      </w:r>
      <w:r w:rsidR="00714F35" w:rsidRPr="000F3C85">
        <w:rPr>
          <w:rFonts w:ascii="Arial" w:hAnsi="Arial" w:cs="Arial"/>
          <w:sz w:val="22"/>
          <w:szCs w:val="22"/>
        </w:rPr>
        <w:t xml:space="preserve">Informants expressed differing views on whether the </w:t>
      </w:r>
      <w:r w:rsidR="005213A6" w:rsidRPr="000F3C85">
        <w:rPr>
          <w:rFonts w:ascii="Arial" w:hAnsi="Arial" w:cs="Arial"/>
          <w:sz w:val="22"/>
          <w:szCs w:val="22"/>
        </w:rPr>
        <w:t>$500,000 ceiling on</w:t>
      </w:r>
      <w:r w:rsidR="00714F35" w:rsidRPr="000F3C85">
        <w:rPr>
          <w:rFonts w:ascii="Arial" w:hAnsi="Arial" w:cs="Arial"/>
          <w:sz w:val="22"/>
          <w:szCs w:val="22"/>
        </w:rPr>
        <w:t xml:space="preserve"> </w:t>
      </w:r>
      <w:r w:rsidR="005E4208" w:rsidRPr="000F3C85">
        <w:rPr>
          <w:rFonts w:ascii="Arial" w:hAnsi="Arial" w:cs="Arial"/>
          <w:sz w:val="22"/>
          <w:szCs w:val="22"/>
        </w:rPr>
        <w:t xml:space="preserve">GP </w:t>
      </w:r>
      <w:r w:rsidR="005213A6" w:rsidRPr="000F3C85">
        <w:rPr>
          <w:rFonts w:ascii="Arial" w:hAnsi="Arial" w:cs="Arial"/>
          <w:sz w:val="22"/>
          <w:szCs w:val="22"/>
        </w:rPr>
        <w:t xml:space="preserve">annual </w:t>
      </w:r>
      <w:r w:rsidR="00714F35" w:rsidRPr="000F3C85">
        <w:rPr>
          <w:rFonts w:ascii="Arial" w:hAnsi="Arial" w:cs="Arial"/>
          <w:sz w:val="22"/>
          <w:szCs w:val="22"/>
        </w:rPr>
        <w:t>allocat</w:t>
      </w:r>
      <w:r w:rsidR="005213A6" w:rsidRPr="000F3C85">
        <w:rPr>
          <w:rFonts w:ascii="Arial" w:hAnsi="Arial" w:cs="Arial"/>
          <w:sz w:val="22"/>
          <w:szCs w:val="22"/>
        </w:rPr>
        <w:t>ions</w:t>
      </w:r>
      <w:r w:rsidR="00714F35" w:rsidRPr="000F3C85">
        <w:rPr>
          <w:rFonts w:ascii="Arial" w:hAnsi="Arial" w:cs="Arial"/>
          <w:sz w:val="22"/>
          <w:szCs w:val="22"/>
        </w:rPr>
        <w:t xml:space="preserve"> </w:t>
      </w:r>
      <w:r w:rsidR="005213A6" w:rsidRPr="000F3C85">
        <w:rPr>
          <w:rFonts w:ascii="Arial" w:hAnsi="Arial" w:cs="Arial"/>
          <w:sz w:val="22"/>
          <w:szCs w:val="22"/>
        </w:rPr>
        <w:t>was</w:t>
      </w:r>
      <w:r w:rsidR="00714F35" w:rsidRPr="000F3C85">
        <w:rPr>
          <w:rFonts w:ascii="Arial" w:hAnsi="Arial" w:cs="Arial"/>
          <w:sz w:val="22"/>
          <w:szCs w:val="22"/>
        </w:rPr>
        <w:t xml:space="preserve"> positive or negative in terms of sustainability</w:t>
      </w:r>
      <w:r w:rsidR="005213A6" w:rsidRPr="000F3C85">
        <w:rPr>
          <w:rFonts w:ascii="Arial" w:hAnsi="Arial" w:cs="Arial"/>
          <w:sz w:val="22"/>
          <w:szCs w:val="22"/>
        </w:rPr>
        <w:t>, although some advocated for an increase</w:t>
      </w:r>
      <w:r w:rsidR="00714F35" w:rsidRPr="000F3C85">
        <w:rPr>
          <w:rFonts w:ascii="Arial" w:hAnsi="Arial" w:cs="Arial"/>
          <w:sz w:val="22"/>
          <w:szCs w:val="22"/>
        </w:rPr>
        <w:t xml:space="preserve">. </w:t>
      </w:r>
    </w:p>
    <w:p w14:paraId="7D09CE47" w14:textId="482D030D" w:rsidR="00693849" w:rsidRPr="000F3C85" w:rsidRDefault="00244E55" w:rsidP="006F770A">
      <w:pPr>
        <w:pStyle w:val="NormalWeb"/>
        <w:spacing w:before="0" w:beforeAutospacing="0" w:after="120" w:afterAutospacing="0"/>
        <w:ind w:left="567" w:right="571"/>
        <w:jc w:val="center"/>
        <w:textAlignment w:val="baseline"/>
        <w:rPr>
          <w:rFonts w:ascii="Arial" w:hAnsi="Arial" w:cs="Arial"/>
          <w:i/>
          <w:iCs/>
          <w:color w:val="4A66AC" w:themeColor="accent1"/>
          <w:sz w:val="22"/>
          <w:szCs w:val="22"/>
          <w:lang w:val="en-US"/>
        </w:rPr>
      </w:pPr>
      <w:r w:rsidRPr="000F3C85">
        <w:rPr>
          <w:rFonts w:ascii="Arial" w:hAnsi="Arial" w:cs="Arial"/>
          <w:i/>
          <w:iCs/>
          <w:color w:val="4A66AC" w:themeColor="accent1"/>
          <w:sz w:val="22"/>
          <w:szCs w:val="22"/>
          <w:lang w:val="en-US"/>
        </w:rPr>
        <w:t xml:space="preserve">“The </w:t>
      </w:r>
      <w:r w:rsidR="00693849" w:rsidRPr="000F3C85">
        <w:rPr>
          <w:rFonts w:ascii="Arial" w:hAnsi="Arial" w:cs="Arial"/>
          <w:i/>
          <w:iCs/>
          <w:color w:val="4A66AC" w:themeColor="accent1"/>
          <w:sz w:val="22"/>
          <w:szCs w:val="22"/>
          <w:lang w:val="en-US"/>
        </w:rPr>
        <w:t xml:space="preserve">programmatic footprint </w:t>
      </w:r>
      <w:r w:rsidRPr="000F3C85">
        <w:rPr>
          <w:rFonts w:ascii="Arial" w:hAnsi="Arial" w:cs="Arial"/>
          <w:i/>
          <w:iCs/>
          <w:color w:val="4A66AC" w:themeColor="accent1"/>
          <w:sz w:val="22"/>
          <w:szCs w:val="22"/>
          <w:lang w:val="en-US"/>
        </w:rPr>
        <w:t>is a</w:t>
      </w:r>
      <w:r w:rsidR="00693849" w:rsidRPr="000F3C85">
        <w:rPr>
          <w:rFonts w:ascii="Arial" w:hAnsi="Arial" w:cs="Arial"/>
          <w:i/>
          <w:iCs/>
          <w:color w:val="4A66AC" w:themeColor="accent1"/>
          <w:sz w:val="22"/>
          <w:szCs w:val="22"/>
          <w:lang w:val="en-US"/>
        </w:rPr>
        <w:t xml:space="preserve"> bit small, ad hoc, </w:t>
      </w:r>
      <w:r w:rsidRPr="000F3C85">
        <w:rPr>
          <w:rFonts w:ascii="Arial" w:hAnsi="Arial" w:cs="Arial"/>
          <w:i/>
          <w:iCs/>
          <w:color w:val="4A66AC" w:themeColor="accent1"/>
          <w:sz w:val="22"/>
          <w:szCs w:val="22"/>
          <w:lang w:val="en-US"/>
        </w:rPr>
        <w:t xml:space="preserve">with </w:t>
      </w:r>
      <w:r w:rsidR="00693849" w:rsidRPr="000F3C85">
        <w:rPr>
          <w:rFonts w:ascii="Arial" w:hAnsi="Arial" w:cs="Arial"/>
          <w:i/>
          <w:iCs/>
          <w:color w:val="4A66AC" w:themeColor="accent1"/>
          <w:sz w:val="22"/>
          <w:szCs w:val="22"/>
          <w:lang w:val="en-US"/>
        </w:rPr>
        <w:t>islands of projects in various countries</w:t>
      </w:r>
      <w:r w:rsidRPr="000F3C85">
        <w:rPr>
          <w:rFonts w:ascii="Arial" w:hAnsi="Arial" w:cs="Arial"/>
          <w:i/>
          <w:iCs/>
          <w:color w:val="4A66AC" w:themeColor="accent1"/>
          <w:sz w:val="22"/>
          <w:szCs w:val="22"/>
          <w:lang w:val="en-US"/>
        </w:rPr>
        <w:t xml:space="preserve">; it is </w:t>
      </w:r>
      <w:r w:rsidR="00693849" w:rsidRPr="000F3C85">
        <w:rPr>
          <w:rFonts w:ascii="Arial" w:hAnsi="Arial" w:cs="Arial"/>
          <w:i/>
          <w:iCs/>
          <w:color w:val="4A66AC" w:themeColor="accent1"/>
          <w:sz w:val="22"/>
          <w:szCs w:val="22"/>
          <w:lang w:val="en-US"/>
        </w:rPr>
        <w:t xml:space="preserve">difficult to see how GP can contribute to long-term results with such small funds </w:t>
      </w:r>
      <w:r w:rsidRPr="000F3C85">
        <w:rPr>
          <w:rFonts w:ascii="Arial" w:hAnsi="Arial" w:cs="Arial"/>
          <w:i/>
          <w:iCs/>
          <w:color w:val="4A66AC" w:themeColor="accent1"/>
          <w:sz w:val="22"/>
          <w:szCs w:val="22"/>
          <w:lang w:val="en-US"/>
        </w:rPr>
        <w:t>of one year duration.”</w:t>
      </w:r>
      <w:r w:rsidR="00C61989">
        <w:rPr>
          <w:rFonts w:ascii="Arial" w:hAnsi="Arial" w:cs="Arial"/>
          <w:i/>
          <w:iCs/>
          <w:color w:val="4A66AC" w:themeColor="accent1"/>
          <w:sz w:val="22"/>
          <w:szCs w:val="22"/>
          <w:lang w:val="en-US"/>
        </w:rPr>
        <w:t xml:space="preserve"> ~</w:t>
      </w:r>
      <w:r w:rsidR="00C61989" w:rsidRPr="00C61989">
        <w:rPr>
          <w:rFonts w:ascii="Arial" w:hAnsi="Arial" w:cs="Arial"/>
          <w:color w:val="4A66AC" w:themeColor="accent1"/>
          <w:sz w:val="22"/>
          <w:szCs w:val="22"/>
          <w:lang w:val="en-US"/>
        </w:rPr>
        <w:t xml:space="preserve"> </w:t>
      </w:r>
      <w:r w:rsidR="00C61989" w:rsidRPr="000F3C85">
        <w:rPr>
          <w:rFonts w:ascii="Arial" w:hAnsi="Arial" w:cs="Arial"/>
          <w:color w:val="4A66AC" w:themeColor="accent1"/>
          <w:sz w:val="22"/>
          <w:szCs w:val="22"/>
          <w:lang w:val="en-US"/>
        </w:rPr>
        <w:t>GP funding partner</w:t>
      </w:r>
    </w:p>
    <w:p w14:paraId="2660F85B" w14:textId="1AB49772" w:rsidR="00714F35" w:rsidRPr="000F3C85" w:rsidRDefault="00714F35" w:rsidP="006F770A">
      <w:pPr>
        <w:spacing w:line="240" w:lineRule="auto"/>
        <w:ind w:left="567" w:right="571"/>
        <w:jc w:val="center"/>
        <w:rPr>
          <w:rFonts w:ascii="Arial" w:hAnsi="Arial" w:cs="Arial"/>
          <w:i/>
          <w:iCs/>
          <w:color w:val="4A66AC" w:themeColor="accent1"/>
          <w:sz w:val="22"/>
          <w:szCs w:val="22"/>
        </w:rPr>
      </w:pPr>
      <w:r w:rsidRPr="000F3C85">
        <w:rPr>
          <w:rFonts w:ascii="Arial" w:hAnsi="Arial" w:cs="Arial"/>
          <w:i/>
          <w:iCs/>
          <w:color w:val="4A66AC" w:themeColor="accent1"/>
          <w:sz w:val="22"/>
          <w:szCs w:val="22"/>
        </w:rPr>
        <w:t>“The (Global Programme) approach is quite efficient. It is more sustainable than throwing a lot of money at a project; donors establish many things in that way that do not last.”</w:t>
      </w:r>
      <w:r w:rsidR="00251E1C">
        <w:rPr>
          <w:rFonts w:ascii="Arial" w:hAnsi="Arial" w:cs="Arial"/>
          <w:i/>
          <w:iCs/>
          <w:color w:val="4A66AC" w:themeColor="accent1"/>
          <w:sz w:val="22"/>
          <w:szCs w:val="22"/>
        </w:rPr>
        <w:t xml:space="preserve"> ~ </w:t>
      </w:r>
      <w:r w:rsidR="00251E1C" w:rsidRPr="000F3C85">
        <w:rPr>
          <w:rFonts w:ascii="Arial" w:hAnsi="Arial" w:cs="Arial"/>
          <w:color w:val="4A66AC" w:themeColor="accent1"/>
          <w:sz w:val="22"/>
          <w:szCs w:val="22"/>
        </w:rPr>
        <w:t>UN entity representative</w:t>
      </w:r>
    </w:p>
    <w:p w14:paraId="2F4F50C3" w14:textId="0AAF7C79" w:rsidR="001D1769" w:rsidRDefault="001D1769" w:rsidP="001D1769">
      <w:pPr>
        <w:rPr>
          <w:rFonts w:ascii="Arial" w:hAnsi="Arial" w:cs="Arial"/>
          <w:i/>
          <w:iCs/>
        </w:rPr>
      </w:pPr>
    </w:p>
    <w:p w14:paraId="7E0F9ED5" w14:textId="5837AED3" w:rsidR="00827A19" w:rsidRPr="002272B6" w:rsidRDefault="006F770A" w:rsidP="002272B6">
      <w:pPr>
        <w:pBdr>
          <w:top w:val="nil"/>
          <w:left w:val="nil"/>
          <w:bottom w:val="nil"/>
          <w:right w:val="nil"/>
          <w:between w:val="nil"/>
        </w:pBdr>
        <w:shd w:val="clear" w:color="auto" w:fill="C0D7EC" w:themeFill="accent2" w:themeFillTint="66"/>
        <w:jc w:val="center"/>
        <w:rPr>
          <w:rFonts w:ascii="Arial" w:hAnsi="Arial" w:cs="Arial"/>
          <w:b/>
          <w:bCs/>
          <w:sz w:val="24"/>
          <w:szCs w:val="24"/>
        </w:rPr>
      </w:pPr>
      <w:r w:rsidRPr="002272B6">
        <w:rPr>
          <w:rFonts w:ascii="Arial" w:hAnsi="Arial" w:cs="Arial"/>
          <w:b/>
          <w:bCs/>
          <w:sz w:val="24"/>
          <w:szCs w:val="24"/>
        </w:rPr>
        <w:t>Spotlight on</w:t>
      </w:r>
      <w:r w:rsidR="00827A19" w:rsidRPr="002272B6">
        <w:rPr>
          <w:rFonts w:ascii="Arial" w:hAnsi="Arial" w:cs="Arial"/>
          <w:b/>
          <w:bCs/>
          <w:sz w:val="24"/>
          <w:szCs w:val="24"/>
        </w:rPr>
        <w:t xml:space="preserve"> INL</w:t>
      </w:r>
    </w:p>
    <w:p w14:paraId="384D3DBA" w14:textId="76054355" w:rsidR="00827A19" w:rsidRPr="00A342AD" w:rsidRDefault="00827A19" w:rsidP="00827A19">
      <w:pPr>
        <w:pBdr>
          <w:top w:val="nil"/>
          <w:left w:val="nil"/>
          <w:bottom w:val="nil"/>
          <w:right w:val="nil"/>
          <w:between w:val="nil"/>
        </w:pBdr>
        <w:shd w:val="clear" w:color="auto" w:fill="C0D7EC" w:themeFill="accent2" w:themeFillTint="66"/>
        <w:rPr>
          <w:rFonts w:ascii="Arial" w:hAnsi="Arial" w:cs="Arial"/>
        </w:rPr>
      </w:pPr>
      <w:r w:rsidRPr="00A342AD">
        <w:rPr>
          <w:rFonts w:ascii="Arial" w:hAnsi="Arial" w:cs="Arial"/>
        </w:rPr>
        <w:t>The evaluat</w:t>
      </w:r>
      <w:r>
        <w:rPr>
          <w:rFonts w:ascii="Arial" w:hAnsi="Arial" w:cs="Arial"/>
        </w:rPr>
        <w:t>ors</w:t>
      </w:r>
      <w:r w:rsidRPr="00A342AD">
        <w:rPr>
          <w:rFonts w:ascii="Arial" w:hAnsi="Arial" w:cs="Arial"/>
        </w:rPr>
        <w:t xml:space="preserve"> made a specific point of enquiring into the “efficiencies and synergies, negative and unintended consequences” of the Programme’s relationship with </w:t>
      </w:r>
      <w:r w:rsidR="00772F62">
        <w:rPr>
          <w:rFonts w:ascii="Arial" w:hAnsi="Arial" w:cs="Arial"/>
        </w:rPr>
        <w:t>INL (</w:t>
      </w:r>
      <w:r w:rsidRPr="00A342AD">
        <w:rPr>
          <w:rFonts w:ascii="Arial" w:hAnsi="Arial" w:cs="Arial"/>
        </w:rPr>
        <w:t xml:space="preserve">the Bureau </w:t>
      </w:r>
      <w:r>
        <w:rPr>
          <w:rFonts w:ascii="Arial" w:hAnsi="Arial" w:cs="Arial"/>
        </w:rPr>
        <w:t xml:space="preserve">of </w:t>
      </w:r>
      <w:r w:rsidRPr="00A342AD">
        <w:rPr>
          <w:rFonts w:ascii="Arial" w:hAnsi="Arial" w:cs="Arial"/>
        </w:rPr>
        <w:t xml:space="preserve">International Narcotics and Law Enforcement </w:t>
      </w:r>
      <w:r w:rsidR="00772F62">
        <w:rPr>
          <w:rFonts w:ascii="Arial" w:hAnsi="Arial" w:cs="Arial"/>
        </w:rPr>
        <w:t xml:space="preserve">Affairs </w:t>
      </w:r>
      <w:r w:rsidRPr="00A342AD">
        <w:rPr>
          <w:rFonts w:ascii="Arial" w:hAnsi="Arial" w:cs="Arial"/>
        </w:rPr>
        <w:t xml:space="preserve">of the </w:t>
      </w:r>
      <w:r w:rsidR="00772F62">
        <w:rPr>
          <w:rFonts w:ascii="Arial" w:hAnsi="Arial" w:cs="Arial"/>
        </w:rPr>
        <w:t>U.S.</w:t>
      </w:r>
      <w:r w:rsidRPr="00A342AD">
        <w:rPr>
          <w:rFonts w:ascii="Arial" w:hAnsi="Arial" w:cs="Arial"/>
        </w:rPr>
        <w:t xml:space="preserve"> Department of State</w:t>
      </w:r>
      <w:r w:rsidR="00772F62">
        <w:rPr>
          <w:rFonts w:ascii="Arial" w:hAnsi="Arial" w:cs="Arial"/>
        </w:rPr>
        <w:t>)</w:t>
      </w:r>
      <w:r w:rsidRPr="00A342AD">
        <w:rPr>
          <w:rFonts w:ascii="Arial" w:hAnsi="Arial" w:cs="Arial"/>
        </w:rPr>
        <w:t xml:space="preserve">, as mandated by the </w:t>
      </w:r>
      <w:r>
        <w:rPr>
          <w:rFonts w:ascii="Arial" w:hAnsi="Arial" w:cs="Arial"/>
        </w:rPr>
        <w:t xml:space="preserve">evaluation </w:t>
      </w:r>
      <w:r w:rsidRPr="00A342AD">
        <w:rPr>
          <w:rFonts w:ascii="Arial" w:hAnsi="Arial" w:cs="Arial"/>
        </w:rPr>
        <w:t xml:space="preserve">TOR. Study of this aspect of the GP was supported by interviews at headquarters and country case study levels, as well as limited document review. </w:t>
      </w:r>
    </w:p>
    <w:p w14:paraId="0645D53A" w14:textId="77777777" w:rsidR="00827A19" w:rsidRPr="00C72FB9" w:rsidRDefault="00827A19" w:rsidP="00827A19">
      <w:pPr>
        <w:pBdr>
          <w:top w:val="nil"/>
          <w:left w:val="nil"/>
          <w:bottom w:val="nil"/>
          <w:right w:val="nil"/>
          <w:between w:val="nil"/>
        </w:pBdr>
        <w:shd w:val="clear" w:color="auto" w:fill="C0D7EC" w:themeFill="accent2" w:themeFillTint="66"/>
        <w:rPr>
          <w:rFonts w:ascii="Arial" w:hAnsi="Arial" w:cs="Arial"/>
        </w:rPr>
      </w:pPr>
      <w:r w:rsidRPr="00A342AD">
        <w:rPr>
          <w:rFonts w:ascii="Arial" w:hAnsi="Arial" w:cs="Arial"/>
        </w:rPr>
        <w:t>According to its website, the INL mission is “to keep Americans safe by countering crime, illegal drugs, and instability abroad”.</w:t>
      </w:r>
      <w:r w:rsidRPr="00863B58">
        <w:rPr>
          <w:rStyle w:val="FootnoteReference"/>
          <w:rFonts w:ascii="Arial" w:hAnsi="Arial" w:cs="Arial"/>
        </w:rPr>
        <w:t xml:space="preserve"> </w:t>
      </w:r>
      <w:r w:rsidRPr="00A342AD">
        <w:rPr>
          <w:rStyle w:val="FootnoteReference"/>
          <w:rFonts w:ascii="Arial" w:hAnsi="Arial" w:cs="Arial"/>
        </w:rPr>
        <w:footnoteReference w:id="17"/>
      </w:r>
      <w:r w:rsidRPr="00A342AD">
        <w:rPr>
          <w:rFonts w:ascii="Arial" w:hAnsi="Arial" w:cs="Arial"/>
        </w:rPr>
        <w:t xml:space="preserve"> </w:t>
      </w:r>
      <w:r>
        <w:rPr>
          <w:rFonts w:ascii="Arial" w:hAnsi="Arial" w:cs="Arial"/>
        </w:rPr>
        <w:t xml:space="preserve">Staffed to a considerable extent by law enforcement professionals, the </w:t>
      </w:r>
      <w:r w:rsidRPr="00C72FB9">
        <w:rPr>
          <w:rFonts w:ascii="Arial" w:hAnsi="Arial" w:cs="Arial"/>
        </w:rPr>
        <w:t xml:space="preserve">bureau supports a wide range of interventions around the world. They often contract U.S. American or international agencies—including UNDP—with presence in the field to implement related activities. In the past, the practice was for INL to contract directly with UNDP Country Offices, but this was considered by INL management as cumbersome and time-consuming, especially in terms of reporting. </w:t>
      </w:r>
    </w:p>
    <w:p w14:paraId="4011BE94" w14:textId="348499E5" w:rsidR="00827A19" w:rsidRPr="00C72FB9" w:rsidRDefault="00827A19" w:rsidP="00827A19">
      <w:pPr>
        <w:pBdr>
          <w:top w:val="nil"/>
          <w:left w:val="nil"/>
          <w:bottom w:val="nil"/>
          <w:right w:val="nil"/>
          <w:between w:val="nil"/>
        </w:pBdr>
        <w:shd w:val="clear" w:color="auto" w:fill="C0D7EC" w:themeFill="accent2" w:themeFillTint="66"/>
        <w:rPr>
          <w:rFonts w:ascii="Arial" w:hAnsi="Arial" w:cs="Arial"/>
          <w:sz w:val="24"/>
          <w:szCs w:val="24"/>
        </w:rPr>
      </w:pPr>
      <w:r w:rsidRPr="00C72FB9">
        <w:rPr>
          <w:rFonts w:ascii="Arial" w:hAnsi="Arial" w:cs="Arial"/>
        </w:rPr>
        <w:t>This situation led INL to seek a more streamlined modality for these funding streams</w:t>
      </w:r>
      <w:r w:rsidRPr="00480448">
        <w:rPr>
          <w:rFonts w:ascii="Arial" w:hAnsi="Arial" w:cs="Arial"/>
        </w:rPr>
        <w:t>. Since 201</w:t>
      </w:r>
      <w:r w:rsidR="00A85B1B" w:rsidRPr="00480448">
        <w:rPr>
          <w:rFonts w:ascii="Arial" w:hAnsi="Arial" w:cs="Arial"/>
        </w:rPr>
        <w:t>6</w:t>
      </w:r>
      <w:r w:rsidRPr="00480448">
        <w:rPr>
          <w:rFonts w:ascii="Arial" w:hAnsi="Arial" w:cs="Arial"/>
        </w:rPr>
        <w:t>, UNDP</w:t>
      </w:r>
      <w:r w:rsidRPr="00C72FB9">
        <w:rPr>
          <w:rFonts w:ascii="Arial" w:hAnsi="Arial" w:cs="Arial"/>
        </w:rPr>
        <w:t xml:space="preserve"> and INL have implemented an agreement whereby INL can channel unlimited amounts to UNDP Country Offices through the Global Programme. This arrangement is not described in the Prodoc or detailed in annual reports (other than financial annexes that list donor contributions and contexts where INL funds were channeled), but it plays an important role in the GP’s ongoing operations. Between 2016 and 2019, INL funding amounted to more than $63 million, constituting around 50% of annual donor contributions to the Global Programme. </w:t>
      </w:r>
    </w:p>
    <w:p w14:paraId="03C90990" w14:textId="19B91759" w:rsidR="00827A19" w:rsidRDefault="00827A19" w:rsidP="00827A19">
      <w:pPr>
        <w:pBdr>
          <w:top w:val="nil"/>
          <w:left w:val="nil"/>
          <w:bottom w:val="nil"/>
          <w:right w:val="nil"/>
          <w:between w:val="nil"/>
        </w:pBdr>
        <w:shd w:val="clear" w:color="auto" w:fill="C0D7EC" w:themeFill="accent2" w:themeFillTint="66"/>
        <w:rPr>
          <w:rFonts w:ascii="Arial" w:hAnsi="Arial" w:cs="Arial"/>
        </w:rPr>
      </w:pPr>
      <w:r w:rsidRPr="00C72FB9">
        <w:rPr>
          <w:rFonts w:ascii="Arial" w:hAnsi="Arial" w:cs="Arial"/>
        </w:rPr>
        <w:t xml:space="preserve">Essentially, the GP provides </w:t>
      </w:r>
      <w:r w:rsidRPr="00480448">
        <w:rPr>
          <w:rFonts w:ascii="Arial" w:hAnsi="Arial" w:cs="Arial"/>
        </w:rPr>
        <w:t xml:space="preserve">financial and oversight services, and ensures INL reporting and other regulatory requirements are met by the implementing Country Offices. </w:t>
      </w:r>
      <w:r w:rsidR="00D61A32" w:rsidRPr="00480448">
        <w:rPr>
          <w:rFonts w:ascii="Arial" w:hAnsi="Arial" w:cs="Arial"/>
        </w:rPr>
        <w:t xml:space="preserve">INL </w:t>
      </w:r>
      <w:r w:rsidRPr="00480448">
        <w:rPr>
          <w:rFonts w:ascii="Arial" w:hAnsi="Arial" w:cs="Arial"/>
        </w:rPr>
        <w:t xml:space="preserve">pays </w:t>
      </w:r>
      <w:r w:rsidR="00D61A32" w:rsidRPr="00480448">
        <w:rPr>
          <w:rFonts w:ascii="Arial" w:hAnsi="Arial" w:cs="Arial"/>
        </w:rPr>
        <w:t xml:space="preserve">the </w:t>
      </w:r>
      <w:r w:rsidRPr="00480448">
        <w:rPr>
          <w:rFonts w:ascii="Arial" w:hAnsi="Arial" w:cs="Arial"/>
        </w:rPr>
        <w:t xml:space="preserve">standard </w:t>
      </w:r>
      <w:r w:rsidR="00BE61B7" w:rsidRPr="00480448">
        <w:rPr>
          <w:rFonts w:ascii="Arial" w:hAnsi="Arial" w:cs="Arial"/>
        </w:rPr>
        <w:t xml:space="preserve">General Management Services (GMS) </w:t>
      </w:r>
      <w:r w:rsidRPr="00480448">
        <w:rPr>
          <w:rFonts w:ascii="Arial" w:hAnsi="Arial" w:cs="Arial"/>
        </w:rPr>
        <w:t>fee of 8% of the amount of funds transferred</w:t>
      </w:r>
      <w:r w:rsidR="008D5C21" w:rsidRPr="00480448">
        <w:rPr>
          <w:rFonts w:ascii="Arial" w:hAnsi="Arial" w:cs="Arial"/>
        </w:rPr>
        <w:t xml:space="preserve">, which is retained at the CO level. </w:t>
      </w:r>
      <w:r w:rsidRPr="00480448">
        <w:rPr>
          <w:rFonts w:ascii="Arial" w:hAnsi="Arial" w:cs="Arial"/>
        </w:rPr>
        <w:t>The GP/ROLSHR team’s involvement in these funding decisions has been highly variable: at times the funds have simply been passed through</w:t>
      </w:r>
      <w:r>
        <w:rPr>
          <w:rFonts w:ascii="Arial" w:hAnsi="Arial" w:cs="Arial"/>
        </w:rPr>
        <w:t xml:space="preserve"> the GP to the Country Office with no discussion or input, especially in the first years of this arrangement or in situations where GP was not actively supporting the funded office/country. However, in some cases there is active consultation between the GP </w:t>
      </w:r>
      <w:r w:rsidRPr="00C72FB9">
        <w:rPr>
          <w:rFonts w:ascii="Arial" w:hAnsi="Arial" w:cs="Arial"/>
        </w:rPr>
        <w:t>team, the Country Office, and the INL decentralized teams who approve new projects in their respective regions. The Programme</w:t>
      </w:r>
      <w:r>
        <w:rPr>
          <w:rFonts w:ascii="Arial" w:hAnsi="Arial" w:cs="Arial"/>
        </w:rPr>
        <w:t xml:space="preserve"> always has the right to refuse to fund a specific intervention, for example if it does not fit the overall objectives of the GP. In a few (exceptional) cases the GP exercised this right. </w:t>
      </w:r>
    </w:p>
    <w:p w14:paraId="52808BF7" w14:textId="301AA2E1" w:rsidR="00827A19" w:rsidRDefault="00827A19" w:rsidP="00827A19">
      <w:pPr>
        <w:pBdr>
          <w:top w:val="nil"/>
          <w:left w:val="nil"/>
          <w:bottom w:val="nil"/>
          <w:right w:val="nil"/>
          <w:between w:val="nil"/>
        </w:pBdr>
        <w:shd w:val="clear" w:color="auto" w:fill="C0D7EC" w:themeFill="accent2" w:themeFillTint="66"/>
        <w:rPr>
          <w:rFonts w:ascii="Arial" w:hAnsi="Arial" w:cs="Arial"/>
        </w:rPr>
      </w:pPr>
      <w:r>
        <w:rPr>
          <w:rFonts w:ascii="Arial" w:hAnsi="Arial" w:cs="Arial"/>
        </w:rPr>
        <w:t>The activities funded by INL via the Global Programme range from construction of police training academies in Pakistan to community security programming in Moldova. The linkages with GP interventions are variable. For example, in Kyrgyzstan, INL was actually co-funder of a judicial reform project with pipeline funding from the GP. In Pakistan, INL intervened to fund infrastructure for enhanced law enforcement in Balochistan while GP supported rule of law development in the same province. In Burkina Faso, INL contributed $1.5 million in 2020 to the SSR project, the CTA of which has been funded by GP. In CAR, INL is the main donor of UNDP’s ROL portfolio. Most of the $</w:t>
      </w:r>
      <w:r w:rsidRPr="00F1743B">
        <w:rPr>
          <w:rFonts w:ascii="Arial" w:hAnsi="Arial" w:cs="Arial"/>
        </w:rPr>
        <w:t>20</w:t>
      </w:r>
      <w:r>
        <w:rPr>
          <w:rFonts w:ascii="Arial" w:hAnsi="Arial" w:cs="Arial"/>
        </w:rPr>
        <w:t xml:space="preserve"> </w:t>
      </w:r>
      <w:r w:rsidRPr="00F1743B">
        <w:rPr>
          <w:rFonts w:ascii="Arial" w:hAnsi="Arial" w:cs="Arial"/>
        </w:rPr>
        <w:t>m</w:t>
      </w:r>
      <w:r>
        <w:rPr>
          <w:rFonts w:ascii="Arial" w:hAnsi="Arial" w:cs="Arial"/>
        </w:rPr>
        <w:t>illion</w:t>
      </w:r>
      <w:r w:rsidRPr="00F1743B">
        <w:rPr>
          <w:rFonts w:ascii="Arial" w:hAnsi="Arial" w:cs="Arial"/>
        </w:rPr>
        <w:t xml:space="preserve"> </w:t>
      </w:r>
      <w:r>
        <w:rPr>
          <w:rFonts w:ascii="Arial" w:hAnsi="Arial" w:cs="Arial"/>
        </w:rPr>
        <w:t>received in the past six years was spent on</w:t>
      </w:r>
      <w:r w:rsidRPr="00F1743B">
        <w:rPr>
          <w:rFonts w:ascii="Arial" w:hAnsi="Arial" w:cs="Arial"/>
        </w:rPr>
        <w:t xml:space="preserve"> hard infrastructure </w:t>
      </w:r>
      <w:r>
        <w:rPr>
          <w:rFonts w:ascii="Arial" w:hAnsi="Arial" w:cs="Arial"/>
        </w:rPr>
        <w:t>including buildings, equipment</w:t>
      </w:r>
      <w:r w:rsidR="00836367">
        <w:rPr>
          <w:rFonts w:ascii="Arial" w:hAnsi="Arial" w:cs="Arial"/>
        </w:rPr>
        <w:t>,</w:t>
      </w:r>
      <w:r>
        <w:rPr>
          <w:rFonts w:ascii="Arial" w:hAnsi="Arial" w:cs="Arial"/>
        </w:rPr>
        <w:t xml:space="preserve"> and vehicles, whereas UNDP used</w:t>
      </w:r>
      <w:r w:rsidRPr="00F1743B">
        <w:rPr>
          <w:rFonts w:ascii="Arial" w:hAnsi="Arial" w:cs="Arial"/>
        </w:rPr>
        <w:t xml:space="preserve"> PBF </w:t>
      </w:r>
      <w:r>
        <w:rPr>
          <w:rFonts w:ascii="Arial" w:hAnsi="Arial" w:cs="Arial"/>
        </w:rPr>
        <w:t xml:space="preserve">funding to cover “soft” aspects like </w:t>
      </w:r>
      <w:r w:rsidRPr="00F1743B">
        <w:rPr>
          <w:rFonts w:ascii="Arial" w:hAnsi="Arial" w:cs="Arial"/>
        </w:rPr>
        <w:t>legal aid clinic</w:t>
      </w:r>
      <w:r>
        <w:rPr>
          <w:rFonts w:ascii="Arial" w:hAnsi="Arial" w:cs="Arial"/>
        </w:rPr>
        <w:t>s</w:t>
      </w:r>
      <w:r w:rsidRPr="00F1743B">
        <w:rPr>
          <w:rFonts w:ascii="Arial" w:hAnsi="Arial" w:cs="Arial"/>
        </w:rPr>
        <w:t>,</w:t>
      </w:r>
      <w:r>
        <w:rPr>
          <w:rFonts w:ascii="Arial" w:hAnsi="Arial" w:cs="Arial"/>
        </w:rPr>
        <w:t xml:space="preserve"> capacity development and sensitization. Financing offered to build a</w:t>
      </w:r>
      <w:r w:rsidRPr="00F1743B">
        <w:rPr>
          <w:rFonts w:ascii="Arial" w:hAnsi="Arial" w:cs="Arial"/>
        </w:rPr>
        <w:t xml:space="preserve"> shooting range for the police </w:t>
      </w:r>
      <w:r>
        <w:rPr>
          <w:rFonts w:ascii="Arial" w:hAnsi="Arial" w:cs="Arial"/>
        </w:rPr>
        <w:t xml:space="preserve">was rejected by UNDP since not aligned with the CO’s </w:t>
      </w:r>
      <w:r w:rsidRPr="00F1743B">
        <w:rPr>
          <w:rFonts w:ascii="Arial" w:hAnsi="Arial" w:cs="Arial"/>
        </w:rPr>
        <w:t>priorities</w:t>
      </w:r>
      <w:r>
        <w:rPr>
          <w:rFonts w:ascii="Arial" w:hAnsi="Arial" w:cs="Arial"/>
        </w:rPr>
        <w:t>.</w:t>
      </w:r>
    </w:p>
    <w:p w14:paraId="2886547B" w14:textId="77777777" w:rsidR="00827A19" w:rsidRDefault="00827A19" w:rsidP="00827A19">
      <w:pPr>
        <w:pBdr>
          <w:top w:val="nil"/>
          <w:left w:val="nil"/>
          <w:bottom w:val="nil"/>
          <w:right w:val="nil"/>
          <w:between w:val="nil"/>
        </w:pBdr>
        <w:shd w:val="clear" w:color="auto" w:fill="C0D7EC" w:themeFill="accent2" w:themeFillTint="66"/>
        <w:rPr>
          <w:rFonts w:ascii="Arial" w:hAnsi="Arial" w:cs="Arial"/>
        </w:rPr>
      </w:pPr>
      <w:r>
        <w:rPr>
          <w:rFonts w:ascii="Arial" w:hAnsi="Arial" w:cs="Arial"/>
        </w:rPr>
        <w:t xml:space="preserve">Informants </w:t>
      </w:r>
      <w:r w:rsidRPr="00C72FB9">
        <w:rPr>
          <w:rFonts w:ascii="Arial" w:hAnsi="Arial" w:cs="Arial"/>
        </w:rPr>
        <w:t>highlighted that the INL funding was in many situations meeting needs recognized by the ROLSHR team (in country and/or at headquarters/regional level), and thereby</w:t>
      </w:r>
      <w:r>
        <w:rPr>
          <w:rFonts w:ascii="Arial" w:hAnsi="Arial" w:cs="Arial"/>
        </w:rPr>
        <w:t xml:space="preserve"> allowing the GP to use its limited resources for other purposes in the same or other contexts. On the other hand, the GP has no “official” influence over the use of INL funds, and thus cannot always apply its internal expertise to assess these interventions, although each has been agreed upon by the Country Office in question. Given the annual volume of funding (see below), it would be difficult for the ROLSHR team to effectively engage in these decisions on a consistent basis. The risk is that the team enables programming that is not aligned with best practices, or otherwise unsuitable. </w:t>
      </w:r>
    </w:p>
    <w:p w14:paraId="513068E6" w14:textId="36DBD0F6" w:rsidR="006F770A" w:rsidRDefault="00C61989" w:rsidP="006F770A">
      <w:pPr>
        <w:pBdr>
          <w:top w:val="nil"/>
          <w:left w:val="nil"/>
          <w:bottom w:val="nil"/>
          <w:right w:val="nil"/>
          <w:between w:val="nil"/>
        </w:pBdr>
        <w:shd w:val="clear" w:color="auto" w:fill="C0D7EC" w:themeFill="accent2" w:themeFillTint="66"/>
        <w:spacing w:after="0"/>
        <w:jc w:val="center"/>
        <w:rPr>
          <w:rFonts w:ascii="Arial" w:hAnsi="Arial" w:cs="Arial"/>
          <w:i/>
          <w:iCs/>
          <w:color w:val="4A66AC" w:themeColor="accent1"/>
          <w:lang w:val="en-US"/>
        </w:rPr>
      </w:pPr>
      <w:r>
        <w:rPr>
          <w:rFonts w:ascii="Arial" w:hAnsi="Arial" w:cs="Arial"/>
          <w:i/>
          <w:iCs/>
          <w:color w:val="4A66AC" w:themeColor="accent1"/>
          <w:lang w:val="en-US"/>
        </w:rPr>
        <w:t>“</w:t>
      </w:r>
      <w:r w:rsidR="00827A19" w:rsidRPr="00827A19">
        <w:rPr>
          <w:rFonts w:ascii="Arial" w:hAnsi="Arial" w:cs="Arial"/>
          <w:i/>
          <w:iCs/>
          <w:color w:val="4A66AC" w:themeColor="accent1"/>
          <w:lang w:val="en-US"/>
        </w:rPr>
        <w:t xml:space="preserve">There are no SOPs on how to ensure joint programming </w:t>
      </w:r>
    </w:p>
    <w:p w14:paraId="00240EDF" w14:textId="0CE1699D" w:rsidR="00827A19" w:rsidRDefault="00827A19" w:rsidP="00827A19">
      <w:pPr>
        <w:pBdr>
          <w:top w:val="nil"/>
          <w:left w:val="nil"/>
          <w:bottom w:val="nil"/>
          <w:right w:val="nil"/>
          <w:between w:val="nil"/>
        </w:pBdr>
        <w:shd w:val="clear" w:color="auto" w:fill="C0D7EC" w:themeFill="accent2" w:themeFillTint="66"/>
        <w:jc w:val="center"/>
        <w:rPr>
          <w:rFonts w:ascii="Arial" w:hAnsi="Arial" w:cs="Arial"/>
          <w:i/>
          <w:iCs/>
          <w:color w:val="4A66AC" w:themeColor="accent1"/>
          <w:lang w:val="en-US"/>
        </w:rPr>
      </w:pPr>
      <w:r w:rsidRPr="00827A19">
        <w:rPr>
          <w:rFonts w:ascii="Arial" w:hAnsi="Arial" w:cs="Arial"/>
          <w:i/>
          <w:iCs/>
          <w:color w:val="4A66AC" w:themeColor="accent1"/>
          <w:lang w:val="en-US"/>
        </w:rPr>
        <w:t>or complementarity of INL vs. non-INL funds</w:t>
      </w:r>
      <w:r w:rsidR="00C61989">
        <w:rPr>
          <w:rFonts w:ascii="Arial" w:hAnsi="Arial" w:cs="Arial"/>
          <w:i/>
          <w:iCs/>
          <w:color w:val="4A66AC" w:themeColor="accent1"/>
          <w:lang w:val="en-US"/>
        </w:rPr>
        <w:t xml:space="preserve">” ~ </w:t>
      </w:r>
      <w:r w:rsidR="00C61989" w:rsidRPr="00827A19">
        <w:rPr>
          <w:rFonts w:ascii="Arial" w:hAnsi="Arial" w:cs="Arial"/>
          <w:color w:val="4A66AC" w:themeColor="accent1"/>
        </w:rPr>
        <w:t>ROLSHR team member</w:t>
      </w:r>
    </w:p>
    <w:p w14:paraId="3EE45951" w14:textId="7A314087" w:rsidR="00827A19" w:rsidRPr="00BB6711" w:rsidRDefault="00827A19" w:rsidP="00827A19">
      <w:pPr>
        <w:pBdr>
          <w:top w:val="nil"/>
          <w:left w:val="nil"/>
          <w:bottom w:val="nil"/>
          <w:right w:val="nil"/>
          <w:between w:val="nil"/>
        </w:pBdr>
        <w:shd w:val="clear" w:color="auto" w:fill="C0D7EC" w:themeFill="accent2" w:themeFillTint="66"/>
        <w:rPr>
          <w:rFonts w:ascii="Arial" w:hAnsi="Arial" w:cs="Arial"/>
          <w:sz w:val="24"/>
          <w:szCs w:val="24"/>
        </w:rPr>
      </w:pPr>
      <w:r>
        <w:rPr>
          <w:rFonts w:ascii="Arial" w:hAnsi="Arial" w:cs="Arial"/>
        </w:rPr>
        <w:t xml:space="preserve">The evidence indicates that </w:t>
      </w:r>
      <w:r w:rsidRPr="00A342AD">
        <w:rPr>
          <w:rFonts w:ascii="Arial" w:hAnsi="Arial" w:cs="Arial"/>
        </w:rPr>
        <w:t>INL</w:t>
      </w:r>
      <w:r>
        <w:rPr>
          <w:rFonts w:ascii="Arial" w:hAnsi="Arial" w:cs="Arial"/>
        </w:rPr>
        <w:t xml:space="preserve"> is highly satisfied with this arrangement, and the amounts channeled via the GP have been consistently high, ranging from $11 million</w:t>
      </w:r>
      <w:r w:rsidRPr="00A342AD">
        <w:rPr>
          <w:rFonts w:ascii="Arial" w:hAnsi="Arial" w:cs="Arial"/>
        </w:rPr>
        <w:t xml:space="preserve"> </w:t>
      </w:r>
      <w:r>
        <w:rPr>
          <w:rFonts w:ascii="Arial" w:hAnsi="Arial" w:cs="Arial"/>
        </w:rPr>
        <w:t xml:space="preserve">to $24 million per year during 2016-19. The </w:t>
      </w:r>
      <w:r w:rsidR="00A31E85">
        <w:rPr>
          <w:rFonts w:ascii="Arial" w:hAnsi="Arial" w:cs="Arial"/>
        </w:rPr>
        <w:t xml:space="preserve">GMS fee </w:t>
      </w:r>
      <w:r>
        <w:rPr>
          <w:rFonts w:ascii="Arial" w:hAnsi="Arial" w:cs="Arial"/>
        </w:rPr>
        <w:t xml:space="preserve">of 8% is reportedly low compared to the percentages typically levied by implementers of U.S. Government programming. The workload associated with the average of 10 new INL-funded interventions per year </w:t>
      </w:r>
      <w:r w:rsidRPr="00A342AD">
        <w:rPr>
          <w:rFonts w:ascii="Arial" w:hAnsi="Arial" w:cs="Arial"/>
        </w:rPr>
        <w:t xml:space="preserve">consumes </w:t>
      </w:r>
      <w:r>
        <w:rPr>
          <w:rFonts w:ascii="Arial" w:hAnsi="Arial" w:cs="Arial"/>
        </w:rPr>
        <w:t xml:space="preserve">a significant amount of </w:t>
      </w:r>
      <w:r w:rsidRPr="00A342AD">
        <w:rPr>
          <w:rFonts w:ascii="Arial" w:hAnsi="Arial" w:cs="Arial"/>
        </w:rPr>
        <w:t xml:space="preserve">time of </w:t>
      </w:r>
      <w:r>
        <w:rPr>
          <w:rFonts w:ascii="Arial" w:hAnsi="Arial" w:cs="Arial"/>
        </w:rPr>
        <w:t xml:space="preserve">the small </w:t>
      </w:r>
      <w:r w:rsidRPr="00A342AD">
        <w:rPr>
          <w:rFonts w:ascii="Arial" w:hAnsi="Arial" w:cs="Arial"/>
        </w:rPr>
        <w:t xml:space="preserve">GP team, </w:t>
      </w:r>
      <w:r>
        <w:rPr>
          <w:rFonts w:ascii="Arial" w:hAnsi="Arial" w:cs="Arial"/>
        </w:rPr>
        <w:t xml:space="preserve">especially due to certain specific U.S. Government rules. The GP team has to provide significant guidance to a large contingent of Country Offices to ensure that they understand and comply with all INL-specific requirements. However, the </w:t>
      </w:r>
      <w:r w:rsidRPr="00A342AD">
        <w:rPr>
          <w:rFonts w:ascii="Arial" w:hAnsi="Arial" w:cs="Arial"/>
        </w:rPr>
        <w:t xml:space="preserve">8% </w:t>
      </w:r>
      <w:r>
        <w:rPr>
          <w:rFonts w:ascii="Arial" w:hAnsi="Arial" w:cs="Arial"/>
        </w:rPr>
        <w:t>fee (</w:t>
      </w:r>
      <w:r>
        <w:rPr>
          <w:rFonts w:ascii="Arial" w:eastAsia="Times New Roman" w:hAnsi="Arial" w:cs="Arial"/>
          <w:lang w:eastAsia="en-CA"/>
        </w:rPr>
        <w:t xml:space="preserve">amounting </w:t>
      </w:r>
      <w:r w:rsidRPr="00A342AD">
        <w:rPr>
          <w:rFonts w:ascii="Arial" w:eastAsia="Times New Roman" w:hAnsi="Arial" w:cs="Arial"/>
          <w:lang w:eastAsia="en-CA"/>
        </w:rPr>
        <w:t xml:space="preserve">to more than </w:t>
      </w:r>
      <w:r>
        <w:rPr>
          <w:rFonts w:ascii="Arial" w:eastAsia="Times New Roman" w:hAnsi="Arial" w:cs="Arial"/>
          <w:lang w:eastAsia="en-CA"/>
        </w:rPr>
        <w:t>$</w:t>
      </w:r>
      <w:r w:rsidRPr="00A342AD">
        <w:rPr>
          <w:rFonts w:ascii="Arial" w:eastAsia="Times New Roman" w:hAnsi="Arial" w:cs="Arial"/>
          <w:lang w:eastAsia="en-CA"/>
        </w:rPr>
        <w:t xml:space="preserve">5 million over </w:t>
      </w:r>
      <w:r>
        <w:rPr>
          <w:rFonts w:ascii="Arial" w:eastAsia="Times New Roman" w:hAnsi="Arial" w:cs="Arial"/>
          <w:lang w:eastAsia="en-CA"/>
        </w:rPr>
        <w:t>four</w:t>
      </w:r>
      <w:r w:rsidRPr="00A342AD">
        <w:rPr>
          <w:rFonts w:ascii="Arial" w:eastAsia="Times New Roman" w:hAnsi="Arial" w:cs="Arial"/>
          <w:lang w:eastAsia="en-CA"/>
        </w:rPr>
        <w:t xml:space="preserve"> years</w:t>
      </w:r>
      <w:r>
        <w:rPr>
          <w:rFonts w:ascii="Arial" w:eastAsia="Times New Roman" w:hAnsi="Arial" w:cs="Arial"/>
          <w:lang w:eastAsia="en-CA"/>
        </w:rPr>
        <w:t>) is</w:t>
      </w:r>
      <w:r w:rsidRPr="00A342AD">
        <w:rPr>
          <w:rFonts w:ascii="Arial" w:eastAsia="Times New Roman" w:hAnsi="Arial" w:cs="Arial"/>
          <w:lang w:eastAsia="en-CA"/>
        </w:rPr>
        <w:t xml:space="preserve"> </w:t>
      </w:r>
      <w:r>
        <w:rPr>
          <w:rFonts w:ascii="Arial" w:eastAsia="Times New Roman" w:hAnsi="Arial" w:cs="Arial"/>
          <w:lang w:eastAsia="en-CA"/>
        </w:rPr>
        <w:t>entirely</w:t>
      </w:r>
      <w:r w:rsidRPr="00A342AD">
        <w:rPr>
          <w:rFonts w:ascii="Arial" w:eastAsia="Times New Roman" w:hAnsi="Arial" w:cs="Arial"/>
          <w:lang w:eastAsia="en-CA"/>
        </w:rPr>
        <w:t xml:space="preserve"> passed on to Country Offices,</w:t>
      </w:r>
      <w:r>
        <w:rPr>
          <w:rFonts w:ascii="Arial" w:eastAsia="Times New Roman" w:hAnsi="Arial" w:cs="Arial"/>
          <w:lang w:eastAsia="en-CA"/>
        </w:rPr>
        <w:t xml:space="preserve"> to support their operations. This led some informants to query the cost-benefit of this arrangement for the Global Programme and ROLSHR team more broadly. </w:t>
      </w:r>
    </w:p>
    <w:p w14:paraId="49A3D571" w14:textId="77777777" w:rsidR="004563ED" w:rsidRDefault="004563ED" w:rsidP="004563ED">
      <w:pPr>
        <w:pStyle w:val="Heading2"/>
      </w:pPr>
      <w:bookmarkStart w:id="32" w:name="_Toc71701898"/>
      <w:r w:rsidRPr="0029366C">
        <w:t xml:space="preserve">Country Level </w:t>
      </w:r>
      <w:r>
        <w:t>Findings</w:t>
      </w:r>
      <w:r w:rsidRPr="0029366C">
        <w:t xml:space="preserve"> on </w:t>
      </w:r>
      <w:r>
        <w:t>Sustainability</w:t>
      </w:r>
      <w:bookmarkEnd w:id="32"/>
    </w:p>
    <w:p w14:paraId="2D401E47" w14:textId="77777777" w:rsidR="004563ED" w:rsidRPr="007D272B" w:rsidRDefault="004563ED" w:rsidP="004563ED">
      <w:pPr>
        <w:spacing w:after="0" w:line="240" w:lineRule="auto"/>
        <w:jc w:val="both"/>
        <w:rPr>
          <w:rFonts w:ascii="Arial" w:eastAsia="Arial" w:hAnsi="Arial" w:cs="Arial"/>
          <w:sz w:val="22"/>
          <w:szCs w:val="22"/>
          <w:lang w:val="en-US"/>
        </w:rPr>
      </w:pPr>
      <w:r w:rsidRPr="007D272B">
        <w:rPr>
          <w:rFonts w:ascii="Arial" w:hAnsi="Arial" w:cs="Arial"/>
          <w:b/>
          <w:bCs/>
          <w:i/>
          <w:iCs/>
          <w:color w:val="000000"/>
          <w:sz w:val="22"/>
          <w:szCs w:val="22"/>
          <w:lang w:val="en-US"/>
        </w:rPr>
        <w:t>Evaluation Questions:</w:t>
      </w:r>
      <w:r w:rsidRPr="007D272B">
        <w:rPr>
          <w:rFonts w:ascii="Arial" w:hAnsi="Arial" w:cs="Arial"/>
          <w:i/>
          <w:iCs/>
          <w:color w:val="000000"/>
          <w:sz w:val="22"/>
          <w:szCs w:val="22"/>
          <w:lang w:val="en-US"/>
        </w:rPr>
        <w:t xml:space="preserve"> </w:t>
      </w:r>
    </w:p>
    <w:p w14:paraId="0FD6558C" w14:textId="77777777" w:rsidR="004563ED" w:rsidRPr="007D272B" w:rsidRDefault="004563ED" w:rsidP="00567956">
      <w:pPr>
        <w:pStyle w:val="ListParagraph"/>
        <w:numPr>
          <w:ilvl w:val="0"/>
          <w:numId w:val="19"/>
        </w:numPr>
        <w:jc w:val="both"/>
        <w:rPr>
          <w:sz w:val="22"/>
          <w:szCs w:val="22"/>
          <w:lang w:val="en-US"/>
        </w:rPr>
      </w:pPr>
      <w:r w:rsidRPr="007D272B">
        <w:rPr>
          <w:rFonts w:ascii="Arial" w:eastAsia="Arial" w:hAnsi="Arial" w:cs="Arial"/>
          <w:i/>
          <w:sz w:val="22"/>
          <w:szCs w:val="22"/>
          <w:lang w:val="en-US"/>
        </w:rPr>
        <w:t xml:space="preserve">To what extent are any positive changes influenced by the GP3 likely to be sustained in priority countries?  </w:t>
      </w:r>
    </w:p>
    <w:p w14:paraId="2C9CA7D7" w14:textId="77777777" w:rsidR="004563ED" w:rsidRPr="007D272B" w:rsidRDefault="004563ED" w:rsidP="00567956">
      <w:pPr>
        <w:pStyle w:val="ListParagraph"/>
        <w:numPr>
          <w:ilvl w:val="0"/>
          <w:numId w:val="19"/>
        </w:numPr>
        <w:jc w:val="both"/>
        <w:rPr>
          <w:sz w:val="22"/>
          <w:szCs w:val="22"/>
          <w:lang w:val="en-US"/>
        </w:rPr>
      </w:pPr>
      <w:r w:rsidRPr="007D272B">
        <w:rPr>
          <w:rFonts w:ascii="Arial" w:eastAsia="Arial" w:hAnsi="Arial" w:cs="Arial"/>
          <w:i/>
          <w:sz w:val="22"/>
          <w:szCs w:val="22"/>
          <w:lang w:val="en-US"/>
        </w:rPr>
        <w:t>What factors are likely to influence sustainability of change at country level?</w:t>
      </w:r>
    </w:p>
    <w:p w14:paraId="10DF9DA1" w14:textId="77777777" w:rsidR="004563ED" w:rsidRPr="007D272B" w:rsidRDefault="004563ED" w:rsidP="00567956">
      <w:pPr>
        <w:pStyle w:val="ListParagraph"/>
        <w:numPr>
          <w:ilvl w:val="0"/>
          <w:numId w:val="19"/>
        </w:numPr>
        <w:jc w:val="both"/>
        <w:rPr>
          <w:sz w:val="22"/>
          <w:szCs w:val="22"/>
          <w:lang w:val="en-US"/>
        </w:rPr>
      </w:pPr>
      <w:r w:rsidRPr="007D272B">
        <w:rPr>
          <w:rFonts w:ascii="Arial" w:eastAsia="Arial" w:hAnsi="Arial" w:cs="Arial"/>
          <w:i/>
          <w:sz w:val="22"/>
          <w:szCs w:val="22"/>
          <w:lang w:val="en-US"/>
        </w:rPr>
        <w:t>To what extent has GP3 been able to identify or mobilize resources to continue new/improved practices, systems and activities?</w:t>
      </w:r>
    </w:p>
    <w:p w14:paraId="6DAED7A4" w14:textId="0A68FC48" w:rsidR="004563ED" w:rsidRPr="000F3C85" w:rsidRDefault="004563ED" w:rsidP="006F770A">
      <w:pPr>
        <w:spacing w:line="240" w:lineRule="auto"/>
        <w:rPr>
          <w:rFonts w:ascii="Arial" w:hAnsi="Arial" w:cs="Arial"/>
          <w:sz w:val="22"/>
          <w:szCs w:val="22"/>
          <w:lang w:val="en-US"/>
        </w:rPr>
      </w:pPr>
      <w:r w:rsidRPr="000F3C85">
        <w:rPr>
          <w:rFonts w:ascii="Arial" w:hAnsi="Arial" w:cs="Arial"/>
          <w:sz w:val="22"/>
          <w:szCs w:val="22"/>
          <w:lang w:val="en-US"/>
        </w:rPr>
        <w:t xml:space="preserve">Overall, at country level it was reported that the support from GP had contributed to sustainability in several distinct ways. The </w:t>
      </w:r>
      <w:r w:rsidR="005E4208" w:rsidRPr="000F3C85">
        <w:rPr>
          <w:rFonts w:ascii="Arial" w:hAnsi="Arial" w:cs="Arial"/>
          <w:sz w:val="22"/>
          <w:szCs w:val="22"/>
          <w:lang w:val="en-US"/>
        </w:rPr>
        <w:t xml:space="preserve">effect mentioned </w:t>
      </w:r>
      <w:r w:rsidRPr="000F3C85">
        <w:rPr>
          <w:rFonts w:ascii="Arial" w:hAnsi="Arial" w:cs="Arial"/>
          <w:sz w:val="22"/>
          <w:szCs w:val="22"/>
          <w:lang w:val="en-US"/>
        </w:rPr>
        <w:t xml:space="preserve">most </w:t>
      </w:r>
      <w:r w:rsidR="005E4208">
        <w:rPr>
          <w:rFonts w:ascii="Arial" w:hAnsi="Arial" w:cs="Arial"/>
          <w:sz w:val="22"/>
          <w:szCs w:val="22"/>
          <w:lang w:val="en-US"/>
        </w:rPr>
        <w:t>often</w:t>
      </w:r>
      <w:r w:rsidRPr="000F3C85">
        <w:rPr>
          <w:rFonts w:ascii="Arial" w:hAnsi="Arial" w:cs="Arial"/>
          <w:sz w:val="22"/>
          <w:szCs w:val="22"/>
          <w:lang w:val="en-US"/>
        </w:rPr>
        <w:t xml:space="preserve"> was helping UNDP to sustain its position and/or programming in the country, by bolstering ROLSHR staffing (both technical and managerial), providing short-term bridge funding while other resources were sought, and other inputs described in previous sections. Secondly, it was noted that the GP had contributed to programming developed with strong buy-in and collaboration of government stakeholders, which was seen as conducive to longer term impact. COs and other informants also highlighted that various initiatives supported either technical or financially by GP had shown positive signs of sustainable benefits for the target population itself, such as alternative dispute resolution services in Somalia and Kyrgyzstan. However, definitive findings on sustainability of these diverse undertakings would require additional study and closer monitoring.</w:t>
      </w:r>
    </w:p>
    <w:p w14:paraId="6793AA95" w14:textId="799159F5" w:rsidR="004563ED" w:rsidRPr="000F3C85" w:rsidRDefault="004563ED" w:rsidP="006F770A">
      <w:pPr>
        <w:spacing w:line="240" w:lineRule="auto"/>
        <w:rPr>
          <w:rFonts w:ascii="Arial" w:hAnsi="Arial" w:cs="Arial"/>
          <w:sz w:val="22"/>
          <w:szCs w:val="22"/>
          <w:lang w:val="en-US"/>
        </w:rPr>
      </w:pPr>
      <w:r w:rsidRPr="000F3C85">
        <w:rPr>
          <w:rFonts w:ascii="Arial" w:hAnsi="Arial" w:cs="Arial"/>
          <w:sz w:val="22"/>
          <w:szCs w:val="22"/>
          <w:lang w:val="en-US"/>
        </w:rPr>
        <w:t xml:space="preserve">In terms of resource mobilization, each case study country </w:t>
      </w:r>
      <w:r w:rsidR="005E4208">
        <w:rPr>
          <w:rFonts w:ascii="Arial" w:hAnsi="Arial" w:cs="Arial"/>
          <w:sz w:val="22"/>
          <w:szCs w:val="22"/>
          <w:lang w:val="en-US"/>
        </w:rPr>
        <w:t xml:space="preserve">showed evidence </w:t>
      </w:r>
      <w:r w:rsidRPr="000F3C85">
        <w:rPr>
          <w:rFonts w:ascii="Arial" w:hAnsi="Arial" w:cs="Arial"/>
          <w:sz w:val="22"/>
          <w:szCs w:val="22"/>
          <w:lang w:val="en-US"/>
        </w:rPr>
        <w:t>of positive fundraising results (including from national and sub-national governments) linked to a previous strategic injection of GP funds. Those catalytic effects, while difficult to quantify exactly, are described in more detail under Effectiveness. The key factor affecting resource mobilization as a means to sustainability was identified as the level of donor interest/presence in the particular country, in particular their commitment to investing in ROLSHR, which was highly variable. The very short-term nature and modest amount of GP funding was observed as a limitation on significant longer-term change, though this was alleviated by repeated funding allocations in contexts such as Colombia and Kyrgyzstan. In addition, prevailing security conditions and political turmoil are significant factors—which can work in two opposing directions, as increased fragility or conflict can put a country “on the map” and help attract additional resources (e.g.</w:t>
      </w:r>
      <w:r w:rsidR="005E4208">
        <w:rPr>
          <w:rFonts w:ascii="Arial" w:hAnsi="Arial" w:cs="Arial"/>
          <w:sz w:val="22"/>
          <w:szCs w:val="22"/>
          <w:lang w:val="en-US"/>
        </w:rPr>
        <w:t>,</w:t>
      </w:r>
      <w:r w:rsidRPr="000F3C85">
        <w:rPr>
          <w:rFonts w:ascii="Arial" w:hAnsi="Arial" w:cs="Arial"/>
          <w:sz w:val="22"/>
          <w:szCs w:val="22"/>
          <w:lang w:val="en-US"/>
        </w:rPr>
        <w:t xml:space="preserve"> Burkina Faso), but at the same time they can hamper the continuation and expansion of ROLSHR initiatives already in place, thus threatening sustainability of previous gains. </w:t>
      </w:r>
    </w:p>
    <w:p w14:paraId="270407A6" w14:textId="755D1073" w:rsidR="004563ED" w:rsidRPr="000F3C85" w:rsidRDefault="004563ED" w:rsidP="000F3C85">
      <w:pPr>
        <w:spacing w:line="240" w:lineRule="auto"/>
        <w:ind w:hanging="2"/>
        <w:rPr>
          <w:sz w:val="22"/>
          <w:szCs w:val="22"/>
          <w:lang w:val="en-US"/>
        </w:rPr>
      </w:pPr>
      <w:r w:rsidRPr="000F3C85">
        <w:rPr>
          <w:rFonts w:ascii="Arial" w:eastAsia="Arial" w:hAnsi="Arial" w:cs="Arial"/>
          <w:sz w:val="22"/>
          <w:szCs w:val="22"/>
          <w:lang w:val="en-US"/>
        </w:rPr>
        <w:t>In</w:t>
      </w:r>
      <w:r w:rsidRPr="000F3C85">
        <w:rPr>
          <w:rFonts w:ascii="Arial" w:eastAsia="Arial" w:hAnsi="Arial" w:cs="Arial"/>
          <w:b/>
          <w:sz w:val="22"/>
          <w:szCs w:val="22"/>
          <w:lang w:val="en-US"/>
        </w:rPr>
        <w:t xml:space="preserve"> Kyrgyzstan</w:t>
      </w:r>
      <w:r w:rsidRPr="000F3C85">
        <w:rPr>
          <w:rFonts w:ascii="Arial" w:eastAsia="Arial" w:hAnsi="Arial" w:cs="Arial"/>
          <w:sz w:val="22"/>
          <w:szCs w:val="22"/>
          <w:lang w:val="en-US"/>
        </w:rPr>
        <w:t>, GP funding helped UNDP maintain its privileged</w:t>
      </w:r>
      <w:r w:rsidRPr="000F3C85">
        <w:rPr>
          <w:rFonts w:ascii="Arial" w:eastAsia="Arial" w:hAnsi="Arial" w:cs="Arial"/>
          <w:color w:val="000000"/>
          <w:sz w:val="22"/>
          <w:szCs w:val="22"/>
          <w:lang w:val="en-US"/>
        </w:rPr>
        <w:t xml:space="preserve"> access to national policy shapers and decision makers during a critical period. Due to </w:t>
      </w:r>
      <w:r w:rsidR="005E4208">
        <w:rPr>
          <w:rFonts w:ascii="Arial" w:eastAsia="Arial" w:hAnsi="Arial" w:cs="Arial"/>
          <w:color w:val="000000"/>
          <w:sz w:val="22"/>
          <w:szCs w:val="22"/>
          <w:lang w:val="en-US"/>
        </w:rPr>
        <w:t xml:space="preserve">the </w:t>
      </w:r>
      <w:r w:rsidRPr="000F3C85">
        <w:rPr>
          <w:rFonts w:ascii="Arial" w:eastAsia="Arial" w:hAnsi="Arial" w:cs="Arial"/>
          <w:color w:val="000000"/>
          <w:sz w:val="22"/>
          <w:szCs w:val="22"/>
          <w:lang w:val="en-US"/>
        </w:rPr>
        <w:t>small number of donors interest</w:t>
      </w:r>
      <w:r w:rsidR="005E4208">
        <w:rPr>
          <w:rFonts w:ascii="Arial" w:eastAsia="Arial" w:hAnsi="Arial" w:cs="Arial"/>
          <w:color w:val="000000"/>
          <w:sz w:val="22"/>
          <w:szCs w:val="22"/>
          <w:lang w:val="en-US"/>
        </w:rPr>
        <w:t>ed</w:t>
      </w:r>
      <w:r w:rsidRPr="000F3C85">
        <w:rPr>
          <w:rFonts w:ascii="Arial" w:eastAsia="Arial" w:hAnsi="Arial" w:cs="Arial"/>
          <w:color w:val="000000"/>
          <w:sz w:val="22"/>
          <w:szCs w:val="22"/>
          <w:lang w:val="en-US"/>
        </w:rPr>
        <w:t xml:space="preserve"> in ROLSHR work, continuous GP financial support was described by the CO team as crucial to filling gaps. They commented that </w:t>
      </w:r>
      <w:r w:rsidRPr="000F3C85">
        <w:rPr>
          <w:rFonts w:ascii="Arial" w:eastAsia="Arial" w:hAnsi="Arial" w:cs="Arial"/>
          <w:sz w:val="22"/>
          <w:szCs w:val="22"/>
          <w:lang w:val="en-US"/>
        </w:rPr>
        <w:t>the d</w:t>
      </w:r>
      <w:r w:rsidRPr="000F3C85">
        <w:rPr>
          <w:rFonts w:ascii="Arial" w:eastAsia="Arial" w:hAnsi="Arial" w:cs="Arial"/>
          <w:color w:val="000000"/>
          <w:sz w:val="22"/>
          <w:szCs w:val="22"/>
          <w:lang w:val="en-US"/>
        </w:rPr>
        <w:t xml:space="preserve">onor situation has changed since 2016, making it more difficult to catalyze funds in the one year provided by GP seed funding. This indicates that the effects of GP are hard to sustain in this context. </w:t>
      </w:r>
    </w:p>
    <w:p w14:paraId="60A625E6" w14:textId="75A4C508" w:rsidR="004563ED" w:rsidRPr="000F3C85" w:rsidRDefault="004563ED" w:rsidP="000F3C85">
      <w:pPr>
        <w:spacing w:line="240" w:lineRule="auto"/>
        <w:ind w:hanging="2"/>
        <w:rPr>
          <w:rFonts w:ascii="Arial" w:eastAsia="Arial" w:hAnsi="Arial" w:cs="Arial"/>
          <w:color w:val="000000"/>
          <w:sz w:val="22"/>
          <w:szCs w:val="22"/>
          <w:lang w:val="en-US"/>
        </w:rPr>
      </w:pPr>
      <w:r w:rsidRPr="000F3C85">
        <w:rPr>
          <w:rFonts w:ascii="Arial" w:eastAsia="Arial" w:hAnsi="Arial" w:cs="Arial"/>
          <w:color w:val="000000"/>
          <w:sz w:val="22"/>
          <w:szCs w:val="22"/>
          <w:lang w:val="en-US"/>
        </w:rPr>
        <w:t xml:space="preserve">Beyond the funding situation, the impact of UNDP‘s work has been threatened by 2020’s political turmoil, which may delay or even reverse the sweeping judicial reforms and undermine other positive results to which GP has contributed. The process still needs to be seen through, by revising codes, making corrections of law enforcement practices, and harmonizing legislation. By focusing on these systemic issues rather than on service delivery, even though the amounts are modest and durations are short, GP support is seen as </w:t>
      </w:r>
      <w:r w:rsidR="005E4208">
        <w:rPr>
          <w:rFonts w:ascii="Arial" w:eastAsia="Arial" w:hAnsi="Arial" w:cs="Arial"/>
          <w:color w:val="000000"/>
          <w:sz w:val="22"/>
          <w:szCs w:val="22"/>
          <w:lang w:val="en-US"/>
        </w:rPr>
        <w:t>promoting</w:t>
      </w:r>
      <w:r w:rsidRPr="000F3C85">
        <w:rPr>
          <w:rFonts w:ascii="Arial" w:eastAsia="Arial" w:hAnsi="Arial" w:cs="Arial"/>
          <w:color w:val="000000"/>
          <w:sz w:val="22"/>
          <w:szCs w:val="22"/>
          <w:lang w:val="en-US"/>
        </w:rPr>
        <w:t xml:space="preserve"> the sustainability of UNDP‘s interventions. On the other hand, activities led by </w:t>
      </w:r>
      <w:r w:rsidR="005E4208">
        <w:rPr>
          <w:rFonts w:ascii="Arial" w:eastAsia="Arial" w:hAnsi="Arial" w:cs="Arial"/>
          <w:color w:val="000000"/>
          <w:sz w:val="22"/>
          <w:szCs w:val="22"/>
          <w:lang w:val="en-US"/>
        </w:rPr>
        <w:t>CSOs</w:t>
      </w:r>
      <w:r w:rsidRPr="000F3C85">
        <w:rPr>
          <w:rFonts w:ascii="Arial" w:eastAsia="Arial" w:hAnsi="Arial" w:cs="Arial"/>
          <w:color w:val="000000"/>
          <w:sz w:val="22"/>
          <w:szCs w:val="22"/>
          <w:lang w:val="en-US"/>
        </w:rPr>
        <w:t xml:space="preserve"> were noted as particularly vulnerable to discontinuation if further funding could not be secured on a timely basis. Potential availability of funding for the sector has increased of late, ironically due to the country edging closer to crisis/conflict.  </w:t>
      </w:r>
    </w:p>
    <w:p w14:paraId="6108C40A" w14:textId="7F12D062" w:rsidR="004563ED" w:rsidRPr="000F3C85" w:rsidRDefault="004563ED" w:rsidP="000F3C85">
      <w:pPr>
        <w:spacing w:line="240" w:lineRule="auto"/>
        <w:rPr>
          <w:rFonts w:ascii="Arial" w:hAnsi="Arial" w:cs="Arial"/>
          <w:sz w:val="22"/>
          <w:szCs w:val="22"/>
          <w:lang w:val="en-US"/>
        </w:rPr>
      </w:pPr>
      <w:r w:rsidRPr="000F3C85">
        <w:rPr>
          <w:rFonts w:ascii="Arial" w:eastAsia="Arial" w:hAnsi="Arial" w:cs="Arial"/>
          <w:sz w:val="22"/>
          <w:szCs w:val="22"/>
          <w:lang w:val="en-US"/>
        </w:rPr>
        <w:t xml:space="preserve">In </w:t>
      </w:r>
      <w:r w:rsidRPr="005E4208">
        <w:rPr>
          <w:rFonts w:ascii="Arial" w:eastAsia="Arial" w:hAnsi="Arial" w:cs="Arial"/>
          <w:b/>
          <w:bCs/>
          <w:sz w:val="22"/>
          <w:szCs w:val="22"/>
          <w:lang w:val="en-US"/>
        </w:rPr>
        <w:t>Colombia</w:t>
      </w:r>
      <w:r w:rsidRPr="000F3C85">
        <w:rPr>
          <w:rFonts w:ascii="Arial" w:eastAsia="Arial" w:hAnsi="Arial" w:cs="Arial"/>
          <w:sz w:val="22"/>
          <w:szCs w:val="22"/>
          <w:lang w:val="en-US"/>
        </w:rPr>
        <w:t xml:space="preserve">, the </w:t>
      </w:r>
      <w:r w:rsidR="005E4208">
        <w:rPr>
          <w:rFonts w:ascii="Arial" w:eastAsia="Arial" w:hAnsi="Arial" w:cs="Arial"/>
          <w:sz w:val="22"/>
          <w:szCs w:val="22"/>
          <w:lang w:val="en-US"/>
        </w:rPr>
        <w:t>CO</w:t>
      </w:r>
      <w:r w:rsidRPr="000F3C85">
        <w:rPr>
          <w:rFonts w:ascii="Arial" w:eastAsia="Arial" w:hAnsi="Arial" w:cs="Arial"/>
          <w:sz w:val="22"/>
          <w:szCs w:val="22"/>
          <w:lang w:val="en-US"/>
        </w:rPr>
        <w:t xml:space="preserve"> did not identify any funds from other sources that were directly linked with GP funding. Nevertheless</w:t>
      </w:r>
      <w:r w:rsidR="005E4208">
        <w:rPr>
          <w:rFonts w:ascii="Arial" w:eastAsia="Arial" w:hAnsi="Arial" w:cs="Arial"/>
          <w:sz w:val="22"/>
          <w:szCs w:val="22"/>
          <w:lang w:val="en-US"/>
        </w:rPr>
        <w:t>,</w:t>
      </w:r>
      <w:r w:rsidRPr="000F3C85">
        <w:rPr>
          <w:rFonts w:ascii="Arial" w:eastAsia="Arial" w:hAnsi="Arial" w:cs="Arial"/>
          <w:sz w:val="22"/>
          <w:szCs w:val="22"/>
          <w:lang w:val="en-US"/>
        </w:rPr>
        <w:t xml:space="preserve"> the GP funding was seen as critical in enabling UNDP to remain involved in strategic discussions with national stakeholders in various sub-sectors of the complex ROLSHR scene. UNDP is engaged as key actor in multiple </w:t>
      </w:r>
      <w:r w:rsidR="00A41C86" w:rsidRPr="000F3C85">
        <w:rPr>
          <w:rFonts w:ascii="Arial" w:eastAsia="Arial" w:hAnsi="Arial" w:cs="Arial"/>
          <w:sz w:val="22"/>
          <w:szCs w:val="22"/>
          <w:lang w:val="en-US"/>
        </w:rPr>
        <w:t>long-term</w:t>
      </w:r>
      <w:r w:rsidRPr="000F3C85">
        <w:rPr>
          <w:rFonts w:ascii="Arial" w:eastAsia="Arial" w:hAnsi="Arial" w:cs="Arial"/>
          <w:sz w:val="22"/>
          <w:szCs w:val="22"/>
          <w:lang w:val="en-US"/>
        </w:rPr>
        <w:t xml:space="preserve"> interventions with significant donor and government support. However, there will always remain gaps to be bridged between projects and associated challenges in funding a full complement of staff. UNDP Colombia has applied GP funding to install capacity on sustainable basis and develop an integrated portfolio</w:t>
      </w:r>
      <w:r w:rsidR="005E4208">
        <w:rPr>
          <w:rFonts w:ascii="Arial" w:eastAsia="Arial" w:hAnsi="Arial" w:cs="Arial"/>
          <w:sz w:val="22"/>
          <w:szCs w:val="22"/>
          <w:lang w:val="en-US"/>
        </w:rPr>
        <w:t>, which responds to</w:t>
      </w:r>
      <w:r w:rsidRPr="000F3C85">
        <w:rPr>
          <w:rFonts w:ascii="Arial" w:eastAsia="Arial" w:hAnsi="Arial" w:cs="Arial"/>
          <w:sz w:val="22"/>
          <w:szCs w:val="22"/>
          <w:lang w:val="en-US"/>
        </w:rPr>
        <w:t xml:space="preserve"> ISSAT </w:t>
      </w:r>
      <w:r w:rsidR="005E4208">
        <w:rPr>
          <w:rFonts w:ascii="Arial" w:eastAsia="Arial" w:hAnsi="Arial" w:cs="Arial"/>
          <w:sz w:val="22"/>
          <w:szCs w:val="22"/>
          <w:lang w:val="en-US"/>
        </w:rPr>
        <w:t xml:space="preserve">evaluation </w:t>
      </w:r>
      <w:r w:rsidRPr="000F3C85">
        <w:rPr>
          <w:rFonts w:ascii="Arial" w:eastAsia="Arial" w:hAnsi="Arial" w:cs="Arial"/>
          <w:sz w:val="22"/>
          <w:szCs w:val="22"/>
          <w:lang w:val="en-US"/>
        </w:rPr>
        <w:t>recommendations from 2018</w:t>
      </w:r>
      <w:r w:rsidR="005E4208">
        <w:rPr>
          <w:rFonts w:ascii="Arial" w:eastAsia="Arial" w:hAnsi="Arial" w:cs="Arial"/>
          <w:sz w:val="22"/>
          <w:szCs w:val="22"/>
          <w:lang w:val="en-US"/>
        </w:rPr>
        <w:t xml:space="preserve"> that</w:t>
      </w:r>
      <w:r w:rsidRPr="000F3C85">
        <w:rPr>
          <w:rFonts w:ascii="Arial" w:eastAsia="Arial" w:hAnsi="Arial" w:cs="Arial"/>
          <w:sz w:val="22"/>
          <w:szCs w:val="22"/>
          <w:lang w:val="en-US"/>
        </w:rPr>
        <w:t xml:space="preserve"> perceived the lack of an overarching strategic approach. Some stakeholders pointed to ongoing fragility and high levels of violence in country, underlining the need for UNDP to stay engaged in transitional justice and related issues of citizen security. They commented that the credibility and legitimacy (and continued engagement) of UNDP were important for ensuring the trust of victims and their families in the ongoing transitional justice processes. </w:t>
      </w:r>
    </w:p>
    <w:p w14:paraId="2E1386C1" w14:textId="029A27CB" w:rsidR="006F770A" w:rsidRDefault="004563ED" w:rsidP="000F3C85">
      <w:pPr>
        <w:spacing w:line="240" w:lineRule="auto"/>
        <w:ind w:hanging="2"/>
        <w:rPr>
          <w:rFonts w:ascii="Arial" w:eastAsia="Arial" w:hAnsi="Arial" w:cs="Arial"/>
          <w:color w:val="000000"/>
          <w:sz w:val="22"/>
          <w:szCs w:val="22"/>
          <w:lang w:val="en-US"/>
        </w:rPr>
      </w:pPr>
      <w:r w:rsidRPr="000F3C85">
        <w:rPr>
          <w:rFonts w:ascii="Arial" w:eastAsia="Arial" w:hAnsi="Arial" w:cs="Arial"/>
          <w:color w:val="000000"/>
          <w:sz w:val="22"/>
          <w:szCs w:val="22"/>
          <w:lang w:val="en-US"/>
        </w:rPr>
        <w:t xml:space="preserve">In </w:t>
      </w:r>
      <w:r w:rsidRPr="000F3C85">
        <w:rPr>
          <w:rFonts w:ascii="Arial" w:eastAsia="Arial" w:hAnsi="Arial" w:cs="Arial"/>
          <w:b/>
          <w:color w:val="000000"/>
          <w:sz w:val="22"/>
          <w:szCs w:val="22"/>
          <w:lang w:val="en-US"/>
        </w:rPr>
        <w:t>Pakistan</w:t>
      </w:r>
      <w:r w:rsidRPr="000F3C85">
        <w:rPr>
          <w:rFonts w:ascii="Arial" w:eastAsia="Arial" w:hAnsi="Arial" w:cs="Arial"/>
          <w:color w:val="000000"/>
          <w:sz w:val="22"/>
          <w:szCs w:val="22"/>
          <w:lang w:val="en-US"/>
        </w:rPr>
        <w:t xml:space="preserve">, the CO underlined that GP support had boosted sustainability of UNDP’s ongoing work in several ways, </w:t>
      </w:r>
      <w:r w:rsidR="005E4208">
        <w:rPr>
          <w:rFonts w:ascii="Arial" w:eastAsia="Arial" w:hAnsi="Arial" w:cs="Arial"/>
          <w:color w:val="000000"/>
          <w:sz w:val="22"/>
          <w:szCs w:val="22"/>
          <w:lang w:val="en-US"/>
        </w:rPr>
        <w:t>as</w:t>
      </w:r>
      <w:r w:rsidRPr="000F3C85">
        <w:rPr>
          <w:rFonts w:ascii="Arial" w:eastAsia="Arial" w:hAnsi="Arial" w:cs="Arial"/>
          <w:color w:val="000000"/>
          <w:sz w:val="22"/>
          <w:szCs w:val="22"/>
          <w:lang w:val="en-US"/>
        </w:rPr>
        <w:t xml:space="preserve"> mentioned in the Effectiveness section above. One member of the ROLSHR team commented: </w:t>
      </w:r>
    </w:p>
    <w:p w14:paraId="53CF5A24" w14:textId="77CD1251" w:rsidR="006F770A" w:rsidRDefault="005E4208" w:rsidP="00174A06">
      <w:pPr>
        <w:spacing w:line="240" w:lineRule="auto"/>
        <w:ind w:left="567" w:right="571" w:hanging="2"/>
        <w:jc w:val="center"/>
        <w:rPr>
          <w:rFonts w:ascii="Arial" w:eastAsia="Arial" w:hAnsi="Arial" w:cs="Arial"/>
          <w:i/>
          <w:color w:val="4A66AC" w:themeColor="accent1"/>
          <w:sz w:val="22"/>
          <w:szCs w:val="22"/>
          <w:lang w:val="en-US"/>
        </w:rPr>
      </w:pPr>
      <w:r>
        <w:rPr>
          <w:rFonts w:ascii="Arial" w:eastAsia="Arial" w:hAnsi="Arial" w:cs="Arial"/>
          <w:i/>
          <w:color w:val="4A66AC" w:themeColor="accent1"/>
          <w:sz w:val="22"/>
          <w:szCs w:val="22"/>
          <w:lang w:val="en-US"/>
        </w:rPr>
        <w:t>“</w:t>
      </w:r>
      <w:r w:rsidR="004563ED" w:rsidRPr="006F770A">
        <w:rPr>
          <w:rFonts w:ascii="Arial" w:eastAsia="Arial" w:hAnsi="Arial" w:cs="Arial"/>
          <w:i/>
          <w:color w:val="4A66AC" w:themeColor="accent1"/>
          <w:sz w:val="22"/>
          <w:szCs w:val="22"/>
          <w:lang w:val="en-US"/>
        </w:rPr>
        <w:t>The Global Programme funding was a lifeline, not only for Balochistan but the entire ROL programme in Pakistan in a very tight funding period. Thanks to them and one other donor, we were able to stay active in the province.</w:t>
      </w:r>
      <w:r>
        <w:rPr>
          <w:rFonts w:ascii="Arial" w:eastAsia="Arial" w:hAnsi="Arial" w:cs="Arial"/>
          <w:i/>
          <w:color w:val="4A66AC" w:themeColor="accent1"/>
          <w:sz w:val="22"/>
          <w:szCs w:val="22"/>
          <w:lang w:val="en-US"/>
        </w:rPr>
        <w:t>”</w:t>
      </w:r>
    </w:p>
    <w:p w14:paraId="2855AB85" w14:textId="5F12157E" w:rsidR="004563ED" w:rsidRPr="000F3C85" w:rsidRDefault="004563ED" w:rsidP="000F3C85">
      <w:pPr>
        <w:spacing w:line="240" w:lineRule="auto"/>
        <w:ind w:hanging="2"/>
        <w:rPr>
          <w:iCs/>
          <w:sz w:val="22"/>
          <w:szCs w:val="22"/>
          <w:lang w:val="en-US"/>
        </w:rPr>
      </w:pPr>
      <w:r w:rsidRPr="000F3C85">
        <w:rPr>
          <w:rFonts w:ascii="Arial" w:eastAsia="Arial" w:hAnsi="Arial" w:cs="Arial"/>
          <w:iCs/>
          <w:color w:val="000000"/>
          <w:sz w:val="22"/>
          <w:szCs w:val="22"/>
          <w:lang w:val="en-US"/>
        </w:rPr>
        <w:t xml:space="preserve">Inputs by GP have assured the continuation of a major new line of work in Balochistan, which may well have ripple effects in another region as UNDP aims to replicate the ROL Roadmap approach. The level of government commitment in Balochistan is high, including dedication of state funds, which bodes well for sustainability of that investment (as does the subsequent funding commitment by the EU). Informants attributed the high level of political will at least in part to the timely interventions supported by GP to maintain momentum during a funding gap. </w:t>
      </w:r>
    </w:p>
    <w:p w14:paraId="79A1D8C4" w14:textId="3F626943" w:rsidR="004563ED" w:rsidRPr="000F3C85" w:rsidRDefault="004563ED" w:rsidP="000F3C85">
      <w:pPr>
        <w:spacing w:line="240" w:lineRule="auto"/>
        <w:ind w:hanging="2"/>
        <w:rPr>
          <w:rFonts w:ascii="Arial" w:eastAsia="Arial" w:hAnsi="Arial" w:cs="Arial"/>
          <w:sz w:val="22"/>
          <w:szCs w:val="22"/>
          <w:lang w:val="en-US"/>
        </w:rPr>
      </w:pPr>
      <w:r w:rsidRPr="000F3C85">
        <w:rPr>
          <w:rFonts w:ascii="Arial" w:eastAsia="Arial" w:hAnsi="Arial" w:cs="Arial"/>
          <w:sz w:val="22"/>
          <w:szCs w:val="22"/>
          <w:lang w:val="en-US"/>
        </w:rPr>
        <w:t xml:space="preserve">In </w:t>
      </w:r>
      <w:r w:rsidRPr="000F3C85">
        <w:rPr>
          <w:rFonts w:ascii="Arial" w:eastAsia="Arial" w:hAnsi="Arial" w:cs="Arial"/>
          <w:b/>
          <w:sz w:val="22"/>
          <w:szCs w:val="22"/>
          <w:lang w:val="en-US"/>
        </w:rPr>
        <w:t>Burkina Faso</w:t>
      </w:r>
      <w:r w:rsidRPr="000F3C85">
        <w:rPr>
          <w:rFonts w:ascii="Arial" w:eastAsia="Arial" w:hAnsi="Arial" w:cs="Arial"/>
          <w:sz w:val="22"/>
          <w:szCs w:val="22"/>
          <w:lang w:val="en-US"/>
        </w:rPr>
        <w:t xml:space="preserve">, a country that benefited from the SG’s Sustaining Peace Agenda, the </w:t>
      </w:r>
      <w:r w:rsidR="005E4208">
        <w:rPr>
          <w:rFonts w:ascii="Arial" w:eastAsia="Arial" w:hAnsi="Arial" w:cs="Arial"/>
          <w:sz w:val="22"/>
          <w:szCs w:val="22"/>
          <w:lang w:val="en-US"/>
        </w:rPr>
        <w:t xml:space="preserve">CO </w:t>
      </w:r>
      <w:r w:rsidRPr="000F3C85">
        <w:rPr>
          <w:rFonts w:ascii="Arial" w:eastAsia="Arial" w:hAnsi="Arial" w:cs="Arial"/>
          <w:sz w:val="22"/>
          <w:szCs w:val="22"/>
          <w:lang w:val="en-US"/>
        </w:rPr>
        <w:t>has a strong programme platform and the ROL</w:t>
      </w:r>
      <w:r w:rsidR="005E4208">
        <w:rPr>
          <w:rFonts w:ascii="Arial" w:eastAsia="Arial" w:hAnsi="Arial" w:cs="Arial"/>
          <w:sz w:val="22"/>
          <w:szCs w:val="22"/>
          <w:lang w:val="en-US"/>
        </w:rPr>
        <w:t>SHR</w:t>
      </w:r>
      <w:r w:rsidRPr="000F3C85">
        <w:rPr>
          <w:rFonts w:ascii="Arial" w:eastAsia="Arial" w:hAnsi="Arial" w:cs="Arial"/>
          <w:sz w:val="22"/>
          <w:szCs w:val="22"/>
          <w:lang w:val="en-US"/>
        </w:rPr>
        <w:t xml:space="preserve"> team is well endowed with strong technical and managerial capacities, which bode well for sustainability of the UNDP sectoral presence. Donor interest to fund related activities has been increasing and is likely to be sustained in the mid-term future due to the worsening security situation. At the level of root causes, ROLSHR challenges are deeply intertwined with complex nexus-type, cross-sector challenges, including climate change-induced pressure on livelihoods and related phenomena of internal and cross-border migration, climate justice issues, increased exposure of vulnerable women and girls to risks of SGBV, and increased likelihood of young unemployed men becoming involved in unlawful economic activities, including networks of radical jihadism. </w:t>
      </w:r>
    </w:p>
    <w:p w14:paraId="5105D408" w14:textId="6A7BAEB3" w:rsidR="004563ED" w:rsidRPr="000F3C85" w:rsidRDefault="005E4208" w:rsidP="000F3C85">
      <w:pPr>
        <w:spacing w:line="240" w:lineRule="auto"/>
        <w:ind w:hanging="2"/>
        <w:rPr>
          <w:rFonts w:ascii="Arial" w:eastAsia="Arial" w:hAnsi="Arial" w:cs="Arial"/>
          <w:sz w:val="22"/>
          <w:szCs w:val="22"/>
          <w:shd w:val="clear" w:color="auto" w:fill="CFE2F3"/>
          <w:lang w:val="en-US"/>
        </w:rPr>
      </w:pPr>
      <w:r>
        <w:rPr>
          <w:rFonts w:ascii="Arial" w:eastAsia="Arial" w:hAnsi="Arial" w:cs="Arial"/>
          <w:sz w:val="22"/>
          <w:szCs w:val="22"/>
          <w:lang w:val="en-US"/>
        </w:rPr>
        <w:t>The combination of these factors puts</w:t>
      </w:r>
      <w:r w:rsidR="004563ED" w:rsidRPr="000F3C85">
        <w:rPr>
          <w:rFonts w:ascii="Arial" w:eastAsia="Arial" w:hAnsi="Arial" w:cs="Arial"/>
          <w:sz w:val="22"/>
          <w:szCs w:val="22"/>
          <w:lang w:val="en-US"/>
        </w:rPr>
        <w:t xml:space="preserve"> UNDP in a strong position to consolidate and even expand its ROLSHR portfolio. However, a risk is posed by internal coordination issues that severely affect the UN-internal environment of (joint) programming and programmatic coherence. The flagship </w:t>
      </w:r>
      <w:r w:rsidR="007670A7">
        <w:rPr>
          <w:rFonts w:ascii="Arial" w:eastAsia="Arial" w:hAnsi="Arial" w:cs="Arial"/>
          <w:sz w:val="22"/>
          <w:szCs w:val="22"/>
          <w:lang w:val="en-US"/>
        </w:rPr>
        <w:t xml:space="preserve">COSED </w:t>
      </w:r>
      <w:r w:rsidR="004563ED" w:rsidRPr="000F3C85">
        <w:rPr>
          <w:rFonts w:ascii="Arial" w:eastAsia="Arial" w:hAnsi="Arial" w:cs="Arial"/>
          <w:sz w:val="22"/>
          <w:szCs w:val="22"/>
          <w:lang w:val="en-US"/>
        </w:rPr>
        <w:t xml:space="preserve">programme is a stand-alone UNDP project rather than a JP. The related debate crystallizes issues surrounding leadership and UN-internal coordination including GFP (described under Coherence) that need to be resolved quickly to enhance sustainability of UNDP’s work. The Ministry of Justice and Civil Rights </w:t>
      </w:r>
      <w:r w:rsidR="007670A7">
        <w:rPr>
          <w:rFonts w:ascii="Arial" w:eastAsia="Arial" w:hAnsi="Arial" w:cs="Arial"/>
          <w:sz w:val="22"/>
          <w:szCs w:val="22"/>
          <w:lang w:val="en-US"/>
        </w:rPr>
        <w:t>would</w:t>
      </w:r>
      <w:r w:rsidR="004563ED" w:rsidRPr="000F3C85">
        <w:rPr>
          <w:rFonts w:ascii="Arial" w:eastAsia="Arial" w:hAnsi="Arial" w:cs="Arial"/>
          <w:sz w:val="22"/>
          <w:szCs w:val="22"/>
          <w:lang w:val="en-US"/>
        </w:rPr>
        <w:t xml:space="preserve"> benefit from sustained support to revamping the institution’s internal structure and business processes. Finally, UNDP’s support to enhancing the human and institutional capacity of civil society (groups supporting human rights and SGBV work, in particular, via related umbrella associations) is recognized as a highly sustainable practice, by concerned beneficiaries and stakeholders.  </w:t>
      </w:r>
    </w:p>
    <w:p w14:paraId="67A4286C" w14:textId="28EFDB81" w:rsidR="004563ED" w:rsidRPr="000F3C85" w:rsidRDefault="004563ED" w:rsidP="000F3C85">
      <w:pPr>
        <w:spacing w:line="240" w:lineRule="auto"/>
        <w:ind w:hanging="2"/>
        <w:rPr>
          <w:rFonts w:ascii="Arial" w:eastAsia="Arial" w:hAnsi="Arial" w:cs="Arial"/>
          <w:color w:val="000000"/>
          <w:sz w:val="22"/>
          <w:szCs w:val="22"/>
          <w:lang w:val="en-US"/>
        </w:rPr>
      </w:pPr>
      <w:r w:rsidRPr="000F3C85">
        <w:rPr>
          <w:rFonts w:ascii="Arial" w:eastAsia="Arial" w:hAnsi="Arial" w:cs="Arial"/>
          <w:color w:val="000000"/>
          <w:sz w:val="22"/>
          <w:szCs w:val="22"/>
          <w:lang w:val="en-US"/>
        </w:rPr>
        <w:t xml:space="preserve">In the </w:t>
      </w:r>
      <w:r w:rsidRPr="000F3C85">
        <w:rPr>
          <w:rFonts w:ascii="Arial" w:eastAsia="Arial" w:hAnsi="Arial" w:cs="Arial"/>
          <w:b/>
          <w:color w:val="000000"/>
          <w:sz w:val="22"/>
          <w:szCs w:val="22"/>
          <w:lang w:val="en-US"/>
        </w:rPr>
        <w:t>Central African Republic</w:t>
      </w:r>
      <w:r w:rsidRPr="000F3C85">
        <w:rPr>
          <w:rFonts w:ascii="Arial" w:eastAsia="Arial" w:hAnsi="Arial" w:cs="Arial"/>
          <w:color w:val="000000"/>
          <w:sz w:val="22"/>
          <w:szCs w:val="22"/>
          <w:lang w:val="en-US"/>
        </w:rPr>
        <w:t>,</w:t>
      </w:r>
      <w:r w:rsidRPr="000F3C85">
        <w:rPr>
          <w:rFonts w:ascii="Arial" w:eastAsia="Arial" w:hAnsi="Arial" w:cs="Arial"/>
          <w:color w:val="000000"/>
          <w:sz w:val="22"/>
          <w:szCs w:val="22"/>
          <w:highlight w:val="white"/>
          <w:lang w:val="en-US"/>
        </w:rPr>
        <w:t xml:space="preserve"> GFP partners jointly supported restoration of the country’s criminal justice and security institutions</w:t>
      </w:r>
      <w:r w:rsidR="007670A7" w:rsidRPr="007670A7">
        <w:rPr>
          <w:rFonts w:ascii="Arial" w:eastAsia="Arial" w:hAnsi="Arial" w:cs="Arial"/>
          <w:color w:val="000000"/>
          <w:sz w:val="22"/>
          <w:szCs w:val="22"/>
          <w:highlight w:val="white"/>
          <w:lang w:val="en-US"/>
        </w:rPr>
        <w:t xml:space="preserve"> </w:t>
      </w:r>
      <w:r w:rsidR="007670A7" w:rsidRPr="000F3C85">
        <w:rPr>
          <w:rFonts w:ascii="Arial" w:eastAsia="Arial" w:hAnsi="Arial" w:cs="Arial"/>
          <w:color w:val="000000"/>
          <w:sz w:val="22"/>
          <w:szCs w:val="22"/>
          <w:highlight w:val="white"/>
          <w:lang w:val="en-US"/>
        </w:rPr>
        <w:t>during the evaluated period</w:t>
      </w:r>
      <w:r w:rsidRPr="000F3C85">
        <w:rPr>
          <w:rFonts w:ascii="Arial" w:eastAsia="Arial" w:hAnsi="Arial" w:cs="Arial"/>
          <w:color w:val="000000"/>
          <w:sz w:val="22"/>
          <w:szCs w:val="22"/>
          <w:highlight w:val="white"/>
          <w:lang w:val="en-US"/>
        </w:rPr>
        <w:t>, including operationalization of the national Special Criminal Court. These efforts focused on the extension of state authority, the fight against impunity and bolstering the effectiveness of the criminal justice system. GFP partners provided support to the HQ-based Reference Group on the rule of law and the fight against impunity in CAR</w:t>
      </w:r>
      <w:r w:rsidR="007670A7">
        <w:rPr>
          <w:rFonts w:ascii="Arial" w:eastAsia="Arial" w:hAnsi="Arial" w:cs="Arial"/>
          <w:color w:val="000000"/>
          <w:sz w:val="22"/>
          <w:szCs w:val="22"/>
          <w:highlight w:val="white"/>
          <w:lang w:val="en-US"/>
        </w:rPr>
        <w:t xml:space="preserve"> </w:t>
      </w:r>
      <w:r w:rsidRPr="000F3C85">
        <w:rPr>
          <w:rFonts w:ascii="Arial" w:eastAsia="Arial" w:hAnsi="Arial" w:cs="Arial"/>
          <w:color w:val="000000"/>
          <w:sz w:val="22"/>
          <w:szCs w:val="22"/>
          <w:highlight w:val="white"/>
          <w:lang w:val="en-US"/>
        </w:rPr>
        <w:t xml:space="preserve">to garner political and financial support for the Special Court and other rule of law initiatives. Overall, </w:t>
      </w:r>
      <w:r w:rsidRPr="000F3C85">
        <w:rPr>
          <w:rFonts w:ascii="Arial" w:eastAsia="Arial" w:hAnsi="Arial" w:cs="Arial"/>
          <w:color w:val="000000"/>
          <w:sz w:val="22"/>
          <w:szCs w:val="22"/>
          <w:lang w:val="en-US"/>
        </w:rPr>
        <w:t xml:space="preserve">stakeholders agreed that the GP/GFP supported highly relevant work and achieved </w:t>
      </w:r>
      <w:r w:rsidR="007670A7">
        <w:rPr>
          <w:rFonts w:ascii="Arial" w:eastAsia="Arial" w:hAnsi="Arial" w:cs="Arial"/>
          <w:color w:val="000000"/>
          <w:sz w:val="22"/>
          <w:szCs w:val="22"/>
          <w:lang w:val="en-US"/>
        </w:rPr>
        <w:t>respectable</w:t>
      </w:r>
      <w:r w:rsidRPr="000F3C85">
        <w:rPr>
          <w:rFonts w:ascii="Arial" w:eastAsia="Arial" w:hAnsi="Arial" w:cs="Arial"/>
          <w:color w:val="000000"/>
          <w:sz w:val="22"/>
          <w:szCs w:val="22"/>
          <w:lang w:val="en-US"/>
        </w:rPr>
        <w:t xml:space="preserve"> results considering the difficult operating conditions. With regards to the Court, while positive signs for sustainability were registered especially with regards to supporting civil society and building capacity of local judges, project insiders pointed out a lack of coordination between participating UN entities that could undermine sustainability. </w:t>
      </w:r>
    </w:p>
    <w:p w14:paraId="1FAF9832" w14:textId="5CEB1C16" w:rsidR="004563ED" w:rsidRPr="000F3C85" w:rsidRDefault="004563ED" w:rsidP="000F3C85">
      <w:pPr>
        <w:spacing w:line="240" w:lineRule="auto"/>
        <w:ind w:hanging="2"/>
        <w:rPr>
          <w:rFonts w:ascii="Arial" w:eastAsia="Arial" w:hAnsi="Arial" w:cs="Arial"/>
          <w:color w:val="FF0000"/>
          <w:sz w:val="22"/>
          <w:szCs w:val="22"/>
          <w:lang w:val="en-US"/>
        </w:rPr>
      </w:pPr>
      <w:r w:rsidRPr="000F3C85">
        <w:rPr>
          <w:rFonts w:ascii="Arial" w:eastAsia="Arial" w:hAnsi="Arial" w:cs="Arial"/>
          <w:color w:val="000000"/>
          <w:sz w:val="22"/>
          <w:szCs w:val="22"/>
          <w:lang w:val="en-US"/>
        </w:rPr>
        <w:t xml:space="preserve">In the recent past, opportunities to strengthen </w:t>
      </w:r>
      <w:r w:rsidR="007670A7">
        <w:rPr>
          <w:rFonts w:ascii="Arial" w:eastAsia="Arial" w:hAnsi="Arial" w:cs="Arial"/>
          <w:color w:val="000000"/>
          <w:sz w:val="22"/>
          <w:szCs w:val="22"/>
          <w:lang w:val="en-US"/>
        </w:rPr>
        <w:t>the</w:t>
      </w:r>
      <w:r w:rsidR="00DE22FB" w:rsidRPr="000F3C85">
        <w:rPr>
          <w:rFonts w:ascii="Arial" w:eastAsia="Arial" w:hAnsi="Arial" w:cs="Arial"/>
          <w:color w:val="000000"/>
          <w:sz w:val="22"/>
          <w:szCs w:val="22"/>
          <w:lang w:val="en-US"/>
        </w:rPr>
        <w:t xml:space="preserve"> Court</w:t>
      </w:r>
      <w:r w:rsidR="007670A7">
        <w:rPr>
          <w:rFonts w:ascii="Arial" w:eastAsia="Arial" w:hAnsi="Arial" w:cs="Arial"/>
          <w:color w:val="000000"/>
          <w:sz w:val="22"/>
          <w:szCs w:val="22"/>
          <w:lang w:val="en-US"/>
        </w:rPr>
        <w:t>’s</w:t>
      </w:r>
      <w:r w:rsidRPr="000F3C85">
        <w:rPr>
          <w:rFonts w:ascii="Arial" w:eastAsia="Arial" w:hAnsi="Arial" w:cs="Arial"/>
          <w:color w:val="000000"/>
          <w:sz w:val="22"/>
          <w:szCs w:val="22"/>
          <w:lang w:val="en-US"/>
        </w:rPr>
        <w:t xml:space="preserve"> accountability linked to performance-based contractual arrangements and remuneration packages of international judges were not seized</w:t>
      </w:r>
      <w:r w:rsidR="00DE22FB" w:rsidRPr="000F3C85">
        <w:rPr>
          <w:rFonts w:ascii="Arial" w:eastAsia="Arial" w:hAnsi="Arial" w:cs="Arial"/>
          <w:color w:val="000000"/>
          <w:sz w:val="22"/>
          <w:szCs w:val="22"/>
          <w:lang w:val="en-US"/>
        </w:rPr>
        <w:t xml:space="preserve"> by UNDP</w:t>
      </w:r>
      <w:r w:rsidRPr="000F3C85">
        <w:rPr>
          <w:rFonts w:ascii="Arial" w:eastAsia="Arial" w:hAnsi="Arial" w:cs="Arial"/>
          <w:color w:val="000000"/>
          <w:sz w:val="22"/>
          <w:szCs w:val="22"/>
          <w:lang w:val="en-US"/>
        </w:rPr>
        <w:t xml:space="preserve">. This points to the need to clarify roles and responsibilities among </w:t>
      </w:r>
      <w:r w:rsidR="00F66CB4" w:rsidRPr="000F3C85">
        <w:rPr>
          <w:rFonts w:ascii="Arial" w:eastAsia="Arial" w:hAnsi="Arial" w:cs="Arial"/>
          <w:color w:val="000000"/>
          <w:sz w:val="22"/>
          <w:szCs w:val="22"/>
          <w:lang w:val="en-US"/>
        </w:rPr>
        <w:t>UNDP and DPO as JP partners</w:t>
      </w:r>
      <w:r w:rsidRPr="000F3C85">
        <w:rPr>
          <w:rFonts w:ascii="Arial" w:eastAsia="Arial" w:hAnsi="Arial" w:cs="Arial"/>
          <w:color w:val="000000"/>
          <w:sz w:val="22"/>
          <w:szCs w:val="22"/>
          <w:lang w:val="en-US"/>
        </w:rPr>
        <w:t xml:space="preserve">, as </w:t>
      </w:r>
      <w:r w:rsidR="007670A7">
        <w:rPr>
          <w:rFonts w:ascii="Arial" w:eastAsia="Arial" w:hAnsi="Arial" w:cs="Arial"/>
          <w:color w:val="000000"/>
          <w:sz w:val="22"/>
          <w:szCs w:val="22"/>
          <w:lang w:val="en-US"/>
        </w:rPr>
        <w:t>recommended</w:t>
      </w:r>
      <w:r w:rsidRPr="000F3C85">
        <w:rPr>
          <w:rFonts w:ascii="Arial" w:eastAsia="Arial" w:hAnsi="Arial" w:cs="Arial"/>
          <w:color w:val="000000"/>
          <w:sz w:val="22"/>
          <w:szCs w:val="22"/>
          <w:lang w:val="en-US"/>
        </w:rPr>
        <w:t xml:space="preserve"> by ISSAT’s </w:t>
      </w:r>
      <w:r w:rsidR="007670A7">
        <w:rPr>
          <w:rFonts w:ascii="Arial" w:eastAsia="Arial" w:hAnsi="Arial" w:cs="Arial"/>
          <w:color w:val="000000"/>
          <w:sz w:val="22"/>
          <w:szCs w:val="22"/>
          <w:lang w:val="en-US"/>
        </w:rPr>
        <w:t xml:space="preserve">mid-term </w:t>
      </w:r>
      <w:r w:rsidRPr="000F3C85">
        <w:rPr>
          <w:rFonts w:ascii="Arial" w:eastAsia="Arial" w:hAnsi="Arial" w:cs="Arial"/>
          <w:color w:val="000000"/>
          <w:sz w:val="22"/>
          <w:szCs w:val="22"/>
          <w:lang w:val="en-US"/>
        </w:rPr>
        <w:t xml:space="preserve">evaluation </w:t>
      </w:r>
      <w:r w:rsidR="007670A7">
        <w:rPr>
          <w:rFonts w:ascii="Arial" w:eastAsia="Arial" w:hAnsi="Arial" w:cs="Arial"/>
          <w:color w:val="000000"/>
          <w:sz w:val="22"/>
          <w:szCs w:val="22"/>
          <w:lang w:val="en-US"/>
        </w:rPr>
        <w:t>in 2018</w:t>
      </w:r>
      <w:r w:rsidRPr="000F3C85">
        <w:rPr>
          <w:rFonts w:ascii="Arial" w:eastAsia="Arial" w:hAnsi="Arial" w:cs="Arial"/>
          <w:color w:val="000000"/>
          <w:sz w:val="22"/>
          <w:szCs w:val="22"/>
          <w:lang w:val="en-US"/>
        </w:rPr>
        <w:t xml:space="preserve">. As well, there is room for improvement in broadening general public ownership of the Court. A strong exit/handover strategy, aimed at integrating the court in the fabric of the national justice sector rather than remaining on its fringes as a “UN-driven project”, would strengthen overall sustainability. Recent security issues due to electoral turmoil have recently put ROLSHR advances to the test. </w:t>
      </w:r>
    </w:p>
    <w:p w14:paraId="2E6E6B4A" w14:textId="47BE708F" w:rsidR="004563ED" w:rsidRPr="000F3C85" w:rsidRDefault="004563ED" w:rsidP="000F3C85">
      <w:pPr>
        <w:pBdr>
          <w:top w:val="nil"/>
          <w:left w:val="nil"/>
          <w:bottom w:val="nil"/>
          <w:right w:val="nil"/>
          <w:between w:val="nil"/>
        </w:pBdr>
        <w:spacing w:line="240" w:lineRule="auto"/>
        <w:ind w:hanging="2"/>
        <w:rPr>
          <w:rFonts w:ascii="Arial" w:eastAsia="Arial" w:hAnsi="Arial" w:cs="Arial"/>
          <w:color w:val="000000"/>
          <w:sz w:val="22"/>
          <w:szCs w:val="22"/>
          <w:lang w:val="en-US"/>
        </w:rPr>
      </w:pPr>
      <w:r w:rsidRPr="000F3C85">
        <w:rPr>
          <w:rFonts w:ascii="Arial" w:eastAsia="Arial" w:hAnsi="Arial" w:cs="Arial"/>
          <w:color w:val="000000"/>
          <w:sz w:val="22"/>
          <w:szCs w:val="22"/>
          <w:lang w:val="en-US"/>
        </w:rPr>
        <w:t xml:space="preserve">In </w:t>
      </w:r>
      <w:r w:rsidRPr="000F3C85">
        <w:rPr>
          <w:rFonts w:ascii="Arial" w:eastAsia="Arial" w:hAnsi="Arial" w:cs="Arial"/>
          <w:b/>
          <w:color w:val="000000"/>
          <w:sz w:val="22"/>
          <w:szCs w:val="22"/>
          <w:lang w:val="en-US"/>
        </w:rPr>
        <w:t>Somalia</w:t>
      </w:r>
      <w:r w:rsidRPr="000F3C85">
        <w:rPr>
          <w:rFonts w:ascii="Arial" w:eastAsia="Arial" w:hAnsi="Arial" w:cs="Arial"/>
          <w:color w:val="000000"/>
          <w:sz w:val="22"/>
          <w:szCs w:val="22"/>
          <w:lang w:val="en-US"/>
        </w:rPr>
        <w:t xml:space="preserve">, if one looks past the minor ongoing inter-agency turf battles, </w:t>
      </w:r>
      <w:r w:rsidR="00F66CB4" w:rsidRPr="000F3C85">
        <w:rPr>
          <w:rFonts w:ascii="Arial" w:eastAsia="Arial" w:hAnsi="Arial" w:cs="Arial"/>
          <w:color w:val="000000"/>
          <w:sz w:val="22"/>
          <w:szCs w:val="22"/>
          <w:lang w:val="en-US"/>
        </w:rPr>
        <w:t xml:space="preserve">the UN-internal ROLSHR </w:t>
      </w:r>
      <w:r w:rsidRPr="000F3C85">
        <w:rPr>
          <w:rFonts w:ascii="Arial" w:eastAsia="Arial" w:hAnsi="Arial" w:cs="Arial"/>
          <w:color w:val="000000"/>
          <w:sz w:val="22"/>
          <w:szCs w:val="22"/>
          <w:lang w:val="en-US"/>
        </w:rPr>
        <w:t>governance structure</w:t>
      </w:r>
      <w:r w:rsidR="00F66CB4" w:rsidRPr="000F3C85">
        <w:rPr>
          <w:rFonts w:ascii="Arial" w:eastAsia="Arial" w:hAnsi="Arial" w:cs="Arial"/>
          <w:color w:val="000000"/>
          <w:sz w:val="22"/>
          <w:szCs w:val="22"/>
          <w:lang w:val="en-US"/>
        </w:rPr>
        <w:t>s</w:t>
      </w:r>
      <w:r w:rsidRPr="000F3C85">
        <w:rPr>
          <w:rFonts w:ascii="Arial" w:eastAsia="Arial" w:hAnsi="Arial" w:cs="Arial"/>
          <w:color w:val="000000"/>
          <w:sz w:val="22"/>
          <w:szCs w:val="22"/>
          <w:lang w:val="en-US"/>
        </w:rPr>
        <w:t xml:space="preserve">, internal logic, financing streams, staffing and programme portfolio </w:t>
      </w:r>
      <w:r w:rsidR="00CD6EA7">
        <w:rPr>
          <w:rFonts w:ascii="Arial" w:eastAsia="Arial" w:hAnsi="Arial" w:cs="Arial"/>
          <w:color w:val="000000"/>
          <w:sz w:val="22"/>
          <w:szCs w:val="22"/>
          <w:lang w:val="en-US"/>
        </w:rPr>
        <w:t>appear</w:t>
      </w:r>
      <w:r w:rsidRPr="000F3C85">
        <w:rPr>
          <w:rFonts w:ascii="Arial" w:eastAsia="Arial" w:hAnsi="Arial" w:cs="Arial"/>
          <w:color w:val="000000"/>
          <w:sz w:val="22"/>
          <w:szCs w:val="22"/>
          <w:lang w:val="en-US"/>
        </w:rPr>
        <w:t xml:space="preserve"> quite sustainable. The GFP modality has generated some successes and is constantly being improved on by in-country partners. However, the overriding challenge is that the UN as a whole, throughout its presence, </w:t>
      </w:r>
      <w:r w:rsidR="00CD6EA7" w:rsidRPr="000F3C85">
        <w:rPr>
          <w:rFonts w:ascii="Arial" w:eastAsia="Arial" w:hAnsi="Arial" w:cs="Arial"/>
          <w:color w:val="000000"/>
          <w:sz w:val="22"/>
          <w:szCs w:val="22"/>
          <w:lang w:val="en-US"/>
        </w:rPr>
        <w:t xml:space="preserve">has </w:t>
      </w:r>
      <w:r w:rsidRPr="000F3C85">
        <w:rPr>
          <w:rFonts w:ascii="Arial" w:eastAsia="Arial" w:hAnsi="Arial" w:cs="Arial"/>
          <w:color w:val="000000"/>
          <w:sz w:val="22"/>
          <w:szCs w:val="22"/>
          <w:lang w:val="en-US"/>
        </w:rPr>
        <w:t xml:space="preserve">almost exclusively been focusing on a top-down, centralized institution building and state-building approach, in a context that puts a high premium on clan affiliation and regional loyalties. This casts doubt on the sustainability of UNDP’s ROL portfolio, especially as statutory/formal courts continue to struggle with issues such as lack of user friendliness and trust issues (due to perceived or actual clan bias, corruption etc.). </w:t>
      </w:r>
    </w:p>
    <w:p w14:paraId="2C0565E6" w14:textId="2C1ECB88" w:rsidR="00FB27EA" w:rsidRPr="000F3C85" w:rsidRDefault="004563ED" w:rsidP="000F3C85">
      <w:pPr>
        <w:pBdr>
          <w:top w:val="nil"/>
          <w:left w:val="nil"/>
          <w:bottom w:val="nil"/>
          <w:right w:val="nil"/>
          <w:between w:val="nil"/>
        </w:pBdr>
        <w:spacing w:line="240" w:lineRule="auto"/>
        <w:ind w:hanging="2"/>
        <w:rPr>
          <w:rFonts w:ascii="Arial" w:eastAsia="Arial" w:hAnsi="Arial" w:cs="Arial"/>
          <w:color w:val="000000"/>
          <w:sz w:val="22"/>
          <w:szCs w:val="22"/>
          <w:lang w:val="en-US"/>
        </w:rPr>
      </w:pPr>
      <w:r w:rsidRPr="000F3C85">
        <w:rPr>
          <w:rFonts w:ascii="Arial" w:eastAsia="Arial" w:hAnsi="Arial" w:cs="Arial"/>
          <w:color w:val="000000"/>
          <w:sz w:val="22"/>
          <w:szCs w:val="22"/>
          <w:lang w:val="en-US"/>
        </w:rPr>
        <w:t>Conversely, promising innovative ROL projects supported by UNDP have built on the principle of socio-culturally embedded normative principles and customary mechanisms. For instance, the grassroots A2J component of the JJP is piloting “alternative dispute resolution (ADR) centers”. Their approaches combine features of customary “xeer” law with elements of gender and human rights mainstreaming; they have met with huge public acclaim and have strong potential for upscaling beyond the current few dozen centers. The bottom-up, socio-culturally embedded nature of the ADR</w:t>
      </w:r>
      <w:r w:rsidR="00CD6EA7">
        <w:rPr>
          <w:rFonts w:ascii="Arial" w:eastAsia="Arial" w:hAnsi="Arial" w:cs="Arial"/>
          <w:color w:val="000000"/>
          <w:sz w:val="22"/>
          <w:szCs w:val="22"/>
          <w:lang w:val="en-US"/>
        </w:rPr>
        <w:t xml:space="preserve"> centers</w:t>
      </w:r>
      <w:r w:rsidRPr="000F3C85">
        <w:rPr>
          <w:rFonts w:ascii="Arial" w:eastAsia="Arial" w:hAnsi="Arial" w:cs="Arial"/>
          <w:color w:val="000000"/>
          <w:sz w:val="22"/>
          <w:szCs w:val="22"/>
          <w:lang w:val="en-US"/>
        </w:rPr>
        <w:t xml:space="preserve"> is highlighted as best practice in terms of sustainability</w:t>
      </w:r>
      <w:r w:rsidR="00CD6EA7">
        <w:rPr>
          <w:rFonts w:ascii="Arial" w:eastAsia="Arial" w:hAnsi="Arial" w:cs="Arial"/>
          <w:color w:val="000000"/>
          <w:sz w:val="22"/>
          <w:szCs w:val="22"/>
          <w:lang w:val="en-US"/>
        </w:rPr>
        <w:t>, but i</w:t>
      </w:r>
      <w:r w:rsidRPr="000F3C85">
        <w:rPr>
          <w:rFonts w:ascii="Arial" w:eastAsia="Arial" w:hAnsi="Arial" w:cs="Arial"/>
          <w:color w:val="000000"/>
          <w:sz w:val="22"/>
          <w:szCs w:val="22"/>
          <w:lang w:val="en-US"/>
        </w:rPr>
        <w:t>n terms of overall sustainability, there is need to take into account the wider landscape. A large proportion of the young generation of Somalis has been born and raised in areas not controlled by the Government, but rather by Al Shabaab. Military analysts presently concur that the conflict cannot be won by military means</w:t>
      </w:r>
      <w:r w:rsidR="00F66CB4" w:rsidRPr="000F3C85">
        <w:rPr>
          <w:rFonts w:ascii="Arial" w:eastAsia="Arial" w:hAnsi="Arial" w:cs="Arial"/>
          <w:color w:val="000000"/>
          <w:sz w:val="22"/>
          <w:szCs w:val="22"/>
          <w:lang w:val="en-US"/>
        </w:rPr>
        <w:t xml:space="preserve">, </w:t>
      </w:r>
      <w:r w:rsidR="00DB5EC6" w:rsidRPr="000F3C85">
        <w:rPr>
          <w:rFonts w:ascii="Arial" w:eastAsia="Arial" w:hAnsi="Arial" w:cs="Arial"/>
          <w:color w:val="000000"/>
          <w:sz w:val="22"/>
          <w:szCs w:val="22"/>
          <w:lang w:val="en-US"/>
        </w:rPr>
        <w:t xml:space="preserve">and in this context, </w:t>
      </w:r>
      <w:r w:rsidR="00F66CB4" w:rsidRPr="000F3C85">
        <w:rPr>
          <w:rFonts w:ascii="Arial" w:eastAsia="Arial" w:hAnsi="Arial" w:cs="Arial"/>
          <w:color w:val="000000"/>
          <w:sz w:val="22"/>
          <w:szCs w:val="22"/>
          <w:lang w:val="en-US"/>
        </w:rPr>
        <w:t>a</w:t>
      </w:r>
      <w:r w:rsidRPr="000F3C85">
        <w:rPr>
          <w:rFonts w:ascii="Arial" w:eastAsia="Arial" w:hAnsi="Arial" w:cs="Arial"/>
          <w:color w:val="000000"/>
          <w:sz w:val="22"/>
          <w:szCs w:val="22"/>
          <w:lang w:val="en-US"/>
        </w:rPr>
        <w:t xml:space="preserve"> truly sustainable </w:t>
      </w:r>
      <w:r w:rsidR="00DB5EC6" w:rsidRPr="000F3C85">
        <w:rPr>
          <w:rFonts w:ascii="Arial" w:eastAsia="Arial" w:hAnsi="Arial" w:cs="Arial"/>
          <w:color w:val="000000"/>
          <w:sz w:val="22"/>
          <w:szCs w:val="22"/>
          <w:lang w:val="en-US"/>
        </w:rPr>
        <w:t xml:space="preserve">approach to </w:t>
      </w:r>
      <w:r w:rsidRPr="000F3C85">
        <w:rPr>
          <w:rFonts w:ascii="Arial" w:eastAsia="Arial" w:hAnsi="Arial" w:cs="Arial"/>
          <w:color w:val="000000"/>
          <w:sz w:val="22"/>
          <w:szCs w:val="22"/>
          <w:lang w:val="en-US"/>
        </w:rPr>
        <w:t xml:space="preserve">ROLSHR </w:t>
      </w:r>
      <w:r w:rsidR="00DB5EC6" w:rsidRPr="000F3C85">
        <w:rPr>
          <w:rFonts w:ascii="Arial" w:eastAsia="Arial" w:hAnsi="Arial" w:cs="Arial"/>
          <w:color w:val="000000"/>
          <w:sz w:val="22"/>
          <w:szCs w:val="22"/>
          <w:lang w:val="en-US"/>
        </w:rPr>
        <w:t>has yet to be found</w:t>
      </w:r>
      <w:r w:rsidRPr="000F3C85">
        <w:rPr>
          <w:rFonts w:ascii="Arial" w:eastAsia="Arial" w:hAnsi="Arial" w:cs="Arial"/>
          <w:color w:val="000000"/>
          <w:sz w:val="22"/>
          <w:szCs w:val="22"/>
          <w:lang w:val="en-US"/>
        </w:rPr>
        <w:t xml:space="preserve">. </w:t>
      </w:r>
    </w:p>
    <w:p w14:paraId="65B54E31" w14:textId="77859F64" w:rsidR="00FB27EA" w:rsidRDefault="00FB27EA">
      <w:pPr>
        <w:rPr>
          <w:rFonts w:ascii="Arial" w:eastAsia="Arial" w:hAnsi="Arial" w:cs="Arial"/>
          <w:color w:val="000000"/>
          <w:lang w:val="en-US"/>
        </w:rPr>
      </w:pPr>
      <w:r>
        <w:rPr>
          <w:rFonts w:ascii="Arial" w:eastAsia="Arial" w:hAnsi="Arial" w:cs="Arial"/>
          <w:color w:val="000000"/>
          <w:lang w:val="en-US"/>
        </w:rPr>
        <w:br w:type="page"/>
      </w:r>
    </w:p>
    <w:p w14:paraId="5C40A741" w14:textId="0749D3EE" w:rsidR="00FB27EA" w:rsidRDefault="00FB27EA" w:rsidP="00567956">
      <w:pPr>
        <w:pStyle w:val="Heading1"/>
        <w:numPr>
          <w:ilvl w:val="0"/>
          <w:numId w:val="21"/>
        </w:numPr>
        <w:rPr>
          <w:rFonts w:eastAsia="Times New Roman"/>
          <w:lang w:val="en-US" w:eastAsia="de-DE"/>
        </w:rPr>
      </w:pPr>
      <w:bookmarkStart w:id="33" w:name="_Toc71701899"/>
      <w:r>
        <w:rPr>
          <w:rFonts w:eastAsia="Times New Roman"/>
          <w:lang w:val="en-US" w:eastAsia="de-DE"/>
        </w:rPr>
        <w:t>Recommendations</w:t>
      </w:r>
      <w:bookmarkEnd w:id="33"/>
    </w:p>
    <w:p w14:paraId="392A42FA" w14:textId="77777777" w:rsidR="006B419E" w:rsidRPr="000F3C85" w:rsidRDefault="006B419E" w:rsidP="006B419E">
      <w:pPr>
        <w:rPr>
          <w:rFonts w:ascii="Arial" w:hAnsi="Arial" w:cs="Arial"/>
          <w:b/>
          <w:bCs/>
          <w:sz w:val="24"/>
          <w:szCs w:val="24"/>
        </w:rPr>
      </w:pPr>
      <w:r w:rsidRPr="000F3C85">
        <w:rPr>
          <w:rFonts w:ascii="Arial" w:hAnsi="Arial" w:cs="Arial"/>
          <w:b/>
          <w:bCs/>
          <w:sz w:val="24"/>
          <w:szCs w:val="24"/>
        </w:rPr>
        <w:t xml:space="preserve">Overall Programme Design </w:t>
      </w:r>
    </w:p>
    <w:p w14:paraId="2558475D" w14:textId="77777777" w:rsidR="006B419E" w:rsidRPr="000F3C85" w:rsidRDefault="006B419E" w:rsidP="00553AB3">
      <w:pPr>
        <w:pStyle w:val="ListParagraph"/>
        <w:numPr>
          <w:ilvl w:val="3"/>
          <w:numId w:val="58"/>
        </w:numPr>
        <w:pBdr>
          <w:top w:val="nil"/>
          <w:left w:val="nil"/>
          <w:bottom w:val="nil"/>
          <w:right w:val="nil"/>
          <w:between w:val="nil"/>
        </w:pBdr>
        <w:spacing w:line="240" w:lineRule="auto"/>
        <w:ind w:left="709"/>
        <w:contextualSpacing w:val="0"/>
        <w:rPr>
          <w:rFonts w:ascii="Arial" w:eastAsia="Arial" w:hAnsi="Arial" w:cs="Arial"/>
          <w:color w:val="000000"/>
          <w:sz w:val="22"/>
          <w:szCs w:val="22"/>
        </w:rPr>
      </w:pPr>
      <w:r w:rsidRPr="000F3C85">
        <w:rPr>
          <w:rFonts w:ascii="Arial" w:eastAsia="Arial" w:hAnsi="Arial" w:cs="Arial"/>
          <w:b/>
          <w:bCs/>
          <w:color w:val="000000"/>
          <w:sz w:val="22"/>
          <w:szCs w:val="22"/>
        </w:rPr>
        <w:t>Elaborate a comprehensive Theory of Change to underpin the future development of the GP, explicitly including the entire UNDP ROLSHR team’s scope of work</w:t>
      </w:r>
      <w:r w:rsidRPr="000F3C85">
        <w:rPr>
          <w:rFonts w:ascii="Arial" w:eastAsia="Arial" w:hAnsi="Arial" w:cs="Arial"/>
          <w:color w:val="000000"/>
          <w:sz w:val="22"/>
          <w:szCs w:val="22"/>
        </w:rPr>
        <w:t xml:space="preserve">. This Theory should define the strategy for bolstering ROLSHR in fragile and crisis-affected countries/regions as well as other contexts, and identify priorities among thematic areas to systematically guide the allocation of resources. </w:t>
      </w:r>
    </w:p>
    <w:p w14:paraId="46B68CC2" w14:textId="77777777" w:rsidR="006B419E" w:rsidRPr="000F3C85" w:rsidRDefault="006B419E" w:rsidP="00553AB3">
      <w:pPr>
        <w:pStyle w:val="ListParagraph"/>
        <w:numPr>
          <w:ilvl w:val="0"/>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b/>
          <w:bCs/>
          <w:color w:val="000000"/>
          <w:sz w:val="22"/>
          <w:szCs w:val="22"/>
        </w:rPr>
        <w:t xml:space="preserve">Continue to offer flexible support to ROLSHR programming and teams in need around the world, with timely provision of seed funding and/or technical advice. </w:t>
      </w:r>
    </w:p>
    <w:p w14:paraId="6442BD60" w14:textId="77777777" w:rsidR="006B419E" w:rsidRPr="000F3C85" w:rsidRDefault="006B419E" w:rsidP="00553AB3">
      <w:pPr>
        <w:pStyle w:val="ListParagraph"/>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 xml:space="preserve">This should include the types of support that have been found effective (by this evaluation and other analysis) at country or regional level, such as bridging gaps in funding for ongoing projects, launching pilot activities of various kinds, and hiring or retaining key technical staff (local or international). </w:t>
      </w:r>
    </w:p>
    <w:p w14:paraId="6F67EFFA" w14:textId="77777777" w:rsidR="006B419E" w:rsidRPr="000F3C85" w:rsidRDefault="006B419E" w:rsidP="00553AB3">
      <w:pPr>
        <w:pStyle w:val="ListParagraph"/>
        <w:numPr>
          <w:ilvl w:val="1"/>
          <w:numId w:val="59"/>
        </w:numPr>
        <w:pBdr>
          <w:top w:val="nil"/>
          <w:left w:val="nil"/>
          <w:bottom w:val="nil"/>
          <w:right w:val="nil"/>
          <w:between w:val="nil"/>
        </w:pBdr>
        <w:spacing w:line="240" w:lineRule="auto"/>
        <w:ind w:left="1434" w:hanging="357"/>
        <w:contextualSpacing w:val="0"/>
        <w:jc w:val="both"/>
        <w:rPr>
          <w:rFonts w:ascii="Arial" w:eastAsia="Arial" w:hAnsi="Arial" w:cs="Arial"/>
          <w:color w:val="000000"/>
          <w:sz w:val="22"/>
          <w:szCs w:val="22"/>
        </w:rPr>
      </w:pPr>
      <w:r w:rsidRPr="000F3C85">
        <w:rPr>
          <w:rFonts w:ascii="Arial" w:eastAsia="Arial" w:hAnsi="Arial" w:cs="Arial"/>
          <w:color w:val="000000"/>
          <w:sz w:val="22"/>
          <w:szCs w:val="22"/>
        </w:rPr>
        <w:t>In consultation with Focal Points and key CO staff, consider creating a separate expedited pipeline process that could authorize smaller amounts (up to $25,000) for COs with a proven track record to meet emergency needs or experiment with new ideas.</w:t>
      </w:r>
    </w:p>
    <w:p w14:paraId="016E3D70" w14:textId="77777777" w:rsidR="006B419E" w:rsidRPr="000F3C85" w:rsidRDefault="006B419E" w:rsidP="00553AB3">
      <w:pPr>
        <w:numPr>
          <w:ilvl w:val="0"/>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b/>
          <w:bCs/>
          <w:color w:val="000000"/>
          <w:sz w:val="22"/>
          <w:szCs w:val="22"/>
        </w:rPr>
        <w:t>Consider increasing the focus of GP programming, staffing/standing capacity, and knowledge products in the following emerging subject areas</w:t>
      </w:r>
      <w:r w:rsidRPr="000F3C85">
        <w:rPr>
          <w:rFonts w:ascii="Arial" w:eastAsia="Arial" w:hAnsi="Arial" w:cs="Arial"/>
          <w:color w:val="000000"/>
          <w:sz w:val="22"/>
          <w:szCs w:val="22"/>
        </w:rPr>
        <w:t xml:space="preserve"> (in close collaboration with related UN entities to make optimal use of specialized expertise and maintain clear allocation of lead responsibility): </w:t>
      </w:r>
    </w:p>
    <w:p w14:paraId="7D37AFA6" w14:textId="20625626"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effects of digitalization on human rights/access to justice</w:t>
      </w:r>
      <w:r w:rsidR="009124C7">
        <w:rPr>
          <w:rFonts w:ascii="Arial" w:eastAsia="Arial" w:hAnsi="Arial" w:cs="Arial"/>
          <w:color w:val="000000"/>
          <w:sz w:val="22"/>
          <w:szCs w:val="22"/>
        </w:rPr>
        <w:t>,</w:t>
      </w:r>
      <w:r w:rsidR="009124C7">
        <w:rPr>
          <w:rFonts w:ascii="Arial" w:eastAsia="Arial" w:hAnsi="Arial" w:cs="Arial"/>
          <w:color w:val="000000" w:themeColor="text1"/>
          <w:sz w:val="22"/>
          <w:szCs w:val="22"/>
        </w:rPr>
        <w:t xml:space="preserve"> access to information, equal voices and participation in democratic processes, etc.</w:t>
      </w:r>
    </w:p>
    <w:p w14:paraId="5C5A7BD3" w14:textId="77777777"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climate justice</w:t>
      </w:r>
    </w:p>
    <w:p w14:paraId="164D3116" w14:textId="77777777"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business and human rights (already in early implementation)</w:t>
      </w:r>
    </w:p>
    <w:p w14:paraId="2A60CDE5" w14:textId="31808C84"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cyber-crime and hate speech</w:t>
      </w:r>
    </w:p>
    <w:p w14:paraId="2B9B66CA" w14:textId="77777777" w:rsidR="006B419E" w:rsidRPr="000F3C85" w:rsidRDefault="006B419E" w:rsidP="006B419E">
      <w:pPr>
        <w:pBdr>
          <w:top w:val="nil"/>
          <w:left w:val="nil"/>
          <w:bottom w:val="nil"/>
          <w:right w:val="nil"/>
          <w:between w:val="nil"/>
        </w:pBdr>
        <w:spacing w:after="0" w:line="240" w:lineRule="auto"/>
        <w:ind w:left="1440"/>
        <w:jc w:val="both"/>
        <w:rPr>
          <w:rFonts w:ascii="Arial" w:eastAsia="Arial" w:hAnsi="Arial" w:cs="Arial"/>
          <w:color w:val="000000"/>
          <w:sz w:val="22"/>
          <w:szCs w:val="22"/>
        </w:rPr>
      </w:pPr>
    </w:p>
    <w:p w14:paraId="5EC786CF" w14:textId="77777777" w:rsidR="006B419E" w:rsidRPr="000F3C85" w:rsidRDefault="006B419E" w:rsidP="006B419E">
      <w:pPr>
        <w:rPr>
          <w:rFonts w:ascii="Arial" w:eastAsia="Arial" w:hAnsi="Arial" w:cs="Arial"/>
          <w:b/>
          <w:bCs/>
          <w:color w:val="000000"/>
          <w:sz w:val="24"/>
          <w:szCs w:val="24"/>
        </w:rPr>
      </w:pPr>
      <w:r w:rsidRPr="000F3C85">
        <w:rPr>
          <w:rFonts w:ascii="Arial" w:eastAsia="Arial" w:hAnsi="Arial" w:cs="Arial"/>
          <w:b/>
          <w:bCs/>
          <w:sz w:val="24"/>
          <w:szCs w:val="24"/>
        </w:rPr>
        <w:t>Programme Governance and Staffing</w:t>
      </w:r>
    </w:p>
    <w:p w14:paraId="278B8B04" w14:textId="77777777" w:rsidR="006B419E" w:rsidRPr="000F3C85" w:rsidRDefault="006B419E" w:rsidP="00553AB3">
      <w:pPr>
        <w:pStyle w:val="ListParagraph"/>
        <w:numPr>
          <w:ilvl w:val="0"/>
          <w:numId w:val="59"/>
        </w:numPr>
        <w:pBdr>
          <w:top w:val="nil"/>
          <w:left w:val="nil"/>
          <w:bottom w:val="nil"/>
          <w:right w:val="nil"/>
          <w:between w:val="nil"/>
        </w:pBdr>
        <w:spacing w:line="240" w:lineRule="auto"/>
        <w:ind w:left="714" w:hanging="357"/>
        <w:contextualSpacing w:val="0"/>
        <w:rPr>
          <w:rFonts w:ascii="Arial" w:eastAsia="Arial" w:hAnsi="Arial" w:cs="Arial"/>
          <w:color w:val="000000"/>
          <w:sz w:val="22"/>
          <w:szCs w:val="22"/>
        </w:rPr>
      </w:pPr>
      <w:r w:rsidRPr="000F3C85">
        <w:rPr>
          <w:rFonts w:ascii="Arial" w:eastAsia="Arial" w:hAnsi="Arial" w:cs="Arial"/>
          <w:b/>
          <w:bCs/>
          <w:color w:val="000000"/>
          <w:sz w:val="22"/>
          <w:szCs w:val="22"/>
        </w:rPr>
        <w:t>Review the Programme’s governance structure</w:t>
      </w:r>
      <w:r w:rsidRPr="000F3C85">
        <w:rPr>
          <w:rFonts w:ascii="Arial" w:eastAsia="Arial" w:hAnsi="Arial" w:cs="Arial"/>
          <w:color w:val="000000"/>
          <w:sz w:val="22"/>
          <w:szCs w:val="22"/>
        </w:rPr>
        <w:t>, including the role and composition of the Project Board.</w:t>
      </w:r>
    </w:p>
    <w:p w14:paraId="2F60EDCC" w14:textId="77777777" w:rsidR="006B419E" w:rsidRPr="000F3C85" w:rsidRDefault="006B419E" w:rsidP="00553AB3">
      <w:pPr>
        <w:pStyle w:val="ListParagraph"/>
        <w:numPr>
          <w:ilvl w:val="0"/>
          <w:numId w:val="59"/>
        </w:numPr>
        <w:pBdr>
          <w:top w:val="nil"/>
          <w:left w:val="nil"/>
          <w:bottom w:val="nil"/>
          <w:right w:val="nil"/>
          <w:between w:val="nil"/>
        </w:pBdr>
        <w:spacing w:line="240" w:lineRule="auto"/>
        <w:ind w:left="714" w:hanging="357"/>
        <w:contextualSpacing w:val="0"/>
        <w:rPr>
          <w:rFonts w:ascii="Arial" w:eastAsia="Arial" w:hAnsi="Arial" w:cs="Arial"/>
          <w:color w:val="000000"/>
          <w:sz w:val="22"/>
          <w:szCs w:val="22"/>
        </w:rPr>
      </w:pPr>
      <w:r w:rsidRPr="000F3C85">
        <w:rPr>
          <w:rFonts w:ascii="Arial" w:eastAsia="Arial" w:hAnsi="Arial" w:cs="Arial"/>
          <w:b/>
          <w:bCs/>
          <w:color w:val="000000"/>
          <w:sz w:val="22"/>
          <w:szCs w:val="22"/>
        </w:rPr>
        <w:t>Review the staffing structure,</w:t>
      </w:r>
      <w:r w:rsidRPr="000F3C85">
        <w:rPr>
          <w:rFonts w:ascii="Arial" w:eastAsia="Arial" w:hAnsi="Arial" w:cs="Arial"/>
          <w:color w:val="000000"/>
          <w:sz w:val="22"/>
          <w:szCs w:val="22"/>
        </w:rPr>
        <w:t xml:space="preserve"> especially with a view to bolstering the core GP management team and clarifying the division of labor between HQ/regions.</w:t>
      </w:r>
    </w:p>
    <w:p w14:paraId="348F80AE" w14:textId="518314DE" w:rsidR="006B419E" w:rsidRPr="000F3C85" w:rsidRDefault="006B419E" w:rsidP="00553AB3">
      <w:pPr>
        <w:pStyle w:val="ListParagraph"/>
        <w:numPr>
          <w:ilvl w:val="0"/>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b/>
          <w:bCs/>
          <w:color w:val="000000"/>
          <w:sz w:val="22"/>
          <w:szCs w:val="22"/>
        </w:rPr>
        <w:t>Revisit the mandate, role and weight of regional structures</w:t>
      </w:r>
      <w:r w:rsidRPr="000F3C85">
        <w:rPr>
          <w:rFonts w:ascii="Arial" w:eastAsia="Arial" w:hAnsi="Arial" w:cs="Arial"/>
          <w:color w:val="000000"/>
          <w:sz w:val="22"/>
          <w:szCs w:val="22"/>
        </w:rPr>
        <w:t xml:space="preserve"> (ROs, regional hubs) in GP business processes, including proposal making, fund management, oversight, etc.; in view of enhancing complex RoL and SDG16+ programming challenges (including nexus-type transborder/(sub)regional programmes including P-CVE, inclusive governance etc.) </w:t>
      </w:r>
    </w:p>
    <w:p w14:paraId="2CC46C88" w14:textId="77777777" w:rsidR="006B419E" w:rsidRPr="000F3C85" w:rsidRDefault="006B419E" w:rsidP="006B419E">
      <w:pPr>
        <w:pStyle w:val="ListParagraph"/>
        <w:pBdr>
          <w:top w:val="nil"/>
          <w:left w:val="nil"/>
          <w:bottom w:val="nil"/>
          <w:right w:val="nil"/>
          <w:between w:val="nil"/>
        </w:pBdr>
        <w:spacing w:after="0" w:line="240" w:lineRule="auto"/>
        <w:jc w:val="both"/>
        <w:rPr>
          <w:rFonts w:ascii="Arial" w:eastAsia="Arial" w:hAnsi="Arial" w:cs="Arial"/>
          <w:color w:val="000000"/>
          <w:sz w:val="22"/>
          <w:szCs w:val="22"/>
        </w:rPr>
      </w:pPr>
    </w:p>
    <w:p w14:paraId="00485753" w14:textId="77777777" w:rsidR="006B419E" w:rsidRPr="000F3C85" w:rsidRDefault="006B419E" w:rsidP="006B419E">
      <w:pPr>
        <w:rPr>
          <w:rFonts w:ascii="Arial" w:hAnsi="Arial" w:cs="Arial"/>
          <w:b/>
          <w:bCs/>
          <w:sz w:val="24"/>
          <w:szCs w:val="24"/>
        </w:rPr>
      </w:pPr>
      <w:r w:rsidRPr="000F3C85">
        <w:rPr>
          <w:rFonts w:ascii="Arial" w:hAnsi="Arial" w:cs="Arial"/>
          <w:b/>
          <w:bCs/>
          <w:sz w:val="24"/>
          <w:szCs w:val="24"/>
        </w:rPr>
        <w:t>Country Support Priorities and Methods</w:t>
      </w:r>
    </w:p>
    <w:p w14:paraId="724AC2E5" w14:textId="77777777" w:rsidR="006B419E" w:rsidRPr="000F3C85" w:rsidRDefault="006B419E" w:rsidP="00553AB3">
      <w:pPr>
        <w:pStyle w:val="ListParagraph"/>
        <w:numPr>
          <w:ilvl w:val="0"/>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b/>
          <w:color w:val="000000"/>
          <w:sz w:val="22"/>
          <w:szCs w:val="22"/>
        </w:rPr>
        <w:t>Base future Programme targeting on the basis of evidence of effectiveness, rather than pre-selecting a list of priority countries.</w:t>
      </w:r>
    </w:p>
    <w:p w14:paraId="3923D0CA" w14:textId="77777777"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 xml:space="preserve">As part of Phase 4 planning, conduct a comprehensive review of existing evidence (this report, country or project evaluation reports, annual reports, etc.) of where GP support has and has not been able to contribute to significant and sustainable results, with a view to identifying key success/failure factors that should strongly influence Phase 4 country targeting (as well as the criteria for pipeline funding). </w:t>
      </w:r>
    </w:p>
    <w:p w14:paraId="2E0DB884" w14:textId="77777777" w:rsidR="006B419E" w:rsidRPr="000F3C85" w:rsidRDefault="006B419E" w:rsidP="00553AB3">
      <w:pPr>
        <w:numPr>
          <w:ilvl w:val="1"/>
          <w:numId w:val="59"/>
        </w:numPr>
        <w:pBdr>
          <w:top w:val="nil"/>
          <w:left w:val="nil"/>
          <w:bottom w:val="nil"/>
          <w:right w:val="nil"/>
          <w:between w:val="nil"/>
        </w:pBdr>
        <w:spacing w:line="240" w:lineRule="auto"/>
        <w:ind w:left="1434" w:hanging="357"/>
        <w:jc w:val="both"/>
        <w:rPr>
          <w:rFonts w:ascii="Arial" w:eastAsia="Arial" w:hAnsi="Arial" w:cs="Arial"/>
          <w:color w:val="000000"/>
          <w:sz w:val="22"/>
          <w:szCs w:val="22"/>
        </w:rPr>
      </w:pPr>
      <w:r w:rsidRPr="000F3C85">
        <w:rPr>
          <w:rFonts w:ascii="Arial" w:eastAsia="Arial" w:hAnsi="Arial" w:cs="Arial"/>
          <w:color w:val="000000"/>
          <w:sz w:val="22"/>
          <w:szCs w:val="22"/>
        </w:rPr>
        <w:t xml:space="preserve">Critically assess the pros and cons of the priority country listing, with a view to either eliminating or clarifying this concept, which has been of limited utility in Phase 3. If a listing is maintained for Phase 4 (or established on an annual basis), the word “priority” should be replaced with a more accurate descriptor, and the exact significance of the list should be clarified and broadly disseminated along with the briefing document on GP funding and support.  </w:t>
      </w:r>
    </w:p>
    <w:p w14:paraId="5F6C5F57" w14:textId="77777777" w:rsidR="006B419E" w:rsidRPr="000F3C85" w:rsidRDefault="006B419E" w:rsidP="00553AB3">
      <w:pPr>
        <w:numPr>
          <w:ilvl w:val="0"/>
          <w:numId w:val="59"/>
        </w:numPr>
        <w:pBdr>
          <w:top w:val="nil"/>
          <w:left w:val="nil"/>
          <w:bottom w:val="nil"/>
          <w:right w:val="nil"/>
          <w:between w:val="nil"/>
        </w:pBdr>
        <w:spacing w:after="0" w:line="240" w:lineRule="auto"/>
        <w:jc w:val="both"/>
        <w:rPr>
          <w:rFonts w:ascii="Arial" w:eastAsia="Arial" w:hAnsi="Arial" w:cs="Arial"/>
          <w:b/>
          <w:color w:val="000000"/>
          <w:sz w:val="22"/>
          <w:szCs w:val="22"/>
        </w:rPr>
      </w:pPr>
      <w:r w:rsidRPr="000F3C85">
        <w:rPr>
          <w:rFonts w:ascii="Arial" w:eastAsia="Arial" w:hAnsi="Arial" w:cs="Arial"/>
          <w:b/>
          <w:color w:val="000000"/>
          <w:sz w:val="22"/>
          <w:szCs w:val="22"/>
        </w:rPr>
        <w:t>Clarify procedures and enhance transparency and strategic approach of pipeline funding allocations</w:t>
      </w:r>
    </w:p>
    <w:p w14:paraId="5B928012" w14:textId="77777777"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 xml:space="preserve">Document and systematize the entire request and approval procedure in detail as an SOP, with established criteria for single and multi-country requests (including any different rules applying to GFP requests), and clearly defined steps and responsibilities. (Flexibility can be maintained by having mandatory and optional criteria, and allowing waivers as needed.) </w:t>
      </w:r>
    </w:p>
    <w:p w14:paraId="1E4808DC" w14:textId="77777777"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 xml:space="preserve">Make the process more transparent, including openly shared funding purpose and conditions, country eligibility, selection criteria, funding schedules, and feedback to countries whose requests are not approved, etc. This should include a short briefing document on GP/GFP funding that is communicated globally to Resident Coordinators, UNDP Resident Representatives, and key UNDP staff, in all main UN languages. </w:t>
      </w:r>
    </w:p>
    <w:p w14:paraId="4C889CFD" w14:textId="2E25585B"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 xml:space="preserve">Review the funding criteria and review role of the Project Board carefully as part of Phase 4 design, to maximize impact of these modest investments on country/regional level and on the overall objectives of the GP. For example, the potential catalytic effect of seed funding should be prioritized, and the balance among the core thematic areas of the Programme should be monitored and funding awarded to advance strategic interests or neglected areas. </w:t>
      </w:r>
    </w:p>
    <w:p w14:paraId="69BB75F2" w14:textId="77777777" w:rsidR="006B419E" w:rsidRPr="000F3C85" w:rsidRDefault="006B419E" w:rsidP="006B419E">
      <w:pPr>
        <w:pBdr>
          <w:top w:val="nil"/>
          <w:left w:val="nil"/>
          <w:bottom w:val="nil"/>
          <w:right w:val="nil"/>
          <w:between w:val="nil"/>
        </w:pBdr>
        <w:spacing w:after="0" w:line="240" w:lineRule="auto"/>
        <w:ind w:left="1440"/>
        <w:jc w:val="both"/>
        <w:rPr>
          <w:rFonts w:ascii="Arial" w:eastAsia="Arial" w:hAnsi="Arial" w:cs="Arial"/>
          <w:color w:val="000000"/>
          <w:sz w:val="22"/>
          <w:szCs w:val="22"/>
        </w:rPr>
      </w:pPr>
    </w:p>
    <w:p w14:paraId="2FFB712D" w14:textId="77777777" w:rsidR="006B419E" w:rsidRPr="000F3C85" w:rsidRDefault="006B419E" w:rsidP="006B419E">
      <w:pPr>
        <w:rPr>
          <w:rFonts w:ascii="Arial" w:hAnsi="Arial" w:cs="Arial"/>
          <w:b/>
          <w:bCs/>
          <w:sz w:val="24"/>
          <w:szCs w:val="24"/>
        </w:rPr>
      </w:pPr>
      <w:r w:rsidRPr="000F3C85">
        <w:rPr>
          <w:rFonts w:ascii="Arial" w:hAnsi="Arial" w:cs="Arial"/>
          <w:b/>
          <w:bCs/>
          <w:sz w:val="24"/>
          <w:szCs w:val="24"/>
        </w:rPr>
        <w:t xml:space="preserve">Results-Based Management </w:t>
      </w:r>
    </w:p>
    <w:p w14:paraId="5C3187F7" w14:textId="77777777" w:rsidR="006B419E" w:rsidRPr="000F3C85" w:rsidRDefault="006B419E" w:rsidP="00553AB3">
      <w:pPr>
        <w:numPr>
          <w:ilvl w:val="0"/>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b/>
          <w:color w:val="000000"/>
          <w:sz w:val="22"/>
          <w:szCs w:val="22"/>
        </w:rPr>
        <w:t xml:space="preserve">Invest more attention and resources in results-based management systems and reporting by the GP and the supported Country Offices </w:t>
      </w:r>
    </w:p>
    <w:p w14:paraId="7339E68B" w14:textId="77777777" w:rsidR="006B419E" w:rsidRPr="000F3C85" w:rsidRDefault="006B419E" w:rsidP="00553AB3">
      <w:pPr>
        <w:numPr>
          <w:ilvl w:val="1"/>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color w:val="000000"/>
          <w:sz w:val="22"/>
          <w:szCs w:val="22"/>
        </w:rPr>
        <w:t xml:space="preserve">Improve the clarity and utility of indicator monitoring and annual reporting by delineating the GP’s role in the broader picture of UNDP programming in ROLSHR, to minimize conflation and promote transparency. This includes the contents as well as the “branding” of the annual reports, whether published as documents or in interactive online format. </w:t>
      </w:r>
    </w:p>
    <w:p w14:paraId="0F4E5E35" w14:textId="77777777" w:rsidR="006B419E" w:rsidRPr="000F3C85" w:rsidRDefault="006B419E" w:rsidP="00553AB3">
      <w:pPr>
        <w:numPr>
          <w:ilvl w:val="1"/>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color w:val="000000"/>
          <w:sz w:val="22"/>
          <w:szCs w:val="22"/>
        </w:rPr>
        <w:t xml:space="preserve">Enhance systems and methods for identification and sharing of lessons learned and “what did not work”, including by reincorporating that as a specific element in annual country reporting, and ensuring adequate attention in annual meetings and other internal exchange opportunities. </w:t>
      </w:r>
    </w:p>
    <w:p w14:paraId="4C80C689" w14:textId="77777777" w:rsidR="006B419E" w:rsidRPr="000F3C85" w:rsidRDefault="006B419E" w:rsidP="00553AB3">
      <w:pPr>
        <w:numPr>
          <w:ilvl w:val="1"/>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color w:val="000000"/>
          <w:sz w:val="22"/>
          <w:szCs w:val="22"/>
        </w:rPr>
        <w:t xml:space="preserve">Invest in building M&amp;E capacity of country teams (as well as national counterparts, to the extent possible), including SDG16+ data collection capacity, capitalizing on the findings of the ISSAT evaluations in relation to effective in-country monitoring methods. </w:t>
      </w:r>
    </w:p>
    <w:p w14:paraId="034D40DA" w14:textId="71930C14" w:rsidR="006B419E" w:rsidRPr="000F3C85" w:rsidRDefault="006B419E" w:rsidP="00553AB3">
      <w:pPr>
        <w:numPr>
          <w:ilvl w:val="1"/>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color w:val="000000"/>
          <w:sz w:val="22"/>
          <w:szCs w:val="22"/>
        </w:rPr>
        <w:t xml:space="preserve">Pilot the use of country-based third parties (from civil society, private sector or government) that can efficiently collect and analyze data to feed into </w:t>
      </w:r>
      <w:r w:rsidR="00333000" w:rsidRPr="000F3C85">
        <w:rPr>
          <w:rFonts w:ascii="Arial" w:eastAsia="Arial" w:hAnsi="Arial" w:cs="Arial"/>
          <w:color w:val="000000"/>
          <w:sz w:val="22"/>
          <w:szCs w:val="22"/>
        </w:rPr>
        <w:t>results-based management</w:t>
      </w:r>
      <w:r w:rsidRPr="000F3C85">
        <w:rPr>
          <w:rFonts w:ascii="Arial" w:eastAsia="Arial" w:hAnsi="Arial" w:cs="Arial"/>
          <w:color w:val="000000"/>
          <w:sz w:val="22"/>
          <w:szCs w:val="22"/>
        </w:rPr>
        <w:t xml:space="preserve"> of the Global Programme and UNDP, as well as SDG16, especially in conflict-affected contexts where mobility and access is constrained by security concerns, and where UNDP Country Office capacity is limited.</w:t>
      </w:r>
    </w:p>
    <w:p w14:paraId="45BD9ED2" w14:textId="77777777" w:rsidR="006B419E" w:rsidRPr="000F3C85" w:rsidRDefault="006B419E" w:rsidP="00553AB3">
      <w:pPr>
        <w:numPr>
          <w:ilvl w:val="1"/>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color w:val="000000"/>
          <w:sz w:val="22"/>
          <w:szCs w:val="22"/>
        </w:rPr>
        <w:t xml:space="preserve">Ensure the continuous engagement at headquarters of at least one experienced staff member or consultant dedicated to M&amp;E, to support GP and country teams with RBM processes. This role should not continue to be combined with various other demanding duties such as reporting, advocacy and communications.  </w:t>
      </w:r>
    </w:p>
    <w:p w14:paraId="1682BDE7" w14:textId="77777777" w:rsidR="006B419E" w:rsidRPr="000F3C85" w:rsidRDefault="006B419E" w:rsidP="006B419E">
      <w:pPr>
        <w:pBdr>
          <w:top w:val="nil"/>
          <w:left w:val="nil"/>
          <w:bottom w:val="nil"/>
          <w:right w:val="nil"/>
          <w:between w:val="nil"/>
        </w:pBdr>
        <w:spacing w:after="0" w:line="240" w:lineRule="auto"/>
        <w:ind w:left="714"/>
        <w:jc w:val="both"/>
        <w:rPr>
          <w:rFonts w:ascii="Arial" w:eastAsia="Arial" w:hAnsi="Arial" w:cs="Arial"/>
          <w:color w:val="000000"/>
          <w:sz w:val="22"/>
          <w:szCs w:val="22"/>
        </w:rPr>
      </w:pPr>
    </w:p>
    <w:p w14:paraId="30BC08B5" w14:textId="77777777" w:rsidR="006B419E" w:rsidRPr="000F3C85" w:rsidRDefault="006B419E" w:rsidP="00553AB3">
      <w:pPr>
        <w:numPr>
          <w:ilvl w:val="0"/>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b/>
          <w:color w:val="000000"/>
          <w:sz w:val="22"/>
          <w:szCs w:val="22"/>
        </w:rPr>
        <w:t xml:space="preserve">Eliminate or reform monitoring practices and indicators that do not add specific value for measurement and management of GP results, and focus RBM efforts on a few data points that will generate useful information for and about the Programme. </w:t>
      </w:r>
    </w:p>
    <w:p w14:paraId="38A6CDAA" w14:textId="77777777" w:rsidR="006B419E" w:rsidRPr="000F3C85" w:rsidRDefault="006B419E" w:rsidP="00553AB3">
      <w:pPr>
        <w:numPr>
          <w:ilvl w:val="1"/>
          <w:numId w:val="59"/>
        </w:numPr>
        <w:pBdr>
          <w:top w:val="nil"/>
          <w:left w:val="nil"/>
          <w:bottom w:val="nil"/>
          <w:right w:val="nil"/>
          <w:between w:val="nil"/>
        </w:pBdr>
        <w:spacing w:after="0" w:line="240" w:lineRule="auto"/>
        <w:ind w:left="1434" w:hanging="357"/>
        <w:jc w:val="both"/>
        <w:rPr>
          <w:rFonts w:ascii="Arial" w:eastAsia="Arial" w:hAnsi="Arial" w:cs="Arial"/>
          <w:color w:val="000000"/>
          <w:sz w:val="22"/>
          <w:szCs w:val="22"/>
        </w:rPr>
      </w:pPr>
      <w:r w:rsidRPr="000F3C85">
        <w:rPr>
          <w:rFonts w:ascii="Arial" w:eastAsia="Arial" w:hAnsi="Arial" w:cs="Arial"/>
          <w:color w:val="000000"/>
          <w:sz w:val="22"/>
          <w:szCs w:val="22"/>
        </w:rPr>
        <w:t>Report as needed on UNDP corporate indicators, but focus on reliably measuring meaningful customized indicators that relate ONLY to the support provided by GP (or enable disaggregation of the results of that support).</w:t>
      </w:r>
    </w:p>
    <w:p w14:paraId="722CB84A" w14:textId="77777777" w:rsidR="006B419E" w:rsidRPr="000F3C85" w:rsidRDefault="006B419E" w:rsidP="00553AB3">
      <w:pPr>
        <w:numPr>
          <w:ilvl w:val="1"/>
          <w:numId w:val="59"/>
        </w:numPr>
        <w:pBdr>
          <w:top w:val="nil"/>
          <w:left w:val="nil"/>
          <w:bottom w:val="nil"/>
          <w:right w:val="nil"/>
          <w:between w:val="nil"/>
        </w:pBdr>
        <w:spacing w:after="0" w:line="240" w:lineRule="auto"/>
        <w:ind w:left="1434" w:hanging="357"/>
        <w:rPr>
          <w:rFonts w:ascii="Arial" w:eastAsia="Arial" w:hAnsi="Arial" w:cs="Arial"/>
          <w:color w:val="000000"/>
          <w:sz w:val="22"/>
          <w:szCs w:val="22"/>
        </w:rPr>
      </w:pPr>
      <w:r w:rsidRPr="000F3C85">
        <w:rPr>
          <w:rFonts w:ascii="Arial" w:eastAsia="Arial" w:hAnsi="Arial" w:cs="Arial"/>
          <w:color w:val="000000"/>
          <w:sz w:val="22"/>
          <w:szCs w:val="22"/>
        </w:rPr>
        <w:t xml:space="preserve">Design of future GP-specific monitoring tools should be informed by a consultative process including technical guidance by M&amp;E specialists, and consider both quantitative and qualitative measures. Tracking of catalytic effects should be a high priority, potentially via an annual/biannual study of a subset of countries to assess degree/type of catalytic and other effects of GP support, which would generate information for management and reporting, including decision-making on future funding based on those successes and failures. Work on defining and measuring catalytic effects should be informed by the extensive efforts of the PBF in this regard over the last 10 years. </w:t>
      </w:r>
    </w:p>
    <w:p w14:paraId="38A6DE4D" w14:textId="77777777" w:rsidR="006B419E" w:rsidRPr="000F3C85" w:rsidRDefault="006B419E" w:rsidP="00553AB3">
      <w:pPr>
        <w:numPr>
          <w:ilvl w:val="1"/>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color w:val="000000"/>
          <w:sz w:val="22"/>
          <w:szCs w:val="22"/>
        </w:rPr>
        <w:t xml:space="preserve">Conduct more analysis of newly-introduced GP-specific performance metrics to inform annual reports and for overall management of the Programme, including trends across countries, regions and years. This would enable the GP to find and present better evidence of impact over time, as well as identify challenges and needed adaptations. </w:t>
      </w:r>
    </w:p>
    <w:p w14:paraId="74AB0DB4" w14:textId="77777777" w:rsidR="006B419E" w:rsidRPr="000F3C85" w:rsidRDefault="006B419E" w:rsidP="00553AB3">
      <w:pPr>
        <w:numPr>
          <w:ilvl w:val="1"/>
          <w:numId w:val="59"/>
        </w:numPr>
        <w:pBdr>
          <w:top w:val="nil"/>
          <w:left w:val="nil"/>
          <w:bottom w:val="nil"/>
          <w:right w:val="nil"/>
          <w:between w:val="nil"/>
        </w:pBdr>
        <w:spacing w:after="0" w:line="240" w:lineRule="auto"/>
        <w:ind w:left="1434" w:hanging="357"/>
        <w:rPr>
          <w:rFonts w:ascii="Arial" w:eastAsia="Arial" w:hAnsi="Arial" w:cs="Arial"/>
          <w:color w:val="000000"/>
          <w:sz w:val="22"/>
          <w:szCs w:val="22"/>
        </w:rPr>
      </w:pPr>
      <w:r w:rsidRPr="000F3C85">
        <w:rPr>
          <w:rFonts w:ascii="Arial" w:eastAsia="Arial" w:hAnsi="Arial" w:cs="Arial"/>
          <w:color w:val="000000"/>
          <w:sz w:val="22"/>
          <w:szCs w:val="22"/>
        </w:rPr>
        <w:t xml:space="preserve">Negotiate with donors (and/or retain a proportion of INL fees) to fund creation of an “M&amp;E window” within the GP Phase 4 to enable consistent prioritization of results measurement. This window should prioritize the testing of SDG16 data collection instruments at community level (Somalia approach), including incorporation of non-treatment communities to generate comparative data. This would advance the possibility of introducing true RBM for ROLSHR work at country level, serving as an incentive to CO programme/project staff to invest themselves in ensuring data quality. </w:t>
      </w:r>
    </w:p>
    <w:p w14:paraId="6139BB82" w14:textId="77777777" w:rsidR="006B419E" w:rsidRPr="000F3C85" w:rsidRDefault="006B419E" w:rsidP="00553AB3">
      <w:pPr>
        <w:numPr>
          <w:ilvl w:val="1"/>
          <w:numId w:val="59"/>
        </w:numPr>
        <w:pBdr>
          <w:top w:val="nil"/>
          <w:left w:val="nil"/>
          <w:bottom w:val="nil"/>
          <w:right w:val="nil"/>
          <w:between w:val="nil"/>
        </w:pBdr>
        <w:spacing w:after="0" w:line="240" w:lineRule="auto"/>
        <w:ind w:left="1434" w:hanging="357"/>
        <w:rPr>
          <w:rFonts w:ascii="Arial" w:eastAsia="Arial" w:hAnsi="Arial" w:cs="Arial"/>
          <w:color w:val="000000"/>
          <w:sz w:val="22"/>
          <w:szCs w:val="22"/>
        </w:rPr>
      </w:pPr>
      <w:r w:rsidRPr="000F3C85">
        <w:rPr>
          <w:rFonts w:ascii="Arial" w:eastAsia="Arial" w:hAnsi="Arial" w:cs="Arial"/>
          <w:color w:val="000000"/>
          <w:sz w:val="22"/>
          <w:szCs w:val="22"/>
        </w:rPr>
        <w:t xml:space="preserve">Make indicator monitoring more inclusive of ALL contexts receiving substantive GP support (ideally including all those funded via GP in last two years), rather than limiting to a pre-selected subset of countries. If universal annual monitoring is not feasible, then a random sample could be used as a proxy. </w:t>
      </w:r>
    </w:p>
    <w:p w14:paraId="7EDB53A6" w14:textId="77777777" w:rsidR="006B419E" w:rsidRPr="000F3C85" w:rsidRDefault="006B419E" w:rsidP="00553AB3">
      <w:pPr>
        <w:numPr>
          <w:ilvl w:val="1"/>
          <w:numId w:val="59"/>
        </w:numPr>
        <w:pBdr>
          <w:top w:val="nil"/>
          <w:left w:val="nil"/>
          <w:bottom w:val="nil"/>
          <w:right w:val="nil"/>
          <w:between w:val="nil"/>
        </w:pBdr>
        <w:spacing w:after="0" w:line="240" w:lineRule="auto"/>
        <w:ind w:left="1434" w:hanging="357"/>
        <w:rPr>
          <w:rFonts w:ascii="Arial" w:eastAsia="Arial" w:hAnsi="Arial" w:cs="Arial"/>
          <w:color w:val="000000"/>
          <w:sz w:val="22"/>
          <w:szCs w:val="22"/>
        </w:rPr>
      </w:pPr>
      <w:r w:rsidRPr="000F3C85">
        <w:rPr>
          <w:rFonts w:ascii="Arial" w:eastAsia="Arial" w:hAnsi="Arial" w:cs="Arial"/>
          <w:color w:val="000000"/>
          <w:sz w:val="22"/>
          <w:szCs w:val="22"/>
        </w:rPr>
        <w:t>For customized GP indicators, create indicator descriptions/methodological notes to guide headquarters and country staff on their interpretation and application, and ensure that key staff in COs understand how to report on these GP indicators.</w:t>
      </w:r>
    </w:p>
    <w:p w14:paraId="3F24F6F3" w14:textId="77777777" w:rsidR="006B419E" w:rsidRPr="000F3C85" w:rsidRDefault="006B419E" w:rsidP="00553AB3">
      <w:pPr>
        <w:numPr>
          <w:ilvl w:val="1"/>
          <w:numId w:val="59"/>
        </w:numPr>
        <w:pBdr>
          <w:top w:val="nil"/>
          <w:left w:val="nil"/>
          <w:bottom w:val="nil"/>
          <w:right w:val="nil"/>
          <w:between w:val="nil"/>
        </w:pBdr>
        <w:spacing w:after="0" w:line="240" w:lineRule="auto"/>
        <w:ind w:left="1434" w:hanging="357"/>
        <w:rPr>
          <w:rFonts w:ascii="Arial" w:eastAsia="Arial" w:hAnsi="Arial" w:cs="Arial"/>
          <w:color w:val="000000"/>
          <w:sz w:val="22"/>
          <w:szCs w:val="22"/>
        </w:rPr>
      </w:pPr>
      <w:r w:rsidRPr="000F3C85">
        <w:rPr>
          <w:rFonts w:ascii="Arial" w:eastAsia="Arial" w:hAnsi="Arial" w:cs="Arial"/>
          <w:color w:val="000000"/>
          <w:sz w:val="22"/>
          <w:szCs w:val="22"/>
        </w:rPr>
        <w:t xml:space="preserve">Adapt the data reported for mandatory UNDP corporate indicators to better reflect the results of the GP, for example: if a corporate indicator requires the GP to report the number of countries meeting a certain criterion, a sub-indicator could capture the percentage of GP-supported countries that meet that criterion out of all GP-supported countries. This would help show the effects of GP support with minimal extra monitoring effort. </w:t>
      </w:r>
    </w:p>
    <w:p w14:paraId="082294A2" w14:textId="77777777" w:rsidR="006B419E" w:rsidRPr="000F3C85" w:rsidRDefault="006B419E" w:rsidP="006B419E">
      <w:pPr>
        <w:spacing w:after="0" w:line="240" w:lineRule="auto"/>
        <w:rPr>
          <w:rFonts w:ascii="Arial" w:eastAsia="Arial" w:hAnsi="Arial" w:cs="Arial"/>
          <w:sz w:val="22"/>
          <w:szCs w:val="22"/>
        </w:rPr>
      </w:pPr>
    </w:p>
    <w:p w14:paraId="31ACC1DA" w14:textId="77777777" w:rsidR="006B419E" w:rsidRPr="000F3C85" w:rsidRDefault="006B419E" w:rsidP="00553AB3">
      <w:pPr>
        <w:numPr>
          <w:ilvl w:val="0"/>
          <w:numId w:val="59"/>
        </w:numPr>
        <w:pBdr>
          <w:top w:val="nil"/>
          <w:left w:val="nil"/>
          <w:bottom w:val="nil"/>
          <w:right w:val="nil"/>
          <w:between w:val="nil"/>
        </w:pBdr>
        <w:spacing w:after="0" w:line="240" w:lineRule="auto"/>
        <w:jc w:val="both"/>
        <w:rPr>
          <w:rFonts w:ascii="Arial" w:eastAsia="Arial" w:hAnsi="Arial" w:cs="Arial"/>
          <w:b/>
          <w:color w:val="000000"/>
          <w:sz w:val="22"/>
          <w:szCs w:val="22"/>
        </w:rPr>
      </w:pPr>
      <w:r w:rsidRPr="000F3C85">
        <w:rPr>
          <w:rFonts w:ascii="Arial" w:eastAsia="Arial" w:hAnsi="Arial" w:cs="Arial"/>
          <w:b/>
          <w:color w:val="000000"/>
          <w:sz w:val="22"/>
          <w:szCs w:val="22"/>
        </w:rPr>
        <w:t>Increase GP contribution to ROLSHR knowledge management and thought leadership, in collaboration with other key actors such as the GPN.</w:t>
      </w:r>
    </w:p>
    <w:p w14:paraId="4B95881C" w14:textId="77777777" w:rsidR="006B419E" w:rsidRPr="000F3C85" w:rsidRDefault="006B419E" w:rsidP="00553AB3">
      <w:pPr>
        <w:numPr>
          <w:ilvl w:val="1"/>
          <w:numId w:val="59"/>
        </w:numPr>
        <w:pBdr>
          <w:top w:val="nil"/>
          <w:left w:val="nil"/>
          <w:bottom w:val="nil"/>
          <w:right w:val="nil"/>
          <w:between w:val="nil"/>
        </w:pBdr>
        <w:spacing w:after="0" w:line="240" w:lineRule="auto"/>
        <w:jc w:val="both"/>
        <w:rPr>
          <w:rFonts w:ascii="Arial" w:eastAsia="Arial" w:hAnsi="Arial" w:cs="Arial"/>
          <w:color w:val="000000"/>
          <w:sz w:val="22"/>
          <w:szCs w:val="22"/>
        </w:rPr>
      </w:pPr>
      <w:r w:rsidRPr="000F3C85">
        <w:rPr>
          <w:rFonts w:ascii="Arial" w:eastAsia="Arial" w:hAnsi="Arial" w:cs="Arial"/>
          <w:color w:val="000000"/>
          <w:sz w:val="22"/>
          <w:szCs w:val="22"/>
        </w:rPr>
        <w:t>GP should organize regular structured opportunities for internal reflection and exchanges of experience among UNDP Country Offices, regional hubs and headquarters. These should take a constructive yet critical approach including analysis of what has not worked and how problems have been overcome, in addition to success stories. These processes will contribute to developing the body of evidence on ROLSHR assistance, but more specifically and urgently, feed into Phase 4 design and implementation.</w:t>
      </w:r>
    </w:p>
    <w:p w14:paraId="429371B0" w14:textId="15579241" w:rsidR="006B419E" w:rsidRPr="000F3C85" w:rsidRDefault="006B419E" w:rsidP="00553AB3">
      <w:pPr>
        <w:numPr>
          <w:ilvl w:val="1"/>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color w:val="000000"/>
          <w:sz w:val="22"/>
          <w:szCs w:val="22"/>
        </w:rPr>
        <w:t>Encourage more South-South exchanges of experiences and expertise, including allocation of funding to enable learning/experience-sharing visits by key country programme staff to other countries and regions.</w:t>
      </w:r>
    </w:p>
    <w:p w14:paraId="5B929743" w14:textId="77777777" w:rsidR="006B419E" w:rsidRPr="000F3C85" w:rsidRDefault="006B419E" w:rsidP="006B419E">
      <w:pPr>
        <w:pBdr>
          <w:top w:val="nil"/>
          <w:left w:val="nil"/>
          <w:bottom w:val="nil"/>
          <w:right w:val="nil"/>
          <w:between w:val="nil"/>
        </w:pBdr>
        <w:spacing w:after="0" w:line="240" w:lineRule="auto"/>
        <w:ind w:left="1440"/>
        <w:rPr>
          <w:rFonts w:ascii="Arial" w:eastAsia="Arial" w:hAnsi="Arial" w:cs="Arial"/>
          <w:color w:val="000000"/>
          <w:sz w:val="22"/>
          <w:szCs w:val="22"/>
        </w:rPr>
      </w:pPr>
    </w:p>
    <w:p w14:paraId="2D7D4CC6" w14:textId="6F0ED046" w:rsidR="006B419E" w:rsidRPr="000F3C85" w:rsidRDefault="006B419E" w:rsidP="006B419E">
      <w:pPr>
        <w:rPr>
          <w:rFonts w:ascii="Arial" w:hAnsi="Arial" w:cs="Arial"/>
          <w:b/>
          <w:bCs/>
          <w:sz w:val="24"/>
          <w:szCs w:val="24"/>
        </w:rPr>
      </w:pPr>
      <w:r w:rsidRPr="000F3C85">
        <w:rPr>
          <w:rFonts w:ascii="Arial" w:hAnsi="Arial" w:cs="Arial"/>
          <w:b/>
          <w:bCs/>
          <w:sz w:val="24"/>
          <w:szCs w:val="24"/>
        </w:rPr>
        <w:t>Coherence and collaboration</w:t>
      </w:r>
      <w:r w:rsidR="00387AB7">
        <w:rPr>
          <w:rFonts w:ascii="Arial" w:hAnsi="Arial" w:cs="Arial"/>
          <w:b/>
          <w:bCs/>
          <w:sz w:val="24"/>
          <w:szCs w:val="24"/>
        </w:rPr>
        <w:t xml:space="preserve"> (</w:t>
      </w:r>
      <w:r w:rsidRPr="000F3C85">
        <w:rPr>
          <w:rFonts w:ascii="Arial" w:hAnsi="Arial" w:cs="Arial"/>
          <w:b/>
          <w:bCs/>
          <w:sz w:val="24"/>
          <w:szCs w:val="24"/>
        </w:rPr>
        <w:t>including GFP</w:t>
      </w:r>
      <w:r w:rsidR="00387AB7">
        <w:rPr>
          <w:rFonts w:ascii="Arial" w:hAnsi="Arial" w:cs="Arial"/>
          <w:b/>
          <w:bCs/>
          <w:sz w:val="24"/>
          <w:szCs w:val="24"/>
        </w:rPr>
        <w:t>)</w:t>
      </w:r>
    </w:p>
    <w:p w14:paraId="3AF7079F" w14:textId="77777777" w:rsidR="006B419E" w:rsidRPr="000F3C85" w:rsidRDefault="006B419E" w:rsidP="00553AB3">
      <w:pPr>
        <w:numPr>
          <w:ilvl w:val="0"/>
          <w:numId w:val="59"/>
        </w:numPr>
        <w:pBdr>
          <w:top w:val="nil"/>
          <w:left w:val="nil"/>
          <w:bottom w:val="nil"/>
          <w:right w:val="nil"/>
          <w:between w:val="nil"/>
        </w:pBdr>
        <w:shd w:val="clear" w:color="auto" w:fill="FFFFFF"/>
        <w:spacing w:after="0" w:line="240" w:lineRule="auto"/>
        <w:jc w:val="both"/>
        <w:rPr>
          <w:rFonts w:ascii="Arial" w:eastAsia="Arial" w:hAnsi="Arial" w:cs="Arial"/>
          <w:b/>
          <w:bCs/>
          <w:color w:val="1D2228"/>
          <w:sz w:val="22"/>
          <w:szCs w:val="22"/>
        </w:rPr>
      </w:pPr>
      <w:r w:rsidRPr="000F3C85">
        <w:rPr>
          <w:rFonts w:ascii="Arial" w:eastAsia="Arial" w:hAnsi="Arial" w:cs="Arial"/>
          <w:b/>
          <w:bCs/>
          <w:color w:val="1D2228"/>
          <w:sz w:val="22"/>
          <w:szCs w:val="22"/>
        </w:rPr>
        <w:t>Enhance GP/GFP design features to support improved coherence and optimize effectiveness and reach of the GFP</w:t>
      </w:r>
    </w:p>
    <w:p w14:paraId="31EC2160" w14:textId="2658F4AF" w:rsidR="006B419E" w:rsidRPr="000F3C85" w:rsidRDefault="006B419E" w:rsidP="00567956">
      <w:pPr>
        <w:numPr>
          <w:ilvl w:val="0"/>
          <w:numId w:val="24"/>
        </w:numPr>
        <w:pBdr>
          <w:top w:val="nil"/>
          <w:left w:val="nil"/>
          <w:bottom w:val="nil"/>
          <w:right w:val="nil"/>
          <w:between w:val="nil"/>
        </w:pBdr>
        <w:shd w:val="clear" w:color="auto" w:fill="FFFFFF"/>
        <w:spacing w:after="0" w:line="240" w:lineRule="auto"/>
        <w:ind w:left="1440"/>
        <w:jc w:val="both"/>
        <w:rPr>
          <w:rFonts w:ascii="Arial" w:eastAsia="Arial" w:hAnsi="Arial" w:cs="Arial"/>
          <w:color w:val="1D2228"/>
          <w:sz w:val="22"/>
          <w:szCs w:val="22"/>
        </w:rPr>
      </w:pPr>
      <w:r w:rsidRPr="000F3C85">
        <w:rPr>
          <w:rFonts w:ascii="Arial" w:eastAsia="Arial" w:hAnsi="Arial" w:cs="Arial"/>
          <w:color w:val="1D2228"/>
          <w:sz w:val="22"/>
          <w:szCs w:val="22"/>
        </w:rPr>
        <w:t xml:space="preserve">Revisit the overall governance set-up, including study of the pros and cons of the following theoretically existing options: I. a) GFP as currently defined using GP Phase 4 as vehicle; I. b) GFP remains </w:t>
      </w:r>
      <w:r w:rsidRPr="000F3C85">
        <w:rPr>
          <w:rFonts w:ascii="Arial" w:eastAsia="Arial" w:hAnsi="Arial" w:cs="Arial"/>
          <w:color w:val="000000"/>
          <w:sz w:val="22"/>
          <w:szCs w:val="22"/>
        </w:rPr>
        <w:t xml:space="preserve">within GP, but with a separate GFP funding window; </w:t>
      </w:r>
      <w:r w:rsidRPr="000F3C85">
        <w:rPr>
          <w:rFonts w:ascii="Arial" w:eastAsia="Arial" w:hAnsi="Arial" w:cs="Arial"/>
          <w:color w:val="1D2228"/>
          <w:sz w:val="22"/>
          <w:szCs w:val="22"/>
        </w:rPr>
        <w:t>II.) GFP de-linked from GP (parallel mechanism/programme or even office, with stronger role for non-UNDP/DPO entities); III</w:t>
      </w:r>
      <w:r w:rsidR="00387AB7">
        <w:rPr>
          <w:rFonts w:ascii="Arial" w:eastAsia="Arial" w:hAnsi="Arial" w:cs="Arial"/>
          <w:color w:val="1D2228"/>
          <w:sz w:val="22"/>
          <w:szCs w:val="22"/>
        </w:rPr>
        <w:t>.</w:t>
      </w:r>
      <w:r w:rsidRPr="000F3C85">
        <w:rPr>
          <w:rFonts w:ascii="Arial" w:eastAsia="Arial" w:hAnsi="Arial" w:cs="Arial"/>
          <w:color w:val="1D2228"/>
          <w:sz w:val="22"/>
          <w:szCs w:val="22"/>
        </w:rPr>
        <w:t>) OneUN JP as new vehicle for GFP, outside UNDP.</w:t>
      </w:r>
    </w:p>
    <w:p w14:paraId="4AC925B5" w14:textId="7E20AC22" w:rsidR="006B419E" w:rsidRPr="000F3C85" w:rsidRDefault="006B419E" w:rsidP="00567956">
      <w:pPr>
        <w:numPr>
          <w:ilvl w:val="0"/>
          <w:numId w:val="24"/>
        </w:numPr>
        <w:pBdr>
          <w:top w:val="nil"/>
          <w:left w:val="nil"/>
          <w:bottom w:val="nil"/>
          <w:right w:val="nil"/>
          <w:between w:val="nil"/>
        </w:pBdr>
        <w:shd w:val="clear" w:color="auto" w:fill="FFFFFF"/>
        <w:spacing w:after="0" w:line="240" w:lineRule="auto"/>
        <w:ind w:left="1440"/>
        <w:jc w:val="both"/>
        <w:rPr>
          <w:rFonts w:ascii="Arial" w:eastAsia="Arial" w:hAnsi="Arial" w:cs="Arial"/>
          <w:color w:val="000000"/>
          <w:sz w:val="22"/>
          <w:szCs w:val="22"/>
        </w:rPr>
      </w:pPr>
      <w:r w:rsidRPr="000F3C85">
        <w:rPr>
          <w:rFonts w:ascii="Arial" w:eastAsia="Arial" w:hAnsi="Arial" w:cs="Arial"/>
          <w:color w:val="000000"/>
          <w:sz w:val="22"/>
          <w:szCs w:val="22"/>
        </w:rPr>
        <w:t>Widen membership/attendance base of GFP governance structure and country level platform, by ensuring systematic inclusion of UNEP, UN</w:t>
      </w:r>
      <w:r w:rsidR="00333000" w:rsidRPr="000F3C85">
        <w:rPr>
          <w:rFonts w:ascii="Arial" w:eastAsia="Arial" w:hAnsi="Arial" w:cs="Arial"/>
          <w:color w:val="000000"/>
          <w:sz w:val="22"/>
          <w:szCs w:val="22"/>
        </w:rPr>
        <w:t xml:space="preserve"> </w:t>
      </w:r>
      <w:r w:rsidRPr="000F3C85">
        <w:rPr>
          <w:rFonts w:ascii="Arial" w:eastAsia="Arial" w:hAnsi="Arial" w:cs="Arial"/>
          <w:color w:val="000000"/>
          <w:sz w:val="22"/>
          <w:szCs w:val="22"/>
        </w:rPr>
        <w:t>C</w:t>
      </w:r>
      <w:r w:rsidR="00333000" w:rsidRPr="000F3C85">
        <w:rPr>
          <w:rFonts w:ascii="Arial" w:eastAsia="Arial" w:hAnsi="Arial" w:cs="Arial"/>
          <w:color w:val="000000"/>
          <w:sz w:val="22"/>
          <w:szCs w:val="22"/>
        </w:rPr>
        <w:t xml:space="preserve">ounter-Terrorism </w:t>
      </w:r>
      <w:r w:rsidRPr="000F3C85">
        <w:rPr>
          <w:rFonts w:ascii="Arial" w:eastAsia="Arial" w:hAnsi="Arial" w:cs="Arial"/>
          <w:color w:val="000000"/>
          <w:sz w:val="22"/>
          <w:szCs w:val="22"/>
        </w:rPr>
        <w:t>O</w:t>
      </w:r>
      <w:r w:rsidR="00333000" w:rsidRPr="000F3C85">
        <w:rPr>
          <w:rFonts w:ascii="Arial" w:eastAsia="Arial" w:hAnsi="Arial" w:cs="Arial"/>
          <w:color w:val="000000"/>
          <w:sz w:val="22"/>
          <w:szCs w:val="22"/>
        </w:rPr>
        <w:t>rganization</w:t>
      </w:r>
      <w:r w:rsidRPr="000F3C85">
        <w:rPr>
          <w:rFonts w:ascii="Arial" w:eastAsia="Arial" w:hAnsi="Arial" w:cs="Arial"/>
          <w:color w:val="000000"/>
          <w:sz w:val="22"/>
          <w:szCs w:val="22"/>
        </w:rPr>
        <w:t xml:space="preserve">, etc. so that interfacing aspects (climate justice, P-CVE) are taken into account and future collaboration can be deepened. </w:t>
      </w:r>
    </w:p>
    <w:p w14:paraId="21B875AF" w14:textId="77777777" w:rsidR="006B419E" w:rsidRPr="000F3C85" w:rsidRDefault="006B419E" w:rsidP="00567956">
      <w:pPr>
        <w:numPr>
          <w:ilvl w:val="0"/>
          <w:numId w:val="24"/>
        </w:numPr>
        <w:pBdr>
          <w:top w:val="nil"/>
          <w:left w:val="nil"/>
          <w:bottom w:val="nil"/>
          <w:right w:val="nil"/>
          <w:between w:val="nil"/>
        </w:pBdr>
        <w:shd w:val="clear" w:color="auto" w:fill="FFFFFF"/>
        <w:spacing w:after="0" w:line="240" w:lineRule="auto"/>
        <w:ind w:left="1440"/>
        <w:jc w:val="both"/>
        <w:rPr>
          <w:rFonts w:ascii="Arial" w:eastAsia="Arial" w:hAnsi="Arial" w:cs="Arial"/>
          <w:color w:val="000000"/>
          <w:sz w:val="22"/>
          <w:szCs w:val="22"/>
        </w:rPr>
      </w:pPr>
      <w:r w:rsidRPr="000F3C85">
        <w:rPr>
          <w:rFonts w:ascii="Arial" w:eastAsia="Arial" w:hAnsi="Arial" w:cs="Arial"/>
          <w:color w:val="000000"/>
          <w:sz w:val="22"/>
          <w:szCs w:val="22"/>
        </w:rPr>
        <w:t>Ensure stability of GFP Core Team staffing to strengthen their ability to effectively coordinate partners and manage the new funding flows to countries.</w:t>
      </w:r>
    </w:p>
    <w:p w14:paraId="3C8787C0" w14:textId="77777777" w:rsidR="006B419E" w:rsidRPr="000F3C85" w:rsidRDefault="006B419E" w:rsidP="00567956">
      <w:pPr>
        <w:widowControl w:val="0"/>
        <w:numPr>
          <w:ilvl w:val="0"/>
          <w:numId w:val="24"/>
        </w:numPr>
        <w:pBdr>
          <w:top w:val="nil"/>
          <w:left w:val="nil"/>
          <w:bottom w:val="nil"/>
          <w:right w:val="nil"/>
          <w:between w:val="nil"/>
        </w:pBdr>
        <w:shd w:val="clear" w:color="auto" w:fill="FFFFFF"/>
        <w:spacing w:after="0" w:line="240" w:lineRule="auto"/>
        <w:ind w:left="1440"/>
        <w:jc w:val="both"/>
        <w:rPr>
          <w:rFonts w:ascii="Arial" w:eastAsia="Arial" w:hAnsi="Arial" w:cs="Arial"/>
          <w:color w:val="000000"/>
          <w:sz w:val="22"/>
          <w:szCs w:val="22"/>
        </w:rPr>
      </w:pPr>
      <w:r w:rsidRPr="000F3C85">
        <w:rPr>
          <w:rFonts w:ascii="Arial" w:eastAsia="Arial" w:hAnsi="Arial" w:cs="Arial"/>
          <w:color w:val="000000"/>
          <w:sz w:val="22"/>
          <w:szCs w:val="22"/>
        </w:rPr>
        <w:t xml:space="preserve">Establish joint reporting modalities for GFP </w:t>
      </w:r>
      <w:sdt>
        <w:sdtPr>
          <w:rPr>
            <w:rFonts w:ascii="Arial" w:hAnsi="Arial" w:cs="Arial"/>
            <w:color w:val="2B579A"/>
            <w:sz w:val="22"/>
            <w:szCs w:val="22"/>
            <w:shd w:val="clear" w:color="auto" w:fill="E6E6E6"/>
          </w:rPr>
          <w:tag w:val="goog_rdk_5"/>
          <w:id w:val="-1436896376"/>
        </w:sdtPr>
        <w:sdtEndPr/>
        <w:sdtContent/>
      </w:sdt>
      <w:r w:rsidRPr="000F3C85">
        <w:rPr>
          <w:rFonts w:ascii="Arial" w:eastAsia="Arial" w:hAnsi="Arial" w:cs="Arial"/>
          <w:color w:val="000000"/>
          <w:sz w:val="22"/>
          <w:szCs w:val="22"/>
        </w:rPr>
        <w:t xml:space="preserve">funding, which include all participating entities in gathering inputs to reporting and sharing of reports. </w:t>
      </w:r>
    </w:p>
    <w:p w14:paraId="366FAE09" w14:textId="1F8C5BDB" w:rsidR="006B419E" w:rsidRPr="000F3C85" w:rsidRDefault="006B419E" w:rsidP="00567956">
      <w:pPr>
        <w:widowControl w:val="0"/>
        <w:numPr>
          <w:ilvl w:val="0"/>
          <w:numId w:val="24"/>
        </w:numPr>
        <w:pBdr>
          <w:top w:val="nil"/>
          <w:left w:val="nil"/>
          <w:bottom w:val="nil"/>
          <w:right w:val="nil"/>
          <w:between w:val="nil"/>
        </w:pBdr>
        <w:shd w:val="clear" w:color="auto" w:fill="FFFFFF"/>
        <w:spacing w:after="0" w:line="240" w:lineRule="auto"/>
        <w:ind w:left="1440"/>
        <w:jc w:val="both"/>
        <w:rPr>
          <w:rFonts w:ascii="Arial" w:eastAsia="Arial" w:hAnsi="Arial" w:cs="Arial"/>
          <w:color w:val="000000"/>
          <w:sz w:val="22"/>
          <w:szCs w:val="22"/>
        </w:rPr>
      </w:pPr>
      <w:r w:rsidRPr="000F3C85">
        <w:rPr>
          <w:rFonts w:ascii="Arial" w:eastAsia="Arial" w:hAnsi="Arial" w:cs="Arial"/>
          <w:color w:val="000000"/>
          <w:sz w:val="22"/>
          <w:szCs w:val="22"/>
        </w:rPr>
        <w:t xml:space="preserve">Coordinate </w:t>
      </w:r>
      <w:r w:rsidR="000828BE">
        <w:rPr>
          <w:rFonts w:ascii="Arial" w:eastAsia="Arial" w:hAnsi="Arial" w:cs="Arial"/>
          <w:color w:val="000000"/>
          <w:sz w:val="22"/>
          <w:szCs w:val="22"/>
        </w:rPr>
        <w:t xml:space="preserve">global level </w:t>
      </w:r>
      <w:r w:rsidRPr="000F3C85">
        <w:rPr>
          <w:rFonts w:ascii="Arial" w:eastAsia="Arial" w:hAnsi="Arial" w:cs="Arial"/>
          <w:color w:val="000000"/>
          <w:sz w:val="22"/>
          <w:szCs w:val="22"/>
        </w:rPr>
        <w:t xml:space="preserve">fundraising efforts between and across UNDP and DPO, more evenly sharing responsibility and accountability for raising GFP funding. </w:t>
      </w:r>
    </w:p>
    <w:p w14:paraId="75746E93" w14:textId="77777777" w:rsidR="006B419E" w:rsidRPr="000F3C85" w:rsidRDefault="006B419E" w:rsidP="00567956">
      <w:pPr>
        <w:numPr>
          <w:ilvl w:val="0"/>
          <w:numId w:val="24"/>
        </w:numPr>
        <w:pBdr>
          <w:top w:val="nil"/>
          <w:left w:val="nil"/>
          <w:bottom w:val="nil"/>
          <w:right w:val="nil"/>
          <w:between w:val="nil"/>
        </w:pBdr>
        <w:shd w:val="clear" w:color="auto" w:fill="FFFFFF"/>
        <w:spacing w:after="0" w:line="240" w:lineRule="auto"/>
        <w:ind w:left="1440"/>
        <w:jc w:val="both"/>
        <w:rPr>
          <w:rFonts w:ascii="Arial" w:eastAsia="Arial" w:hAnsi="Arial" w:cs="Arial"/>
          <w:color w:val="000000"/>
          <w:sz w:val="22"/>
          <w:szCs w:val="22"/>
        </w:rPr>
      </w:pPr>
      <w:r w:rsidRPr="000F3C85">
        <w:rPr>
          <w:rFonts w:ascii="Arial" w:eastAsia="Arial" w:hAnsi="Arial" w:cs="Arial"/>
          <w:color w:val="000000"/>
          <w:sz w:val="22"/>
          <w:szCs w:val="22"/>
        </w:rPr>
        <w:t xml:space="preserve">At country and regional levels, raise profile of GP/GFP and share information including in French (at minimum) to ensure broader awareness of the support it can provide. Consider a specific communication/sensitization campaign on GFP (what it is, how it works, how to apply for funds etc.); by jointly organizing and conducting meetings with GFP managers or GFP presentations in the RR induction; sensitizing COs and field staff about the GFP, stressing the importance of integrated, coordinated and joint support by helping shift incentives and change behavior and organizational culture on the ground. </w:t>
      </w:r>
    </w:p>
    <w:p w14:paraId="0EC2FF68" w14:textId="77777777" w:rsidR="006B419E" w:rsidRPr="000F3C85" w:rsidRDefault="006B419E" w:rsidP="00567956">
      <w:pPr>
        <w:numPr>
          <w:ilvl w:val="0"/>
          <w:numId w:val="24"/>
        </w:numPr>
        <w:pBdr>
          <w:top w:val="nil"/>
          <w:left w:val="nil"/>
          <w:bottom w:val="nil"/>
          <w:right w:val="nil"/>
          <w:between w:val="nil"/>
        </w:pBdr>
        <w:shd w:val="clear" w:color="auto" w:fill="FFFFFF"/>
        <w:spacing w:after="0" w:line="240" w:lineRule="auto"/>
        <w:ind w:left="1440"/>
        <w:jc w:val="both"/>
        <w:rPr>
          <w:rFonts w:ascii="Arial" w:eastAsia="Arial" w:hAnsi="Arial" w:cs="Arial"/>
          <w:color w:val="000000"/>
          <w:sz w:val="22"/>
          <w:szCs w:val="22"/>
        </w:rPr>
      </w:pPr>
      <w:r w:rsidRPr="000F3C85">
        <w:rPr>
          <w:rFonts w:ascii="Arial" w:eastAsia="Arial" w:hAnsi="Arial" w:cs="Arial"/>
          <w:color w:val="000000"/>
          <w:sz w:val="22"/>
          <w:szCs w:val="22"/>
        </w:rPr>
        <w:t>Advocate for a high-level executive task force to resolve GP/GFP interoperability issues (Mission/OROLSI – UNCT).</w:t>
      </w:r>
    </w:p>
    <w:p w14:paraId="69CCF1F3" w14:textId="149FBD69" w:rsidR="006B419E" w:rsidRPr="000F3C85" w:rsidRDefault="006B419E" w:rsidP="00567956">
      <w:pPr>
        <w:numPr>
          <w:ilvl w:val="0"/>
          <w:numId w:val="24"/>
        </w:numPr>
        <w:pBdr>
          <w:top w:val="nil"/>
          <w:left w:val="nil"/>
          <w:bottom w:val="nil"/>
          <w:right w:val="nil"/>
          <w:between w:val="nil"/>
        </w:pBdr>
        <w:spacing w:after="0" w:line="240" w:lineRule="auto"/>
        <w:ind w:left="1440"/>
        <w:rPr>
          <w:rFonts w:ascii="Arial" w:eastAsia="Arial" w:hAnsi="Arial" w:cs="Arial"/>
          <w:color w:val="000000"/>
          <w:sz w:val="22"/>
          <w:szCs w:val="22"/>
        </w:rPr>
      </w:pPr>
      <w:r w:rsidRPr="000F3C85">
        <w:rPr>
          <w:rFonts w:ascii="Arial" w:eastAsia="Arial" w:hAnsi="Arial" w:cs="Arial"/>
          <w:color w:val="000000"/>
          <w:sz w:val="22"/>
          <w:szCs w:val="22"/>
        </w:rPr>
        <w:t>Strengthen collaboration between UNDP and OROLSI in non-mission settings. The new phase of GP could include the testing of partnerships in non-mission settings, such as the secondment of expertise, the coordination of rule of law priorities on the ground, and joint fundraising</w:t>
      </w:r>
      <w:r w:rsidR="000828BE">
        <w:rPr>
          <w:rFonts w:ascii="Arial" w:eastAsia="Arial" w:hAnsi="Arial" w:cs="Arial"/>
          <w:color w:val="000000"/>
          <w:sz w:val="22"/>
          <w:szCs w:val="22"/>
        </w:rPr>
        <w:t xml:space="preserve"> at country level</w:t>
      </w:r>
      <w:r w:rsidRPr="000F3C85">
        <w:rPr>
          <w:rFonts w:ascii="Arial" w:eastAsia="Arial" w:hAnsi="Arial" w:cs="Arial"/>
          <w:color w:val="000000"/>
          <w:sz w:val="22"/>
          <w:szCs w:val="22"/>
        </w:rPr>
        <w:t xml:space="preserve">. </w:t>
      </w:r>
    </w:p>
    <w:p w14:paraId="766AE7D1" w14:textId="77777777" w:rsidR="006B419E" w:rsidRPr="000F3C85" w:rsidRDefault="006B419E" w:rsidP="00567956">
      <w:pPr>
        <w:numPr>
          <w:ilvl w:val="0"/>
          <w:numId w:val="24"/>
        </w:numPr>
        <w:pBdr>
          <w:top w:val="nil"/>
          <w:left w:val="nil"/>
          <w:bottom w:val="nil"/>
          <w:right w:val="nil"/>
          <w:between w:val="nil"/>
        </w:pBdr>
        <w:spacing w:after="0" w:line="240" w:lineRule="auto"/>
        <w:ind w:left="1440"/>
        <w:rPr>
          <w:rFonts w:ascii="Arial" w:eastAsia="Arial" w:hAnsi="Arial" w:cs="Arial"/>
          <w:color w:val="000000"/>
          <w:sz w:val="22"/>
          <w:szCs w:val="22"/>
        </w:rPr>
      </w:pPr>
      <w:r w:rsidRPr="000F3C85">
        <w:rPr>
          <w:rFonts w:ascii="Arial" w:eastAsia="Arial" w:hAnsi="Arial" w:cs="Arial"/>
          <w:color w:val="000000"/>
          <w:sz w:val="22"/>
          <w:szCs w:val="22"/>
        </w:rPr>
        <w:t xml:space="preserve">Conduct or advocate for a detailed study of the consequences of the de-linking for UN country level coherence in ROLSHR, with objectives to include development of clear guidance with respect to allocation of responsibilities for convening and overseeing the GFP in country. </w:t>
      </w:r>
    </w:p>
    <w:p w14:paraId="7E4C3662" w14:textId="2E93D771" w:rsidR="006B419E" w:rsidRPr="000F3C85" w:rsidRDefault="006B419E" w:rsidP="00567956">
      <w:pPr>
        <w:numPr>
          <w:ilvl w:val="0"/>
          <w:numId w:val="24"/>
        </w:numPr>
        <w:pBdr>
          <w:top w:val="nil"/>
          <w:left w:val="nil"/>
          <w:bottom w:val="nil"/>
          <w:right w:val="nil"/>
          <w:between w:val="nil"/>
        </w:pBdr>
        <w:spacing w:after="0" w:line="240" w:lineRule="auto"/>
        <w:ind w:left="1440"/>
        <w:rPr>
          <w:rFonts w:ascii="Arial" w:eastAsia="Arial" w:hAnsi="Arial" w:cs="Arial"/>
          <w:color w:val="000000"/>
          <w:sz w:val="22"/>
          <w:szCs w:val="22"/>
        </w:rPr>
      </w:pPr>
      <w:r w:rsidRPr="000F3C85">
        <w:rPr>
          <w:rFonts w:ascii="Arial" w:eastAsia="Arial" w:hAnsi="Arial" w:cs="Arial"/>
          <w:color w:val="000000"/>
          <w:sz w:val="22"/>
          <w:szCs w:val="22"/>
        </w:rPr>
        <w:t xml:space="preserve">Develop guidance for in-country GFP Teams for how to design and manage ROLSHR programming in the context of post-Mission </w:t>
      </w:r>
      <w:sdt>
        <w:sdtPr>
          <w:rPr>
            <w:rFonts w:ascii="Arial" w:hAnsi="Arial" w:cs="Arial"/>
            <w:color w:val="2B579A"/>
            <w:sz w:val="22"/>
            <w:szCs w:val="22"/>
            <w:shd w:val="clear" w:color="auto" w:fill="E6E6E6"/>
          </w:rPr>
          <w:tag w:val="goog_rdk_7"/>
          <w:id w:val="102538838"/>
        </w:sdtPr>
        <w:sdtEndPr/>
        <w:sdtContent/>
      </w:sdt>
      <w:r w:rsidRPr="000F3C85">
        <w:rPr>
          <w:rFonts w:ascii="Arial" w:eastAsia="Arial" w:hAnsi="Arial" w:cs="Arial"/>
          <w:color w:val="000000"/>
          <w:sz w:val="22"/>
          <w:szCs w:val="22"/>
        </w:rPr>
        <w:t>transition, building on lessons learned from relevant contexts (including in-depth case study on Haiti).</w:t>
      </w:r>
    </w:p>
    <w:p w14:paraId="78BCC444" w14:textId="77777777" w:rsidR="006B419E" w:rsidRPr="000F3C85" w:rsidRDefault="006B419E" w:rsidP="006B419E">
      <w:pPr>
        <w:pBdr>
          <w:top w:val="nil"/>
          <w:left w:val="nil"/>
          <w:bottom w:val="nil"/>
          <w:right w:val="nil"/>
          <w:between w:val="nil"/>
        </w:pBdr>
        <w:spacing w:after="0" w:line="240" w:lineRule="auto"/>
        <w:ind w:left="1440"/>
        <w:rPr>
          <w:rFonts w:ascii="Arial" w:eastAsia="Arial" w:hAnsi="Arial" w:cs="Arial"/>
          <w:color w:val="000000"/>
          <w:sz w:val="22"/>
          <w:szCs w:val="22"/>
        </w:rPr>
      </w:pPr>
    </w:p>
    <w:p w14:paraId="4CCF3860" w14:textId="77777777" w:rsidR="006B419E" w:rsidRPr="000F3C85" w:rsidRDefault="006B419E" w:rsidP="006B419E">
      <w:pPr>
        <w:rPr>
          <w:rFonts w:ascii="Arial" w:hAnsi="Arial" w:cs="Arial"/>
          <w:b/>
          <w:bCs/>
          <w:sz w:val="24"/>
          <w:szCs w:val="24"/>
        </w:rPr>
      </w:pPr>
      <w:r w:rsidRPr="000F3C85">
        <w:rPr>
          <w:rFonts w:ascii="Arial" w:hAnsi="Arial" w:cs="Arial"/>
          <w:b/>
          <w:bCs/>
          <w:sz w:val="24"/>
          <w:szCs w:val="24"/>
        </w:rPr>
        <w:t>Other Recommendations</w:t>
      </w:r>
    </w:p>
    <w:p w14:paraId="44B28E92" w14:textId="77777777" w:rsidR="006B419E" w:rsidRPr="000F3C85" w:rsidRDefault="006B419E" w:rsidP="00553AB3">
      <w:pPr>
        <w:numPr>
          <w:ilvl w:val="0"/>
          <w:numId w:val="59"/>
        </w:numPr>
        <w:pBdr>
          <w:top w:val="nil"/>
          <w:left w:val="nil"/>
          <w:bottom w:val="nil"/>
          <w:right w:val="nil"/>
          <w:between w:val="nil"/>
        </w:pBdr>
        <w:spacing w:after="0" w:line="240" w:lineRule="auto"/>
        <w:rPr>
          <w:rFonts w:ascii="Arial" w:eastAsia="Arial" w:hAnsi="Arial" w:cs="Arial"/>
          <w:b/>
          <w:color w:val="000000"/>
          <w:sz w:val="22"/>
          <w:szCs w:val="22"/>
        </w:rPr>
      </w:pPr>
      <w:r w:rsidRPr="000F3C85">
        <w:rPr>
          <w:rFonts w:ascii="Arial" w:eastAsia="Arial" w:hAnsi="Arial" w:cs="Arial"/>
          <w:b/>
          <w:color w:val="000000"/>
          <w:sz w:val="22"/>
          <w:szCs w:val="22"/>
        </w:rPr>
        <w:t>Modify the arrangement with INL to enhance sustainability and results-based management</w:t>
      </w:r>
    </w:p>
    <w:p w14:paraId="11144CC3" w14:textId="77777777" w:rsidR="006B419E" w:rsidRPr="000F3C85" w:rsidRDefault="006B419E" w:rsidP="00553AB3">
      <w:pPr>
        <w:numPr>
          <w:ilvl w:val="1"/>
          <w:numId w:val="59"/>
        </w:numPr>
        <w:pBdr>
          <w:top w:val="nil"/>
          <w:left w:val="nil"/>
          <w:bottom w:val="nil"/>
          <w:right w:val="nil"/>
          <w:between w:val="nil"/>
        </w:pBdr>
        <w:spacing w:after="0" w:line="240" w:lineRule="auto"/>
        <w:rPr>
          <w:rFonts w:ascii="Arial" w:eastAsia="Arial" w:hAnsi="Arial" w:cs="Arial"/>
          <w:color w:val="000000"/>
          <w:sz w:val="22"/>
          <w:szCs w:val="22"/>
        </w:rPr>
      </w:pPr>
      <w:r w:rsidRPr="000F3C85">
        <w:rPr>
          <w:rFonts w:ascii="Arial" w:eastAsia="Arial" w:hAnsi="Arial" w:cs="Arial"/>
          <w:color w:val="000000"/>
          <w:sz w:val="22"/>
          <w:szCs w:val="22"/>
        </w:rPr>
        <w:t>Negotiate to augment the management fees paid by INL, by demonstrating the significant value added by the GP team and the associated workload of such a major flow of funding, with reference to typical rates paid to other implementing partners of the U.S. Government.</w:t>
      </w:r>
    </w:p>
    <w:p w14:paraId="52D18086" w14:textId="77777777" w:rsidR="006B419E" w:rsidRPr="000F3C85" w:rsidRDefault="006B419E" w:rsidP="00553AB3">
      <w:pPr>
        <w:numPr>
          <w:ilvl w:val="1"/>
          <w:numId w:val="59"/>
        </w:numPr>
        <w:pBdr>
          <w:top w:val="nil"/>
          <w:left w:val="nil"/>
          <w:bottom w:val="nil"/>
          <w:right w:val="nil"/>
          <w:between w:val="nil"/>
        </w:pBdr>
        <w:spacing w:line="240" w:lineRule="auto"/>
        <w:ind w:left="1434" w:hanging="357"/>
        <w:rPr>
          <w:rFonts w:ascii="Arial" w:eastAsia="Arial" w:hAnsi="Arial" w:cs="Arial"/>
          <w:sz w:val="22"/>
          <w:szCs w:val="22"/>
        </w:rPr>
      </w:pPr>
      <w:r w:rsidRPr="000F3C85">
        <w:rPr>
          <w:rFonts w:ascii="Arial" w:eastAsia="Arial" w:hAnsi="Arial" w:cs="Arial"/>
          <w:color w:val="000000"/>
          <w:sz w:val="22"/>
          <w:szCs w:val="22"/>
        </w:rPr>
        <w:t xml:space="preserve">Pursue a more balanced division of the INL fees that recognizes the essential role played by the GP team, rather than channeling the totality of fees to Country Offices. These resources could assist in boosting the capacity of the headquarters team to support M&amp;E functions, among others. </w:t>
      </w:r>
    </w:p>
    <w:p w14:paraId="3547C164" w14:textId="3EF4BC40" w:rsidR="00FB27EA" w:rsidRPr="000F3C85" w:rsidRDefault="51FCD3EC" w:rsidP="4F82A3C2">
      <w:pPr>
        <w:pStyle w:val="ListParagraph"/>
        <w:numPr>
          <w:ilvl w:val="0"/>
          <w:numId w:val="59"/>
        </w:numPr>
        <w:pBdr>
          <w:top w:val="nil"/>
          <w:left w:val="nil"/>
          <w:bottom w:val="nil"/>
          <w:right w:val="nil"/>
          <w:between w:val="nil"/>
        </w:pBdr>
        <w:spacing w:after="0" w:line="240" w:lineRule="auto"/>
        <w:rPr>
          <w:color w:val="000000" w:themeColor="text1"/>
          <w:sz w:val="22"/>
          <w:szCs w:val="22"/>
        </w:rPr>
      </w:pPr>
      <w:r w:rsidRPr="4F82A3C2">
        <w:rPr>
          <w:rFonts w:ascii="Arial" w:eastAsia="Arial" w:hAnsi="Arial" w:cs="Arial"/>
          <w:b/>
          <w:bCs/>
          <w:color w:val="000000" w:themeColor="text1"/>
          <w:sz w:val="22"/>
          <w:szCs w:val="22"/>
        </w:rPr>
        <w:t>Increase the focus on supporting design and implementation of ROLSHR interventions based on locally accepted and established customary/traditional mechanisms</w:t>
      </w:r>
      <w:r w:rsidRPr="4F82A3C2">
        <w:rPr>
          <w:rFonts w:ascii="Arial" w:eastAsia="Arial" w:hAnsi="Arial" w:cs="Arial"/>
          <w:color w:val="000000" w:themeColor="text1"/>
          <w:sz w:val="22"/>
          <w:szCs w:val="22"/>
        </w:rPr>
        <w:t xml:space="preserve">, starting with </w:t>
      </w:r>
      <w:r w:rsidRPr="4F82A3C2">
        <w:rPr>
          <w:rFonts w:ascii="Arial" w:eastAsia="Arial" w:hAnsi="Arial" w:cs="Arial"/>
          <w:sz w:val="22"/>
          <w:szCs w:val="22"/>
        </w:rPr>
        <w:t xml:space="preserve">research on </w:t>
      </w:r>
      <w:r w:rsidRPr="4F82A3C2">
        <w:rPr>
          <w:rFonts w:ascii="Arial" w:eastAsia="Arial" w:hAnsi="Arial" w:cs="Arial"/>
          <w:color w:val="000000" w:themeColor="text1"/>
          <w:sz w:val="22"/>
          <w:szCs w:val="22"/>
        </w:rPr>
        <w:t>socio-culturally embedded practices for conflict prevention, dispute resolution and access to justice</w:t>
      </w:r>
      <w:r w:rsidR="655D4B9F" w:rsidRPr="4F82A3C2">
        <w:rPr>
          <w:rFonts w:ascii="Arial" w:eastAsia="Arial" w:hAnsi="Arial" w:cs="Arial"/>
          <w:color w:val="000000" w:themeColor="text1"/>
          <w:sz w:val="22"/>
          <w:szCs w:val="22"/>
        </w:rPr>
        <w:t xml:space="preserve">, ensuring that interventions are based </w:t>
      </w:r>
      <w:r w:rsidR="1D892FFF" w:rsidRPr="4F82A3C2">
        <w:rPr>
          <w:rFonts w:ascii="Arial" w:eastAsia="Arial" w:hAnsi="Arial" w:cs="Arial"/>
          <w:color w:val="000000" w:themeColor="text1"/>
          <w:sz w:val="22"/>
          <w:szCs w:val="22"/>
        </w:rPr>
        <w:t>on human rights principles.</w:t>
      </w:r>
      <w:r w:rsidRPr="4F82A3C2">
        <w:rPr>
          <w:rFonts w:ascii="Arial" w:eastAsia="Arial" w:hAnsi="Arial" w:cs="Arial"/>
          <w:color w:val="000000" w:themeColor="text1"/>
          <w:sz w:val="22"/>
          <w:szCs w:val="22"/>
        </w:rPr>
        <w:t xml:space="preserve"> </w:t>
      </w:r>
    </w:p>
    <w:p w14:paraId="60F8EA9F" w14:textId="1230CF8F" w:rsidR="00FB27EA" w:rsidRPr="000F3C85" w:rsidRDefault="00FB27EA" w:rsidP="00FB27EA">
      <w:pPr>
        <w:rPr>
          <w:rFonts w:ascii="Arial" w:hAnsi="Arial" w:cs="Arial"/>
          <w:sz w:val="22"/>
          <w:szCs w:val="22"/>
          <w:lang w:val="en-US" w:eastAsia="de-DE"/>
        </w:rPr>
      </w:pPr>
    </w:p>
    <w:p w14:paraId="75975146" w14:textId="4915F0B3" w:rsidR="00FB27EA" w:rsidRDefault="00FB27EA">
      <w:pPr>
        <w:rPr>
          <w:lang w:val="en-US" w:eastAsia="de-DE"/>
        </w:rPr>
      </w:pPr>
      <w:r>
        <w:rPr>
          <w:lang w:val="en-US" w:eastAsia="de-DE"/>
        </w:rPr>
        <w:br w:type="page"/>
      </w:r>
    </w:p>
    <w:p w14:paraId="69BFF00C" w14:textId="5312A63C" w:rsidR="00FB27EA" w:rsidRDefault="00FB27EA" w:rsidP="00567956">
      <w:pPr>
        <w:pStyle w:val="Heading1"/>
        <w:numPr>
          <w:ilvl w:val="0"/>
          <w:numId w:val="21"/>
        </w:numPr>
        <w:rPr>
          <w:lang w:val="en-US" w:eastAsia="de-DE"/>
        </w:rPr>
      </w:pPr>
      <w:bookmarkStart w:id="34" w:name="_Toc71701900"/>
      <w:r>
        <w:rPr>
          <w:lang w:val="en-US" w:eastAsia="de-DE"/>
        </w:rPr>
        <w:t>Annexes</w:t>
      </w:r>
      <w:bookmarkEnd w:id="34"/>
      <w:r>
        <w:rPr>
          <w:lang w:val="en-US" w:eastAsia="de-DE"/>
        </w:rPr>
        <w:t xml:space="preserve"> </w:t>
      </w:r>
    </w:p>
    <w:p w14:paraId="0D801D9F" w14:textId="06FD1DBA" w:rsidR="00FB27EA" w:rsidRDefault="00FB27EA" w:rsidP="00FB27EA">
      <w:pPr>
        <w:rPr>
          <w:lang w:val="en-US" w:eastAsia="de-DE"/>
        </w:rPr>
      </w:pPr>
    </w:p>
    <w:p w14:paraId="376A2E8E" w14:textId="635BC25B" w:rsidR="00DD59CD" w:rsidRDefault="00DD59CD">
      <w:pPr>
        <w:rPr>
          <w:lang w:val="en-US" w:eastAsia="de-DE"/>
        </w:rPr>
      </w:pPr>
      <w:r>
        <w:rPr>
          <w:lang w:val="en-US" w:eastAsia="de-DE"/>
        </w:rPr>
        <w:br w:type="page"/>
      </w:r>
    </w:p>
    <w:p w14:paraId="523BF64C" w14:textId="6894B8CA" w:rsidR="00FB27EA" w:rsidRDefault="00DD59CD" w:rsidP="00131814">
      <w:pPr>
        <w:pStyle w:val="Heading2"/>
        <w:rPr>
          <w:lang w:val="en-US" w:eastAsia="de-DE"/>
        </w:rPr>
      </w:pPr>
      <w:bookmarkStart w:id="35" w:name="_Ref70154363"/>
      <w:bookmarkStart w:id="36" w:name="_Toc71701901"/>
      <w:r>
        <w:rPr>
          <w:lang w:val="en-US" w:eastAsia="de-DE"/>
        </w:rPr>
        <w:t xml:space="preserve">Annex 1: </w:t>
      </w:r>
      <w:r w:rsidR="00C21975">
        <w:rPr>
          <w:lang w:val="en-US" w:eastAsia="de-DE"/>
        </w:rPr>
        <w:t>Evaluation Matrix</w:t>
      </w:r>
      <w:bookmarkEnd w:id="35"/>
      <w:bookmarkEnd w:id="36"/>
      <w:r w:rsidR="00C21975">
        <w:rPr>
          <w:lang w:val="en-US" w:eastAsia="de-DE"/>
        </w:rPr>
        <w:t xml:space="preserve"> </w:t>
      </w:r>
    </w:p>
    <w:p w14:paraId="2C8216D8" w14:textId="15B320CE" w:rsidR="00C21975" w:rsidRDefault="00C21975" w:rsidP="00FB27EA">
      <w:pPr>
        <w:rPr>
          <w:lang w:val="en-US" w:eastAsia="de-DE"/>
        </w:rPr>
      </w:pPr>
    </w:p>
    <w:tbl>
      <w:tblPr>
        <w:tblW w:w="9493" w:type="dxa"/>
        <w:tblLayout w:type="fixed"/>
        <w:tblLook w:val="0000" w:firstRow="0" w:lastRow="0" w:firstColumn="0" w:lastColumn="0" w:noHBand="0" w:noVBand="0"/>
      </w:tblPr>
      <w:tblGrid>
        <w:gridCol w:w="4815"/>
        <w:gridCol w:w="4678"/>
      </w:tblGrid>
      <w:tr w:rsidR="00131814" w14:paraId="34F5E205" w14:textId="77777777" w:rsidTr="00131814">
        <w:trPr>
          <w:tblHeader/>
        </w:trPr>
        <w:tc>
          <w:tcPr>
            <w:tcW w:w="4815" w:type="dxa"/>
            <w:tcBorders>
              <w:top w:val="single" w:sz="4" w:space="0" w:color="000000"/>
              <w:left w:val="single" w:sz="4" w:space="0" w:color="000000"/>
              <w:bottom w:val="single" w:sz="4" w:space="0" w:color="000000"/>
              <w:right w:val="single" w:sz="4" w:space="0" w:color="000000"/>
            </w:tcBorders>
            <w:shd w:val="clear" w:color="auto" w:fill="FFD965"/>
            <w:tcMar>
              <w:top w:w="0" w:type="dxa"/>
              <w:left w:w="108" w:type="dxa"/>
              <w:bottom w:w="0" w:type="dxa"/>
              <w:right w:w="108" w:type="dxa"/>
            </w:tcMar>
          </w:tcPr>
          <w:p w14:paraId="07D6A46B"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Reframed Evaluation Questions</w:t>
            </w:r>
          </w:p>
        </w:tc>
        <w:tc>
          <w:tcPr>
            <w:tcW w:w="4678" w:type="dxa"/>
            <w:tcBorders>
              <w:top w:val="single" w:sz="4" w:space="0" w:color="000000"/>
              <w:left w:val="single" w:sz="4" w:space="0" w:color="000000"/>
              <w:bottom w:val="single" w:sz="4" w:space="0" w:color="000000"/>
              <w:right w:val="single" w:sz="4" w:space="0" w:color="000000"/>
            </w:tcBorders>
            <w:shd w:val="clear" w:color="auto" w:fill="FFD965"/>
            <w:tcMar>
              <w:top w:w="0" w:type="dxa"/>
              <w:left w:w="108" w:type="dxa"/>
              <w:bottom w:w="0" w:type="dxa"/>
              <w:right w:w="108" w:type="dxa"/>
            </w:tcMar>
          </w:tcPr>
          <w:p w14:paraId="506E5D15"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Key Sources and Methods</w:t>
            </w:r>
          </w:p>
        </w:tc>
      </w:tr>
      <w:tr w:rsidR="00131814" w14:paraId="398DFEEF" w14:textId="77777777" w:rsidTr="00131814">
        <w:trPr>
          <w:trHeight w:val="374"/>
        </w:trPr>
        <w:tc>
          <w:tcPr>
            <w:tcW w:w="4815"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240C31E0" w14:textId="2EF09A34" w:rsidR="00131814" w:rsidRDefault="00131814" w:rsidP="00C21975">
            <w:pPr>
              <w:spacing w:after="0" w:line="240" w:lineRule="auto"/>
              <w:ind w:hanging="2"/>
              <w:rPr>
                <w:b/>
                <w:color w:val="000000"/>
              </w:rPr>
            </w:pPr>
            <w:r w:rsidRPr="00C21975">
              <w:rPr>
                <w:b/>
                <w:bCs/>
                <w:color w:val="000000"/>
              </w:rPr>
              <w:t>Relevance</w:t>
            </w:r>
          </w:p>
        </w:tc>
        <w:tc>
          <w:tcPr>
            <w:tcW w:w="4678"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02E22ABB" w14:textId="77777777" w:rsidR="00131814" w:rsidRDefault="00131814" w:rsidP="00C21975">
            <w:pPr>
              <w:spacing w:after="0" w:line="240" w:lineRule="auto"/>
              <w:ind w:hanging="2"/>
              <w:rPr>
                <w:color w:val="000000"/>
              </w:rPr>
            </w:pPr>
          </w:p>
        </w:tc>
      </w:tr>
      <w:tr w:rsidR="00131814" w14:paraId="7AD7FE06" w14:textId="77777777" w:rsidTr="00131814">
        <w:trPr>
          <w:trHeight w:val="1634"/>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6BB17"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Programme/Global level: </w:t>
            </w:r>
          </w:p>
          <w:p w14:paraId="1FE4217F"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1. How has the GP Phase 3 (GP3) affected UNDP’s relevance and recognition as an international player in the ROL/Security/HR fields, especially in complex contexts? </w:t>
            </w:r>
          </w:p>
          <w:p w14:paraId="0DE5CB33"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1.1. What has been the contribution of GP3 to the Sustaining Peace and Prevention agendas of the Secretary-General?</w:t>
            </w:r>
            <w:r>
              <w:rPr>
                <w:b/>
                <w:color w:val="000000"/>
              </w:rPr>
              <w:t>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110A2"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Individual interviews with GP staff in headquarters (HQ) and regional hubs, donors, GP Project Board, GFP focal points in participating entities, DPO, other UN partner agencies, and major donors to GP3</w:t>
            </w:r>
          </w:p>
        </w:tc>
      </w:tr>
      <w:tr w:rsidR="00131814" w14:paraId="79F22762" w14:textId="77777777" w:rsidTr="00131814">
        <w:trPr>
          <w:trHeight w:val="1634"/>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7D562"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Country level: </w:t>
            </w:r>
          </w:p>
          <w:p w14:paraId="6961FB26"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 xml:space="preserve">2. To what extent has GP3 support (technical, financial, operational, strategic) been relevant and responsive to the needs and priorities of key UN stakeholders in country, (UNDP Country Offices, UN Resident Coordinator Offices; UN Country Teams (UNCT); and peacekeeping Missions as relevant) as well as key national counterparts.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CC608" w14:textId="77777777" w:rsidR="00131814" w:rsidRDefault="00131814" w:rsidP="00C21975">
            <w:pPr>
              <w:spacing w:after="0" w:line="240" w:lineRule="auto"/>
              <w:ind w:hanging="2"/>
              <w:rPr>
                <w:color w:val="000000"/>
              </w:rPr>
            </w:pPr>
            <w:r>
              <w:rPr>
                <w:color w:val="000000"/>
              </w:rPr>
              <w:t>Individual and/or group interviews with GP staff in HQ and regional hubs, representatives of relevant UN entities participating in and contributing to GP/GFP implementation in countries selected for sample, key national counterparts in case study countries; </w:t>
            </w:r>
          </w:p>
          <w:p w14:paraId="0C7609F6"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2768C8F5"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Desk review of documents related to funded project design and implementation, technical assistance inputs, review of GP country-level evaluations, GFP reviews, UN Sustainable Development Cooperation Framework (UNSDCF)</w:t>
            </w:r>
          </w:p>
        </w:tc>
      </w:tr>
      <w:tr w:rsidR="00131814" w14:paraId="6563A285" w14:textId="77777777" w:rsidTr="00131814">
        <w:trPr>
          <w:trHeight w:val="324"/>
        </w:trPr>
        <w:tc>
          <w:tcPr>
            <w:tcW w:w="4815"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4BC33844" w14:textId="77777777" w:rsidR="00131814" w:rsidRDefault="00131814" w:rsidP="00C21975">
            <w:pPr>
              <w:spacing w:after="0" w:line="240" w:lineRule="auto"/>
              <w:ind w:hanging="2"/>
              <w:rPr>
                <w:b/>
                <w:bCs/>
                <w:color w:val="000000"/>
              </w:rPr>
            </w:pPr>
            <w:r w:rsidRPr="00C21975">
              <w:rPr>
                <w:b/>
                <w:bCs/>
                <w:color w:val="000000"/>
              </w:rPr>
              <w:t>Coherence</w:t>
            </w:r>
          </w:p>
          <w:p w14:paraId="6D9E031A" w14:textId="0D107773" w:rsidR="00131814" w:rsidRPr="00C21975" w:rsidRDefault="00131814" w:rsidP="00C21975">
            <w:pPr>
              <w:spacing w:after="0" w:line="240" w:lineRule="auto"/>
              <w:ind w:hanging="2"/>
              <w:rPr>
                <w:b/>
                <w:bCs/>
                <w:color w:val="000000"/>
              </w:rPr>
            </w:pPr>
          </w:p>
        </w:tc>
        <w:tc>
          <w:tcPr>
            <w:tcW w:w="4678"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61E9E784" w14:textId="77777777" w:rsidR="00131814" w:rsidRDefault="00131814" w:rsidP="00C21975">
            <w:pPr>
              <w:spacing w:after="0" w:line="240" w:lineRule="auto"/>
              <w:ind w:hanging="2"/>
              <w:rPr>
                <w:color w:val="000000"/>
              </w:rPr>
            </w:pPr>
          </w:p>
        </w:tc>
      </w:tr>
      <w:tr w:rsidR="00131814" w14:paraId="650FBFAA" w14:textId="77777777" w:rsidTr="00131814">
        <w:trPr>
          <w:trHeight w:val="184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C4605"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Programme/Global level: </w:t>
            </w:r>
          </w:p>
          <w:p w14:paraId="6DE6F871"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3. To what extent has GP3 promoted coordination and partnership with national counterparts, donor partners, and across the UN system? </w:t>
            </w:r>
          </w:p>
          <w:p w14:paraId="50D603F5"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3.1. How effectively has GP3 supported joint engagement across the UN pillars? </w:t>
            </w:r>
          </w:p>
          <w:p w14:paraId="3D62A00D"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3.2. How effective has the GP3 been as a platform for financially and operationally supporting the GFP for Rule of Law (with DPO and other UN partners)?</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2E898" w14:textId="77777777" w:rsidR="00131814" w:rsidRDefault="00131814" w:rsidP="00C21975">
            <w:pPr>
              <w:spacing w:after="0" w:line="240" w:lineRule="auto"/>
              <w:ind w:hanging="2"/>
              <w:rPr>
                <w:color w:val="000000"/>
              </w:rPr>
            </w:pPr>
            <w:r>
              <w:rPr>
                <w:color w:val="000000"/>
              </w:rPr>
              <w:t>Individual interviews with GP staff in HQ and regional hubs, GFP global/RO-level managers and technical staff (incl. country-level correspondents/focal points), GP Project Board, donor representatives, key national counterparts in case study countries, DPO, other UN partner agencies; </w:t>
            </w:r>
          </w:p>
          <w:p w14:paraId="03C1C8D8"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3C42ADBB"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Desk review of GP Prodoc and annual reports, documents related to joint programming and partnerships, 2018 Review of GFP</w:t>
            </w:r>
          </w:p>
        </w:tc>
      </w:tr>
      <w:tr w:rsidR="00131814" w14:paraId="390D9E59" w14:textId="77777777" w:rsidTr="00131814">
        <w:trPr>
          <w:trHeight w:val="96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EDC47"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Country level</w:t>
            </w:r>
            <w:r>
              <w:rPr>
                <w:color w:val="000000"/>
              </w:rPr>
              <w:t>:</w:t>
            </w:r>
          </w:p>
          <w:p w14:paraId="5A755A1F"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4. To what extent has GP3 support at country level been consistent with UNDP corporate standards of practice? (e.g., prioritizing Leave No One Behind, human rights-based, nationally-owned, based on analytical assessment, adapted to country context, gender sensitive and conflict-sensitive, supportive of innovation)</w:t>
            </w:r>
          </w:p>
          <w:p w14:paraId="630F384B"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5. To what extent has GP3 promoted coordination and partnership with national counterparts, donor partners, and across the UN system?</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F77B3" w14:textId="77777777" w:rsidR="00131814" w:rsidRDefault="00131814" w:rsidP="00C21975">
            <w:pPr>
              <w:spacing w:after="0" w:line="240" w:lineRule="auto"/>
              <w:ind w:hanging="2"/>
              <w:rPr>
                <w:color w:val="000000"/>
              </w:rPr>
            </w:pPr>
            <w:r>
              <w:rPr>
                <w:color w:val="000000"/>
              </w:rPr>
              <w:t>Individual and/or group interviews with GP staff (incl. UNDP and other UN entities participating under GFP), donor representatives, key national counterparts such as national governments and civil society organizations  in countries selected for sample; </w:t>
            </w:r>
          </w:p>
          <w:p w14:paraId="52D001CA"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10E19494"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Desk review of documents related to funded project design and implementation, technical assistance inputs, review of GP country-level evaluations</w:t>
            </w:r>
          </w:p>
        </w:tc>
      </w:tr>
      <w:tr w:rsidR="00131814" w14:paraId="01E65B20" w14:textId="77777777" w:rsidTr="00131814">
        <w:trPr>
          <w:trHeight w:val="447"/>
        </w:trPr>
        <w:tc>
          <w:tcPr>
            <w:tcW w:w="4815"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19474A00" w14:textId="6941601B" w:rsidR="00131814" w:rsidRDefault="00131814" w:rsidP="00131814">
            <w:pPr>
              <w:spacing w:after="0" w:line="240" w:lineRule="auto"/>
              <w:ind w:hanging="2"/>
              <w:rPr>
                <w:b/>
                <w:color w:val="000000"/>
              </w:rPr>
            </w:pPr>
            <w:r w:rsidRPr="00C21975">
              <w:rPr>
                <w:b/>
                <w:bCs/>
                <w:color w:val="000000"/>
              </w:rPr>
              <w:t>Effectiveness</w:t>
            </w:r>
          </w:p>
        </w:tc>
        <w:tc>
          <w:tcPr>
            <w:tcW w:w="4678"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5EEE9566" w14:textId="77777777" w:rsidR="00131814" w:rsidRDefault="00131814" w:rsidP="00C21975">
            <w:pPr>
              <w:spacing w:after="0" w:line="240" w:lineRule="auto"/>
              <w:ind w:hanging="2"/>
              <w:rPr>
                <w:color w:val="000000"/>
              </w:rPr>
            </w:pPr>
          </w:p>
        </w:tc>
      </w:tr>
      <w:tr w:rsidR="00131814" w14:paraId="0F71EEB4" w14:textId="77777777" w:rsidTr="00131814">
        <w:trPr>
          <w:trHeight w:val="112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71329"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Programme/Global level: </w:t>
            </w:r>
          </w:p>
          <w:p w14:paraId="66E6C25E"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6. To what extent has GP3 programming achieved its intended results, especially at the outcome and impact levels?</w:t>
            </w:r>
          </w:p>
          <w:p w14:paraId="3DBB6C03"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6.1. How effectively has GP3 contributed to results outlined in the UNDP Integrated Results and Resources Framework (2014-17) and Strategic Plan (2018-21)? </w:t>
            </w:r>
          </w:p>
          <w:p w14:paraId="5A2B7D17"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7. What significant lessons learned, best practices and innovations have the potential to be scaled up to inform GP3-supported policy development?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AB891" w14:textId="77777777" w:rsidR="00131814" w:rsidRDefault="00131814" w:rsidP="00C21975">
            <w:pPr>
              <w:spacing w:after="0" w:line="240" w:lineRule="auto"/>
              <w:ind w:hanging="2"/>
              <w:rPr>
                <w:color w:val="000000"/>
              </w:rPr>
            </w:pPr>
            <w:r>
              <w:rPr>
                <w:color w:val="000000"/>
              </w:rPr>
              <w:t>Individual interviews with GP staff in HQ and regional hubs, donors, GFP staff, GP Project Board, donor representatives, DPO, other UN partner agencies; </w:t>
            </w:r>
          </w:p>
          <w:p w14:paraId="06376B05"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17115837"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Desk review of GP3 Prodoc and annual reports, including quantitative analysis of indicator data at global level, review of GP country-level evaluations</w:t>
            </w:r>
          </w:p>
        </w:tc>
      </w:tr>
      <w:tr w:rsidR="00131814" w14:paraId="13DEB42A" w14:textId="77777777" w:rsidTr="00131814">
        <w:trPr>
          <w:trHeight w:val="1367"/>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C2F16"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Country level</w:t>
            </w:r>
            <w:r>
              <w:rPr>
                <w:color w:val="000000"/>
              </w:rPr>
              <w:t>:</w:t>
            </w:r>
          </w:p>
          <w:p w14:paraId="70172114"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8. To what extent has GP3-supported programming achieved its intended results? </w:t>
            </w:r>
          </w:p>
          <w:p w14:paraId="425CDE0C"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9. What significant lessons learned, best practices and innovations have emerged from GP3 programming?</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F4DD8" w14:textId="77777777" w:rsidR="00131814" w:rsidRDefault="00131814" w:rsidP="00C21975">
            <w:pPr>
              <w:spacing w:after="0" w:line="240" w:lineRule="auto"/>
              <w:ind w:hanging="2"/>
              <w:rPr>
                <w:color w:val="000000"/>
              </w:rPr>
            </w:pPr>
            <w:r>
              <w:rPr>
                <w:color w:val="000000"/>
              </w:rPr>
              <w:t>Individual and/or group interviews with GP staff in HQ and regional hubs (incl. GP/GFP focal points among other non-UNDP UN entities), UNDP Country Office staff, donor representatives, key national counterparts such as national governments and civil society organizations in countries selected for sample; </w:t>
            </w:r>
          </w:p>
          <w:p w14:paraId="691A4F5A"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31632183" w14:textId="77777777" w:rsidR="00131814" w:rsidRDefault="00131814" w:rsidP="00C21975">
            <w:pPr>
              <w:spacing w:after="0" w:line="240" w:lineRule="auto"/>
              <w:ind w:hanging="2"/>
              <w:rPr>
                <w:color w:val="000000"/>
              </w:rPr>
            </w:pPr>
            <w:r>
              <w:rPr>
                <w:color w:val="000000"/>
              </w:rPr>
              <w:t>Desk review of country project reports, including quantitative analysis of indicator data of selected projects in sample countries, review of GP country-level evaluations;</w:t>
            </w:r>
          </w:p>
          <w:p w14:paraId="4309750F"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5CDC8B73"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Observation (remote) of any relevant events or activities in sample countries</w:t>
            </w:r>
          </w:p>
        </w:tc>
      </w:tr>
      <w:tr w:rsidR="00131814" w14:paraId="28F0045C" w14:textId="77777777" w:rsidTr="00131814">
        <w:tc>
          <w:tcPr>
            <w:tcW w:w="4815"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108FD85B" w14:textId="77777777" w:rsidR="00131814" w:rsidRPr="00C21975" w:rsidRDefault="00131814" w:rsidP="00C21975">
            <w:pPr>
              <w:spacing w:after="0" w:line="240" w:lineRule="auto"/>
              <w:ind w:hanging="2"/>
              <w:rPr>
                <w:rFonts w:ascii="Times New Roman" w:eastAsia="Times New Roman" w:hAnsi="Times New Roman" w:cs="Times New Roman"/>
                <w:b/>
                <w:bCs/>
                <w:sz w:val="24"/>
                <w:szCs w:val="24"/>
              </w:rPr>
            </w:pPr>
            <w:r w:rsidRPr="00C21975">
              <w:rPr>
                <w:b/>
                <w:bCs/>
                <w:color w:val="000000"/>
              </w:rPr>
              <w:t>Efficiency</w:t>
            </w:r>
          </w:p>
          <w:p w14:paraId="6FF2AEAF" w14:textId="77777777" w:rsidR="00131814" w:rsidRDefault="00131814" w:rsidP="00C21975">
            <w:pPr>
              <w:spacing w:after="0" w:line="240" w:lineRule="auto"/>
              <w:ind w:hanging="2"/>
              <w:rPr>
                <w:b/>
                <w:color w:val="000000"/>
                <w:highlight w:val="white"/>
              </w:rPr>
            </w:pPr>
          </w:p>
        </w:tc>
        <w:tc>
          <w:tcPr>
            <w:tcW w:w="4678"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4C24557A" w14:textId="77777777" w:rsidR="00131814" w:rsidRDefault="00131814" w:rsidP="00C21975">
            <w:pPr>
              <w:spacing w:after="0" w:line="240" w:lineRule="auto"/>
              <w:ind w:hanging="2"/>
              <w:rPr>
                <w:color w:val="000000"/>
              </w:rPr>
            </w:pPr>
          </w:p>
        </w:tc>
      </w:tr>
      <w:tr w:rsidR="00131814" w14:paraId="7020CB37" w14:textId="77777777" w:rsidTr="00131814">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B780C" w14:textId="77777777" w:rsidR="00131814" w:rsidRDefault="00131814" w:rsidP="00C21975">
            <w:pPr>
              <w:spacing w:after="0" w:line="240" w:lineRule="auto"/>
              <w:ind w:hanging="2"/>
              <w:rPr>
                <w:color w:val="000000"/>
                <w:highlight w:val="white"/>
              </w:rPr>
            </w:pPr>
            <w:r>
              <w:rPr>
                <w:b/>
                <w:color w:val="000000"/>
                <w:highlight w:val="white"/>
              </w:rPr>
              <w:t>Programme/ Global level</w:t>
            </w:r>
            <w:r>
              <w:rPr>
                <w:color w:val="000000"/>
                <w:highlight w:val="white"/>
              </w:rPr>
              <w:t>:</w:t>
            </w:r>
          </w:p>
          <w:p w14:paraId="0019640B" w14:textId="77777777" w:rsidR="00131814" w:rsidRDefault="00131814" w:rsidP="00C21975">
            <w:pPr>
              <w:spacing w:after="0" w:line="240" w:lineRule="auto"/>
              <w:ind w:hanging="2"/>
              <w:rPr>
                <w:color w:val="000000"/>
                <w:highlight w:val="white"/>
              </w:rPr>
            </w:pPr>
            <w:r>
              <w:rPr>
                <w:color w:val="000000"/>
                <w:highlight w:val="white"/>
              </w:rPr>
              <w:t>10. To what extent have GP3’s management, operational, financial and administrative systems and structures (including SOPs, business processes, and management of earmarked and non-earmarked funds) affected programme implementation?  </w:t>
            </w:r>
          </w:p>
          <w:p w14:paraId="691F9AE3" w14:textId="77777777" w:rsidR="00131814" w:rsidRDefault="00131814" w:rsidP="00C21975">
            <w:pPr>
              <w:spacing w:after="0" w:line="240" w:lineRule="auto"/>
              <w:ind w:hanging="2"/>
              <w:rPr>
                <w:color w:val="000000"/>
                <w:highlight w:val="white"/>
              </w:rPr>
            </w:pPr>
            <w:r>
              <w:rPr>
                <w:color w:val="000000"/>
                <w:highlight w:val="white"/>
              </w:rPr>
              <w:t xml:space="preserve">10.1 Are existing SOPs helpful or would additional or better guidance be useful; if so, how could they be improved?  </w:t>
            </w:r>
          </w:p>
          <w:p w14:paraId="7C85ECB3" w14:textId="77777777" w:rsidR="00131814" w:rsidRDefault="00131814" w:rsidP="00C21975">
            <w:pPr>
              <w:spacing w:after="0" w:line="240" w:lineRule="auto"/>
              <w:ind w:hanging="2"/>
              <w:rPr>
                <w:color w:val="000000"/>
                <w:highlight w:val="white"/>
              </w:rPr>
            </w:pPr>
            <w:r>
              <w:rPr>
                <w:color w:val="000000"/>
                <w:highlight w:val="white"/>
              </w:rPr>
              <w:t xml:space="preserve">11. What have been the efficiencies and synergies, or negative and unintended consequences, if any, of the GP also managing non-pipeline, earmarked funding streams on behalf of non-GP funding vehicles?   </w:t>
            </w:r>
          </w:p>
          <w:p w14:paraId="38D68EA2" w14:textId="77777777" w:rsidR="00131814" w:rsidRDefault="00131814" w:rsidP="00C21975">
            <w:pPr>
              <w:spacing w:after="0" w:line="240" w:lineRule="auto"/>
              <w:ind w:hanging="2"/>
              <w:rPr>
                <w:color w:val="000000"/>
                <w:highlight w:val="white"/>
              </w:rPr>
            </w:pPr>
            <w:r>
              <w:rPr>
                <w:color w:val="000000"/>
                <w:highlight w:val="white"/>
              </w:rPr>
              <w:t xml:space="preserve">12. Does GP3 have the required resources (human and financial) to achieve its objectives? If not, where is more investment needed?   </w:t>
            </w:r>
          </w:p>
          <w:p w14:paraId="1A2A9D38" w14:textId="77777777" w:rsidR="00131814" w:rsidRDefault="00131814" w:rsidP="00C21975">
            <w:pPr>
              <w:spacing w:after="0" w:line="240" w:lineRule="auto"/>
              <w:ind w:hanging="2"/>
              <w:rPr>
                <w:color w:val="000000"/>
                <w:highlight w:val="white"/>
              </w:rPr>
            </w:pPr>
            <w:r>
              <w:rPr>
                <w:color w:val="000000"/>
                <w:highlight w:val="white"/>
              </w:rPr>
              <w:t>13. To what extent has GP3 management met its key donors’ expectations? </w:t>
            </w:r>
            <w:r>
              <w:t xml:space="preserve">     </w:t>
            </w:r>
          </w:p>
          <w:p w14:paraId="6FDE21F1" w14:textId="77777777" w:rsidR="00131814" w:rsidRDefault="00131814" w:rsidP="00C21975">
            <w:pPr>
              <w:spacing w:after="0" w:line="240" w:lineRule="auto"/>
              <w:ind w:hanging="2"/>
              <w:rPr>
                <w:color w:val="000000"/>
                <w:highlight w:val="white"/>
              </w:rPr>
            </w:pPr>
            <w:r>
              <w:rPr>
                <w:color w:val="000000"/>
                <w:highlight w:val="white"/>
              </w:rPr>
              <w:t xml:space="preserve">14. How well has Monitoring, Evaluation and Learning been carried out in GP3?    </w:t>
            </w:r>
          </w:p>
          <w:p w14:paraId="37C90806"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highlight w:val="white"/>
              </w:rPr>
              <w:t>14.1. To what extent does GP3 integrate results-based management?</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59031" w14:textId="77777777" w:rsidR="00131814" w:rsidRDefault="00131814" w:rsidP="00C21975">
            <w:pPr>
              <w:spacing w:after="0" w:line="240" w:lineRule="auto"/>
              <w:ind w:hanging="2"/>
              <w:rPr>
                <w:color w:val="000000"/>
              </w:rPr>
            </w:pPr>
            <w:r>
              <w:rPr>
                <w:color w:val="000000"/>
              </w:rPr>
              <w:t>Individual and/or group interviews with GP technical staff as well as administrative/finance and M&amp;E staff in HQ and regional hubs, UNDP GP HQ and regionally based staff (incl. UNDP and other participating agencies’ GFP focal points or correspondents), donor representatives incl. staff at HQ and in donor country capitals; </w:t>
            </w:r>
          </w:p>
          <w:p w14:paraId="25B9829E"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58D4A091"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Desk review of GP global management consolidated reports, including quantitative analysis of global GP portfolio data (and triangulation with indicator-related progress data, review of GP portfolio-related reports)</w:t>
            </w:r>
          </w:p>
        </w:tc>
      </w:tr>
      <w:tr w:rsidR="00131814" w14:paraId="2142E785" w14:textId="77777777" w:rsidTr="00131814">
        <w:trPr>
          <w:trHeight w:val="167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B1176" w14:textId="77777777" w:rsidR="00131814" w:rsidRDefault="00131814" w:rsidP="00C21975">
            <w:pPr>
              <w:spacing w:after="0" w:line="240" w:lineRule="auto"/>
              <w:ind w:hanging="2"/>
              <w:rPr>
                <w:color w:val="000000"/>
                <w:highlight w:val="white"/>
              </w:rPr>
            </w:pPr>
            <w:r>
              <w:rPr>
                <w:b/>
                <w:color w:val="000000"/>
                <w:highlight w:val="white"/>
              </w:rPr>
              <w:t>Country level</w:t>
            </w:r>
            <w:r>
              <w:rPr>
                <w:color w:val="000000"/>
                <w:highlight w:val="white"/>
              </w:rPr>
              <w:t>: </w:t>
            </w:r>
          </w:p>
          <w:p w14:paraId="73F9AF7C" w14:textId="77777777" w:rsidR="00131814" w:rsidRDefault="00131814" w:rsidP="00C21975">
            <w:pPr>
              <w:spacing w:after="0" w:line="240" w:lineRule="auto"/>
              <w:ind w:hanging="2"/>
              <w:rPr>
                <w:color w:val="000000"/>
                <w:highlight w:val="white"/>
              </w:rPr>
            </w:pPr>
            <w:r>
              <w:rPr>
                <w:color w:val="000000"/>
                <w:highlight w:val="white"/>
              </w:rPr>
              <w:t xml:space="preserve">15. To what extent have the GP3’s management, operational, financial and administrative systems and structures (including SOPs and business processes) been effective in supporting implementation at country level?   </w:t>
            </w:r>
          </w:p>
          <w:p w14:paraId="4CCE1D29" w14:textId="77777777" w:rsidR="00131814" w:rsidRDefault="00131814" w:rsidP="00C21975">
            <w:pPr>
              <w:spacing w:after="0" w:line="240" w:lineRule="auto"/>
              <w:ind w:hanging="2"/>
              <w:rPr>
                <w:color w:val="000000"/>
                <w:highlight w:val="white"/>
              </w:rPr>
            </w:pPr>
            <w:r>
              <w:rPr>
                <w:color w:val="000000"/>
                <w:highlight w:val="white"/>
              </w:rPr>
              <w:t xml:space="preserve">16. To what extent have GP3-awarded funds been absorbed on a timely basis? </w:t>
            </w:r>
          </w:p>
          <w:p w14:paraId="1A418424" w14:textId="77777777" w:rsidR="00131814" w:rsidRDefault="00131814" w:rsidP="00C21975">
            <w:pPr>
              <w:spacing w:after="0" w:line="240" w:lineRule="auto"/>
              <w:ind w:hanging="2"/>
              <w:rPr>
                <w:color w:val="000000"/>
                <w:highlight w:val="white"/>
              </w:rPr>
            </w:pPr>
            <w:r>
              <w:rPr>
                <w:color w:val="000000"/>
                <w:highlight w:val="white"/>
              </w:rPr>
              <w:t xml:space="preserve">17. What have been the correlation patterns between delivery rate (fund absorption: expenditures/ available resources) and progress against indicator targets?  </w:t>
            </w:r>
          </w:p>
          <w:p w14:paraId="5E770F2D" w14:textId="77777777" w:rsidR="00131814" w:rsidRDefault="00131814" w:rsidP="00C21975">
            <w:pPr>
              <w:spacing w:after="0" w:line="240" w:lineRule="auto"/>
              <w:ind w:hanging="2"/>
              <w:rPr>
                <w:color w:val="000000"/>
                <w:highlight w:val="white"/>
              </w:rPr>
            </w:pPr>
            <w:r>
              <w:rPr>
                <w:color w:val="000000"/>
                <w:highlight w:val="white"/>
              </w:rPr>
              <w:t xml:space="preserve">18. What is the quality of GP3-related Monitoring &amp; Reporting, Evaluation and Knowledge Management at field level?   </w:t>
            </w:r>
          </w:p>
          <w:p w14:paraId="188E10BC" w14:textId="77777777" w:rsidR="00131814" w:rsidRDefault="00131814" w:rsidP="00C21975">
            <w:pPr>
              <w:spacing w:after="0" w:line="240" w:lineRule="auto"/>
              <w:ind w:hanging="2"/>
              <w:rPr>
                <w:color w:val="000000"/>
                <w:highlight w:val="white"/>
              </w:rPr>
            </w:pPr>
            <w:r>
              <w:rPr>
                <w:color w:val="000000"/>
                <w:highlight w:val="white"/>
              </w:rPr>
              <w:t>18.1 To what extent is a standard M&amp;E/Knowledge Management approach applied across all GP3 countries (common database, M&amp;E reference guidelines with clear and unambiguous meta data definitions etc.)? </w:t>
            </w:r>
          </w:p>
          <w:p w14:paraId="1D24B88B"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highlight w:val="white"/>
              </w:rPr>
              <w:t>18.2 Are standardized systems, norms, tools, processes and practices “owned” and applied by country level staff; or is there room for improvement (and if so, where/ how)?</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86179" w14:textId="77777777" w:rsidR="00131814" w:rsidRDefault="00131814" w:rsidP="00C21975">
            <w:pPr>
              <w:spacing w:after="0" w:line="240" w:lineRule="auto"/>
              <w:ind w:hanging="2"/>
              <w:rPr>
                <w:color w:val="000000"/>
              </w:rPr>
            </w:pPr>
            <w:r>
              <w:rPr>
                <w:color w:val="000000"/>
              </w:rPr>
              <w:t>Individual and/or group interviews with relevant GP/GFP staff at country level (incl. UNDP Country Office and GFP participating entities’ technical staff as well as administrative/finance and M&amp;E staff), country-level donor representatives, key national counterparts such as national governments and civil society organizations in countries selected for sample; </w:t>
            </w:r>
          </w:p>
          <w:p w14:paraId="3650228B"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3B4A0231"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Desk review of country project reports, including quantitative analysis of indicator data of selected projects in sample countries, review of GP country-level evaluations as relevant</w:t>
            </w:r>
          </w:p>
        </w:tc>
      </w:tr>
      <w:tr w:rsidR="00131814" w14:paraId="23431495" w14:textId="77777777" w:rsidTr="00131814">
        <w:trPr>
          <w:trHeight w:val="493"/>
        </w:trPr>
        <w:tc>
          <w:tcPr>
            <w:tcW w:w="4815"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7481C95A" w14:textId="3EEB55EA" w:rsidR="00131814" w:rsidRPr="00131814" w:rsidRDefault="00131814" w:rsidP="00C21975">
            <w:pPr>
              <w:spacing w:after="0" w:line="240" w:lineRule="auto"/>
              <w:ind w:hanging="2"/>
              <w:rPr>
                <w:b/>
                <w:bCs/>
                <w:color w:val="000000"/>
              </w:rPr>
            </w:pPr>
            <w:r w:rsidRPr="00131814">
              <w:rPr>
                <w:b/>
                <w:bCs/>
                <w:color w:val="000000"/>
              </w:rPr>
              <w:t>Impact</w:t>
            </w:r>
          </w:p>
        </w:tc>
        <w:tc>
          <w:tcPr>
            <w:tcW w:w="4678"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32167995" w14:textId="77777777" w:rsidR="00131814" w:rsidRDefault="00131814" w:rsidP="00C21975">
            <w:pPr>
              <w:spacing w:after="0" w:line="240" w:lineRule="auto"/>
              <w:ind w:hanging="2"/>
              <w:rPr>
                <w:color w:val="000000"/>
              </w:rPr>
            </w:pPr>
          </w:p>
        </w:tc>
      </w:tr>
      <w:tr w:rsidR="00131814" w14:paraId="30C9D6F6" w14:textId="77777777" w:rsidTr="00131814">
        <w:trPr>
          <w:trHeight w:val="1553"/>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2E4A8"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Programme/Global level: </w:t>
            </w:r>
          </w:p>
          <w:p w14:paraId="775ABAA6"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19. To what extent and in what ways has the GP modality added value to UNDP’s corporate offer on ROLSHR globally in Phase 3? (e.g. influencing strategic plan priorities, contributing to signature solutions, strengthening corporate monitoring, reporting, quality assurance, and communications)</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7664B" w14:textId="77777777" w:rsidR="00131814" w:rsidRDefault="00131814" w:rsidP="00C21975">
            <w:pPr>
              <w:spacing w:after="0" w:line="240" w:lineRule="auto"/>
              <w:ind w:hanging="2"/>
              <w:rPr>
                <w:color w:val="000000"/>
              </w:rPr>
            </w:pPr>
            <w:r>
              <w:rPr>
                <w:color w:val="000000"/>
              </w:rPr>
              <w:t>Individual interviews with GP staff in HQ and regional hubs, donors, GFP staff, GP Project Board, donor representatives, DPO, UNDP staff in charge of strategic plan design and management/M&amp;E, HQ/Regional office-based UNDP signature solution/Innovation Lab managers, other UN partner agencies;  </w:t>
            </w:r>
          </w:p>
          <w:p w14:paraId="0CDC2BFB"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759002D7"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highlight w:val="white"/>
              </w:rPr>
              <w:t xml:space="preserve">Desk review of GP annual reports and previous cycle evaluations, </w:t>
            </w:r>
            <w:r>
              <w:rPr>
                <w:color w:val="000000"/>
              </w:rPr>
              <w:t>GP3 Prodoc, UNDP Strategic Plans 2014-2017 and 2018-2021, global strategic plan-level thematic or area-specific programme and learning/knowledge management reports, GP Outcome-level indicator sources including internal as well as external indices and rankings (Mo Ibrahim index of Governance, SDG16 data etc.)</w:t>
            </w:r>
          </w:p>
        </w:tc>
      </w:tr>
      <w:tr w:rsidR="00131814" w14:paraId="3497AF44" w14:textId="77777777" w:rsidTr="00131814">
        <w:trPr>
          <w:trHeight w:val="1109"/>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9E58D"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Country level</w:t>
            </w:r>
            <w:r>
              <w:rPr>
                <w:color w:val="000000"/>
              </w:rPr>
              <w:t>:</w:t>
            </w:r>
          </w:p>
          <w:p w14:paraId="234828EB"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20.To what extent has GP3 contributed to improving the overall ROLSHR situation in priority countries? </w:t>
            </w:r>
          </w:p>
          <w:p w14:paraId="225678EB"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20.1. What examples of potential or early impact can be identified? </w:t>
            </w:r>
          </w:p>
          <w:p w14:paraId="6A699607"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21. To what extent and in what ways has the GP modality added value to UNDP’s offer on ROLSHR in the field in Phase 3? (e.g. flexible funding, expertise, comprehensive programming, coordination with UN system)</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D6F65" w14:textId="77777777" w:rsidR="00131814" w:rsidRDefault="00131814" w:rsidP="00C21975">
            <w:pPr>
              <w:spacing w:after="0" w:line="240" w:lineRule="auto"/>
              <w:ind w:hanging="2"/>
              <w:rPr>
                <w:color w:val="000000"/>
              </w:rPr>
            </w:pPr>
            <w:r>
              <w:rPr>
                <w:color w:val="000000"/>
              </w:rPr>
              <w:t>Individual and/or group interviews with GP staff in HQ and regional hubs, UNDP Country Office staff, other UNCT AFPs and Mission staff (GFP focal points/correspondents etc.; DSRSGs, Resident Coordinators/Representatives, etc., Resident Coordinator Office managers and coordination staff), donor representatives, key national counterparts in countries selected for sample, civil society and private sector representatives, if applicable and it can be organized by country staff also specific programme/project beneficiaries (stand-out success stories etc.); </w:t>
            </w:r>
          </w:p>
          <w:p w14:paraId="6B976243"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29A185D3"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Desk review of country project reports, including qualitative evidence of impact in selected projects in sample countries, review of GP country-level evaluations</w:t>
            </w:r>
          </w:p>
        </w:tc>
      </w:tr>
      <w:tr w:rsidR="00131814" w14:paraId="78C67D30" w14:textId="77777777" w:rsidTr="00131814">
        <w:trPr>
          <w:trHeight w:val="451"/>
        </w:trPr>
        <w:tc>
          <w:tcPr>
            <w:tcW w:w="4815"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3B58872B" w14:textId="1E0DFCA3" w:rsidR="00131814" w:rsidRDefault="00131814" w:rsidP="00131814">
            <w:pPr>
              <w:spacing w:after="0" w:line="240" w:lineRule="auto"/>
              <w:ind w:hanging="2"/>
              <w:rPr>
                <w:b/>
                <w:color w:val="000000"/>
              </w:rPr>
            </w:pPr>
            <w:r w:rsidRPr="00131814">
              <w:rPr>
                <w:b/>
                <w:bCs/>
                <w:color w:val="000000"/>
              </w:rPr>
              <w:t>Sustainability</w:t>
            </w:r>
          </w:p>
        </w:tc>
        <w:tc>
          <w:tcPr>
            <w:tcW w:w="4678" w:type="dxa"/>
            <w:tcBorders>
              <w:top w:val="single" w:sz="4" w:space="0" w:color="000000"/>
              <w:left w:val="single" w:sz="4" w:space="0" w:color="000000"/>
              <w:bottom w:val="single" w:sz="4" w:space="0" w:color="000000"/>
              <w:right w:val="single" w:sz="4" w:space="0" w:color="000000"/>
            </w:tcBorders>
            <w:shd w:val="clear" w:color="auto" w:fill="C4BCC6" w:themeFill="accent6" w:themeFillTint="99"/>
            <w:tcMar>
              <w:top w:w="0" w:type="dxa"/>
              <w:left w:w="108" w:type="dxa"/>
              <w:bottom w:w="0" w:type="dxa"/>
              <w:right w:w="108" w:type="dxa"/>
            </w:tcMar>
          </w:tcPr>
          <w:p w14:paraId="4E4644B4" w14:textId="77777777" w:rsidR="00131814" w:rsidRDefault="00131814" w:rsidP="00C21975">
            <w:pPr>
              <w:spacing w:after="0" w:line="240" w:lineRule="auto"/>
              <w:ind w:hanging="2"/>
              <w:rPr>
                <w:color w:val="000000"/>
                <w:highlight w:val="white"/>
              </w:rPr>
            </w:pPr>
          </w:p>
        </w:tc>
      </w:tr>
      <w:tr w:rsidR="00131814" w14:paraId="35D7CFE0" w14:textId="77777777" w:rsidTr="00131814">
        <w:trPr>
          <w:trHeight w:val="4539"/>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2F417"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Programme/Global level: </w:t>
            </w:r>
          </w:p>
          <w:p w14:paraId="512B0D6A" w14:textId="77777777" w:rsidR="00131814" w:rsidRDefault="00131814" w:rsidP="00C21975">
            <w:pPr>
              <w:spacing w:after="0" w:line="240" w:lineRule="auto"/>
              <w:ind w:hanging="2"/>
              <w:rPr>
                <w:color w:val="000000"/>
                <w:highlight w:val="white"/>
              </w:rPr>
            </w:pPr>
            <w:r>
              <w:rPr>
                <w:color w:val="000000"/>
                <w:highlight w:val="white"/>
              </w:rPr>
              <w:t xml:space="preserve">22. To what extent has the GP been able to mobilize resources (in addition to seed funding) in Phase 3 to support ROLSHR programming?  </w:t>
            </w:r>
          </w:p>
          <w:p w14:paraId="7BAE8D78" w14:textId="77777777" w:rsidR="00131814" w:rsidRDefault="00131814" w:rsidP="00C21975">
            <w:pPr>
              <w:spacing w:after="0" w:line="240" w:lineRule="auto"/>
              <w:ind w:hanging="2"/>
              <w:rPr>
                <w:color w:val="000000"/>
                <w:highlight w:val="white"/>
              </w:rPr>
            </w:pPr>
            <w:r>
              <w:rPr>
                <w:color w:val="000000"/>
                <w:highlight w:val="white"/>
              </w:rPr>
              <w:t xml:space="preserve">22.1 What factors have influenced the success of ongoing GP-led resource mobilization efforts?  </w:t>
            </w:r>
          </w:p>
          <w:p w14:paraId="72763F5C" w14:textId="77777777" w:rsidR="00131814" w:rsidRDefault="00131814" w:rsidP="00C21975">
            <w:pPr>
              <w:spacing w:after="0" w:line="240" w:lineRule="auto"/>
              <w:ind w:hanging="2"/>
              <w:rPr>
                <w:color w:val="000000"/>
                <w:highlight w:val="white"/>
              </w:rPr>
            </w:pPr>
            <w:r>
              <w:rPr>
                <w:color w:val="000000"/>
                <w:highlight w:val="white"/>
              </w:rPr>
              <w:t xml:space="preserve">23. To what extent is the current practice of funneling earmarked non-GP external funding streams through the GP office sustainable?   </w:t>
            </w:r>
          </w:p>
          <w:p w14:paraId="3D69958C" w14:textId="77777777" w:rsidR="00131814" w:rsidRDefault="00131814" w:rsidP="00C21975">
            <w:pPr>
              <w:spacing w:after="0" w:line="240" w:lineRule="auto"/>
              <w:ind w:hanging="2"/>
              <w:rPr>
                <w:color w:val="000000"/>
                <w:highlight w:val="white"/>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AEFB5" w14:textId="77777777" w:rsidR="00131814" w:rsidRDefault="00131814" w:rsidP="00C21975">
            <w:pPr>
              <w:spacing w:after="0" w:line="240" w:lineRule="auto"/>
              <w:ind w:hanging="2"/>
              <w:rPr>
                <w:color w:val="000000"/>
                <w:highlight w:val="white"/>
              </w:rPr>
            </w:pPr>
            <w:r>
              <w:rPr>
                <w:color w:val="000000"/>
                <w:highlight w:val="white"/>
              </w:rPr>
              <w:t>Individual interviews with GP programme and administrative/finance officers in HQ and regional hubs (focus on technical and knowledge management staff incl. global and regional Innovation Lab staff), GPN focal points and liaison officers, GP donors (technical experts and managers), including donor representatives using GP as pass-through mechanism, HQ and regional office GFP managers/regional correspondents, GP Project Board, DPO, other UN partner agencies; </w:t>
            </w:r>
          </w:p>
          <w:p w14:paraId="50EAB00B"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5670862A"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highlight w:val="white"/>
              </w:rPr>
              <w:t>Desk review of GP3 and GFP annual reports, including related quantitative and qualitative data</w:t>
            </w:r>
          </w:p>
        </w:tc>
      </w:tr>
      <w:tr w:rsidR="00131814" w14:paraId="0DBEE772" w14:textId="77777777" w:rsidTr="00131814">
        <w:trPr>
          <w:trHeight w:val="1250"/>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5F734" w14:textId="77777777" w:rsidR="00131814" w:rsidRDefault="00131814" w:rsidP="00C21975">
            <w:pPr>
              <w:spacing w:after="0" w:line="240" w:lineRule="auto"/>
              <w:ind w:hanging="2"/>
              <w:rPr>
                <w:rFonts w:ascii="Times New Roman" w:eastAsia="Times New Roman" w:hAnsi="Times New Roman" w:cs="Times New Roman"/>
                <w:sz w:val="24"/>
                <w:szCs w:val="24"/>
              </w:rPr>
            </w:pPr>
            <w:r>
              <w:rPr>
                <w:b/>
                <w:color w:val="000000"/>
              </w:rPr>
              <w:t>Country level</w:t>
            </w:r>
            <w:r>
              <w:rPr>
                <w:color w:val="000000"/>
              </w:rPr>
              <w:t>:</w:t>
            </w:r>
          </w:p>
          <w:p w14:paraId="1C196A5F" w14:textId="77777777" w:rsidR="00131814" w:rsidRDefault="00131814" w:rsidP="00C21975">
            <w:pPr>
              <w:spacing w:after="0" w:line="240" w:lineRule="auto"/>
              <w:ind w:hanging="2"/>
              <w:rPr>
                <w:color w:val="000000"/>
                <w:highlight w:val="white"/>
              </w:rPr>
            </w:pPr>
            <w:r>
              <w:rPr>
                <w:color w:val="000000"/>
                <w:highlight w:val="white"/>
              </w:rPr>
              <w:t xml:space="preserve">24. To what extent are any positive changes influenced by the GP3 likely to be sustained in priority countries?  </w:t>
            </w:r>
          </w:p>
          <w:p w14:paraId="1612883E"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highlight w:val="white"/>
              </w:rPr>
              <w:t>24.1 What factors are likely to influence sustainability of change at country level?</w:t>
            </w:r>
          </w:p>
          <w:p w14:paraId="6001822C"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highlight w:val="white"/>
              </w:rPr>
              <w:t>25. To what extent has GP3 been able to identify or mobilize resources to continue new/improved practices, systems and activities?</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BAF0C" w14:textId="77777777" w:rsidR="00131814" w:rsidRDefault="00131814" w:rsidP="00C21975">
            <w:pPr>
              <w:spacing w:after="0" w:line="240" w:lineRule="auto"/>
              <w:ind w:hanging="2"/>
              <w:rPr>
                <w:color w:val="000000"/>
              </w:rPr>
            </w:pPr>
            <w:r>
              <w:rPr>
                <w:color w:val="000000"/>
              </w:rPr>
              <w:t>Individual and/or group interviews with GP staff at country level (incl. GFP lead agency correspondent(s) and UNCT member agency GFP focal points, where applicable), UNDP Country Office programme staff as well as administrative, finance and M&amp;E staff, country-level donor representatives, key national counterparts in countries selected for sample; </w:t>
            </w:r>
          </w:p>
          <w:p w14:paraId="50A729C3" w14:textId="77777777" w:rsidR="00131814" w:rsidRDefault="00131814" w:rsidP="00C21975">
            <w:pPr>
              <w:spacing w:after="0" w:line="240" w:lineRule="auto"/>
              <w:ind w:hanging="2"/>
              <w:rPr>
                <w:rFonts w:ascii="Times New Roman" w:eastAsia="Times New Roman" w:hAnsi="Times New Roman" w:cs="Times New Roman"/>
                <w:sz w:val="24"/>
                <w:szCs w:val="24"/>
              </w:rPr>
            </w:pPr>
          </w:p>
          <w:p w14:paraId="37FA05D7" w14:textId="77777777" w:rsidR="00131814" w:rsidRDefault="00131814" w:rsidP="00C21975">
            <w:pPr>
              <w:spacing w:after="0" w:line="240" w:lineRule="auto"/>
              <w:ind w:hanging="2"/>
              <w:rPr>
                <w:rFonts w:ascii="Times New Roman" w:eastAsia="Times New Roman" w:hAnsi="Times New Roman" w:cs="Times New Roman"/>
                <w:sz w:val="24"/>
                <w:szCs w:val="24"/>
              </w:rPr>
            </w:pPr>
            <w:r>
              <w:rPr>
                <w:color w:val="000000"/>
              </w:rPr>
              <w:t>Desk review of country project reports, including qualitative and quantitative data on GP-related resource mobilization in sample countries, review of GP country-level evaluations</w:t>
            </w:r>
          </w:p>
        </w:tc>
      </w:tr>
    </w:tbl>
    <w:p w14:paraId="13FE4B7E" w14:textId="74525335" w:rsidR="00C21975" w:rsidRDefault="00C21975" w:rsidP="00FB27EA">
      <w:pPr>
        <w:rPr>
          <w:lang w:eastAsia="de-DE"/>
        </w:rPr>
      </w:pPr>
    </w:p>
    <w:p w14:paraId="154F2127" w14:textId="17B78340" w:rsidR="002A2C68" w:rsidRDefault="002A2C68">
      <w:pPr>
        <w:rPr>
          <w:lang w:eastAsia="de-DE"/>
        </w:rPr>
      </w:pPr>
      <w:r>
        <w:rPr>
          <w:lang w:eastAsia="de-DE"/>
        </w:rPr>
        <w:br w:type="page"/>
      </w:r>
    </w:p>
    <w:p w14:paraId="1D1DDF4D" w14:textId="1F5BD25D" w:rsidR="002A2C68" w:rsidRDefault="002A2C68" w:rsidP="002A2C68">
      <w:pPr>
        <w:pStyle w:val="Heading2"/>
        <w:rPr>
          <w:lang w:val="en-US" w:eastAsia="de-DE"/>
        </w:rPr>
      </w:pPr>
      <w:bookmarkStart w:id="37" w:name="_Ref70154291"/>
      <w:bookmarkStart w:id="38" w:name="_Ref70154496"/>
      <w:bookmarkStart w:id="39" w:name="_Toc71701902"/>
      <w:r>
        <w:rPr>
          <w:lang w:val="en-US" w:eastAsia="de-DE"/>
        </w:rPr>
        <w:t xml:space="preserve">Annex 2: </w:t>
      </w:r>
      <w:r>
        <w:rPr>
          <w:color w:val="000000"/>
        </w:rPr>
        <w:t>Global Programme Phase III Theory of Change</w:t>
      </w:r>
      <w:bookmarkEnd w:id="37"/>
      <w:bookmarkEnd w:id="38"/>
      <w:bookmarkEnd w:id="39"/>
    </w:p>
    <w:p w14:paraId="7632FCEC" w14:textId="6447E32E" w:rsidR="002A2C68" w:rsidRDefault="002A2C68" w:rsidP="00FB27EA">
      <w:pPr>
        <w:rPr>
          <w:lang w:eastAsia="de-DE"/>
        </w:rPr>
      </w:pPr>
    </w:p>
    <w:p w14:paraId="34E34A0C" w14:textId="7207CAD2" w:rsidR="002A2C68" w:rsidRDefault="002A2C68" w:rsidP="00FB27EA">
      <w:pPr>
        <w:rPr>
          <w:lang w:eastAsia="de-DE"/>
        </w:rPr>
      </w:pPr>
      <w:r>
        <w:rPr>
          <w:noProof/>
          <w:color w:val="000000"/>
          <w:shd w:val="clear" w:color="auto" w:fill="E6E6E6"/>
        </w:rPr>
        <w:drawing>
          <wp:inline distT="0" distB="0" distL="114300" distR="114300" wp14:anchorId="07C33B67" wp14:editId="67CA8B26">
            <wp:extent cx="5721350" cy="446214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21350" cy="4462145"/>
                    </a:xfrm>
                    <a:prstGeom prst="rect">
                      <a:avLst/>
                    </a:prstGeom>
                    <a:ln/>
                  </pic:spPr>
                </pic:pic>
              </a:graphicData>
            </a:graphic>
          </wp:inline>
        </w:drawing>
      </w:r>
    </w:p>
    <w:p w14:paraId="2FFCD699" w14:textId="130BF295" w:rsidR="002A2C68" w:rsidRDefault="002A2C68" w:rsidP="00FB27EA">
      <w:pPr>
        <w:rPr>
          <w:lang w:eastAsia="de-DE"/>
        </w:rPr>
      </w:pPr>
    </w:p>
    <w:p w14:paraId="4C6603E3" w14:textId="00AFF96E" w:rsidR="002A2C68" w:rsidRDefault="002A2C68">
      <w:pPr>
        <w:rPr>
          <w:lang w:eastAsia="de-DE"/>
        </w:rPr>
      </w:pPr>
      <w:r>
        <w:rPr>
          <w:lang w:eastAsia="de-DE"/>
        </w:rPr>
        <w:br w:type="page"/>
      </w:r>
    </w:p>
    <w:p w14:paraId="0AB6E6C2" w14:textId="4FE0E04E" w:rsidR="002A2C68" w:rsidRDefault="002A2C68" w:rsidP="002A2C68">
      <w:pPr>
        <w:pStyle w:val="Heading2"/>
        <w:rPr>
          <w:lang w:val="en-US" w:eastAsia="de-DE"/>
        </w:rPr>
      </w:pPr>
      <w:bookmarkStart w:id="40" w:name="_Ref70154084"/>
      <w:bookmarkStart w:id="41" w:name="_Ref70154514"/>
      <w:bookmarkStart w:id="42" w:name="_Ref70154588"/>
      <w:bookmarkStart w:id="43" w:name="_Ref70154641"/>
      <w:bookmarkStart w:id="44" w:name="_Toc71701903"/>
      <w:r>
        <w:rPr>
          <w:lang w:val="en-US" w:eastAsia="de-DE"/>
        </w:rPr>
        <w:t>Annex 3: Analysis of Results-Based Management</w:t>
      </w:r>
      <w:bookmarkEnd w:id="40"/>
      <w:bookmarkEnd w:id="41"/>
      <w:bookmarkEnd w:id="42"/>
      <w:bookmarkEnd w:id="43"/>
      <w:bookmarkEnd w:id="44"/>
    </w:p>
    <w:p w14:paraId="0C03C4B1" w14:textId="77777777" w:rsidR="002A2C68" w:rsidRDefault="002A2C68" w:rsidP="002A2C68">
      <w:pPr>
        <w:rPr>
          <w:rFonts w:ascii="Arial" w:hAnsi="Arial" w:cs="Arial"/>
        </w:rPr>
      </w:pPr>
    </w:p>
    <w:p w14:paraId="079D7606" w14:textId="32FBC362" w:rsidR="002A2C68" w:rsidRPr="003C74E5" w:rsidRDefault="002A2C68" w:rsidP="002A2C68">
      <w:pPr>
        <w:rPr>
          <w:rFonts w:ascii="Arial" w:hAnsi="Arial" w:cs="Arial"/>
          <w:sz w:val="22"/>
          <w:szCs w:val="22"/>
        </w:rPr>
      </w:pPr>
      <w:r w:rsidRPr="003C74E5">
        <w:rPr>
          <w:rFonts w:ascii="Arial" w:hAnsi="Arial" w:cs="Arial"/>
          <w:sz w:val="22"/>
          <w:szCs w:val="22"/>
        </w:rPr>
        <w:t>This analysis has been prepared in accordance with the mandate for this evaluation to assess the Global Programme’s efficiency, effectiveness, and impact, all of which are closely tied to the establishment and implementation of effective systems and tools for results-based management</w:t>
      </w:r>
      <w:r w:rsidR="001A7F29" w:rsidRPr="003C74E5">
        <w:rPr>
          <w:rFonts w:ascii="Arial" w:hAnsi="Arial" w:cs="Arial"/>
          <w:sz w:val="22"/>
          <w:szCs w:val="22"/>
        </w:rPr>
        <w:t xml:space="preserve"> (RBM)</w:t>
      </w:r>
      <w:r w:rsidRPr="003C74E5">
        <w:rPr>
          <w:rFonts w:ascii="Arial" w:hAnsi="Arial" w:cs="Arial"/>
          <w:sz w:val="22"/>
          <w:szCs w:val="22"/>
        </w:rPr>
        <w:t>, and more specifically for monitoring and reporting of results. This section also provides analysis in response to the following specific evaluation questions.</w:t>
      </w:r>
    </w:p>
    <w:p w14:paraId="3EC56EBD" w14:textId="77777777" w:rsidR="002A2C68" w:rsidRPr="003C74E5" w:rsidRDefault="002A2C68" w:rsidP="002A2C68">
      <w:pPr>
        <w:rPr>
          <w:rFonts w:ascii="Arial" w:hAnsi="Arial" w:cs="Arial"/>
          <w:b/>
          <w:bCs/>
          <w:sz w:val="22"/>
          <w:szCs w:val="22"/>
        </w:rPr>
      </w:pPr>
      <w:r w:rsidRPr="003C74E5">
        <w:rPr>
          <w:rFonts w:ascii="Arial" w:hAnsi="Arial" w:cs="Arial"/>
          <w:b/>
          <w:bCs/>
          <w:sz w:val="22"/>
          <w:szCs w:val="22"/>
        </w:rPr>
        <w:t>Evaluation Questions at Global Level</w:t>
      </w:r>
    </w:p>
    <w:p w14:paraId="37362918" w14:textId="77777777" w:rsidR="002A2C68" w:rsidRPr="003C74E5" w:rsidRDefault="002A2C68" w:rsidP="002A2C68">
      <w:pPr>
        <w:spacing w:after="0" w:line="240" w:lineRule="auto"/>
        <w:ind w:left="284" w:hanging="2"/>
        <w:rPr>
          <w:rFonts w:ascii="Arial" w:hAnsi="Arial" w:cs="Arial"/>
          <w:color w:val="000000"/>
          <w:sz w:val="22"/>
          <w:szCs w:val="22"/>
          <w:highlight w:val="white"/>
        </w:rPr>
      </w:pPr>
      <w:r w:rsidRPr="003C74E5">
        <w:rPr>
          <w:rFonts w:ascii="Arial" w:hAnsi="Arial" w:cs="Arial"/>
          <w:color w:val="000000"/>
          <w:sz w:val="22"/>
          <w:szCs w:val="22"/>
          <w:highlight w:val="white"/>
        </w:rPr>
        <w:t xml:space="preserve">14. How well has Monitoring, Evaluation and Learning been carried out in GP3?    </w:t>
      </w:r>
    </w:p>
    <w:p w14:paraId="33D34ECB" w14:textId="77777777" w:rsidR="002A2C68" w:rsidRPr="003C74E5" w:rsidRDefault="002A2C68" w:rsidP="002A2C68">
      <w:pPr>
        <w:spacing w:after="0" w:line="240" w:lineRule="auto"/>
        <w:ind w:left="284"/>
        <w:rPr>
          <w:rFonts w:ascii="Arial" w:hAnsi="Arial" w:cs="Arial"/>
          <w:color w:val="000000"/>
          <w:sz w:val="22"/>
          <w:szCs w:val="22"/>
        </w:rPr>
      </w:pPr>
      <w:r w:rsidRPr="003C74E5">
        <w:rPr>
          <w:rFonts w:ascii="Arial" w:hAnsi="Arial" w:cs="Arial"/>
          <w:color w:val="000000"/>
          <w:sz w:val="22"/>
          <w:szCs w:val="22"/>
          <w:highlight w:val="white"/>
        </w:rPr>
        <w:t>14.1. To what extent does GP3 integrate results-based management?</w:t>
      </w:r>
    </w:p>
    <w:p w14:paraId="4C8289C0" w14:textId="77777777" w:rsidR="002A2C68" w:rsidRPr="003C74E5" w:rsidRDefault="002A2C68" w:rsidP="002A2C68">
      <w:pPr>
        <w:ind w:left="284"/>
        <w:rPr>
          <w:rFonts w:ascii="Arial" w:hAnsi="Arial" w:cs="Arial"/>
          <w:color w:val="000000"/>
          <w:sz w:val="22"/>
          <w:szCs w:val="22"/>
        </w:rPr>
      </w:pPr>
      <w:r w:rsidRPr="003C74E5">
        <w:rPr>
          <w:rFonts w:ascii="Arial" w:hAnsi="Arial" w:cs="Arial"/>
          <w:color w:val="000000"/>
          <w:sz w:val="22"/>
          <w:szCs w:val="22"/>
        </w:rPr>
        <w:t>19. To what extent and in what ways has the GP modality added value to UNDP’s corporate offer on ROLSHR globally in Phase 3? (e.g. influencing strategic plan priorities, contributing to signature solutions, strengthening corporate monitoring, reporting, quality assurance, and communications)</w:t>
      </w:r>
    </w:p>
    <w:p w14:paraId="46EB79F2" w14:textId="77777777" w:rsidR="002A2C68" w:rsidRPr="003C74E5" w:rsidRDefault="002A2C68" w:rsidP="002A2C68">
      <w:pPr>
        <w:rPr>
          <w:rFonts w:ascii="Arial" w:hAnsi="Arial" w:cs="Arial"/>
          <w:b/>
          <w:bCs/>
          <w:sz w:val="22"/>
          <w:szCs w:val="22"/>
        </w:rPr>
      </w:pPr>
      <w:r w:rsidRPr="003C74E5">
        <w:rPr>
          <w:rFonts w:ascii="Arial" w:hAnsi="Arial" w:cs="Arial"/>
          <w:b/>
          <w:bCs/>
          <w:sz w:val="22"/>
          <w:szCs w:val="22"/>
        </w:rPr>
        <w:t>Evaluation Questions at Country Level</w:t>
      </w:r>
    </w:p>
    <w:p w14:paraId="52B201AB" w14:textId="77777777" w:rsidR="002A2C68" w:rsidRPr="003C74E5" w:rsidRDefault="002A2C68" w:rsidP="002A2C68">
      <w:pPr>
        <w:spacing w:after="0" w:line="240" w:lineRule="auto"/>
        <w:ind w:left="284" w:hanging="2"/>
        <w:rPr>
          <w:rFonts w:ascii="Arial" w:hAnsi="Arial" w:cs="Arial"/>
          <w:color w:val="000000"/>
          <w:sz w:val="22"/>
          <w:szCs w:val="22"/>
          <w:highlight w:val="white"/>
        </w:rPr>
      </w:pPr>
      <w:r w:rsidRPr="003C74E5">
        <w:rPr>
          <w:rFonts w:ascii="Arial" w:hAnsi="Arial" w:cs="Arial"/>
          <w:color w:val="000000"/>
          <w:sz w:val="22"/>
          <w:szCs w:val="22"/>
          <w:highlight w:val="white"/>
        </w:rPr>
        <w:t xml:space="preserve">18. What is the quality of GP3-related Monitoring &amp; Reporting, Evaluation and Knowledge Management at field level?   </w:t>
      </w:r>
    </w:p>
    <w:p w14:paraId="11F6E546" w14:textId="77777777" w:rsidR="002A2C68" w:rsidRPr="003C74E5" w:rsidRDefault="002A2C68" w:rsidP="002A2C68">
      <w:pPr>
        <w:spacing w:after="0" w:line="240" w:lineRule="auto"/>
        <w:ind w:left="284" w:hanging="2"/>
        <w:rPr>
          <w:rFonts w:ascii="Arial" w:hAnsi="Arial" w:cs="Arial"/>
          <w:color w:val="000000"/>
          <w:sz w:val="22"/>
          <w:szCs w:val="22"/>
          <w:highlight w:val="white"/>
        </w:rPr>
      </w:pPr>
      <w:r w:rsidRPr="003C74E5">
        <w:rPr>
          <w:rFonts w:ascii="Arial" w:hAnsi="Arial" w:cs="Arial"/>
          <w:color w:val="000000"/>
          <w:sz w:val="22"/>
          <w:szCs w:val="22"/>
          <w:highlight w:val="white"/>
        </w:rPr>
        <w:t>18.1 To what extent is a standard M&amp;E/Knowledge Management approach applied across all GP3 countries (common database, M&amp;E reference guidelines with clear and unambiguous meta data definitions etc.)? </w:t>
      </w:r>
    </w:p>
    <w:p w14:paraId="47C67456" w14:textId="77777777" w:rsidR="002A2C68" w:rsidRPr="003C74E5" w:rsidRDefault="002A2C68" w:rsidP="002A2C68">
      <w:pPr>
        <w:ind w:left="284"/>
        <w:rPr>
          <w:rFonts w:ascii="Arial" w:hAnsi="Arial" w:cs="Arial"/>
          <w:color w:val="000000"/>
          <w:sz w:val="22"/>
          <w:szCs w:val="22"/>
        </w:rPr>
      </w:pPr>
      <w:r w:rsidRPr="003C74E5">
        <w:rPr>
          <w:rFonts w:ascii="Arial" w:hAnsi="Arial" w:cs="Arial"/>
          <w:color w:val="000000"/>
          <w:sz w:val="22"/>
          <w:szCs w:val="22"/>
          <w:highlight w:val="white"/>
        </w:rPr>
        <w:t>18.2 Are standardized systems, norms, tools, processes and practices “owned” and applied by country level staff; or is there room for improvement (and if so, where/ how)?</w:t>
      </w:r>
    </w:p>
    <w:p w14:paraId="2369F324" w14:textId="31BFBF8D" w:rsidR="002A2C68" w:rsidRPr="003C74E5" w:rsidRDefault="002A2C68" w:rsidP="005068FC">
      <w:pPr>
        <w:spacing w:after="0" w:line="240" w:lineRule="auto"/>
        <w:ind w:hanging="2"/>
        <w:jc w:val="both"/>
        <w:rPr>
          <w:rFonts w:ascii="Arial" w:hAnsi="Arial" w:cs="Arial"/>
          <w:color w:val="000000"/>
          <w:sz w:val="22"/>
          <w:szCs w:val="22"/>
        </w:rPr>
      </w:pPr>
      <w:r w:rsidRPr="003C74E5">
        <w:rPr>
          <w:rFonts w:ascii="Arial" w:hAnsi="Arial" w:cs="Arial"/>
          <w:color w:val="000000"/>
          <w:sz w:val="22"/>
          <w:szCs w:val="22"/>
        </w:rPr>
        <w:t xml:space="preserve">As noted in the Methodology section, this evaluation has paid attention to analyzing progress towards targets for GP output indicators and towards change in the five outcome level indicators defined in the Prodoc. Analysis of the six case study countries also included brief review of M&amp;E frameworks and tools used at country level, complemented by review of the five country-level evaluations carried out by ISSAT since 2017 under contract with the GP. Highlights of those evaluations are set out </w:t>
      </w:r>
      <w:r w:rsidRPr="003C74E5">
        <w:rPr>
          <w:rFonts w:ascii="Arial" w:hAnsi="Arial" w:cs="Arial"/>
          <w:sz w:val="22"/>
          <w:szCs w:val="22"/>
        </w:rPr>
        <w:t xml:space="preserve">in Annex </w:t>
      </w:r>
      <w:r w:rsidR="00CA62AB" w:rsidRPr="003C74E5">
        <w:rPr>
          <w:rFonts w:ascii="Arial" w:hAnsi="Arial" w:cs="Arial"/>
          <w:sz w:val="22"/>
          <w:szCs w:val="22"/>
        </w:rPr>
        <w:t>5</w:t>
      </w:r>
      <w:r w:rsidRPr="003C74E5">
        <w:rPr>
          <w:rFonts w:ascii="Arial" w:hAnsi="Arial" w:cs="Arial"/>
          <w:sz w:val="22"/>
          <w:szCs w:val="22"/>
        </w:rPr>
        <w:t xml:space="preserve"> to this </w:t>
      </w:r>
      <w:r w:rsidR="00CA62AB" w:rsidRPr="003C74E5">
        <w:rPr>
          <w:rFonts w:ascii="Arial" w:hAnsi="Arial" w:cs="Arial"/>
          <w:sz w:val="22"/>
          <w:szCs w:val="22"/>
        </w:rPr>
        <w:t xml:space="preserve">evaluation </w:t>
      </w:r>
      <w:r w:rsidRPr="003C74E5">
        <w:rPr>
          <w:rFonts w:ascii="Arial" w:hAnsi="Arial" w:cs="Arial"/>
          <w:sz w:val="22"/>
          <w:szCs w:val="22"/>
        </w:rPr>
        <w:t xml:space="preserve">report. </w:t>
      </w:r>
    </w:p>
    <w:p w14:paraId="32A17522" w14:textId="77777777" w:rsidR="002A2C68" w:rsidRPr="003C74E5" w:rsidRDefault="002A2C68" w:rsidP="005068FC">
      <w:pPr>
        <w:spacing w:after="0" w:line="240" w:lineRule="auto"/>
        <w:ind w:hanging="2"/>
        <w:jc w:val="both"/>
        <w:rPr>
          <w:rFonts w:ascii="Arial" w:hAnsi="Arial" w:cs="Arial"/>
          <w:color w:val="000000"/>
          <w:sz w:val="22"/>
          <w:szCs w:val="22"/>
        </w:rPr>
      </w:pPr>
    </w:p>
    <w:p w14:paraId="77177702" w14:textId="77777777" w:rsidR="002A2C68" w:rsidRPr="003C74E5" w:rsidRDefault="002A2C68" w:rsidP="005068FC">
      <w:pPr>
        <w:spacing w:after="0" w:line="240" w:lineRule="auto"/>
        <w:ind w:hanging="2"/>
        <w:jc w:val="both"/>
        <w:rPr>
          <w:rFonts w:ascii="Arial" w:hAnsi="Arial" w:cs="Arial"/>
          <w:color w:val="000000"/>
          <w:sz w:val="22"/>
          <w:szCs w:val="22"/>
        </w:rPr>
      </w:pPr>
      <w:r w:rsidRPr="003C74E5">
        <w:rPr>
          <w:rFonts w:ascii="Arial" w:hAnsi="Arial" w:cs="Arial"/>
          <w:color w:val="000000"/>
          <w:sz w:val="22"/>
          <w:szCs w:val="22"/>
        </w:rPr>
        <w:t xml:space="preserve">While varied in scope, each ISSAT evaluation included some analysis of monitoring and reporting tools and systems, with a view to identifying both strong and weak practices at country level that could inform GP and wider UNDP approaches to ROLSHR results management. To date, ISSAT has delivered two synthesis reports to GP management, which have also helped to inform this evaluation. </w:t>
      </w:r>
      <w:r w:rsidRPr="003C74E5">
        <w:rPr>
          <w:rFonts w:ascii="Arial" w:hAnsi="Arial" w:cs="Arial"/>
          <w:sz w:val="22"/>
          <w:szCs w:val="22"/>
        </w:rPr>
        <w:t xml:space="preserve">While the ISSAT evaluations focused on monitoring of ROLSHR projects and programmes at country level, this evaluation emphasized monitoring by HQ and country teams as it relates to the overarching results measurement system of the GP itself (consistent with the evaluation TOR.) </w:t>
      </w:r>
    </w:p>
    <w:p w14:paraId="5A3D89E0" w14:textId="77777777" w:rsidR="002A2C68" w:rsidRPr="003C74E5" w:rsidRDefault="002A2C68" w:rsidP="005068FC">
      <w:pPr>
        <w:spacing w:after="0" w:line="240" w:lineRule="auto"/>
        <w:ind w:hanging="2"/>
        <w:jc w:val="both"/>
        <w:rPr>
          <w:rFonts w:ascii="Arial" w:hAnsi="Arial" w:cs="Arial"/>
          <w:color w:val="000000"/>
          <w:sz w:val="22"/>
          <w:szCs w:val="22"/>
        </w:rPr>
      </w:pPr>
    </w:p>
    <w:p w14:paraId="05DF43D9" w14:textId="77777777" w:rsidR="002A2C68" w:rsidRPr="003C74E5" w:rsidRDefault="002A2C68" w:rsidP="005068FC">
      <w:pPr>
        <w:spacing w:after="0"/>
        <w:rPr>
          <w:rFonts w:ascii="Arial" w:eastAsia="Times New Roman" w:hAnsi="Arial" w:cs="Arial"/>
          <w:b/>
          <w:bCs/>
          <w:sz w:val="22"/>
          <w:szCs w:val="22"/>
        </w:rPr>
      </w:pPr>
      <w:r w:rsidRPr="003C74E5">
        <w:rPr>
          <w:rFonts w:ascii="Arial" w:hAnsi="Arial" w:cs="Arial"/>
          <w:b/>
          <w:bCs/>
          <w:sz w:val="22"/>
          <w:szCs w:val="22"/>
        </w:rPr>
        <w:t xml:space="preserve">Outcome Level </w:t>
      </w:r>
    </w:p>
    <w:p w14:paraId="613A9DC4" w14:textId="477122C5" w:rsidR="002A2C68" w:rsidRDefault="002A2C68" w:rsidP="005068FC">
      <w:pPr>
        <w:spacing w:after="0"/>
        <w:rPr>
          <w:rFonts w:ascii="Arial" w:hAnsi="Arial" w:cs="Arial"/>
          <w:sz w:val="22"/>
          <w:szCs w:val="22"/>
        </w:rPr>
      </w:pPr>
      <w:r w:rsidRPr="7FB3149D">
        <w:rPr>
          <w:rFonts w:ascii="Arial" w:hAnsi="Arial" w:cs="Arial"/>
          <w:sz w:val="22"/>
          <w:szCs w:val="22"/>
        </w:rPr>
        <w:t>At outcome level, the Prodoc specified six indicators based on five international scoring systems or mechanisms by which the GP would aim to measure the higher-level results of Phase 3, by applying those measures to the GP3 priority countries. All six indicators and mechanisms are listed in the table below, however, it was only possible for the evaluators to find data for three indicators that could be compared to the baselines. Only 55.8% of the baseline values for these scoring mechanisms were identified in the Prodoc (Annex 4), no targets for change in these scores were set by GP, and the GP annual reporting since 2016 has not included any reference to these indicators. The evaluators were informed by GP staff that efforts to track these indicators were not pursued, as the team decided they would not be suitable to capture programme outcomes</w:t>
      </w:r>
      <w:r w:rsidR="0C94DAC6" w:rsidRPr="7FB3149D">
        <w:rPr>
          <w:rFonts w:ascii="Arial" w:hAnsi="Arial" w:cs="Arial"/>
          <w:sz w:val="22"/>
          <w:szCs w:val="22"/>
        </w:rPr>
        <w:t xml:space="preserve"> on a yearly basis and would be reviewed at the end of the GP3 programme cycle. </w:t>
      </w:r>
      <w:r w:rsidRPr="7FB3149D">
        <w:rPr>
          <w:rFonts w:ascii="Arial" w:hAnsi="Arial" w:cs="Arial"/>
          <w:sz w:val="22"/>
          <w:szCs w:val="22"/>
        </w:rPr>
        <w:t xml:space="preserve"> </w:t>
      </w:r>
    </w:p>
    <w:p w14:paraId="5A4FBE80" w14:textId="77777777" w:rsidR="005068FC" w:rsidRPr="003C74E5" w:rsidRDefault="005068FC" w:rsidP="005068FC">
      <w:pPr>
        <w:spacing w:after="0"/>
        <w:rPr>
          <w:rFonts w:ascii="Arial" w:eastAsia="Courier New" w:hAnsi="Arial" w:cs="Arial"/>
          <w:sz w:val="22"/>
          <w:szCs w:val="22"/>
        </w:rPr>
      </w:pPr>
    </w:p>
    <w:p w14:paraId="20C3626A" w14:textId="404C13A9" w:rsidR="002A2C68" w:rsidRDefault="002A2C68" w:rsidP="005068FC">
      <w:pPr>
        <w:spacing w:after="0"/>
        <w:rPr>
          <w:rFonts w:ascii="Arial" w:eastAsia="Times New Roman" w:hAnsi="Arial" w:cs="Arial"/>
          <w:sz w:val="22"/>
          <w:szCs w:val="22"/>
        </w:rPr>
      </w:pPr>
      <w:r w:rsidRPr="003C74E5">
        <w:rPr>
          <w:rFonts w:ascii="Arial" w:eastAsia="Times New Roman" w:hAnsi="Arial" w:cs="Arial"/>
          <w:sz w:val="22"/>
          <w:szCs w:val="22"/>
        </w:rPr>
        <w:t xml:space="preserve">We have attempted in Table </w:t>
      </w:r>
      <w:r w:rsidR="00CA62AB" w:rsidRPr="003C74E5">
        <w:rPr>
          <w:rFonts w:ascii="Arial" w:eastAsia="Times New Roman" w:hAnsi="Arial" w:cs="Arial"/>
          <w:sz w:val="22"/>
          <w:szCs w:val="22"/>
        </w:rPr>
        <w:t>1</w:t>
      </w:r>
      <w:r w:rsidRPr="003C74E5">
        <w:rPr>
          <w:rFonts w:ascii="Arial" w:eastAsia="Times New Roman" w:hAnsi="Arial" w:cs="Arial"/>
          <w:sz w:val="22"/>
          <w:szCs w:val="22"/>
        </w:rPr>
        <w:t xml:space="preserve"> below to briefly compare the most recent available data with baselines for the 30 priority countries listed in the Prodoc (later increased to 32). These show mixed results, as noted in the final column; the World Justice Project score for rule of law denotes a largely positive trend in priority countries during this period, while a high level of variation was seen in the other two mechanisms that could be analyzed. However, any attribution of improvements in scores (or lack thereof) to support by the GP (and even assessment of contribution by GP) is tenuous in the view of the evaluators, primarily due to the GP structure that entails a relatively insignificant investment by GP3 in each individual country. Any change in scores would undoubtedly be due to the influence of many diverse factors at play in each country, of which GP support would be only one. Therefore, the evaluators did not proceed further with analysis of this data. </w:t>
      </w:r>
    </w:p>
    <w:p w14:paraId="419B0818" w14:textId="77777777" w:rsidR="005068FC" w:rsidRPr="003C74E5" w:rsidRDefault="005068FC" w:rsidP="005068FC">
      <w:pPr>
        <w:spacing w:after="0"/>
        <w:rPr>
          <w:rFonts w:ascii="Arial" w:eastAsia="Times New Roman" w:hAnsi="Arial" w:cs="Arial"/>
          <w:sz w:val="22"/>
          <w:szCs w:val="22"/>
        </w:rPr>
      </w:pPr>
    </w:p>
    <w:p w14:paraId="02A339CE" w14:textId="7392686B" w:rsidR="002A2C68" w:rsidRDefault="002A2C68" w:rsidP="005068FC">
      <w:pPr>
        <w:spacing w:after="0"/>
        <w:rPr>
          <w:rFonts w:ascii="Arial" w:eastAsia="Times New Roman" w:hAnsi="Arial" w:cs="Arial"/>
          <w:sz w:val="22"/>
          <w:szCs w:val="22"/>
        </w:rPr>
      </w:pPr>
      <w:r w:rsidRPr="003C74E5">
        <w:rPr>
          <w:rFonts w:ascii="Arial" w:eastAsia="Times New Roman" w:hAnsi="Arial" w:cs="Arial"/>
          <w:sz w:val="22"/>
          <w:szCs w:val="22"/>
        </w:rPr>
        <w:t xml:space="preserve">In conclusion, the results framework is not able to provide any clear evidence that would assist in measuring GP results in Phase 3 at outcome level.  </w:t>
      </w:r>
    </w:p>
    <w:p w14:paraId="52BCB9B2" w14:textId="77777777" w:rsidR="005068FC" w:rsidRPr="003C74E5" w:rsidRDefault="005068FC" w:rsidP="005068FC">
      <w:pPr>
        <w:spacing w:after="0"/>
        <w:rPr>
          <w:rFonts w:ascii="Arial" w:eastAsia="Times New Roman" w:hAnsi="Arial" w:cs="Arial"/>
          <w:sz w:val="22"/>
          <w:szCs w:val="22"/>
        </w:rPr>
      </w:pPr>
    </w:p>
    <w:p w14:paraId="4AED3747" w14:textId="158113EA" w:rsidR="002A2C68" w:rsidRPr="003C74E5" w:rsidRDefault="002A2C68" w:rsidP="002A2C68">
      <w:pPr>
        <w:rPr>
          <w:rFonts w:ascii="Arial" w:eastAsia="Courier New" w:hAnsi="Arial" w:cs="Arial"/>
          <w:b/>
          <w:bCs/>
          <w:sz w:val="22"/>
          <w:szCs w:val="22"/>
        </w:rPr>
      </w:pPr>
      <w:r w:rsidRPr="003C74E5">
        <w:rPr>
          <w:rFonts w:ascii="Arial" w:eastAsia="Times New Roman" w:hAnsi="Arial" w:cs="Arial"/>
          <w:b/>
          <w:bCs/>
          <w:color w:val="000000"/>
          <w:sz w:val="22"/>
          <w:szCs w:val="22"/>
          <w:lang w:eastAsia="en-CA"/>
        </w:rPr>
        <w:t xml:space="preserve">Table </w:t>
      </w:r>
      <w:r w:rsidR="00CA62AB" w:rsidRPr="003C74E5">
        <w:rPr>
          <w:rFonts w:ascii="Arial" w:eastAsia="Times New Roman" w:hAnsi="Arial" w:cs="Arial"/>
          <w:b/>
          <w:bCs/>
          <w:color w:val="000000"/>
          <w:sz w:val="22"/>
          <w:szCs w:val="22"/>
          <w:lang w:eastAsia="en-CA"/>
        </w:rPr>
        <w:t>1</w:t>
      </w:r>
      <w:r w:rsidRPr="003C74E5">
        <w:rPr>
          <w:rFonts w:ascii="Arial" w:eastAsia="Times New Roman" w:hAnsi="Arial" w:cs="Arial"/>
          <w:b/>
          <w:bCs/>
          <w:color w:val="000000"/>
          <w:sz w:val="22"/>
          <w:szCs w:val="22"/>
          <w:lang w:eastAsia="en-CA"/>
        </w:rPr>
        <w:t>. Comparison of 2015 baselines to most recent data on outcome indicators</w:t>
      </w:r>
    </w:p>
    <w:tbl>
      <w:tblPr>
        <w:tblW w:w="9356" w:type="dxa"/>
        <w:tblInd w:w="-5" w:type="dxa"/>
        <w:tblLayout w:type="fixed"/>
        <w:tblLook w:val="04A0" w:firstRow="1" w:lastRow="0" w:firstColumn="1" w:lastColumn="0" w:noHBand="0" w:noVBand="1"/>
      </w:tblPr>
      <w:tblGrid>
        <w:gridCol w:w="3261"/>
        <w:gridCol w:w="850"/>
        <w:gridCol w:w="1276"/>
        <w:gridCol w:w="3969"/>
      </w:tblGrid>
      <w:tr w:rsidR="00877FAD" w:rsidRPr="00A2511A" w14:paraId="32D0DA49" w14:textId="77777777" w:rsidTr="00296A4A">
        <w:trPr>
          <w:trHeight w:val="788"/>
          <w:tblHeader/>
        </w:trPr>
        <w:tc>
          <w:tcPr>
            <w:tcW w:w="32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096E756B" w14:textId="77777777" w:rsidR="002A2C68" w:rsidRPr="00A2511A" w:rsidRDefault="002A2C68" w:rsidP="00296A4A">
            <w:pPr>
              <w:spacing w:after="0" w:line="240" w:lineRule="auto"/>
              <w:jc w:val="center"/>
              <w:rPr>
                <w:rFonts w:ascii="Arial" w:eastAsia="Times New Roman" w:hAnsi="Arial" w:cs="Arial"/>
                <w:b/>
                <w:bCs/>
                <w:color w:val="000000"/>
                <w:lang w:eastAsia="en-CA"/>
              </w:rPr>
            </w:pPr>
            <w:r w:rsidRPr="00A2511A">
              <w:rPr>
                <w:rFonts w:ascii="Arial" w:eastAsia="Times New Roman" w:hAnsi="Arial" w:cs="Arial"/>
                <w:b/>
                <w:bCs/>
                <w:color w:val="000000"/>
                <w:lang w:eastAsia="en-CA"/>
              </w:rPr>
              <w:t>Outcome Indicator</w:t>
            </w:r>
          </w:p>
        </w:tc>
        <w:tc>
          <w:tcPr>
            <w:tcW w:w="85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6D9B2D16" w14:textId="77777777" w:rsidR="002A2C68" w:rsidRPr="00A2511A" w:rsidRDefault="002A2C68" w:rsidP="00296A4A">
            <w:pPr>
              <w:spacing w:after="0" w:line="240" w:lineRule="auto"/>
              <w:jc w:val="center"/>
              <w:rPr>
                <w:rFonts w:ascii="Arial" w:eastAsia="Times New Roman" w:hAnsi="Arial" w:cs="Arial"/>
                <w:b/>
                <w:bCs/>
                <w:color w:val="000000"/>
                <w:lang w:eastAsia="en-CA"/>
              </w:rPr>
            </w:pPr>
            <w:r w:rsidRPr="00A2511A">
              <w:rPr>
                <w:rFonts w:ascii="Arial" w:eastAsia="Times New Roman" w:hAnsi="Arial" w:cs="Arial"/>
                <w:b/>
                <w:bCs/>
                <w:color w:val="000000"/>
                <w:lang w:eastAsia="en-CA"/>
              </w:rPr>
              <w:t>Year</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751D8D11" w14:textId="77777777" w:rsidR="002A2C68" w:rsidRPr="00A2511A" w:rsidRDefault="002A2C68" w:rsidP="00296A4A">
            <w:pPr>
              <w:spacing w:after="0" w:line="240" w:lineRule="auto"/>
              <w:jc w:val="center"/>
              <w:rPr>
                <w:rFonts w:ascii="Arial" w:eastAsia="Times New Roman" w:hAnsi="Arial" w:cs="Arial"/>
                <w:b/>
                <w:bCs/>
                <w:color w:val="000000"/>
                <w:lang w:eastAsia="en-CA"/>
              </w:rPr>
            </w:pPr>
            <w:r w:rsidRPr="00A2511A">
              <w:rPr>
                <w:rFonts w:ascii="Arial" w:eastAsia="Times New Roman" w:hAnsi="Arial" w:cs="Arial"/>
                <w:b/>
                <w:bCs/>
                <w:color w:val="000000"/>
                <w:lang w:eastAsia="en-CA"/>
              </w:rPr>
              <w:t># countries reported</w:t>
            </w:r>
          </w:p>
        </w:tc>
        <w:tc>
          <w:tcPr>
            <w:tcW w:w="3969"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09B9AA8F" w14:textId="77777777" w:rsidR="002A2C68" w:rsidRPr="00A2511A" w:rsidRDefault="002A2C68" w:rsidP="00296A4A">
            <w:pPr>
              <w:spacing w:after="0" w:line="240" w:lineRule="auto"/>
              <w:jc w:val="center"/>
              <w:rPr>
                <w:rFonts w:ascii="Arial" w:eastAsia="Times New Roman" w:hAnsi="Arial" w:cs="Arial"/>
                <w:b/>
                <w:bCs/>
                <w:color w:val="000000"/>
                <w:lang w:eastAsia="en-CA"/>
              </w:rPr>
            </w:pPr>
            <w:r w:rsidRPr="00A2511A">
              <w:rPr>
                <w:rFonts w:ascii="Arial" w:eastAsia="Times New Roman" w:hAnsi="Arial" w:cs="Arial"/>
                <w:b/>
                <w:bCs/>
                <w:color w:val="000000"/>
                <w:lang w:eastAsia="en-CA"/>
              </w:rPr>
              <w:t>Summary of Changes</w:t>
            </w:r>
          </w:p>
        </w:tc>
      </w:tr>
      <w:tr w:rsidR="002A2C68" w:rsidRPr="00A2511A" w14:paraId="101CAA56" w14:textId="77777777" w:rsidTr="00296A4A">
        <w:trPr>
          <w:trHeight w:val="450"/>
        </w:trPr>
        <w:tc>
          <w:tcPr>
            <w:tcW w:w="3261" w:type="dxa"/>
            <w:vMerge w:val="restart"/>
            <w:tcBorders>
              <w:top w:val="nil"/>
              <w:left w:val="single" w:sz="4" w:space="0" w:color="auto"/>
              <w:bottom w:val="single" w:sz="4" w:space="0" w:color="auto"/>
              <w:right w:val="single" w:sz="4" w:space="0" w:color="auto"/>
            </w:tcBorders>
            <w:shd w:val="clear" w:color="auto" w:fill="auto"/>
            <w:vAlign w:val="bottom"/>
            <w:hideMark/>
          </w:tcPr>
          <w:p w14:paraId="1152EE0D" w14:textId="77777777" w:rsidR="002A2C68" w:rsidRPr="00A2511A" w:rsidRDefault="002A2C68" w:rsidP="00296A4A">
            <w:pPr>
              <w:spacing w:after="0" w:line="240" w:lineRule="auto"/>
              <w:rPr>
                <w:rFonts w:ascii="Arial" w:eastAsia="Times New Roman" w:hAnsi="Arial" w:cs="Arial"/>
                <w:b/>
                <w:bCs/>
                <w:lang w:eastAsia="en-CA"/>
              </w:rPr>
            </w:pPr>
            <w:r w:rsidRPr="00A2511A">
              <w:rPr>
                <w:rFonts w:ascii="Arial" w:eastAsia="Times New Roman" w:hAnsi="Arial" w:cs="Arial"/>
                <w:b/>
                <w:bCs/>
                <w:lang w:eastAsia="en-CA"/>
              </w:rPr>
              <w:t>Ibrahim Index of African Governance (IIAG) Safety and Rule of Law Score</w:t>
            </w:r>
            <w:r w:rsidRPr="00A2511A">
              <w:rPr>
                <w:rStyle w:val="FootnoteReference"/>
                <w:rFonts w:ascii="Arial" w:eastAsia="Times New Roman" w:hAnsi="Arial" w:cs="Arial"/>
                <w:b/>
                <w:bCs/>
                <w:lang w:eastAsia="en-CA"/>
              </w:rPr>
              <w:footnoteReference w:id="18"/>
            </w:r>
          </w:p>
        </w:tc>
        <w:tc>
          <w:tcPr>
            <w:tcW w:w="850" w:type="dxa"/>
            <w:tcBorders>
              <w:top w:val="nil"/>
              <w:left w:val="nil"/>
              <w:bottom w:val="single" w:sz="4" w:space="0" w:color="auto"/>
              <w:right w:val="single" w:sz="4" w:space="0" w:color="auto"/>
            </w:tcBorders>
            <w:shd w:val="clear" w:color="auto" w:fill="auto"/>
            <w:vAlign w:val="bottom"/>
            <w:hideMark/>
          </w:tcPr>
          <w:p w14:paraId="35831FCC"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2015</w:t>
            </w:r>
          </w:p>
        </w:tc>
        <w:tc>
          <w:tcPr>
            <w:tcW w:w="1276" w:type="dxa"/>
            <w:tcBorders>
              <w:top w:val="nil"/>
              <w:left w:val="nil"/>
              <w:bottom w:val="single" w:sz="4" w:space="0" w:color="auto"/>
              <w:right w:val="single" w:sz="4" w:space="0" w:color="auto"/>
            </w:tcBorders>
            <w:shd w:val="clear" w:color="auto" w:fill="auto"/>
            <w:noWrap/>
            <w:vAlign w:val="bottom"/>
            <w:hideMark/>
          </w:tcPr>
          <w:p w14:paraId="02679BFF"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13</w:t>
            </w:r>
          </w:p>
        </w:tc>
        <w:tc>
          <w:tcPr>
            <w:tcW w:w="3969" w:type="dxa"/>
            <w:vMerge w:val="restart"/>
            <w:tcBorders>
              <w:top w:val="nil"/>
              <w:left w:val="single" w:sz="4" w:space="0" w:color="auto"/>
              <w:bottom w:val="single" w:sz="4" w:space="0" w:color="000000"/>
              <w:right w:val="single" w:sz="4" w:space="0" w:color="auto"/>
            </w:tcBorders>
            <w:shd w:val="clear" w:color="auto" w:fill="auto"/>
            <w:vAlign w:val="bottom"/>
            <w:hideMark/>
          </w:tcPr>
          <w:p w14:paraId="5BD832AB" w14:textId="77777777" w:rsidR="002A2C68" w:rsidRPr="00A2511A" w:rsidRDefault="002A2C68" w:rsidP="00296A4A">
            <w:pPr>
              <w:spacing w:after="0" w:line="240" w:lineRule="auto"/>
              <w:rPr>
                <w:rFonts w:ascii="Arial" w:eastAsia="Times New Roman" w:hAnsi="Arial" w:cs="Arial"/>
                <w:color w:val="000000"/>
                <w:lang w:eastAsia="en-CA"/>
              </w:rPr>
            </w:pPr>
            <w:r w:rsidRPr="00A2511A">
              <w:rPr>
                <w:rFonts w:ascii="Arial" w:eastAsia="Times New Roman" w:hAnsi="Arial" w:cs="Arial"/>
                <w:color w:val="000000"/>
                <w:lang w:eastAsia="en-CA"/>
              </w:rPr>
              <w:t>Cannot be analyzed because the country scores and scoring parameters found on IIAG site do not match up with baselines in Prodoc</w:t>
            </w:r>
          </w:p>
        </w:tc>
      </w:tr>
      <w:tr w:rsidR="002A2C68" w:rsidRPr="00A2511A" w14:paraId="3452E514" w14:textId="77777777" w:rsidTr="00296A4A">
        <w:trPr>
          <w:trHeight w:val="440"/>
        </w:trPr>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6BF520D" w14:textId="77777777" w:rsidR="002A2C68" w:rsidRPr="00A2511A" w:rsidRDefault="002A2C68" w:rsidP="00296A4A">
            <w:pPr>
              <w:spacing w:after="0" w:line="240" w:lineRule="auto"/>
              <w:rPr>
                <w:rFonts w:ascii="Arial" w:eastAsia="Times New Roman" w:hAnsi="Arial" w:cs="Arial"/>
                <w:b/>
                <w:bCs/>
                <w:lang w:eastAsia="en-CA"/>
              </w:rPr>
            </w:pPr>
          </w:p>
        </w:tc>
        <w:tc>
          <w:tcPr>
            <w:tcW w:w="850" w:type="dxa"/>
            <w:tcBorders>
              <w:top w:val="nil"/>
              <w:left w:val="nil"/>
              <w:bottom w:val="single" w:sz="4" w:space="0" w:color="auto"/>
              <w:right w:val="single" w:sz="4" w:space="0" w:color="auto"/>
            </w:tcBorders>
            <w:shd w:val="clear" w:color="auto" w:fill="auto"/>
            <w:vAlign w:val="bottom"/>
            <w:hideMark/>
          </w:tcPr>
          <w:p w14:paraId="64BB8806"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095E3D14"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n/a</w:t>
            </w:r>
          </w:p>
        </w:tc>
        <w:tc>
          <w:tcPr>
            <w:tcW w:w="3969" w:type="dxa"/>
            <w:vMerge/>
            <w:tcBorders>
              <w:top w:val="nil"/>
              <w:left w:val="single" w:sz="4" w:space="0" w:color="auto"/>
              <w:bottom w:val="single" w:sz="4" w:space="0" w:color="000000"/>
              <w:right w:val="single" w:sz="4" w:space="0" w:color="auto"/>
            </w:tcBorders>
            <w:shd w:val="clear" w:color="auto" w:fill="auto"/>
            <w:vAlign w:val="center"/>
            <w:hideMark/>
          </w:tcPr>
          <w:p w14:paraId="7F59D525" w14:textId="77777777" w:rsidR="002A2C68" w:rsidRPr="00A2511A" w:rsidRDefault="002A2C68" w:rsidP="00296A4A">
            <w:pPr>
              <w:spacing w:after="0" w:line="240" w:lineRule="auto"/>
              <w:rPr>
                <w:rFonts w:ascii="Arial" w:eastAsia="Times New Roman" w:hAnsi="Arial" w:cs="Arial"/>
                <w:color w:val="000000"/>
                <w:lang w:eastAsia="en-CA"/>
              </w:rPr>
            </w:pPr>
          </w:p>
        </w:tc>
      </w:tr>
      <w:tr w:rsidR="002A2C68" w:rsidRPr="00A2511A" w14:paraId="4A8652E0" w14:textId="77777777" w:rsidTr="00296A4A">
        <w:trPr>
          <w:trHeight w:val="430"/>
        </w:trPr>
        <w:tc>
          <w:tcPr>
            <w:tcW w:w="3261" w:type="dxa"/>
            <w:vMerge w:val="restart"/>
            <w:tcBorders>
              <w:top w:val="nil"/>
              <w:left w:val="single" w:sz="4" w:space="0" w:color="auto"/>
              <w:bottom w:val="single" w:sz="4" w:space="0" w:color="auto"/>
              <w:right w:val="single" w:sz="4" w:space="0" w:color="auto"/>
            </w:tcBorders>
            <w:shd w:val="clear" w:color="auto" w:fill="auto"/>
            <w:vAlign w:val="bottom"/>
            <w:hideMark/>
          </w:tcPr>
          <w:p w14:paraId="6B2AF4D3" w14:textId="77777777" w:rsidR="002A2C68" w:rsidRPr="00A2511A" w:rsidRDefault="002A2C68" w:rsidP="00296A4A">
            <w:pPr>
              <w:spacing w:after="0" w:line="240" w:lineRule="auto"/>
              <w:rPr>
                <w:rFonts w:ascii="Arial" w:eastAsia="Times New Roman" w:hAnsi="Arial" w:cs="Arial"/>
                <w:b/>
                <w:bCs/>
                <w:lang w:eastAsia="en-CA"/>
              </w:rPr>
            </w:pPr>
            <w:r w:rsidRPr="00A2511A">
              <w:rPr>
                <w:rFonts w:ascii="Arial" w:eastAsia="Times New Roman" w:hAnsi="Arial" w:cs="Arial"/>
                <w:b/>
                <w:bCs/>
                <w:lang w:eastAsia="en-CA"/>
              </w:rPr>
              <w:t xml:space="preserve">IIAG Participation and Human Rights Score </w:t>
            </w:r>
          </w:p>
        </w:tc>
        <w:tc>
          <w:tcPr>
            <w:tcW w:w="850" w:type="dxa"/>
            <w:tcBorders>
              <w:top w:val="nil"/>
              <w:left w:val="nil"/>
              <w:bottom w:val="single" w:sz="4" w:space="0" w:color="auto"/>
              <w:right w:val="single" w:sz="4" w:space="0" w:color="auto"/>
            </w:tcBorders>
            <w:shd w:val="clear" w:color="auto" w:fill="auto"/>
            <w:vAlign w:val="bottom"/>
            <w:hideMark/>
          </w:tcPr>
          <w:p w14:paraId="69FF2435"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2015</w:t>
            </w:r>
          </w:p>
        </w:tc>
        <w:tc>
          <w:tcPr>
            <w:tcW w:w="1276" w:type="dxa"/>
            <w:tcBorders>
              <w:top w:val="nil"/>
              <w:left w:val="nil"/>
              <w:bottom w:val="single" w:sz="4" w:space="0" w:color="auto"/>
              <w:right w:val="single" w:sz="4" w:space="0" w:color="auto"/>
            </w:tcBorders>
            <w:shd w:val="clear" w:color="auto" w:fill="auto"/>
            <w:noWrap/>
            <w:vAlign w:val="bottom"/>
            <w:hideMark/>
          </w:tcPr>
          <w:p w14:paraId="7C1CF245"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13</w:t>
            </w:r>
          </w:p>
        </w:tc>
        <w:tc>
          <w:tcPr>
            <w:tcW w:w="3969" w:type="dxa"/>
            <w:vMerge/>
            <w:tcBorders>
              <w:top w:val="nil"/>
              <w:left w:val="single" w:sz="4" w:space="0" w:color="auto"/>
              <w:bottom w:val="single" w:sz="4" w:space="0" w:color="000000"/>
              <w:right w:val="single" w:sz="4" w:space="0" w:color="auto"/>
            </w:tcBorders>
            <w:shd w:val="clear" w:color="auto" w:fill="auto"/>
            <w:vAlign w:val="center"/>
            <w:hideMark/>
          </w:tcPr>
          <w:p w14:paraId="7D874C48" w14:textId="77777777" w:rsidR="002A2C68" w:rsidRPr="00A2511A" w:rsidRDefault="002A2C68" w:rsidP="00296A4A">
            <w:pPr>
              <w:spacing w:after="0" w:line="240" w:lineRule="auto"/>
              <w:rPr>
                <w:rFonts w:ascii="Arial" w:eastAsia="Times New Roman" w:hAnsi="Arial" w:cs="Arial"/>
                <w:color w:val="000000"/>
                <w:lang w:eastAsia="en-CA"/>
              </w:rPr>
            </w:pPr>
          </w:p>
        </w:tc>
      </w:tr>
      <w:tr w:rsidR="002A2C68" w:rsidRPr="00A2511A" w14:paraId="7C412BDE" w14:textId="77777777" w:rsidTr="00296A4A">
        <w:trPr>
          <w:trHeight w:val="470"/>
        </w:trPr>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1E264ACC" w14:textId="77777777" w:rsidR="002A2C68" w:rsidRPr="00A2511A" w:rsidRDefault="002A2C68" w:rsidP="00296A4A">
            <w:pPr>
              <w:spacing w:after="0" w:line="240" w:lineRule="auto"/>
              <w:rPr>
                <w:rFonts w:ascii="Arial" w:eastAsia="Times New Roman" w:hAnsi="Arial" w:cs="Arial"/>
                <w:b/>
                <w:bCs/>
                <w:lang w:eastAsia="en-CA"/>
              </w:rPr>
            </w:pPr>
          </w:p>
        </w:tc>
        <w:tc>
          <w:tcPr>
            <w:tcW w:w="850" w:type="dxa"/>
            <w:tcBorders>
              <w:top w:val="nil"/>
              <w:left w:val="nil"/>
              <w:bottom w:val="single" w:sz="4" w:space="0" w:color="auto"/>
              <w:right w:val="single" w:sz="4" w:space="0" w:color="auto"/>
            </w:tcBorders>
            <w:shd w:val="clear" w:color="auto" w:fill="auto"/>
            <w:vAlign w:val="bottom"/>
            <w:hideMark/>
          </w:tcPr>
          <w:p w14:paraId="3E102B68"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0D5E1092"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n/a</w:t>
            </w:r>
          </w:p>
        </w:tc>
        <w:tc>
          <w:tcPr>
            <w:tcW w:w="3969" w:type="dxa"/>
            <w:vMerge/>
            <w:tcBorders>
              <w:top w:val="nil"/>
              <w:left w:val="single" w:sz="4" w:space="0" w:color="auto"/>
              <w:bottom w:val="single" w:sz="4" w:space="0" w:color="000000"/>
              <w:right w:val="single" w:sz="4" w:space="0" w:color="auto"/>
            </w:tcBorders>
            <w:shd w:val="clear" w:color="auto" w:fill="auto"/>
            <w:vAlign w:val="center"/>
            <w:hideMark/>
          </w:tcPr>
          <w:p w14:paraId="6CAE7812" w14:textId="77777777" w:rsidR="002A2C68" w:rsidRPr="00A2511A" w:rsidRDefault="002A2C68" w:rsidP="00296A4A">
            <w:pPr>
              <w:spacing w:after="0" w:line="240" w:lineRule="auto"/>
              <w:rPr>
                <w:rFonts w:ascii="Arial" w:eastAsia="Times New Roman" w:hAnsi="Arial" w:cs="Arial"/>
                <w:color w:val="000000"/>
                <w:lang w:eastAsia="en-CA"/>
              </w:rPr>
            </w:pPr>
          </w:p>
        </w:tc>
      </w:tr>
      <w:tr w:rsidR="002A2C68" w:rsidRPr="00A2511A" w14:paraId="577592E9" w14:textId="77777777" w:rsidTr="00296A4A">
        <w:trPr>
          <w:trHeight w:val="290"/>
        </w:trPr>
        <w:tc>
          <w:tcPr>
            <w:tcW w:w="3261" w:type="dxa"/>
            <w:vMerge w:val="restart"/>
            <w:tcBorders>
              <w:top w:val="nil"/>
              <w:left w:val="single" w:sz="4" w:space="0" w:color="auto"/>
              <w:bottom w:val="single" w:sz="4" w:space="0" w:color="auto"/>
              <w:right w:val="single" w:sz="4" w:space="0" w:color="auto"/>
            </w:tcBorders>
            <w:shd w:val="clear" w:color="auto" w:fill="auto"/>
            <w:vAlign w:val="bottom"/>
            <w:hideMark/>
          </w:tcPr>
          <w:p w14:paraId="6B3CE20D" w14:textId="77777777" w:rsidR="002A2C68" w:rsidRPr="00A2511A" w:rsidRDefault="002A2C68" w:rsidP="00296A4A">
            <w:pPr>
              <w:spacing w:after="0" w:line="240" w:lineRule="auto"/>
              <w:rPr>
                <w:rFonts w:ascii="Arial" w:eastAsia="Times New Roman" w:hAnsi="Arial" w:cs="Arial"/>
                <w:b/>
                <w:bCs/>
                <w:color w:val="000000"/>
                <w:lang w:eastAsia="en-CA"/>
              </w:rPr>
            </w:pPr>
            <w:r w:rsidRPr="00A2511A">
              <w:rPr>
                <w:rFonts w:ascii="Arial" w:eastAsia="Times New Roman" w:hAnsi="Arial" w:cs="Arial"/>
                <w:b/>
                <w:bCs/>
                <w:color w:val="000000"/>
                <w:lang w:eastAsia="en-CA"/>
              </w:rPr>
              <w:t>World Justice Project Rule of Law Score</w:t>
            </w:r>
            <w:r w:rsidRPr="00A2511A">
              <w:rPr>
                <w:rStyle w:val="FootnoteReference"/>
                <w:rFonts w:ascii="Arial" w:eastAsia="Times New Roman" w:hAnsi="Arial" w:cs="Arial"/>
                <w:b/>
                <w:bCs/>
                <w:color w:val="000000"/>
                <w:lang w:eastAsia="en-CA"/>
              </w:rPr>
              <w:footnoteReference w:id="19"/>
            </w:r>
          </w:p>
        </w:tc>
        <w:tc>
          <w:tcPr>
            <w:tcW w:w="850" w:type="dxa"/>
            <w:tcBorders>
              <w:top w:val="nil"/>
              <w:left w:val="nil"/>
              <w:bottom w:val="single" w:sz="4" w:space="0" w:color="auto"/>
              <w:right w:val="single" w:sz="4" w:space="0" w:color="auto"/>
            </w:tcBorders>
            <w:shd w:val="clear" w:color="auto" w:fill="auto"/>
            <w:vAlign w:val="bottom"/>
            <w:hideMark/>
          </w:tcPr>
          <w:p w14:paraId="19B8F70C"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2015</w:t>
            </w:r>
          </w:p>
        </w:tc>
        <w:tc>
          <w:tcPr>
            <w:tcW w:w="1276" w:type="dxa"/>
            <w:tcBorders>
              <w:top w:val="nil"/>
              <w:left w:val="nil"/>
              <w:bottom w:val="single" w:sz="4" w:space="0" w:color="auto"/>
              <w:right w:val="single" w:sz="4" w:space="0" w:color="auto"/>
            </w:tcBorders>
            <w:shd w:val="clear" w:color="auto" w:fill="auto"/>
            <w:noWrap/>
            <w:vAlign w:val="bottom"/>
            <w:hideMark/>
          </w:tcPr>
          <w:p w14:paraId="67EA579B"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13</w:t>
            </w:r>
          </w:p>
        </w:tc>
        <w:tc>
          <w:tcPr>
            <w:tcW w:w="3969" w:type="dxa"/>
            <w:vMerge w:val="restart"/>
            <w:tcBorders>
              <w:top w:val="nil"/>
              <w:left w:val="single" w:sz="4" w:space="0" w:color="auto"/>
              <w:bottom w:val="single" w:sz="4" w:space="0" w:color="000000"/>
              <w:right w:val="single" w:sz="4" w:space="0" w:color="auto"/>
            </w:tcBorders>
            <w:shd w:val="clear" w:color="auto" w:fill="auto"/>
            <w:vAlign w:val="bottom"/>
            <w:hideMark/>
          </w:tcPr>
          <w:p w14:paraId="242FC3C1" w14:textId="77777777" w:rsidR="002A2C68" w:rsidRPr="00A2511A" w:rsidRDefault="002A2C68" w:rsidP="00296A4A">
            <w:pPr>
              <w:spacing w:after="0" w:line="240" w:lineRule="auto"/>
              <w:rPr>
                <w:rFonts w:ascii="Arial" w:eastAsia="Times New Roman" w:hAnsi="Arial" w:cs="Arial"/>
                <w:color w:val="000000"/>
                <w:lang w:eastAsia="en-CA"/>
              </w:rPr>
            </w:pPr>
            <w:r w:rsidRPr="00A2511A">
              <w:rPr>
                <w:rFonts w:ascii="Arial" w:eastAsia="Times New Roman" w:hAnsi="Arial" w:cs="Arial"/>
                <w:color w:val="000000"/>
                <w:lang w:eastAsia="en-CA"/>
              </w:rPr>
              <w:t>Of 13 GP priority countries with baseline and 2019 data, 8 improved, 4 no change, 1 deteriorated</w:t>
            </w:r>
          </w:p>
        </w:tc>
      </w:tr>
      <w:tr w:rsidR="002A2C68" w:rsidRPr="00A2511A" w14:paraId="70D82D2C" w14:textId="77777777" w:rsidTr="00296A4A">
        <w:trPr>
          <w:trHeight w:val="577"/>
        </w:trPr>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5491DFA4" w14:textId="77777777" w:rsidR="002A2C68" w:rsidRPr="00A2511A" w:rsidRDefault="002A2C68" w:rsidP="00296A4A">
            <w:pPr>
              <w:spacing w:after="0" w:line="240" w:lineRule="auto"/>
              <w:rPr>
                <w:rFonts w:ascii="Arial" w:eastAsia="Times New Roman" w:hAnsi="Arial" w:cs="Arial"/>
                <w:b/>
                <w:bCs/>
                <w:color w:val="000000"/>
                <w:lang w:eastAsia="en-CA"/>
              </w:rPr>
            </w:pPr>
          </w:p>
        </w:tc>
        <w:tc>
          <w:tcPr>
            <w:tcW w:w="850" w:type="dxa"/>
            <w:tcBorders>
              <w:top w:val="nil"/>
              <w:left w:val="nil"/>
              <w:bottom w:val="single" w:sz="4" w:space="0" w:color="auto"/>
              <w:right w:val="single" w:sz="4" w:space="0" w:color="auto"/>
            </w:tcBorders>
            <w:shd w:val="clear" w:color="auto" w:fill="auto"/>
            <w:vAlign w:val="bottom"/>
            <w:hideMark/>
          </w:tcPr>
          <w:p w14:paraId="7B3D7F1A"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2020</w:t>
            </w:r>
          </w:p>
        </w:tc>
        <w:tc>
          <w:tcPr>
            <w:tcW w:w="1276" w:type="dxa"/>
            <w:tcBorders>
              <w:top w:val="nil"/>
              <w:left w:val="nil"/>
              <w:bottom w:val="single" w:sz="4" w:space="0" w:color="auto"/>
              <w:right w:val="single" w:sz="4" w:space="0" w:color="auto"/>
            </w:tcBorders>
            <w:shd w:val="clear" w:color="auto" w:fill="auto"/>
            <w:noWrap/>
            <w:vAlign w:val="bottom"/>
            <w:hideMark/>
          </w:tcPr>
          <w:p w14:paraId="0141F133"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16</w:t>
            </w:r>
          </w:p>
        </w:tc>
        <w:tc>
          <w:tcPr>
            <w:tcW w:w="3969" w:type="dxa"/>
            <w:vMerge/>
            <w:tcBorders>
              <w:top w:val="nil"/>
              <w:left w:val="single" w:sz="4" w:space="0" w:color="auto"/>
              <w:bottom w:val="single" w:sz="4" w:space="0" w:color="000000"/>
              <w:right w:val="single" w:sz="4" w:space="0" w:color="auto"/>
            </w:tcBorders>
            <w:shd w:val="clear" w:color="auto" w:fill="auto"/>
            <w:vAlign w:val="center"/>
            <w:hideMark/>
          </w:tcPr>
          <w:p w14:paraId="59CEE29B" w14:textId="77777777" w:rsidR="002A2C68" w:rsidRPr="00A2511A" w:rsidRDefault="002A2C68" w:rsidP="00296A4A">
            <w:pPr>
              <w:spacing w:after="0" w:line="240" w:lineRule="auto"/>
              <w:rPr>
                <w:rFonts w:ascii="Arial" w:eastAsia="Times New Roman" w:hAnsi="Arial" w:cs="Arial"/>
                <w:color w:val="000000"/>
                <w:lang w:eastAsia="en-CA"/>
              </w:rPr>
            </w:pPr>
          </w:p>
        </w:tc>
      </w:tr>
      <w:tr w:rsidR="002A2C68" w:rsidRPr="00A2511A" w14:paraId="6ABE8856" w14:textId="77777777" w:rsidTr="00296A4A">
        <w:trPr>
          <w:trHeight w:val="290"/>
        </w:trPr>
        <w:tc>
          <w:tcPr>
            <w:tcW w:w="3261" w:type="dxa"/>
            <w:vMerge w:val="restart"/>
            <w:tcBorders>
              <w:top w:val="nil"/>
              <w:left w:val="single" w:sz="4" w:space="0" w:color="auto"/>
              <w:bottom w:val="single" w:sz="4" w:space="0" w:color="auto"/>
              <w:right w:val="single" w:sz="4" w:space="0" w:color="auto"/>
            </w:tcBorders>
            <w:shd w:val="clear" w:color="auto" w:fill="auto"/>
            <w:vAlign w:val="bottom"/>
            <w:hideMark/>
          </w:tcPr>
          <w:p w14:paraId="3049E6A0" w14:textId="77777777" w:rsidR="002A2C68" w:rsidRPr="00A2511A" w:rsidRDefault="002A2C68" w:rsidP="00296A4A">
            <w:pPr>
              <w:spacing w:after="0" w:line="240" w:lineRule="auto"/>
              <w:rPr>
                <w:rFonts w:ascii="Arial" w:eastAsia="Times New Roman" w:hAnsi="Arial" w:cs="Arial"/>
                <w:b/>
                <w:bCs/>
                <w:color w:val="000000"/>
                <w:lang w:eastAsia="en-CA"/>
              </w:rPr>
            </w:pPr>
            <w:r w:rsidRPr="00A2511A">
              <w:rPr>
                <w:rFonts w:ascii="Arial" w:eastAsia="Times New Roman" w:hAnsi="Arial" w:cs="Arial"/>
                <w:b/>
                <w:bCs/>
                <w:color w:val="000000"/>
                <w:lang w:eastAsia="en-CA"/>
              </w:rPr>
              <w:t xml:space="preserve">Global Peace Index Rank </w:t>
            </w:r>
          </w:p>
        </w:tc>
        <w:tc>
          <w:tcPr>
            <w:tcW w:w="850" w:type="dxa"/>
            <w:tcBorders>
              <w:top w:val="nil"/>
              <w:left w:val="nil"/>
              <w:bottom w:val="single" w:sz="4" w:space="0" w:color="auto"/>
              <w:right w:val="single" w:sz="4" w:space="0" w:color="auto"/>
            </w:tcBorders>
            <w:shd w:val="clear" w:color="auto" w:fill="auto"/>
            <w:vAlign w:val="bottom"/>
            <w:hideMark/>
          </w:tcPr>
          <w:p w14:paraId="1E21427F"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2015</w:t>
            </w:r>
          </w:p>
        </w:tc>
        <w:tc>
          <w:tcPr>
            <w:tcW w:w="1276" w:type="dxa"/>
            <w:tcBorders>
              <w:top w:val="nil"/>
              <w:left w:val="nil"/>
              <w:bottom w:val="single" w:sz="4" w:space="0" w:color="auto"/>
              <w:right w:val="single" w:sz="4" w:space="0" w:color="auto"/>
            </w:tcBorders>
            <w:shd w:val="clear" w:color="auto" w:fill="auto"/>
            <w:noWrap/>
            <w:vAlign w:val="bottom"/>
            <w:hideMark/>
          </w:tcPr>
          <w:p w14:paraId="7D00C8B7"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29</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22118BB" w14:textId="77777777" w:rsidR="002A2C68" w:rsidRPr="00A2511A" w:rsidRDefault="002A2C68" w:rsidP="00296A4A">
            <w:pPr>
              <w:spacing w:after="0" w:line="240" w:lineRule="auto"/>
              <w:rPr>
                <w:rFonts w:ascii="Arial" w:eastAsia="Times New Roman" w:hAnsi="Arial" w:cs="Arial"/>
                <w:color w:val="000000"/>
                <w:lang w:eastAsia="en-CA"/>
              </w:rPr>
            </w:pPr>
            <w:r w:rsidRPr="00A2511A">
              <w:rPr>
                <w:rFonts w:ascii="Arial" w:eastAsia="Times New Roman" w:hAnsi="Arial" w:cs="Arial"/>
                <w:color w:val="000000"/>
                <w:lang w:eastAsia="en-CA"/>
              </w:rPr>
              <w:t>Of 29 GP priority countries with baseline and 2020 data, 13 improved, 2 no change, 14 deteriorated</w:t>
            </w:r>
          </w:p>
        </w:tc>
      </w:tr>
      <w:tr w:rsidR="002A2C68" w:rsidRPr="00A2511A" w14:paraId="538E0895" w14:textId="77777777" w:rsidTr="00296A4A">
        <w:trPr>
          <w:trHeight w:val="521"/>
        </w:trPr>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A81333F" w14:textId="77777777" w:rsidR="002A2C68" w:rsidRPr="00A2511A" w:rsidRDefault="002A2C68" w:rsidP="00296A4A">
            <w:pPr>
              <w:spacing w:after="0" w:line="240" w:lineRule="auto"/>
              <w:rPr>
                <w:rFonts w:ascii="Arial" w:eastAsia="Times New Roman" w:hAnsi="Arial" w:cs="Arial"/>
                <w:b/>
                <w:bCs/>
                <w:color w:val="000000"/>
                <w:lang w:eastAsia="en-CA"/>
              </w:rPr>
            </w:pPr>
          </w:p>
        </w:tc>
        <w:tc>
          <w:tcPr>
            <w:tcW w:w="850" w:type="dxa"/>
            <w:tcBorders>
              <w:top w:val="nil"/>
              <w:left w:val="nil"/>
              <w:bottom w:val="single" w:sz="4" w:space="0" w:color="auto"/>
              <w:right w:val="single" w:sz="4" w:space="0" w:color="auto"/>
            </w:tcBorders>
            <w:shd w:val="clear" w:color="auto" w:fill="auto"/>
            <w:vAlign w:val="bottom"/>
            <w:hideMark/>
          </w:tcPr>
          <w:p w14:paraId="3997AFDC"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2020</w:t>
            </w:r>
          </w:p>
        </w:tc>
        <w:tc>
          <w:tcPr>
            <w:tcW w:w="1276" w:type="dxa"/>
            <w:tcBorders>
              <w:top w:val="nil"/>
              <w:left w:val="nil"/>
              <w:bottom w:val="single" w:sz="4" w:space="0" w:color="auto"/>
              <w:right w:val="single" w:sz="4" w:space="0" w:color="auto"/>
            </w:tcBorders>
            <w:shd w:val="clear" w:color="auto" w:fill="auto"/>
            <w:noWrap/>
            <w:vAlign w:val="bottom"/>
            <w:hideMark/>
          </w:tcPr>
          <w:p w14:paraId="0B4258B3"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29</w:t>
            </w:r>
          </w:p>
        </w:tc>
        <w:tc>
          <w:tcPr>
            <w:tcW w:w="39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519356" w14:textId="77777777" w:rsidR="002A2C68" w:rsidRPr="00A2511A" w:rsidRDefault="002A2C68" w:rsidP="00296A4A">
            <w:pPr>
              <w:spacing w:after="0" w:line="240" w:lineRule="auto"/>
              <w:rPr>
                <w:rFonts w:ascii="Arial" w:eastAsia="Times New Roman" w:hAnsi="Arial" w:cs="Arial"/>
                <w:color w:val="000000"/>
                <w:lang w:eastAsia="en-CA"/>
              </w:rPr>
            </w:pPr>
          </w:p>
        </w:tc>
      </w:tr>
      <w:tr w:rsidR="002A2C68" w:rsidRPr="00A2511A" w14:paraId="2B1EDDC9" w14:textId="77777777" w:rsidTr="00296A4A">
        <w:trPr>
          <w:trHeight w:val="600"/>
        </w:trPr>
        <w:tc>
          <w:tcPr>
            <w:tcW w:w="3261" w:type="dxa"/>
            <w:vMerge w:val="restart"/>
            <w:tcBorders>
              <w:top w:val="nil"/>
              <w:left w:val="single" w:sz="4" w:space="0" w:color="auto"/>
              <w:bottom w:val="single" w:sz="4" w:space="0" w:color="auto"/>
              <w:right w:val="single" w:sz="4" w:space="0" w:color="auto"/>
            </w:tcBorders>
            <w:shd w:val="clear" w:color="auto" w:fill="auto"/>
            <w:vAlign w:val="bottom"/>
            <w:hideMark/>
          </w:tcPr>
          <w:p w14:paraId="0AEC1AC4" w14:textId="77777777" w:rsidR="002A2C68" w:rsidRPr="00A2511A" w:rsidRDefault="002A2C68" w:rsidP="00296A4A">
            <w:pPr>
              <w:spacing w:after="0" w:line="240" w:lineRule="auto"/>
              <w:rPr>
                <w:rFonts w:ascii="Arial" w:eastAsia="Times New Roman" w:hAnsi="Arial" w:cs="Arial"/>
                <w:b/>
                <w:bCs/>
                <w:color w:val="000000"/>
                <w:lang w:eastAsia="en-CA"/>
              </w:rPr>
            </w:pPr>
            <w:r w:rsidRPr="00A2511A">
              <w:rPr>
                <w:rFonts w:ascii="Arial" w:eastAsia="Times New Roman" w:hAnsi="Arial" w:cs="Arial"/>
                <w:b/>
                <w:bCs/>
                <w:color w:val="000000"/>
                <w:lang w:eastAsia="en-CA"/>
              </w:rPr>
              <w:t>Transparency International Corruption Perception Score</w:t>
            </w:r>
            <w:r w:rsidRPr="00A2511A">
              <w:rPr>
                <w:rStyle w:val="FootnoteReference"/>
                <w:rFonts w:ascii="Arial" w:eastAsia="Times New Roman" w:hAnsi="Arial" w:cs="Arial"/>
                <w:b/>
                <w:bCs/>
                <w:color w:val="000000"/>
                <w:lang w:eastAsia="en-CA"/>
              </w:rPr>
              <w:footnoteReference w:id="20"/>
            </w:r>
          </w:p>
        </w:tc>
        <w:tc>
          <w:tcPr>
            <w:tcW w:w="850" w:type="dxa"/>
            <w:tcBorders>
              <w:top w:val="nil"/>
              <w:left w:val="nil"/>
              <w:bottom w:val="single" w:sz="4" w:space="0" w:color="auto"/>
              <w:right w:val="single" w:sz="4" w:space="0" w:color="auto"/>
            </w:tcBorders>
            <w:shd w:val="clear" w:color="auto" w:fill="auto"/>
            <w:vAlign w:val="bottom"/>
            <w:hideMark/>
          </w:tcPr>
          <w:p w14:paraId="1ECB947E"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2015</w:t>
            </w:r>
          </w:p>
        </w:tc>
        <w:tc>
          <w:tcPr>
            <w:tcW w:w="1276" w:type="dxa"/>
            <w:tcBorders>
              <w:top w:val="nil"/>
              <w:left w:val="nil"/>
              <w:bottom w:val="single" w:sz="4" w:space="0" w:color="auto"/>
              <w:right w:val="single" w:sz="4" w:space="0" w:color="auto"/>
            </w:tcBorders>
            <w:shd w:val="clear" w:color="auto" w:fill="auto"/>
            <w:noWrap/>
            <w:vAlign w:val="bottom"/>
            <w:hideMark/>
          </w:tcPr>
          <w:p w14:paraId="030C5D99"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28</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C6F766D" w14:textId="77777777" w:rsidR="002A2C68" w:rsidRPr="00A2511A" w:rsidRDefault="002A2C68" w:rsidP="00296A4A">
            <w:pPr>
              <w:spacing w:after="0" w:line="240" w:lineRule="auto"/>
              <w:rPr>
                <w:rFonts w:ascii="Arial" w:eastAsia="Times New Roman" w:hAnsi="Arial" w:cs="Arial"/>
                <w:color w:val="000000"/>
                <w:lang w:eastAsia="en-CA"/>
              </w:rPr>
            </w:pPr>
            <w:r w:rsidRPr="00A2511A">
              <w:rPr>
                <w:rFonts w:ascii="Arial" w:eastAsia="Times New Roman" w:hAnsi="Arial" w:cs="Arial"/>
                <w:color w:val="000000"/>
                <w:lang w:eastAsia="en-CA"/>
              </w:rPr>
              <w:t>Of 28 GP priority countries with baseline and 2019 data, 18 improved, 1 no change, 9 deteriorated</w:t>
            </w:r>
          </w:p>
        </w:tc>
      </w:tr>
      <w:tr w:rsidR="002A2C68" w:rsidRPr="00A2511A" w14:paraId="64A65786" w14:textId="77777777" w:rsidTr="00296A4A">
        <w:trPr>
          <w:trHeight w:val="560"/>
        </w:trPr>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5A2F3C9A" w14:textId="77777777" w:rsidR="002A2C68" w:rsidRPr="00A2511A" w:rsidRDefault="002A2C68" w:rsidP="00296A4A">
            <w:pPr>
              <w:spacing w:after="0" w:line="240" w:lineRule="auto"/>
              <w:rPr>
                <w:rFonts w:ascii="Arial" w:eastAsia="Times New Roman" w:hAnsi="Arial" w:cs="Arial"/>
                <w:b/>
                <w:bCs/>
                <w:color w:val="000000"/>
                <w:lang w:eastAsia="en-CA"/>
              </w:rPr>
            </w:pPr>
          </w:p>
        </w:tc>
        <w:tc>
          <w:tcPr>
            <w:tcW w:w="850" w:type="dxa"/>
            <w:tcBorders>
              <w:top w:val="nil"/>
              <w:left w:val="nil"/>
              <w:bottom w:val="single" w:sz="4" w:space="0" w:color="auto"/>
              <w:right w:val="single" w:sz="4" w:space="0" w:color="auto"/>
            </w:tcBorders>
            <w:shd w:val="clear" w:color="auto" w:fill="auto"/>
            <w:vAlign w:val="bottom"/>
            <w:hideMark/>
          </w:tcPr>
          <w:p w14:paraId="6134D3AC"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42A9490C"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29</w:t>
            </w:r>
          </w:p>
        </w:tc>
        <w:tc>
          <w:tcPr>
            <w:tcW w:w="39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6429D9" w14:textId="77777777" w:rsidR="002A2C68" w:rsidRPr="00A2511A" w:rsidRDefault="002A2C68" w:rsidP="00296A4A">
            <w:pPr>
              <w:spacing w:after="0" w:line="240" w:lineRule="auto"/>
              <w:rPr>
                <w:rFonts w:ascii="Arial" w:eastAsia="Times New Roman" w:hAnsi="Arial" w:cs="Arial"/>
                <w:color w:val="000000"/>
                <w:lang w:eastAsia="en-CA"/>
              </w:rPr>
            </w:pPr>
          </w:p>
        </w:tc>
      </w:tr>
      <w:tr w:rsidR="002A2C68" w:rsidRPr="00A2511A" w14:paraId="41BE2D72" w14:textId="77777777" w:rsidTr="00296A4A">
        <w:trPr>
          <w:trHeight w:val="440"/>
        </w:trPr>
        <w:tc>
          <w:tcPr>
            <w:tcW w:w="3261" w:type="dxa"/>
            <w:tcBorders>
              <w:top w:val="nil"/>
              <w:left w:val="single" w:sz="4" w:space="0" w:color="auto"/>
              <w:bottom w:val="single" w:sz="4" w:space="0" w:color="000000"/>
              <w:right w:val="single" w:sz="4" w:space="0" w:color="auto"/>
            </w:tcBorders>
            <w:shd w:val="clear" w:color="auto" w:fill="auto"/>
            <w:vAlign w:val="bottom"/>
            <w:hideMark/>
          </w:tcPr>
          <w:p w14:paraId="5C78ACE2" w14:textId="7D9253C8" w:rsidR="002A2C68" w:rsidRPr="001A7F29" w:rsidRDefault="001A7F29" w:rsidP="00296A4A">
            <w:pPr>
              <w:spacing w:after="0" w:line="240" w:lineRule="auto"/>
              <w:rPr>
                <w:rFonts w:ascii="Arial" w:eastAsia="Times New Roman" w:hAnsi="Arial" w:cs="Arial"/>
                <w:b/>
                <w:bCs/>
                <w:color w:val="000000"/>
                <w:lang w:eastAsia="en-CA"/>
              </w:rPr>
            </w:pPr>
            <w:r w:rsidRPr="001A7F29">
              <w:rPr>
                <w:rStyle w:val="acopre"/>
                <w:rFonts w:ascii="Arial" w:hAnsi="Arial" w:cs="Arial"/>
                <w:b/>
                <w:bCs/>
              </w:rPr>
              <w:t xml:space="preserve">International Small </w:t>
            </w:r>
            <w:r w:rsidRPr="001A7F29">
              <w:rPr>
                <w:rStyle w:val="Emphasis"/>
                <w:rFonts w:ascii="Arial" w:hAnsi="Arial" w:cs="Arial"/>
                <w:b/>
                <w:bCs/>
                <w:i w:val="0"/>
                <w:iCs w:val="0"/>
              </w:rPr>
              <w:t>Arms Control</w:t>
            </w:r>
            <w:r w:rsidRPr="001A7F29">
              <w:rPr>
                <w:rStyle w:val="acopre"/>
                <w:rFonts w:ascii="Arial" w:hAnsi="Arial" w:cs="Arial"/>
                <w:b/>
                <w:bCs/>
              </w:rPr>
              <w:t xml:space="preserve"> Standards</w:t>
            </w:r>
            <w:r w:rsidRPr="001A7F29">
              <w:rPr>
                <w:rFonts w:ascii="Arial" w:eastAsia="Times New Roman" w:hAnsi="Arial" w:cs="Arial"/>
                <w:b/>
                <w:bCs/>
                <w:color w:val="000000"/>
                <w:lang w:eastAsia="en-CA"/>
              </w:rPr>
              <w:t xml:space="preserve"> (</w:t>
            </w:r>
            <w:r w:rsidR="002A2C68" w:rsidRPr="001A7F29">
              <w:rPr>
                <w:rFonts w:ascii="Arial" w:eastAsia="Times New Roman" w:hAnsi="Arial" w:cs="Arial"/>
                <w:b/>
                <w:bCs/>
                <w:color w:val="000000"/>
                <w:lang w:eastAsia="en-CA"/>
              </w:rPr>
              <w:t>ISACS</w:t>
            </w:r>
            <w:r w:rsidRPr="001A7F29">
              <w:rPr>
                <w:rFonts w:ascii="Arial" w:eastAsia="Times New Roman" w:hAnsi="Arial" w:cs="Arial"/>
                <w:b/>
                <w:bCs/>
                <w:color w:val="000000"/>
                <w:lang w:eastAsia="en-CA"/>
              </w:rPr>
              <w:t>)</w:t>
            </w:r>
            <w:r w:rsidR="002A2C68" w:rsidRPr="001A7F29">
              <w:rPr>
                <w:rFonts w:ascii="Arial" w:eastAsia="Times New Roman" w:hAnsi="Arial" w:cs="Arial"/>
                <w:b/>
                <w:bCs/>
                <w:color w:val="000000"/>
                <w:lang w:eastAsia="en-CA"/>
              </w:rPr>
              <w:t xml:space="preserve"> Score</w:t>
            </w:r>
          </w:p>
        </w:tc>
        <w:tc>
          <w:tcPr>
            <w:tcW w:w="850" w:type="dxa"/>
            <w:tcBorders>
              <w:top w:val="nil"/>
              <w:left w:val="nil"/>
              <w:bottom w:val="single" w:sz="4" w:space="0" w:color="auto"/>
              <w:right w:val="single" w:sz="4" w:space="0" w:color="auto"/>
            </w:tcBorders>
            <w:shd w:val="clear" w:color="auto" w:fill="auto"/>
            <w:vAlign w:val="bottom"/>
            <w:hideMark/>
          </w:tcPr>
          <w:p w14:paraId="1C8D47F3"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0DF3B1" w14:textId="77777777" w:rsidR="002A2C68" w:rsidRPr="00A2511A" w:rsidRDefault="002A2C68" w:rsidP="00296A4A">
            <w:pPr>
              <w:spacing w:after="0" w:line="240" w:lineRule="auto"/>
              <w:jc w:val="center"/>
              <w:rPr>
                <w:rFonts w:ascii="Arial" w:eastAsia="Times New Roman" w:hAnsi="Arial" w:cs="Arial"/>
                <w:color w:val="000000"/>
                <w:lang w:eastAsia="en-CA"/>
              </w:rPr>
            </w:pPr>
            <w:r w:rsidRPr="00A2511A">
              <w:rPr>
                <w:rFonts w:ascii="Arial" w:eastAsia="Times New Roman" w:hAnsi="Arial" w:cs="Arial"/>
                <w:color w:val="000000"/>
                <w:lang w:eastAsia="en-CA"/>
              </w:rPr>
              <w:t> </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794AB2E6" w14:textId="77777777" w:rsidR="002A2C68" w:rsidRPr="00A2511A" w:rsidRDefault="002A2C68" w:rsidP="00296A4A">
            <w:pPr>
              <w:spacing w:after="0" w:line="240" w:lineRule="auto"/>
              <w:rPr>
                <w:rFonts w:ascii="Arial" w:eastAsia="Times New Roman" w:hAnsi="Arial" w:cs="Arial"/>
                <w:color w:val="000000"/>
                <w:lang w:eastAsia="en-CA"/>
              </w:rPr>
            </w:pPr>
            <w:r w:rsidRPr="00A2511A">
              <w:rPr>
                <w:rFonts w:ascii="Arial" w:eastAsia="Times New Roman" w:hAnsi="Arial" w:cs="Arial"/>
                <w:color w:val="000000"/>
                <w:lang w:eastAsia="en-CA"/>
              </w:rPr>
              <w:t>This indicator could not be analyzed, as no evidence was found that the anticipated ISACS system was established</w:t>
            </w:r>
          </w:p>
        </w:tc>
      </w:tr>
    </w:tbl>
    <w:p w14:paraId="37E24D0D" w14:textId="77777777" w:rsidR="002A2C68" w:rsidRPr="00A2511A" w:rsidRDefault="002A2C68" w:rsidP="002A2C68">
      <w:pPr>
        <w:rPr>
          <w:rFonts w:ascii="Arial" w:eastAsia="Times New Roman" w:hAnsi="Arial" w:cs="Arial"/>
        </w:rPr>
      </w:pPr>
    </w:p>
    <w:p w14:paraId="7FB2AF01" w14:textId="37A96B46" w:rsidR="002A2C68" w:rsidRPr="002A2C68" w:rsidRDefault="002A2C68" w:rsidP="002A2C68">
      <w:pPr>
        <w:rPr>
          <w:rFonts w:ascii="Arial" w:eastAsia="Times New Roman" w:hAnsi="Arial" w:cs="Arial"/>
          <w:b/>
          <w:bCs/>
          <w:sz w:val="24"/>
          <w:szCs w:val="24"/>
        </w:rPr>
      </w:pPr>
      <w:r w:rsidRPr="002A2C68">
        <w:rPr>
          <w:rFonts w:ascii="Arial" w:eastAsia="Times New Roman" w:hAnsi="Arial" w:cs="Arial"/>
          <w:b/>
          <w:bCs/>
          <w:sz w:val="24"/>
          <w:szCs w:val="24"/>
        </w:rPr>
        <w:t xml:space="preserve">Output Level </w:t>
      </w:r>
    </w:p>
    <w:p w14:paraId="04F0BDEA" w14:textId="4ED46C31" w:rsidR="002A2C68" w:rsidRPr="003C74E5" w:rsidRDefault="002A2C68" w:rsidP="002B6235">
      <w:pPr>
        <w:spacing w:line="240" w:lineRule="auto"/>
        <w:rPr>
          <w:rFonts w:ascii="Arial" w:eastAsia="Times New Roman" w:hAnsi="Arial" w:cs="Arial"/>
          <w:sz w:val="22"/>
          <w:szCs w:val="22"/>
        </w:rPr>
      </w:pPr>
      <w:r w:rsidRPr="7FB3149D">
        <w:rPr>
          <w:rFonts w:ascii="Arial" w:eastAsia="Times New Roman" w:hAnsi="Arial" w:cs="Arial"/>
          <w:sz w:val="22"/>
          <w:szCs w:val="22"/>
        </w:rPr>
        <w:t xml:space="preserve">The original GP3 results framework lists 19 output indicators, which were to be measured on an annual basis. Each annual report since 2016 has provided figures to indicate the current status of these indicators, which cut across all eight outputs defined by the programme. When UNDP adopted a new Strategic Plan in 2018, two indicators were removed from this framework and several were adjusted to better align with the revised UNDP indicators. Eight of the 17 current indicators are derived from the UNDP Strategic Plan, while nine were developed specifically for the GP3. Overall, 12 of 17 indicators require the GP to report by counting countries/contexts that “qualified” or met the criteria of that indicator in the relevant year. </w:t>
      </w:r>
    </w:p>
    <w:p w14:paraId="22B279EC" w14:textId="266003C8" w:rsidR="002A2C68" w:rsidRPr="003C74E5" w:rsidRDefault="002A2C68" w:rsidP="002B6235">
      <w:pPr>
        <w:spacing w:line="240" w:lineRule="auto"/>
        <w:rPr>
          <w:rFonts w:ascii="Arial" w:eastAsia="Times New Roman" w:hAnsi="Arial" w:cs="Arial"/>
          <w:sz w:val="22"/>
          <w:szCs w:val="22"/>
        </w:rPr>
      </w:pPr>
      <w:r w:rsidRPr="003C74E5">
        <w:rPr>
          <w:rFonts w:ascii="Arial" w:eastAsia="Times New Roman" w:hAnsi="Arial" w:cs="Arial"/>
          <w:sz w:val="22"/>
          <w:szCs w:val="22"/>
        </w:rPr>
        <w:t xml:space="preserve">It is important to underline that </w:t>
      </w:r>
      <w:r w:rsidRPr="003C74E5">
        <w:rPr>
          <w:rFonts w:ascii="Arial" w:eastAsia="Times New Roman" w:hAnsi="Arial" w:cs="Arial"/>
          <w:b/>
          <w:bCs/>
          <w:sz w:val="22"/>
          <w:szCs w:val="22"/>
        </w:rPr>
        <w:t>only countries on the GP priority country list</w:t>
      </w:r>
      <w:r w:rsidRPr="003C74E5">
        <w:rPr>
          <w:rFonts w:ascii="Arial" w:eastAsia="Times New Roman" w:hAnsi="Arial" w:cs="Arial"/>
          <w:sz w:val="22"/>
          <w:szCs w:val="22"/>
        </w:rPr>
        <w:t xml:space="preserve"> are tracked by these indicators and included in reporting, although those countries represent just over half of the countries financially supported by the GP in Phase 3. (See Table </w:t>
      </w:r>
      <w:r w:rsidR="00CA62AB" w:rsidRPr="003C74E5">
        <w:rPr>
          <w:rFonts w:ascii="Arial" w:eastAsia="Times New Roman" w:hAnsi="Arial" w:cs="Arial"/>
          <w:sz w:val="22"/>
          <w:szCs w:val="22"/>
        </w:rPr>
        <w:t>2</w:t>
      </w:r>
      <w:r w:rsidRPr="003C74E5">
        <w:rPr>
          <w:rFonts w:ascii="Arial" w:eastAsia="Times New Roman" w:hAnsi="Arial" w:cs="Arial"/>
          <w:sz w:val="22"/>
          <w:szCs w:val="22"/>
        </w:rPr>
        <w:t xml:space="preserve"> below.) This is a significant cross-cutting constraint on the utility of this output monitoring system, as the results being captured and reported are only reflecting change in certain selected contexts – some of which were not even funded in the relevant period. </w:t>
      </w:r>
    </w:p>
    <w:p w14:paraId="33FC2A40" w14:textId="681A8688" w:rsidR="002A2C68" w:rsidRPr="003C74E5" w:rsidRDefault="002A2C68" w:rsidP="002A2C68">
      <w:pPr>
        <w:rPr>
          <w:rFonts w:ascii="Arial" w:eastAsia="Times New Roman" w:hAnsi="Arial" w:cs="Arial"/>
          <w:b/>
          <w:bCs/>
          <w:sz w:val="22"/>
          <w:szCs w:val="22"/>
        </w:rPr>
      </w:pPr>
      <w:r w:rsidRPr="003C74E5">
        <w:rPr>
          <w:rFonts w:ascii="Arial" w:eastAsia="Times New Roman" w:hAnsi="Arial" w:cs="Arial"/>
          <w:b/>
          <w:bCs/>
          <w:sz w:val="22"/>
          <w:szCs w:val="22"/>
        </w:rPr>
        <w:t xml:space="preserve">Table </w:t>
      </w:r>
      <w:r w:rsidR="00CA62AB" w:rsidRPr="003C74E5">
        <w:rPr>
          <w:rFonts w:ascii="Arial" w:eastAsia="Times New Roman" w:hAnsi="Arial" w:cs="Arial"/>
          <w:b/>
          <w:bCs/>
          <w:sz w:val="22"/>
          <w:szCs w:val="22"/>
        </w:rPr>
        <w:t>2</w:t>
      </w:r>
      <w:r w:rsidRPr="003C74E5">
        <w:rPr>
          <w:rFonts w:ascii="Arial" w:eastAsia="Times New Roman" w:hAnsi="Arial" w:cs="Arial"/>
          <w:b/>
          <w:bCs/>
          <w:sz w:val="22"/>
          <w:szCs w:val="22"/>
        </w:rPr>
        <w:t>. Key Data on GP Funding Allocations to Countries, 2017-19</w:t>
      </w:r>
      <w:r w:rsidRPr="003C74E5">
        <w:rPr>
          <w:rStyle w:val="FootnoteReference"/>
          <w:rFonts w:ascii="Arial" w:eastAsia="Times New Roman" w:hAnsi="Arial" w:cs="Arial"/>
          <w:b/>
          <w:bCs/>
          <w:sz w:val="22"/>
          <w:szCs w:val="22"/>
        </w:rPr>
        <w:footnoteReference w:id="21"/>
      </w:r>
    </w:p>
    <w:tbl>
      <w:tblPr>
        <w:tblStyle w:val="TableGrid"/>
        <w:tblW w:w="9067" w:type="dxa"/>
        <w:tblLook w:val="04A0" w:firstRow="1" w:lastRow="0" w:firstColumn="1" w:lastColumn="0" w:noHBand="0" w:noVBand="1"/>
      </w:tblPr>
      <w:tblGrid>
        <w:gridCol w:w="2963"/>
        <w:gridCol w:w="2332"/>
        <w:gridCol w:w="2332"/>
        <w:gridCol w:w="1440"/>
      </w:tblGrid>
      <w:tr w:rsidR="002A2C68" w:rsidRPr="003C74E5" w14:paraId="65A1E6C6" w14:textId="77777777" w:rsidTr="4F82A3C2">
        <w:trPr>
          <w:tblHeader/>
        </w:trPr>
        <w:tc>
          <w:tcPr>
            <w:tcW w:w="2972" w:type="dxa"/>
          </w:tcPr>
          <w:p w14:paraId="6BEDB915" w14:textId="77777777" w:rsidR="002A2C68" w:rsidRPr="003C74E5" w:rsidRDefault="002A2C68" w:rsidP="00296A4A">
            <w:pPr>
              <w:rPr>
                <w:rFonts w:ascii="Arial" w:eastAsia="Times New Roman" w:hAnsi="Arial" w:cs="Arial"/>
                <w:b/>
                <w:bCs/>
                <w:sz w:val="22"/>
                <w:szCs w:val="22"/>
              </w:rPr>
            </w:pPr>
          </w:p>
        </w:tc>
        <w:tc>
          <w:tcPr>
            <w:tcW w:w="2337" w:type="dxa"/>
          </w:tcPr>
          <w:p w14:paraId="19E240AF" w14:textId="77777777" w:rsidR="002A2C68" w:rsidRPr="003C74E5" w:rsidRDefault="002A2C68" w:rsidP="00296A4A">
            <w:pPr>
              <w:rPr>
                <w:rFonts w:ascii="Arial" w:eastAsia="Times New Roman" w:hAnsi="Arial" w:cs="Arial"/>
                <w:b/>
                <w:bCs/>
                <w:sz w:val="22"/>
                <w:szCs w:val="22"/>
              </w:rPr>
            </w:pPr>
            <w:r w:rsidRPr="003C74E5">
              <w:rPr>
                <w:rFonts w:ascii="Arial" w:eastAsia="Times New Roman" w:hAnsi="Arial" w:cs="Arial"/>
                <w:b/>
                <w:bCs/>
                <w:sz w:val="22"/>
                <w:szCs w:val="22"/>
              </w:rPr>
              <w:t>Contexts on GP Priority List</w:t>
            </w:r>
          </w:p>
        </w:tc>
        <w:tc>
          <w:tcPr>
            <w:tcW w:w="2338" w:type="dxa"/>
          </w:tcPr>
          <w:p w14:paraId="17D83C57" w14:textId="77777777" w:rsidR="002A2C68" w:rsidRPr="003C74E5" w:rsidRDefault="002A2C68" w:rsidP="00296A4A">
            <w:pPr>
              <w:rPr>
                <w:rFonts w:ascii="Arial" w:eastAsia="Times New Roman" w:hAnsi="Arial" w:cs="Arial"/>
                <w:b/>
                <w:bCs/>
                <w:sz w:val="22"/>
                <w:szCs w:val="22"/>
              </w:rPr>
            </w:pPr>
            <w:r w:rsidRPr="003C74E5">
              <w:rPr>
                <w:rFonts w:ascii="Arial" w:eastAsia="Times New Roman" w:hAnsi="Arial" w:cs="Arial"/>
                <w:b/>
                <w:bCs/>
                <w:sz w:val="22"/>
                <w:szCs w:val="22"/>
              </w:rPr>
              <w:t>Contexts not on GP Priority List</w:t>
            </w:r>
          </w:p>
        </w:tc>
        <w:tc>
          <w:tcPr>
            <w:tcW w:w="1420" w:type="dxa"/>
          </w:tcPr>
          <w:p w14:paraId="5D8F8303" w14:textId="77777777" w:rsidR="002A2C68" w:rsidRPr="003C74E5" w:rsidRDefault="002A2C68" w:rsidP="00296A4A">
            <w:pPr>
              <w:jc w:val="center"/>
              <w:rPr>
                <w:rFonts w:ascii="Arial" w:eastAsia="Times New Roman" w:hAnsi="Arial" w:cs="Arial"/>
                <w:b/>
                <w:bCs/>
                <w:sz w:val="22"/>
                <w:szCs w:val="22"/>
              </w:rPr>
            </w:pPr>
            <w:r w:rsidRPr="003C74E5">
              <w:rPr>
                <w:rFonts w:ascii="Arial" w:eastAsia="Times New Roman" w:hAnsi="Arial" w:cs="Arial"/>
                <w:b/>
                <w:bCs/>
                <w:sz w:val="22"/>
                <w:szCs w:val="22"/>
              </w:rPr>
              <w:t>Total</w:t>
            </w:r>
          </w:p>
        </w:tc>
      </w:tr>
      <w:tr w:rsidR="002A2C68" w:rsidRPr="003C74E5" w14:paraId="7090AEC8" w14:textId="77777777" w:rsidTr="4F82A3C2">
        <w:tc>
          <w:tcPr>
            <w:tcW w:w="2972" w:type="dxa"/>
          </w:tcPr>
          <w:p w14:paraId="0F1F2E39" w14:textId="77777777" w:rsidR="002A2C68" w:rsidRPr="003C74E5" w:rsidRDefault="7C375EBA" w:rsidP="00296A4A">
            <w:pPr>
              <w:rPr>
                <w:rFonts w:ascii="Arial" w:eastAsia="Times New Roman" w:hAnsi="Arial" w:cs="Arial"/>
                <w:sz w:val="22"/>
                <w:szCs w:val="22"/>
              </w:rPr>
            </w:pPr>
            <w:r w:rsidRPr="4F82A3C2">
              <w:rPr>
                <w:rFonts w:ascii="Arial" w:eastAsia="Times New Roman" w:hAnsi="Arial" w:cs="Arial"/>
                <w:sz w:val="22"/>
                <w:szCs w:val="22"/>
              </w:rPr>
              <w:t># of funding allocations</w:t>
            </w:r>
          </w:p>
        </w:tc>
        <w:tc>
          <w:tcPr>
            <w:tcW w:w="2337" w:type="dxa"/>
          </w:tcPr>
          <w:p w14:paraId="3A3CF096" w14:textId="66DBBF8D" w:rsidR="002A2C68" w:rsidRPr="003C74E5" w:rsidRDefault="002A2C68" w:rsidP="00296A4A">
            <w:pPr>
              <w:jc w:val="center"/>
              <w:rPr>
                <w:rFonts w:ascii="Arial" w:eastAsia="Times New Roman" w:hAnsi="Arial" w:cs="Arial"/>
                <w:sz w:val="22"/>
                <w:szCs w:val="22"/>
              </w:rPr>
            </w:pPr>
            <w:r w:rsidRPr="003C74E5">
              <w:rPr>
                <w:rFonts w:ascii="Arial" w:eastAsia="Times New Roman" w:hAnsi="Arial" w:cs="Arial"/>
                <w:sz w:val="22"/>
                <w:szCs w:val="22"/>
              </w:rPr>
              <w:t>44 (6</w:t>
            </w:r>
            <w:r w:rsidR="006C28D2">
              <w:rPr>
                <w:rFonts w:ascii="Arial" w:eastAsia="Times New Roman" w:hAnsi="Arial" w:cs="Arial"/>
                <w:sz w:val="22"/>
                <w:szCs w:val="22"/>
              </w:rPr>
              <w:t>5</w:t>
            </w:r>
            <w:r w:rsidRPr="003C74E5">
              <w:rPr>
                <w:rFonts w:ascii="Arial" w:eastAsia="Times New Roman" w:hAnsi="Arial" w:cs="Arial"/>
                <w:sz w:val="22"/>
                <w:szCs w:val="22"/>
              </w:rPr>
              <w:t>%)</w:t>
            </w:r>
          </w:p>
        </w:tc>
        <w:tc>
          <w:tcPr>
            <w:tcW w:w="2338" w:type="dxa"/>
          </w:tcPr>
          <w:p w14:paraId="4EE686F4" w14:textId="175061A9" w:rsidR="002A2C68" w:rsidRPr="003C74E5" w:rsidRDefault="002A2C68" w:rsidP="00296A4A">
            <w:pPr>
              <w:jc w:val="center"/>
              <w:rPr>
                <w:rFonts w:ascii="Arial" w:eastAsia="Times New Roman" w:hAnsi="Arial" w:cs="Arial"/>
                <w:sz w:val="22"/>
                <w:szCs w:val="22"/>
              </w:rPr>
            </w:pPr>
            <w:r w:rsidRPr="003C74E5">
              <w:rPr>
                <w:rFonts w:ascii="Arial" w:eastAsia="Times New Roman" w:hAnsi="Arial" w:cs="Arial"/>
                <w:sz w:val="22"/>
                <w:szCs w:val="22"/>
              </w:rPr>
              <w:t>2</w:t>
            </w:r>
            <w:r w:rsidR="006C28D2">
              <w:rPr>
                <w:rFonts w:ascii="Arial" w:eastAsia="Times New Roman" w:hAnsi="Arial" w:cs="Arial"/>
                <w:sz w:val="22"/>
                <w:szCs w:val="22"/>
              </w:rPr>
              <w:t>4</w:t>
            </w:r>
          </w:p>
        </w:tc>
        <w:tc>
          <w:tcPr>
            <w:tcW w:w="1420" w:type="dxa"/>
          </w:tcPr>
          <w:p w14:paraId="7CD41E05" w14:textId="01BF5748" w:rsidR="002A2C68" w:rsidRPr="003C74E5" w:rsidRDefault="006C28D2" w:rsidP="00296A4A">
            <w:pPr>
              <w:jc w:val="center"/>
              <w:rPr>
                <w:rFonts w:ascii="Arial" w:eastAsia="Times New Roman" w:hAnsi="Arial" w:cs="Arial"/>
                <w:sz w:val="22"/>
                <w:szCs w:val="22"/>
              </w:rPr>
            </w:pPr>
            <w:r>
              <w:rPr>
                <w:rFonts w:ascii="Arial" w:eastAsia="Times New Roman" w:hAnsi="Arial" w:cs="Arial"/>
                <w:sz w:val="22"/>
                <w:szCs w:val="22"/>
              </w:rPr>
              <w:t>68</w:t>
            </w:r>
          </w:p>
        </w:tc>
      </w:tr>
      <w:tr w:rsidR="002A2C68" w:rsidRPr="003C74E5" w14:paraId="71E6A1C7" w14:textId="77777777" w:rsidTr="4F82A3C2">
        <w:tc>
          <w:tcPr>
            <w:tcW w:w="2972" w:type="dxa"/>
          </w:tcPr>
          <w:p w14:paraId="798E305B" w14:textId="77777777" w:rsidR="002A2C68" w:rsidRPr="003C74E5" w:rsidRDefault="002A2C68" w:rsidP="00296A4A">
            <w:pPr>
              <w:rPr>
                <w:rFonts w:ascii="Arial" w:eastAsia="Times New Roman" w:hAnsi="Arial" w:cs="Arial"/>
                <w:sz w:val="22"/>
                <w:szCs w:val="22"/>
              </w:rPr>
            </w:pPr>
            <w:r w:rsidRPr="003C74E5">
              <w:rPr>
                <w:rFonts w:ascii="Arial" w:eastAsia="Times New Roman" w:hAnsi="Arial" w:cs="Arial"/>
                <w:sz w:val="22"/>
                <w:szCs w:val="22"/>
              </w:rPr>
              <w:t xml:space="preserve"># of countries funded </w:t>
            </w:r>
          </w:p>
        </w:tc>
        <w:tc>
          <w:tcPr>
            <w:tcW w:w="2337" w:type="dxa"/>
          </w:tcPr>
          <w:p w14:paraId="5EE1FD15" w14:textId="77777777" w:rsidR="002A2C68" w:rsidRPr="003C74E5" w:rsidRDefault="002A2C68" w:rsidP="00296A4A">
            <w:pPr>
              <w:jc w:val="center"/>
              <w:rPr>
                <w:rFonts w:ascii="Arial" w:eastAsia="Times New Roman" w:hAnsi="Arial" w:cs="Arial"/>
                <w:sz w:val="22"/>
                <w:szCs w:val="22"/>
              </w:rPr>
            </w:pPr>
            <w:r w:rsidRPr="003C74E5">
              <w:rPr>
                <w:rFonts w:ascii="Arial" w:eastAsia="Times New Roman" w:hAnsi="Arial" w:cs="Arial"/>
                <w:sz w:val="22"/>
                <w:szCs w:val="22"/>
              </w:rPr>
              <w:t>28 (61%)</w:t>
            </w:r>
          </w:p>
        </w:tc>
        <w:tc>
          <w:tcPr>
            <w:tcW w:w="2338" w:type="dxa"/>
          </w:tcPr>
          <w:p w14:paraId="1EB6E95F" w14:textId="5BE95A04" w:rsidR="002A2C68" w:rsidRPr="003C74E5" w:rsidRDefault="002A2C68" w:rsidP="00296A4A">
            <w:pPr>
              <w:jc w:val="center"/>
              <w:rPr>
                <w:rFonts w:ascii="Arial" w:eastAsia="Times New Roman" w:hAnsi="Arial" w:cs="Arial"/>
                <w:sz w:val="22"/>
                <w:szCs w:val="22"/>
              </w:rPr>
            </w:pPr>
            <w:r w:rsidRPr="003C74E5">
              <w:rPr>
                <w:rFonts w:ascii="Arial" w:eastAsia="Times New Roman" w:hAnsi="Arial" w:cs="Arial"/>
                <w:sz w:val="22"/>
                <w:szCs w:val="22"/>
              </w:rPr>
              <w:t>18</w:t>
            </w:r>
          </w:p>
        </w:tc>
        <w:tc>
          <w:tcPr>
            <w:tcW w:w="1420" w:type="dxa"/>
          </w:tcPr>
          <w:p w14:paraId="6A2393B6" w14:textId="235F8174" w:rsidR="002A2C68" w:rsidRPr="003C74E5" w:rsidRDefault="002A2C68" w:rsidP="00296A4A">
            <w:pPr>
              <w:jc w:val="center"/>
              <w:rPr>
                <w:rFonts w:ascii="Arial" w:eastAsia="Times New Roman" w:hAnsi="Arial" w:cs="Arial"/>
                <w:sz w:val="22"/>
                <w:szCs w:val="22"/>
              </w:rPr>
            </w:pPr>
            <w:r w:rsidRPr="003C74E5">
              <w:rPr>
                <w:rFonts w:ascii="Arial" w:eastAsia="Times New Roman" w:hAnsi="Arial" w:cs="Arial"/>
                <w:sz w:val="22"/>
                <w:szCs w:val="22"/>
              </w:rPr>
              <w:t>46</w:t>
            </w:r>
          </w:p>
        </w:tc>
      </w:tr>
      <w:tr w:rsidR="002A2C68" w:rsidRPr="003C74E5" w14:paraId="496A6267" w14:textId="77777777" w:rsidTr="4F82A3C2">
        <w:tc>
          <w:tcPr>
            <w:tcW w:w="2972" w:type="dxa"/>
          </w:tcPr>
          <w:p w14:paraId="37D94861" w14:textId="77777777" w:rsidR="002A2C68" w:rsidRPr="003C74E5" w:rsidRDefault="002A2C68" w:rsidP="00296A4A">
            <w:pPr>
              <w:rPr>
                <w:rFonts w:ascii="Arial" w:eastAsia="Times New Roman" w:hAnsi="Arial" w:cs="Arial"/>
                <w:sz w:val="22"/>
                <w:szCs w:val="22"/>
              </w:rPr>
            </w:pPr>
            <w:r w:rsidRPr="003C74E5">
              <w:rPr>
                <w:rFonts w:ascii="Arial" w:eastAsia="Times New Roman" w:hAnsi="Arial" w:cs="Arial"/>
                <w:sz w:val="22"/>
                <w:szCs w:val="22"/>
              </w:rPr>
              <w:t>Amount of funding allocated</w:t>
            </w:r>
          </w:p>
        </w:tc>
        <w:tc>
          <w:tcPr>
            <w:tcW w:w="2337" w:type="dxa"/>
          </w:tcPr>
          <w:p w14:paraId="25BA7919" w14:textId="06F2027B" w:rsidR="002A2C68" w:rsidRPr="003C74E5" w:rsidRDefault="002A2C68" w:rsidP="00296A4A">
            <w:pPr>
              <w:jc w:val="center"/>
              <w:rPr>
                <w:rFonts w:ascii="Arial" w:hAnsi="Arial" w:cs="Arial"/>
                <w:b/>
                <w:bCs/>
                <w:sz w:val="22"/>
                <w:szCs w:val="22"/>
              </w:rPr>
            </w:pPr>
            <w:r w:rsidRPr="003C74E5">
              <w:rPr>
                <w:rFonts w:ascii="Arial" w:hAnsi="Arial" w:cs="Arial"/>
                <w:b/>
                <w:bCs/>
                <w:sz w:val="22"/>
                <w:szCs w:val="22"/>
              </w:rPr>
              <w:t>$12,</w:t>
            </w:r>
            <w:r w:rsidR="006C28D2">
              <w:rPr>
                <w:rFonts w:ascii="Arial" w:hAnsi="Arial" w:cs="Arial"/>
                <w:b/>
                <w:bCs/>
                <w:sz w:val="22"/>
                <w:szCs w:val="22"/>
              </w:rPr>
              <w:t>1</w:t>
            </w:r>
            <w:r w:rsidRPr="003C74E5">
              <w:rPr>
                <w:rFonts w:ascii="Arial" w:hAnsi="Arial" w:cs="Arial"/>
                <w:b/>
                <w:bCs/>
                <w:sz w:val="22"/>
                <w:szCs w:val="22"/>
              </w:rPr>
              <w:t>79,832 (</w:t>
            </w:r>
            <w:r w:rsidR="002647A5">
              <w:rPr>
                <w:rFonts w:ascii="Arial" w:hAnsi="Arial" w:cs="Arial"/>
                <w:b/>
                <w:bCs/>
                <w:sz w:val="22"/>
                <w:szCs w:val="22"/>
              </w:rPr>
              <w:t>6</w:t>
            </w:r>
            <w:r w:rsidR="006C28D2">
              <w:rPr>
                <w:rFonts w:ascii="Arial" w:hAnsi="Arial" w:cs="Arial"/>
                <w:b/>
                <w:bCs/>
                <w:sz w:val="22"/>
                <w:szCs w:val="22"/>
              </w:rPr>
              <w:t>6</w:t>
            </w:r>
            <w:r w:rsidRPr="003C74E5">
              <w:rPr>
                <w:rFonts w:ascii="Arial" w:hAnsi="Arial" w:cs="Arial"/>
                <w:b/>
                <w:bCs/>
                <w:sz w:val="22"/>
                <w:szCs w:val="22"/>
              </w:rPr>
              <w:t>%)</w:t>
            </w:r>
          </w:p>
        </w:tc>
        <w:tc>
          <w:tcPr>
            <w:tcW w:w="2338" w:type="dxa"/>
          </w:tcPr>
          <w:p w14:paraId="7DC46EF9" w14:textId="15696979" w:rsidR="002A2C68" w:rsidRPr="003C74E5" w:rsidRDefault="002A2C68" w:rsidP="00296A4A">
            <w:pPr>
              <w:jc w:val="center"/>
              <w:rPr>
                <w:rFonts w:ascii="Arial" w:hAnsi="Arial" w:cs="Arial"/>
                <w:b/>
                <w:bCs/>
                <w:sz w:val="22"/>
                <w:szCs w:val="22"/>
              </w:rPr>
            </w:pPr>
            <w:r w:rsidRPr="003C74E5">
              <w:rPr>
                <w:rFonts w:ascii="Arial" w:hAnsi="Arial" w:cs="Arial"/>
                <w:b/>
                <w:bCs/>
                <w:sz w:val="22"/>
                <w:szCs w:val="22"/>
              </w:rPr>
              <w:t>$</w:t>
            </w:r>
            <w:r w:rsidR="006C28D2">
              <w:rPr>
                <w:rFonts w:ascii="Arial" w:hAnsi="Arial" w:cs="Arial"/>
                <w:b/>
                <w:bCs/>
                <w:sz w:val="22"/>
                <w:szCs w:val="22"/>
              </w:rPr>
              <w:t>6</w:t>
            </w:r>
            <w:r w:rsidR="009B1ADB">
              <w:rPr>
                <w:rFonts w:ascii="Arial" w:hAnsi="Arial" w:cs="Arial"/>
                <w:b/>
                <w:bCs/>
                <w:sz w:val="22"/>
                <w:szCs w:val="22"/>
              </w:rPr>
              <w:t>,2</w:t>
            </w:r>
            <w:r w:rsidR="006C28D2">
              <w:rPr>
                <w:rFonts w:ascii="Arial" w:hAnsi="Arial" w:cs="Arial"/>
                <w:b/>
                <w:bCs/>
                <w:sz w:val="22"/>
                <w:szCs w:val="22"/>
              </w:rPr>
              <w:t>7</w:t>
            </w:r>
            <w:r w:rsidR="009B1ADB">
              <w:rPr>
                <w:rFonts w:ascii="Arial" w:hAnsi="Arial" w:cs="Arial"/>
                <w:b/>
                <w:bCs/>
                <w:sz w:val="22"/>
                <w:szCs w:val="22"/>
              </w:rPr>
              <w:t>0,500</w:t>
            </w:r>
            <w:r w:rsidR="00F37C6E">
              <w:rPr>
                <w:rFonts w:ascii="Arial" w:hAnsi="Arial" w:cs="Arial"/>
                <w:b/>
                <w:bCs/>
                <w:sz w:val="22"/>
                <w:szCs w:val="22"/>
              </w:rPr>
              <w:t xml:space="preserve"> (3</w:t>
            </w:r>
            <w:r w:rsidR="006C28D2">
              <w:rPr>
                <w:rFonts w:ascii="Arial" w:hAnsi="Arial" w:cs="Arial"/>
                <w:b/>
                <w:bCs/>
                <w:sz w:val="22"/>
                <w:szCs w:val="22"/>
              </w:rPr>
              <w:t>4</w:t>
            </w:r>
            <w:r w:rsidR="00F37C6E">
              <w:rPr>
                <w:rFonts w:ascii="Arial" w:hAnsi="Arial" w:cs="Arial"/>
                <w:b/>
                <w:bCs/>
                <w:sz w:val="22"/>
                <w:szCs w:val="22"/>
              </w:rPr>
              <w:t>%)</w:t>
            </w:r>
          </w:p>
        </w:tc>
        <w:tc>
          <w:tcPr>
            <w:tcW w:w="1420" w:type="dxa"/>
          </w:tcPr>
          <w:p w14:paraId="73E23DD1" w14:textId="77777777" w:rsidR="002A2C68" w:rsidRPr="003C74E5" w:rsidRDefault="002A2C68" w:rsidP="00296A4A">
            <w:pPr>
              <w:jc w:val="center"/>
              <w:rPr>
                <w:rFonts w:ascii="Arial" w:hAnsi="Arial" w:cs="Arial"/>
                <w:b/>
                <w:bCs/>
                <w:sz w:val="22"/>
                <w:szCs w:val="22"/>
              </w:rPr>
            </w:pPr>
            <w:r w:rsidRPr="003C74E5">
              <w:rPr>
                <w:rFonts w:ascii="Arial" w:hAnsi="Arial" w:cs="Arial"/>
                <w:b/>
                <w:bCs/>
                <w:sz w:val="22"/>
                <w:szCs w:val="22"/>
              </w:rPr>
              <w:t>$18,575,332</w:t>
            </w:r>
          </w:p>
        </w:tc>
      </w:tr>
    </w:tbl>
    <w:p w14:paraId="114DDD6A" w14:textId="77777777" w:rsidR="002A2C68" w:rsidRPr="003C74E5" w:rsidRDefault="002A2C68" w:rsidP="002A2C68">
      <w:pPr>
        <w:rPr>
          <w:rFonts w:ascii="Arial" w:eastAsia="Times New Roman" w:hAnsi="Arial" w:cs="Arial"/>
          <w:sz w:val="22"/>
          <w:szCs w:val="22"/>
        </w:rPr>
      </w:pPr>
    </w:p>
    <w:p w14:paraId="7333F6BC" w14:textId="77777777" w:rsidR="002A2C68" w:rsidRPr="003C74E5" w:rsidRDefault="002A2C68" w:rsidP="00567956">
      <w:pPr>
        <w:pStyle w:val="ListParagraph"/>
        <w:numPr>
          <w:ilvl w:val="0"/>
          <w:numId w:val="26"/>
        </w:numPr>
        <w:spacing w:after="160" w:line="259" w:lineRule="auto"/>
        <w:rPr>
          <w:rFonts w:ascii="Arial" w:eastAsia="Times New Roman" w:hAnsi="Arial" w:cs="Arial"/>
          <w:b/>
          <w:bCs/>
          <w:sz w:val="22"/>
          <w:szCs w:val="22"/>
          <w:u w:val="single"/>
        </w:rPr>
      </w:pPr>
      <w:r w:rsidRPr="003C74E5">
        <w:rPr>
          <w:rFonts w:ascii="Arial" w:eastAsia="Times New Roman" w:hAnsi="Arial" w:cs="Arial"/>
          <w:b/>
          <w:bCs/>
          <w:sz w:val="22"/>
          <w:szCs w:val="22"/>
          <w:u w:val="single"/>
        </w:rPr>
        <w:t>Review of Output Indicators</w:t>
      </w:r>
    </w:p>
    <w:p w14:paraId="2B8D7239" w14:textId="579CC427" w:rsidR="002A2C68" w:rsidRDefault="002A2C68" w:rsidP="005068FC">
      <w:pPr>
        <w:pStyle w:val="ydp89e9c80ayiv8880331531ydp8eed7112yiv6338952100msolistparagraph"/>
        <w:spacing w:before="0" w:beforeAutospacing="0" w:after="0" w:afterAutospacing="0"/>
        <w:rPr>
          <w:rFonts w:ascii="Arial" w:eastAsia="Times New Roman" w:hAnsi="Arial" w:cs="Arial"/>
          <w:color w:val="26282A"/>
        </w:rPr>
      </w:pPr>
      <w:r w:rsidRPr="003C74E5">
        <w:rPr>
          <w:rFonts w:ascii="Arial" w:eastAsia="Times New Roman" w:hAnsi="Arial" w:cs="Arial"/>
        </w:rPr>
        <w:t>As noted in the Inception Report</w:t>
      </w:r>
      <w:r w:rsidR="001A7F29" w:rsidRPr="003C74E5">
        <w:rPr>
          <w:rFonts w:ascii="Arial" w:eastAsia="Times New Roman" w:hAnsi="Arial" w:cs="Arial"/>
        </w:rPr>
        <w:t xml:space="preserve"> of this evaluation</w:t>
      </w:r>
      <w:r w:rsidRPr="003C74E5">
        <w:rPr>
          <w:rFonts w:ascii="Arial" w:eastAsia="Times New Roman" w:hAnsi="Arial" w:cs="Arial"/>
        </w:rPr>
        <w:t>, the output indicators could be open to varying interpretations, but they are not defined in the Results Framework itself, nor in any annex to the Prodoc or GP3 reports. The evaluators learned that the indicators under the Strategic Plan are supported by detailed methodological notes available to users of the UNDP Intranet; f</w:t>
      </w:r>
      <w:r w:rsidRPr="003C74E5">
        <w:rPr>
          <w:rFonts w:ascii="Arial" w:eastAsia="Times New Roman" w:hAnsi="Arial" w:cs="Arial"/>
          <w:color w:val="26282A"/>
        </w:rPr>
        <w:t>ive of those methodological notes apply to the eight GP indicators linked to the Strategic Plan</w:t>
      </w:r>
      <w:r w:rsidRPr="003C74E5">
        <w:rPr>
          <w:rFonts w:ascii="Arial" w:eastAsia="Times New Roman" w:hAnsi="Arial" w:cs="Arial"/>
        </w:rPr>
        <w:t>.</w:t>
      </w:r>
      <w:r w:rsidRPr="003C74E5">
        <w:rPr>
          <w:rStyle w:val="FootnoteReference"/>
          <w:rFonts w:ascii="Arial" w:eastAsia="Times New Roman" w:hAnsi="Arial" w:cs="Arial"/>
        </w:rPr>
        <w:footnoteReference w:id="22"/>
      </w:r>
      <w:r w:rsidRPr="003C74E5">
        <w:rPr>
          <w:rFonts w:ascii="Arial" w:eastAsia="Times New Roman" w:hAnsi="Arial" w:cs="Arial"/>
        </w:rPr>
        <w:t xml:space="preserve"> </w:t>
      </w:r>
      <w:r w:rsidRPr="003C74E5">
        <w:rPr>
          <w:rFonts w:ascii="Arial" w:eastAsia="Times New Roman" w:hAnsi="Arial" w:cs="Arial"/>
          <w:color w:val="26282A"/>
        </w:rPr>
        <w:t xml:space="preserve">Those notes contain considerable detail on how to understand and use the indicators in question to assess each country’s “Yes or No” status (or other analysis). These explanations point out that for a country to be “counted”, there must have been UNDP support related to that particular thematic area (e.g. legal aid, human rights institutions). </w:t>
      </w:r>
    </w:p>
    <w:p w14:paraId="341DF5D1" w14:textId="77777777" w:rsidR="005068FC" w:rsidRPr="003C74E5" w:rsidRDefault="005068FC" w:rsidP="005068FC">
      <w:pPr>
        <w:pStyle w:val="ydp89e9c80ayiv8880331531ydp8eed7112yiv6338952100msolistparagraph"/>
        <w:spacing w:before="0" w:beforeAutospacing="0" w:after="0" w:afterAutospacing="0"/>
        <w:rPr>
          <w:rFonts w:ascii="Arial" w:eastAsia="Times New Roman" w:hAnsi="Arial" w:cs="Arial"/>
          <w:color w:val="26282A"/>
        </w:rPr>
      </w:pPr>
    </w:p>
    <w:p w14:paraId="6C63CC25" w14:textId="7C6CD16A" w:rsidR="002A2C68" w:rsidRDefault="7C375EBA" w:rsidP="005068FC">
      <w:pPr>
        <w:spacing w:after="0"/>
        <w:rPr>
          <w:rFonts w:ascii="Arial" w:eastAsia="Times New Roman" w:hAnsi="Arial" w:cs="Arial"/>
          <w:sz w:val="22"/>
          <w:szCs w:val="22"/>
        </w:rPr>
      </w:pPr>
      <w:r w:rsidRPr="4F82A3C2">
        <w:rPr>
          <w:rFonts w:ascii="Arial" w:eastAsia="Times New Roman" w:hAnsi="Arial" w:cs="Arial"/>
          <w:sz w:val="22"/>
          <w:szCs w:val="22"/>
        </w:rPr>
        <w:t>However, the evaluators found no evidence of similar (or any) written definitions or methodological guidance for the other nine indicators that are not derived from the Strategic Plan</w:t>
      </w:r>
      <w:r w:rsidR="03BAE9A6" w:rsidRPr="4F82A3C2">
        <w:rPr>
          <w:rFonts w:ascii="Arial" w:eastAsia="Times New Roman" w:hAnsi="Arial" w:cs="Arial"/>
          <w:sz w:val="22"/>
          <w:szCs w:val="22"/>
        </w:rPr>
        <w:t xml:space="preserve"> (SP)</w:t>
      </w:r>
      <w:r w:rsidRPr="4F82A3C2">
        <w:rPr>
          <w:rFonts w:ascii="Arial" w:eastAsia="Times New Roman" w:hAnsi="Arial" w:cs="Arial"/>
          <w:sz w:val="22"/>
          <w:szCs w:val="22"/>
        </w:rPr>
        <w:t xml:space="preserve">. This was corroborated via interviews and email exchanges with current and former UNDP staff, several of whom (in HQ and the field) indicated confusion over how to understand the indicators and correctly complete the reporting forms in relation to GP output indicators. None of those staff mentioned the methodological notes, though they may have been aware of them. GP indicators do not explicitly require that UNDP have made some contribution or had active programming in that year on that thematic area of intervention in that country; this condition may or may not have been clear to those responsible for reporting at country level, but no documentation of this was found by the evaluators. Nevertheless, even if this condition of UNDP contribution were consistently applied in reporting on those indicators, </w:t>
      </w:r>
      <w:r w:rsidR="001A0E8C">
        <w:rPr>
          <w:rFonts w:ascii="Arial" w:eastAsia="Times New Roman" w:hAnsi="Arial" w:cs="Arial"/>
          <w:sz w:val="22"/>
          <w:szCs w:val="22"/>
        </w:rPr>
        <w:t xml:space="preserve">it would be difficult to establish </w:t>
      </w:r>
      <w:r w:rsidRPr="4F82A3C2">
        <w:rPr>
          <w:rFonts w:ascii="Arial" w:eastAsia="Times New Roman" w:hAnsi="Arial" w:cs="Arial"/>
          <w:sz w:val="22"/>
          <w:szCs w:val="22"/>
        </w:rPr>
        <w:t xml:space="preserve">the link with actual support by the GP, </w:t>
      </w:r>
      <w:r w:rsidRPr="4F82A3C2">
        <w:rPr>
          <w:rFonts w:ascii="Arial" w:hAnsi="Arial"/>
          <w:sz w:val="22"/>
          <w:szCs w:val="22"/>
        </w:rPr>
        <w:t xml:space="preserve">because </w:t>
      </w:r>
      <w:r w:rsidR="001A0E8C">
        <w:rPr>
          <w:rFonts w:ascii="Arial" w:hAnsi="Arial"/>
          <w:sz w:val="22"/>
          <w:szCs w:val="22"/>
        </w:rPr>
        <w:t xml:space="preserve">the reported </w:t>
      </w:r>
      <w:r w:rsidRPr="4F82A3C2">
        <w:rPr>
          <w:rFonts w:ascii="Arial" w:hAnsi="Arial"/>
          <w:sz w:val="22"/>
          <w:szCs w:val="22"/>
        </w:rPr>
        <w:t>results</w:t>
      </w:r>
      <w:r w:rsidR="001A0E8C">
        <w:rPr>
          <w:rFonts w:ascii="Arial" w:hAnsi="Arial"/>
          <w:sz w:val="22"/>
          <w:szCs w:val="22"/>
        </w:rPr>
        <w:t xml:space="preserve"> often relate to UNDP programming that has multiple funding sources. </w:t>
      </w:r>
      <w:r w:rsidRPr="4F82A3C2">
        <w:rPr>
          <w:rFonts w:ascii="Arial" w:hAnsi="Arial"/>
          <w:sz w:val="22"/>
          <w:szCs w:val="22"/>
        </w:rPr>
        <w:t>.</w:t>
      </w:r>
      <w:r w:rsidRPr="4F82A3C2">
        <w:rPr>
          <w:rFonts w:ascii="Arial" w:eastAsia="Times New Roman" w:hAnsi="Arial" w:cs="Arial"/>
          <w:sz w:val="22"/>
          <w:szCs w:val="22"/>
        </w:rPr>
        <w:t xml:space="preserve"> </w:t>
      </w:r>
    </w:p>
    <w:p w14:paraId="5DA4E55F" w14:textId="77777777" w:rsidR="005068FC" w:rsidRPr="003C74E5" w:rsidRDefault="005068FC" w:rsidP="005068FC">
      <w:pPr>
        <w:spacing w:after="0"/>
        <w:rPr>
          <w:rFonts w:ascii="Arial" w:eastAsia="Times New Roman" w:hAnsi="Arial" w:cs="Arial"/>
          <w:sz w:val="22"/>
          <w:szCs w:val="22"/>
        </w:rPr>
      </w:pPr>
    </w:p>
    <w:p w14:paraId="4B9BA6AB" w14:textId="1A00646D" w:rsidR="002A2C68" w:rsidRDefault="002A2C68" w:rsidP="005068FC">
      <w:pPr>
        <w:spacing w:after="0"/>
        <w:rPr>
          <w:rFonts w:ascii="Arial" w:eastAsia="Times New Roman" w:hAnsi="Arial" w:cs="Arial"/>
          <w:sz w:val="22"/>
          <w:szCs w:val="22"/>
        </w:rPr>
      </w:pPr>
      <w:r w:rsidRPr="003C74E5">
        <w:rPr>
          <w:rFonts w:ascii="Arial" w:eastAsia="Times New Roman" w:hAnsi="Arial" w:cs="Arial"/>
          <w:sz w:val="22"/>
          <w:szCs w:val="22"/>
        </w:rPr>
        <w:t xml:space="preserve">An example of how a seemingly “simple” GP indicator could be construed in vastly differing ways by those charged with reporting on each country (whether they be country office staff or GP focal points), in the absence of definitional and methodological guidance, is as follows: </w:t>
      </w:r>
    </w:p>
    <w:p w14:paraId="1C196731" w14:textId="77777777" w:rsidR="005068FC" w:rsidRPr="003C74E5" w:rsidRDefault="005068FC" w:rsidP="005068FC">
      <w:pPr>
        <w:spacing w:after="0"/>
        <w:rPr>
          <w:rFonts w:ascii="Arial" w:eastAsia="Times New Roman" w:hAnsi="Arial" w:cs="Arial"/>
          <w:sz w:val="22"/>
          <w:szCs w:val="22"/>
        </w:rPr>
      </w:pPr>
    </w:p>
    <w:p w14:paraId="2D55D872" w14:textId="77777777" w:rsidR="002A2C68" w:rsidRPr="003C74E5" w:rsidRDefault="002A2C68" w:rsidP="005068FC">
      <w:pPr>
        <w:spacing w:after="0"/>
        <w:rPr>
          <w:rFonts w:ascii="Arial" w:eastAsia="Times New Roman" w:hAnsi="Arial" w:cs="Arial"/>
          <w:sz w:val="22"/>
          <w:szCs w:val="22"/>
        </w:rPr>
      </w:pPr>
      <w:r w:rsidRPr="003C74E5">
        <w:rPr>
          <w:rFonts w:ascii="Arial" w:eastAsia="Times New Roman" w:hAnsi="Arial" w:cs="Arial"/>
          <w:sz w:val="22"/>
          <w:szCs w:val="22"/>
        </w:rPr>
        <w:t xml:space="preserve">Indicator 5.3 </w:t>
      </w:r>
      <w:r w:rsidRPr="003C74E5">
        <w:rPr>
          <w:rFonts w:ascii="Arial" w:eastAsia="Times New Roman" w:hAnsi="Arial" w:cs="Arial"/>
          <w:i/>
          <w:iCs/>
          <w:sz w:val="22"/>
          <w:szCs w:val="22"/>
        </w:rPr>
        <w:t>Number of contexts with active access to justice and/or legal aid programmes in place at the community level</w:t>
      </w:r>
      <w:r w:rsidRPr="003C74E5">
        <w:rPr>
          <w:rFonts w:ascii="Arial" w:eastAsia="Times New Roman" w:hAnsi="Arial" w:cs="Arial"/>
          <w:sz w:val="22"/>
          <w:szCs w:val="22"/>
        </w:rPr>
        <w:t xml:space="preserve"> </w:t>
      </w:r>
    </w:p>
    <w:p w14:paraId="515D5D96" w14:textId="77777777" w:rsidR="002A2C68" w:rsidRPr="003C74E5" w:rsidRDefault="002A2C68" w:rsidP="00567956">
      <w:pPr>
        <w:pStyle w:val="ListParagraph"/>
        <w:numPr>
          <w:ilvl w:val="0"/>
          <w:numId w:val="27"/>
        </w:numPr>
        <w:spacing w:after="160" w:line="259" w:lineRule="auto"/>
        <w:rPr>
          <w:rFonts w:ascii="Arial" w:eastAsia="Times New Roman" w:hAnsi="Arial" w:cs="Arial"/>
          <w:sz w:val="22"/>
          <w:szCs w:val="22"/>
        </w:rPr>
      </w:pPr>
      <w:r w:rsidRPr="003C74E5">
        <w:rPr>
          <w:rFonts w:ascii="Arial" w:eastAsia="Times New Roman" w:hAnsi="Arial" w:cs="Arial"/>
          <w:sz w:val="22"/>
          <w:szCs w:val="22"/>
        </w:rPr>
        <w:t xml:space="preserve">what does it mean for a programme to be “active”? </w:t>
      </w:r>
    </w:p>
    <w:p w14:paraId="05DC2AF9" w14:textId="77777777" w:rsidR="002A2C68" w:rsidRPr="003C74E5" w:rsidRDefault="002A2C68" w:rsidP="00567956">
      <w:pPr>
        <w:pStyle w:val="ListParagraph"/>
        <w:numPr>
          <w:ilvl w:val="0"/>
          <w:numId w:val="27"/>
        </w:numPr>
        <w:spacing w:after="160" w:line="259" w:lineRule="auto"/>
        <w:rPr>
          <w:rFonts w:ascii="Arial" w:eastAsia="Times New Roman" w:hAnsi="Arial" w:cs="Arial"/>
          <w:sz w:val="22"/>
          <w:szCs w:val="22"/>
        </w:rPr>
      </w:pPr>
      <w:r w:rsidRPr="003C74E5">
        <w:rPr>
          <w:rFonts w:ascii="Arial" w:eastAsia="Times New Roman" w:hAnsi="Arial" w:cs="Arial"/>
          <w:sz w:val="22"/>
          <w:szCs w:val="22"/>
        </w:rPr>
        <w:t>what does “in place” mean: what if the programme is ongoing but UNDP support ended more than a year ago? what if the programme stopped in mid-year?</w:t>
      </w:r>
    </w:p>
    <w:p w14:paraId="6A694003" w14:textId="77777777" w:rsidR="002A2C68" w:rsidRPr="003C74E5" w:rsidRDefault="002A2C68" w:rsidP="00567956">
      <w:pPr>
        <w:pStyle w:val="ListParagraph"/>
        <w:numPr>
          <w:ilvl w:val="0"/>
          <w:numId w:val="27"/>
        </w:numPr>
        <w:spacing w:after="160" w:line="259" w:lineRule="auto"/>
        <w:rPr>
          <w:rFonts w:ascii="Arial" w:eastAsia="Times New Roman" w:hAnsi="Arial" w:cs="Arial"/>
          <w:sz w:val="22"/>
          <w:szCs w:val="22"/>
        </w:rPr>
      </w:pPr>
      <w:r w:rsidRPr="003C74E5">
        <w:rPr>
          <w:rFonts w:ascii="Arial" w:eastAsia="Times New Roman" w:hAnsi="Arial" w:cs="Arial"/>
          <w:sz w:val="22"/>
          <w:szCs w:val="22"/>
        </w:rPr>
        <w:t xml:space="preserve">what kinds of programmes are included? what about a mediation project? are alternative dispute resolution centres and customary/traditional mechanisms to be included or not? </w:t>
      </w:r>
    </w:p>
    <w:p w14:paraId="62C99DB6" w14:textId="77777777" w:rsidR="002A2C68" w:rsidRPr="003C74E5" w:rsidRDefault="002A2C68" w:rsidP="00567956">
      <w:pPr>
        <w:pStyle w:val="ListParagraph"/>
        <w:numPr>
          <w:ilvl w:val="0"/>
          <w:numId w:val="27"/>
        </w:numPr>
        <w:spacing w:after="160" w:line="259" w:lineRule="auto"/>
        <w:rPr>
          <w:rFonts w:ascii="Arial" w:eastAsia="Times New Roman" w:hAnsi="Arial" w:cs="Arial"/>
          <w:sz w:val="22"/>
          <w:szCs w:val="22"/>
        </w:rPr>
      </w:pPr>
      <w:r w:rsidRPr="003C74E5">
        <w:rPr>
          <w:rFonts w:ascii="Arial" w:eastAsia="Times New Roman" w:hAnsi="Arial" w:cs="Arial"/>
          <w:sz w:val="22"/>
          <w:szCs w:val="22"/>
        </w:rPr>
        <w:t xml:space="preserve">what is “at the community level”? does it have to be rural? what about a hotline service, operated from a central location? </w:t>
      </w:r>
    </w:p>
    <w:p w14:paraId="6BB43B29" w14:textId="38D9D0F7"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Arguably, indicator 5.1 “</w:t>
      </w:r>
      <w:r w:rsidRPr="003C74E5">
        <w:rPr>
          <w:rFonts w:ascii="Arial" w:eastAsia="Times New Roman" w:hAnsi="Arial" w:cs="Arial"/>
          <w:i/>
          <w:iCs/>
          <w:sz w:val="22"/>
          <w:szCs w:val="22"/>
        </w:rPr>
        <w:t>Number of additional people who have access to justice</w:t>
      </w:r>
      <w:r w:rsidRPr="003C74E5">
        <w:rPr>
          <w:rFonts w:ascii="Arial" w:eastAsia="Times New Roman" w:hAnsi="Arial" w:cs="Arial"/>
          <w:sz w:val="22"/>
          <w:szCs w:val="22"/>
        </w:rPr>
        <w:t>” is even more problematic, although it closely matches up with a</w:t>
      </w:r>
      <w:r w:rsidR="001A7F29" w:rsidRPr="003C74E5">
        <w:rPr>
          <w:rFonts w:ascii="Arial" w:eastAsia="Times New Roman" w:hAnsi="Arial" w:cs="Arial"/>
          <w:sz w:val="22"/>
          <w:szCs w:val="22"/>
        </w:rPr>
        <w:t xml:space="preserve"> corporate SP </w:t>
      </w:r>
      <w:r w:rsidRPr="003C74E5">
        <w:rPr>
          <w:rFonts w:ascii="Arial" w:eastAsia="Times New Roman" w:hAnsi="Arial" w:cs="Arial"/>
          <w:sz w:val="22"/>
          <w:szCs w:val="22"/>
        </w:rPr>
        <w:t>indicator (2.2.3.2.A) and is thus supported by a methodological note. The previous version of the related SP indicator measured “</w:t>
      </w:r>
      <w:r w:rsidRPr="003C74E5">
        <w:rPr>
          <w:rFonts w:ascii="Arial" w:eastAsia="Times New Roman" w:hAnsi="Arial" w:cs="Arial"/>
          <w:i/>
          <w:iCs/>
          <w:sz w:val="22"/>
          <w:szCs w:val="22"/>
        </w:rPr>
        <w:t>Total number of people who have access to legal aid services</w:t>
      </w:r>
      <w:r w:rsidRPr="003C74E5">
        <w:rPr>
          <w:rFonts w:ascii="Arial" w:eastAsia="Times New Roman" w:hAnsi="Arial" w:cs="Arial"/>
          <w:sz w:val="22"/>
          <w:szCs w:val="22"/>
        </w:rPr>
        <w:t xml:space="preserve">.” However, in spite of that change to much broader wording, the methodological note appears to substantially narrow the meaning by stating that access to informal justice mechanisms should NOT be considered from 2018 onwards, because their effectiveness cannot be gauged. However, it does not define clearly which of a wide variety of justice mechanisms (e.g. </w:t>
      </w:r>
      <w:r w:rsidRPr="003C74E5">
        <w:rPr>
          <w:rFonts w:ascii="Arial" w:hAnsi="Arial" w:cs="Arial"/>
          <w:color w:val="000000"/>
          <w:sz w:val="22"/>
          <w:szCs w:val="22"/>
        </w:rPr>
        <w:t>legal aid centres, mobile legal clinics, alternative dispute resolution services, traditional courts, transitional courts)</w:t>
      </w:r>
      <w:r w:rsidRPr="003C74E5">
        <w:rPr>
          <w:rFonts w:ascii="Arial" w:eastAsia="Times New Roman" w:hAnsi="Arial" w:cs="Arial"/>
          <w:sz w:val="22"/>
          <w:szCs w:val="22"/>
        </w:rPr>
        <w:t xml:space="preserve"> are thereby included and excluded. Also, in contexts in which court records are not computerized or record-keeping is weak, it would be difficult to reliably differentiate additional beneficiaries from previous (one-time or repetitive) service recipients. Although UNDP staff indicated that supplementary guidance was given to country offices by the GP team to support measurement of this indicator, they also indicated a low level of confidence in the data. </w:t>
      </w:r>
    </w:p>
    <w:p w14:paraId="7C4E913F" w14:textId="77777777"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 xml:space="preserve">Considering these issues of interpretation of GP output indicators, the evaluators have serious concerns about the quality, consistency and reliability of the data that is being reported against them across programme countries. </w:t>
      </w:r>
    </w:p>
    <w:p w14:paraId="6D2719BE" w14:textId="77777777" w:rsidR="002A2C68" w:rsidRPr="003C74E5" w:rsidRDefault="002A2C68" w:rsidP="00567956">
      <w:pPr>
        <w:pStyle w:val="ListParagraph"/>
        <w:numPr>
          <w:ilvl w:val="0"/>
          <w:numId w:val="26"/>
        </w:numPr>
        <w:spacing w:after="160" w:line="259" w:lineRule="auto"/>
        <w:rPr>
          <w:rFonts w:ascii="Arial" w:eastAsia="Times New Roman" w:hAnsi="Arial" w:cs="Arial"/>
          <w:b/>
          <w:bCs/>
          <w:sz w:val="22"/>
          <w:szCs w:val="22"/>
          <w:u w:val="single"/>
        </w:rPr>
      </w:pPr>
      <w:r w:rsidRPr="003C74E5">
        <w:rPr>
          <w:rFonts w:ascii="Arial" w:eastAsia="Times New Roman" w:hAnsi="Arial" w:cs="Arial"/>
          <w:b/>
          <w:bCs/>
          <w:sz w:val="22"/>
          <w:szCs w:val="22"/>
          <w:u w:val="single"/>
        </w:rPr>
        <w:t xml:space="preserve">Implementation of Results Framework </w:t>
      </w:r>
    </w:p>
    <w:p w14:paraId="1013719B" w14:textId="06265A41"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In addition, the evaluation found evidence of problems in the way that the results framework is being used and reporting is carried out, including difficulties with how and when annual targets are set and reviewed. (Although annual targets were set in the Prodoc for about half of the indicators, they were adjusted prior to publication of the 2018 and 2019 annual reports, which present different targets. Therefore, the evaluators focused on those updated targets.)</w:t>
      </w:r>
      <w:r w:rsidR="001A7F29" w:rsidRPr="003C74E5">
        <w:rPr>
          <w:rFonts w:ascii="Arial" w:eastAsia="Times New Roman" w:hAnsi="Arial" w:cs="Arial"/>
          <w:sz w:val="22"/>
          <w:szCs w:val="22"/>
        </w:rPr>
        <w:t xml:space="preserve"> </w:t>
      </w:r>
      <w:r w:rsidRPr="003C74E5">
        <w:rPr>
          <w:rFonts w:ascii="Arial" w:eastAsia="Times New Roman" w:hAnsi="Arial" w:cs="Arial"/>
          <w:sz w:val="22"/>
          <w:szCs w:val="22"/>
        </w:rPr>
        <w:t xml:space="preserve">For 11 of 17 indicators, the 2019 target was below the 2018 level of achievement (significantly less in eight cases), </w:t>
      </w:r>
      <w:r w:rsidRPr="003C74E5">
        <w:rPr>
          <w:rFonts w:ascii="Arial" w:hAnsi="Arial"/>
          <w:sz w:val="22"/>
          <w:szCs w:val="22"/>
        </w:rPr>
        <w:t xml:space="preserve">which renders irrelevant any comparison of achievements versus targets. Thus, it has little meaning when the 2019 annual report indicates that a certain target has been “achieved”, and that 82% of global targets have been </w:t>
      </w:r>
      <w:r w:rsidRPr="003C74E5">
        <w:rPr>
          <w:rFonts w:ascii="Arial" w:eastAsia="Times New Roman" w:hAnsi="Arial" w:cs="Arial"/>
          <w:sz w:val="22"/>
          <w:szCs w:val="22"/>
        </w:rPr>
        <w:t>met</w:t>
      </w:r>
      <w:r w:rsidRPr="003C74E5">
        <w:rPr>
          <w:rFonts w:ascii="Arial" w:hAnsi="Arial"/>
          <w:sz w:val="22"/>
          <w:szCs w:val="22"/>
        </w:rPr>
        <w:t>.</w:t>
      </w:r>
      <w:r w:rsidRPr="003C74E5">
        <w:rPr>
          <w:rFonts w:ascii="Arial" w:eastAsia="Times New Roman" w:hAnsi="Arial" w:cs="Arial"/>
          <w:sz w:val="22"/>
          <w:szCs w:val="22"/>
        </w:rPr>
        <w:t xml:space="preserve"> Four examples of similarly significant gaps appear between 2017 actual results and 2018 targets in the 2018 annual report. </w:t>
      </w:r>
    </w:p>
    <w:p w14:paraId="54FA0A38" w14:textId="77777777"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 xml:space="preserve">For 2020 reporting, the focal points for priority countries were asked to collect data from relevant country offices indicating whether each output indicator “is true” for the respective contexts. No additional justification or information was apparently requested to support the responses for each context, and there was lack of clarity about which countries were required to report. Although it is not clear exactly how data was collected in the past, this process seems far from rigorous, especially if detailed written guidance is not available to those responsible for reporting or submitting the data. </w:t>
      </w:r>
    </w:p>
    <w:p w14:paraId="1766E80E" w14:textId="6DD82D02"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 xml:space="preserve">Although these indicators are presented in reporting as GP specific indicators and measurement is confined to GP priority countries, they appear to be measured in a way that includes outputs related to any UNDP-supported ROLSHR activities or programmes in those countries – </w:t>
      </w:r>
      <w:r w:rsidRPr="003C74E5">
        <w:rPr>
          <w:rFonts w:ascii="Arial" w:eastAsia="Times New Roman" w:hAnsi="Arial" w:cs="Arial"/>
          <w:i/>
          <w:iCs/>
          <w:sz w:val="22"/>
          <w:szCs w:val="22"/>
        </w:rPr>
        <w:t>whether or not there is any link to GP support</w:t>
      </w:r>
      <w:r w:rsidRPr="003C74E5">
        <w:rPr>
          <w:rFonts w:ascii="Arial" w:eastAsia="Times New Roman" w:hAnsi="Arial" w:cs="Arial"/>
          <w:sz w:val="22"/>
          <w:szCs w:val="22"/>
        </w:rPr>
        <w:t xml:space="preserve">. Therefore, while movement on these indicators may provide some indication of UNDP ROLSHR outputs overall, they can be misleading if the reader believes that they reflect outputs linked to the GP, specifically. Indeed, some countries reported in the indicators may have received no support at all from the GP in that year, as indicated in Table </w:t>
      </w:r>
      <w:r w:rsidR="00CA62AB" w:rsidRPr="003C74E5">
        <w:rPr>
          <w:rFonts w:ascii="Arial" w:eastAsia="Times New Roman" w:hAnsi="Arial" w:cs="Arial"/>
          <w:sz w:val="22"/>
          <w:szCs w:val="22"/>
        </w:rPr>
        <w:t>2</w:t>
      </w:r>
      <w:r w:rsidRPr="003C74E5">
        <w:rPr>
          <w:rFonts w:ascii="Arial" w:eastAsia="Times New Roman" w:hAnsi="Arial" w:cs="Arial"/>
          <w:sz w:val="22"/>
          <w:szCs w:val="22"/>
        </w:rPr>
        <w:t xml:space="preserve"> above. </w:t>
      </w:r>
    </w:p>
    <w:p w14:paraId="61E10F2A" w14:textId="77777777" w:rsidR="002A2C68" w:rsidRPr="003C74E5" w:rsidRDefault="002A2C68" w:rsidP="00567956">
      <w:pPr>
        <w:pStyle w:val="ListParagraph"/>
        <w:numPr>
          <w:ilvl w:val="0"/>
          <w:numId w:val="26"/>
        </w:numPr>
        <w:spacing w:after="160" w:line="259" w:lineRule="auto"/>
        <w:rPr>
          <w:rFonts w:ascii="Arial" w:eastAsia="Times New Roman" w:hAnsi="Arial" w:cs="Arial"/>
          <w:b/>
          <w:bCs/>
          <w:sz w:val="22"/>
          <w:szCs w:val="22"/>
          <w:u w:val="single"/>
        </w:rPr>
      </w:pPr>
      <w:r w:rsidRPr="003C74E5">
        <w:rPr>
          <w:rFonts w:ascii="Arial" w:eastAsia="Times New Roman" w:hAnsi="Arial" w:cs="Arial"/>
          <w:b/>
          <w:bCs/>
          <w:sz w:val="22"/>
          <w:szCs w:val="22"/>
          <w:u w:val="single"/>
        </w:rPr>
        <w:t xml:space="preserve">Output Indicator Trends </w:t>
      </w:r>
    </w:p>
    <w:p w14:paraId="120FB34D" w14:textId="0B51E46F"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 xml:space="preserve">The table in Annex </w:t>
      </w:r>
      <w:r w:rsidR="00CA62AB" w:rsidRPr="003C74E5">
        <w:rPr>
          <w:rFonts w:ascii="Arial" w:eastAsia="Times New Roman" w:hAnsi="Arial" w:cs="Arial"/>
          <w:sz w:val="22"/>
          <w:szCs w:val="22"/>
        </w:rPr>
        <w:t>4</w:t>
      </w:r>
      <w:r w:rsidRPr="003C74E5">
        <w:rPr>
          <w:rFonts w:ascii="Arial" w:eastAsia="Times New Roman" w:hAnsi="Arial" w:cs="Arial"/>
          <w:sz w:val="22"/>
          <w:szCs w:val="22"/>
        </w:rPr>
        <w:t xml:space="preserve"> presents the GP output indicator data, including baselines set in 2015 and annual data drawn from the 2019 Annual Report. Where available, annual targets are also included. A review of the data indicates that for all but three of the current indicators, there has been an upward trend; in many cases, increases have been significant, doubling or tripling the baseline figures. While this suggests that more priority countries are meeting indicator thresholds and thus moving in a positive direction, the evaluators are reluctant to draw conclusions due to the methodological and definitional constraints described above. </w:t>
      </w:r>
    </w:p>
    <w:p w14:paraId="7F5E39CE" w14:textId="77777777" w:rsidR="002A2C68" w:rsidRPr="003C74E5" w:rsidRDefault="002A2C68" w:rsidP="002A2C68">
      <w:pPr>
        <w:rPr>
          <w:rFonts w:ascii="Arial" w:eastAsia="Times New Roman" w:hAnsi="Arial" w:cs="Arial"/>
          <w:b/>
          <w:bCs/>
          <w:sz w:val="22"/>
          <w:szCs w:val="22"/>
          <w:lang w:val="en-US" w:eastAsia="de-DE"/>
        </w:rPr>
      </w:pPr>
      <w:r w:rsidRPr="003C74E5">
        <w:rPr>
          <w:rFonts w:ascii="Arial" w:eastAsia="Times New Roman" w:hAnsi="Arial" w:cs="Arial"/>
          <w:b/>
          <w:bCs/>
          <w:sz w:val="22"/>
          <w:szCs w:val="22"/>
          <w:lang w:val="en-US" w:eastAsia="de-DE"/>
        </w:rPr>
        <w:t xml:space="preserve">Reporting of Results </w:t>
      </w:r>
    </w:p>
    <w:p w14:paraId="5CDC93D0" w14:textId="77777777"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 xml:space="preserve">The programme uses annual reports as its primary vehicle for sharing information about its activities, initiatives, funding and results. These are publicly available and appear to be directed primarily at external audiences (outside of the UNDP ROLSHR personnel at HQ and country level), however, these reports also serve as a key source of information for UNDP personnel, according to internal informants. Indeed, an impressive range of information about disparate interventions around the world is collected for and presented in these reports, thanks to inputs from UNDP country offices around the world. The GP uses the annual reporting process as the primary avenue for GP-supported country offices to update headquarters on how funding and technical support from GP have made a difference in their respective contexts—no other narrative reporting is required by the programme management, to avoid adding to the existing reporting burden at country level.  </w:t>
      </w:r>
    </w:p>
    <w:p w14:paraId="151F75B2" w14:textId="77777777" w:rsidR="002A2C68" w:rsidRPr="003C74E5" w:rsidRDefault="002A2C68" w:rsidP="002A2C68">
      <w:pPr>
        <w:rPr>
          <w:rFonts w:ascii="Arial" w:eastAsia="Times New Roman" w:hAnsi="Arial" w:cs="Arial"/>
          <w:sz w:val="22"/>
          <w:szCs w:val="22"/>
        </w:rPr>
      </w:pPr>
      <w:r w:rsidRPr="7FB3149D">
        <w:rPr>
          <w:rFonts w:ascii="Arial" w:eastAsia="Times New Roman" w:hAnsi="Arial" w:cs="Arial"/>
          <w:sz w:val="22"/>
          <w:szCs w:val="22"/>
        </w:rPr>
        <w:t xml:space="preserve">While recognizing the wealth of information provided by the annual reports, the evaluators found that it was </w:t>
      </w:r>
      <w:r w:rsidRPr="7FB3149D">
        <w:rPr>
          <w:rFonts w:ascii="Arial" w:hAnsi="Arial"/>
          <w:sz w:val="22"/>
          <w:szCs w:val="22"/>
        </w:rPr>
        <w:t xml:space="preserve">not </w:t>
      </w:r>
      <w:r w:rsidRPr="7FB3149D">
        <w:rPr>
          <w:rFonts w:ascii="Arial" w:eastAsia="Times New Roman" w:hAnsi="Arial" w:cs="Arial"/>
          <w:sz w:val="22"/>
          <w:szCs w:val="22"/>
        </w:rPr>
        <w:t xml:space="preserve">always </w:t>
      </w:r>
      <w:r w:rsidRPr="7FB3149D">
        <w:rPr>
          <w:rFonts w:ascii="Arial" w:hAnsi="Arial"/>
          <w:sz w:val="22"/>
          <w:szCs w:val="22"/>
        </w:rPr>
        <w:t xml:space="preserve">possible in </w:t>
      </w:r>
      <w:r w:rsidRPr="7FB3149D">
        <w:rPr>
          <w:rFonts w:ascii="Arial" w:eastAsia="Times New Roman" w:hAnsi="Arial" w:cs="Arial"/>
          <w:sz w:val="22"/>
          <w:szCs w:val="22"/>
        </w:rPr>
        <w:t>reading</w:t>
      </w:r>
      <w:r w:rsidRPr="7FB3149D">
        <w:rPr>
          <w:rFonts w:ascii="Arial" w:hAnsi="Arial"/>
          <w:sz w:val="22"/>
          <w:szCs w:val="22"/>
        </w:rPr>
        <w:t xml:space="preserve"> the narrative content to differentiate</w:t>
      </w:r>
      <w:r w:rsidRPr="7FB3149D">
        <w:rPr>
          <w:rFonts w:ascii="Arial" w:eastAsia="Times New Roman" w:hAnsi="Arial" w:cs="Arial"/>
          <w:sz w:val="22"/>
          <w:szCs w:val="22"/>
        </w:rPr>
        <w:t xml:space="preserve"> between what the Global Programme had directly supported in some way, and what UNDP as a whole had supported in the same countries and contexts. Although there is some annual variation, the Global Programme is scarcely mentioned in the lengthy passages on country-level achievements, although the GP focus emerges primarily in the finance section and indicator reporting. This contrasts with the fact that the report titles and introductory passages repeatedly refer to the Global Programme as the focus of these reports. </w:t>
      </w:r>
    </w:p>
    <w:p w14:paraId="72F2ED0D" w14:textId="23FBD43A"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 xml:space="preserve">Enquiries with the GP management team indicated several reasons for the decision to present combined results in this manner: the difficulty in some cases to separate GP-related results from other closely connected UNDP results at country level; the silo effect or lack of larger SDG-wide coherence that might result from such separate reporting; and the absence of a suitable stand-alone global vehicle for results of UNDP ROLSHR programming that are not related to the GP. While the evaluators do not take issue with the advantages of combining this reporting in one annual information product, there </w:t>
      </w:r>
      <w:r w:rsidRPr="001F47FE">
        <w:rPr>
          <w:rFonts w:ascii="Arial" w:eastAsia="Times New Roman" w:hAnsi="Arial" w:cs="Arial"/>
          <w:sz w:val="22"/>
          <w:szCs w:val="22"/>
        </w:rPr>
        <w:t xml:space="preserve">is at least one major disadvantage (as noted in the </w:t>
      </w:r>
      <w:r w:rsidR="001A7F29" w:rsidRPr="001F47FE">
        <w:rPr>
          <w:rFonts w:ascii="Arial" w:eastAsia="Times New Roman" w:hAnsi="Arial" w:cs="Arial"/>
          <w:sz w:val="22"/>
          <w:szCs w:val="22"/>
        </w:rPr>
        <w:t xml:space="preserve">Methodology </w:t>
      </w:r>
      <w:r w:rsidRPr="001F47FE">
        <w:rPr>
          <w:rFonts w:ascii="Arial" w:eastAsia="Times New Roman" w:hAnsi="Arial" w:cs="Arial"/>
          <w:sz w:val="22"/>
          <w:szCs w:val="22"/>
        </w:rPr>
        <w:t>Limitations section): throughout most of the report narratives, it is not possible to disentangle the results (or even activities) linked to the GP from everything else UNDP has done in the ROLSHR sector in that year. When considered alongside the indicator monitoring challenges, this significantly limits the readers’ ability</w:t>
      </w:r>
      <w:r w:rsidRPr="003C74E5">
        <w:rPr>
          <w:rFonts w:ascii="Arial" w:eastAsia="Times New Roman" w:hAnsi="Arial" w:cs="Arial"/>
          <w:sz w:val="22"/>
          <w:szCs w:val="22"/>
        </w:rPr>
        <w:t xml:space="preserve"> to discern the effectiveness of the GP from these reports. Mainly due to these reasons, some informants among the programme’s key donors expressed doubts about the quality of the processes and end products that are meant to ensure the GP’s accountability. </w:t>
      </w:r>
    </w:p>
    <w:p w14:paraId="5196F16B" w14:textId="77777777" w:rsidR="002A2C68" w:rsidRPr="003C74E5" w:rsidRDefault="002A2C68" w:rsidP="002A2C68">
      <w:pPr>
        <w:rPr>
          <w:rFonts w:ascii="Arial" w:eastAsia="Times New Roman" w:hAnsi="Arial" w:cs="Arial"/>
          <w:sz w:val="22"/>
          <w:szCs w:val="22"/>
        </w:rPr>
      </w:pPr>
      <w:r w:rsidRPr="003C74E5">
        <w:rPr>
          <w:rFonts w:ascii="Arial" w:eastAsia="Times New Roman" w:hAnsi="Arial" w:cs="Arial"/>
          <w:sz w:val="22"/>
          <w:szCs w:val="22"/>
        </w:rPr>
        <w:t xml:space="preserve">Moreover, multiple informants within and outside of UNDP commented that the reports since 2017 are almost entirely focused on the activities and positive outputs of GP and UNDP programming, and appear to be platforms for public relations rather than vehicles for full and transparent information sharing. The evaluators observed that the annual reports make little effort to analyze the wealth of country-level information in a way that would identify trends or patterns (e.g. comparing countries, or previous years), or generate cross-cutting findings or learning. The reports make no attempt to interpret the output indicator data for any single year or across the years. </w:t>
      </w:r>
    </w:p>
    <w:p w14:paraId="6C7CFF2F" w14:textId="058B71BC" w:rsidR="002A2C68" w:rsidRPr="003C74E5" w:rsidRDefault="002A2C68" w:rsidP="002A2C68">
      <w:pPr>
        <w:rPr>
          <w:rFonts w:ascii="Arial" w:hAnsi="Arial" w:cs="Arial"/>
          <w:i/>
          <w:iCs/>
          <w:sz w:val="22"/>
          <w:szCs w:val="22"/>
        </w:rPr>
      </w:pPr>
      <w:r w:rsidRPr="003C74E5">
        <w:rPr>
          <w:rFonts w:ascii="Arial" w:eastAsia="Times New Roman" w:hAnsi="Arial" w:cs="Arial"/>
          <w:sz w:val="22"/>
          <w:szCs w:val="22"/>
        </w:rPr>
        <w:t>Although the 2016 country profiles included a dedicated space for challenges and lessons learned, that practice was discontinued in the 2017 report. With few exceptions, the subsequent reports consist primarily of success stories – which aligns with the information that country teams were recently asked to provide for the 2020 annual report: “top 3 results” in narrative form and “3 key results” in quantitative data.</w:t>
      </w:r>
      <w:r w:rsidRPr="003C74E5">
        <w:rPr>
          <w:rStyle w:val="FootnoteReference"/>
          <w:rFonts w:ascii="Arial" w:eastAsia="Times New Roman" w:hAnsi="Arial" w:cs="Arial"/>
          <w:sz w:val="22"/>
          <w:szCs w:val="22"/>
        </w:rPr>
        <w:footnoteReference w:id="23"/>
      </w:r>
      <w:r w:rsidRPr="003C74E5">
        <w:rPr>
          <w:rFonts w:ascii="Arial" w:eastAsia="Times New Roman" w:hAnsi="Arial" w:cs="Arial"/>
          <w:sz w:val="22"/>
          <w:szCs w:val="22"/>
        </w:rPr>
        <w:t xml:space="preserve"> Although some country office staff were appreciative of the minimalist GP reporting requirements, given the relatively modest funding being allocated, several interviewees voiced concerns that important information was not being captured by the programme due to the one-year time lag between reports, lack of specific attention to catalytic effects, and lack of enquiry into challenges and lessons learned (i.e. what is NOT working, as well as what is working). </w:t>
      </w:r>
    </w:p>
    <w:p w14:paraId="3B34E496" w14:textId="43542317" w:rsidR="002A2C68" w:rsidRDefault="002A2C68">
      <w:pPr>
        <w:rPr>
          <w:rFonts w:ascii="Arial" w:hAnsi="Arial" w:cs="Arial"/>
        </w:rPr>
      </w:pPr>
      <w:r>
        <w:rPr>
          <w:rFonts w:ascii="Arial" w:hAnsi="Arial" w:cs="Arial"/>
        </w:rPr>
        <w:br w:type="page"/>
      </w:r>
    </w:p>
    <w:p w14:paraId="734EE79F" w14:textId="77777777" w:rsidR="00F07870" w:rsidRDefault="00F07870">
      <w:pPr>
        <w:rPr>
          <w:rFonts w:ascii="Arial" w:hAnsi="Arial" w:cs="Arial"/>
        </w:rPr>
        <w:sectPr w:rsidR="00F07870" w:rsidSect="00C20986">
          <w:headerReference w:type="default" r:id="rId15"/>
          <w:pgSz w:w="12240" w:h="15840"/>
          <w:pgMar w:top="1440" w:right="1440" w:bottom="1440" w:left="1440" w:header="708" w:footer="708" w:gutter="0"/>
          <w:pgNumType w:start="1"/>
          <w:cols w:space="708"/>
          <w:docGrid w:linePitch="360"/>
        </w:sectPr>
      </w:pPr>
    </w:p>
    <w:p w14:paraId="33A7A94D" w14:textId="43BE8E44" w:rsidR="002A2C68" w:rsidRDefault="00F07870" w:rsidP="00F07870">
      <w:pPr>
        <w:pStyle w:val="Heading2"/>
        <w:rPr>
          <w:lang w:eastAsia="de-DE"/>
        </w:rPr>
      </w:pPr>
      <w:bookmarkStart w:id="45" w:name="_Ref70154615"/>
      <w:bookmarkStart w:id="46" w:name="_Toc71701904"/>
      <w:r>
        <w:rPr>
          <w:lang w:eastAsia="de-DE"/>
        </w:rPr>
        <w:t>Annex 4: Analysis of GP Output Indicator Data 2016-19</w:t>
      </w:r>
      <w:bookmarkEnd w:id="45"/>
      <w:bookmarkEnd w:id="46"/>
    </w:p>
    <w:p w14:paraId="1037E8EE" w14:textId="4BEFB30C" w:rsidR="00F07870" w:rsidRDefault="00F07870" w:rsidP="00F07870">
      <w:pPr>
        <w:rPr>
          <w:lang w:eastAsia="de-DE"/>
        </w:rPr>
      </w:pPr>
    </w:p>
    <w:tbl>
      <w:tblPr>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3"/>
        <w:gridCol w:w="1882"/>
        <w:gridCol w:w="662"/>
        <w:gridCol w:w="540"/>
        <w:gridCol w:w="713"/>
        <w:gridCol w:w="571"/>
        <w:gridCol w:w="571"/>
        <w:gridCol w:w="571"/>
        <w:gridCol w:w="768"/>
        <w:gridCol w:w="737"/>
        <w:gridCol w:w="809"/>
        <w:gridCol w:w="754"/>
        <w:gridCol w:w="1188"/>
        <w:gridCol w:w="894"/>
        <w:gridCol w:w="2623"/>
      </w:tblGrid>
      <w:tr w:rsidR="00F07870" w14:paraId="0578376C" w14:textId="77777777" w:rsidTr="00296A4A">
        <w:trPr>
          <w:trHeight w:val="298"/>
        </w:trPr>
        <w:tc>
          <w:tcPr>
            <w:tcW w:w="293" w:type="dxa"/>
          </w:tcPr>
          <w:p w14:paraId="42B2692D" w14:textId="77777777" w:rsidR="00F07870" w:rsidRDefault="00F07870" w:rsidP="00296A4A">
            <w:pPr>
              <w:pStyle w:val="TableParagraph"/>
              <w:rPr>
                <w:rFonts w:ascii="Times New Roman"/>
                <w:sz w:val="12"/>
              </w:rPr>
            </w:pPr>
          </w:p>
        </w:tc>
        <w:tc>
          <w:tcPr>
            <w:tcW w:w="1882" w:type="dxa"/>
          </w:tcPr>
          <w:p w14:paraId="5179CCC5" w14:textId="77777777" w:rsidR="00F07870" w:rsidRDefault="00F07870" w:rsidP="00296A4A">
            <w:pPr>
              <w:pStyle w:val="TableParagraph"/>
              <w:spacing w:before="1"/>
              <w:rPr>
                <w:rFonts w:ascii="Times New Roman"/>
                <w:sz w:val="13"/>
              </w:rPr>
            </w:pPr>
          </w:p>
          <w:p w14:paraId="48B19136" w14:textId="77777777" w:rsidR="00F07870" w:rsidRDefault="00F07870" w:rsidP="00296A4A">
            <w:pPr>
              <w:pStyle w:val="TableParagraph"/>
              <w:spacing w:line="127" w:lineRule="exact"/>
              <w:ind w:left="19"/>
              <w:rPr>
                <w:b/>
                <w:sz w:val="12"/>
              </w:rPr>
            </w:pPr>
            <w:r>
              <w:rPr>
                <w:b/>
                <w:w w:val="105"/>
                <w:sz w:val="12"/>
              </w:rPr>
              <w:t>Indicator</w:t>
            </w:r>
          </w:p>
        </w:tc>
        <w:tc>
          <w:tcPr>
            <w:tcW w:w="662" w:type="dxa"/>
            <w:shd w:val="clear" w:color="auto" w:fill="FFCCFF"/>
          </w:tcPr>
          <w:p w14:paraId="5F1C90D1" w14:textId="77777777" w:rsidR="00F07870" w:rsidRDefault="00F07870" w:rsidP="00296A4A">
            <w:pPr>
              <w:pStyle w:val="TableParagraph"/>
              <w:spacing w:before="1"/>
              <w:rPr>
                <w:rFonts w:ascii="Times New Roman"/>
                <w:sz w:val="13"/>
              </w:rPr>
            </w:pPr>
          </w:p>
          <w:p w14:paraId="65EC97B6" w14:textId="77777777" w:rsidR="00F07870" w:rsidRDefault="00F07870" w:rsidP="00296A4A">
            <w:pPr>
              <w:pStyle w:val="TableParagraph"/>
              <w:spacing w:line="127" w:lineRule="exact"/>
              <w:ind w:left="92" w:right="45"/>
              <w:jc w:val="center"/>
              <w:rPr>
                <w:b/>
                <w:sz w:val="12"/>
              </w:rPr>
            </w:pPr>
            <w:r>
              <w:rPr>
                <w:b/>
                <w:w w:val="105"/>
                <w:sz w:val="12"/>
              </w:rPr>
              <w:t>Baseline</w:t>
            </w:r>
          </w:p>
        </w:tc>
        <w:tc>
          <w:tcPr>
            <w:tcW w:w="540" w:type="dxa"/>
            <w:shd w:val="clear" w:color="auto" w:fill="FFCCFF"/>
          </w:tcPr>
          <w:p w14:paraId="40850FA3" w14:textId="77777777" w:rsidR="00F07870" w:rsidRDefault="00F07870" w:rsidP="00296A4A">
            <w:pPr>
              <w:pStyle w:val="TableParagraph"/>
              <w:spacing w:before="1"/>
              <w:rPr>
                <w:rFonts w:ascii="Times New Roman"/>
                <w:sz w:val="13"/>
              </w:rPr>
            </w:pPr>
          </w:p>
          <w:p w14:paraId="4BB5B6FB" w14:textId="77777777" w:rsidR="00F07870" w:rsidRDefault="00F07870" w:rsidP="00296A4A">
            <w:pPr>
              <w:pStyle w:val="TableParagraph"/>
              <w:spacing w:line="127" w:lineRule="exact"/>
              <w:ind w:left="56" w:right="9"/>
              <w:jc w:val="center"/>
              <w:rPr>
                <w:b/>
                <w:sz w:val="12"/>
              </w:rPr>
            </w:pPr>
            <w:r>
              <w:rPr>
                <w:b/>
                <w:w w:val="105"/>
                <w:sz w:val="12"/>
              </w:rPr>
              <w:t>BL Year</w:t>
            </w:r>
          </w:p>
        </w:tc>
        <w:tc>
          <w:tcPr>
            <w:tcW w:w="1284" w:type="dxa"/>
            <w:gridSpan w:val="2"/>
            <w:shd w:val="clear" w:color="auto" w:fill="FFFF00"/>
          </w:tcPr>
          <w:p w14:paraId="1539A210" w14:textId="77777777" w:rsidR="00F07870" w:rsidRDefault="00F07870" w:rsidP="00296A4A">
            <w:pPr>
              <w:pStyle w:val="TableParagraph"/>
              <w:spacing w:before="1"/>
              <w:rPr>
                <w:rFonts w:ascii="Times New Roman"/>
                <w:sz w:val="13"/>
              </w:rPr>
            </w:pPr>
          </w:p>
          <w:p w14:paraId="5F0B0259" w14:textId="77777777" w:rsidR="00F07870" w:rsidRDefault="00F07870" w:rsidP="00296A4A">
            <w:pPr>
              <w:pStyle w:val="TableParagraph"/>
              <w:spacing w:line="127" w:lineRule="exact"/>
              <w:ind w:left="493" w:right="449"/>
              <w:jc w:val="center"/>
              <w:rPr>
                <w:b/>
                <w:sz w:val="12"/>
              </w:rPr>
            </w:pPr>
            <w:r>
              <w:rPr>
                <w:b/>
                <w:color w:val="44536A"/>
                <w:w w:val="105"/>
                <w:sz w:val="12"/>
              </w:rPr>
              <w:t>2016</w:t>
            </w:r>
          </w:p>
        </w:tc>
        <w:tc>
          <w:tcPr>
            <w:tcW w:w="1142" w:type="dxa"/>
            <w:gridSpan w:val="2"/>
            <w:shd w:val="clear" w:color="auto" w:fill="F4AF84"/>
          </w:tcPr>
          <w:p w14:paraId="4465F58F" w14:textId="77777777" w:rsidR="00F07870" w:rsidRDefault="00F07870" w:rsidP="00296A4A">
            <w:pPr>
              <w:pStyle w:val="TableParagraph"/>
              <w:spacing w:before="1"/>
              <w:rPr>
                <w:rFonts w:ascii="Times New Roman"/>
                <w:sz w:val="13"/>
              </w:rPr>
            </w:pPr>
          </w:p>
          <w:p w14:paraId="168A5800" w14:textId="77777777" w:rsidR="00F07870" w:rsidRDefault="00F07870" w:rsidP="00296A4A">
            <w:pPr>
              <w:pStyle w:val="TableParagraph"/>
              <w:spacing w:line="127" w:lineRule="exact"/>
              <w:ind w:left="426" w:right="374"/>
              <w:jc w:val="center"/>
              <w:rPr>
                <w:b/>
                <w:sz w:val="12"/>
              </w:rPr>
            </w:pPr>
            <w:r>
              <w:rPr>
                <w:b/>
                <w:w w:val="105"/>
                <w:sz w:val="12"/>
              </w:rPr>
              <w:t>2017</w:t>
            </w:r>
          </w:p>
        </w:tc>
        <w:tc>
          <w:tcPr>
            <w:tcW w:w="768" w:type="dxa"/>
            <w:shd w:val="clear" w:color="auto" w:fill="B4C5E7"/>
          </w:tcPr>
          <w:p w14:paraId="545EC4CD" w14:textId="77777777" w:rsidR="00F07870" w:rsidRDefault="00F07870" w:rsidP="00296A4A">
            <w:pPr>
              <w:pStyle w:val="TableParagraph"/>
              <w:spacing w:before="5"/>
              <w:rPr>
                <w:rFonts w:ascii="Times New Roman"/>
                <w:sz w:val="11"/>
              </w:rPr>
            </w:pPr>
          </w:p>
          <w:p w14:paraId="52B0CD47" w14:textId="77777777" w:rsidR="00F07870" w:rsidRDefault="00F07870" w:rsidP="00296A4A">
            <w:pPr>
              <w:pStyle w:val="TableParagraph"/>
              <w:spacing w:line="146" w:lineRule="exact"/>
              <w:ind w:right="-29"/>
              <w:jc w:val="right"/>
              <w:rPr>
                <w:b/>
                <w:sz w:val="12"/>
              </w:rPr>
            </w:pPr>
            <w:r>
              <w:rPr>
                <w:b/>
                <w:color w:val="44536A"/>
                <w:w w:val="105"/>
                <w:sz w:val="12"/>
              </w:rPr>
              <w:t>2018</w:t>
            </w:r>
          </w:p>
        </w:tc>
        <w:tc>
          <w:tcPr>
            <w:tcW w:w="737" w:type="dxa"/>
            <w:shd w:val="clear" w:color="auto" w:fill="B4C5E7"/>
          </w:tcPr>
          <w:p w14:paraId="63C010B5" w14:textId="77777777" w:rsidR="00F07870" w:rsidRDefault="00F07870" w:rsidP="00296A4A">
            <w:pPr>
              <w:pStyle w:val="TableParagraph"/>
              <w:rPr>
                <w:rFonts w:ascii="Times New Roman"/>
                <w:sz w:val="12"/>
              </w:rPr>
            </w:pPr>
          </w:p>
        </w:tc>
        <w:tc>
          <w:tcPr>
            <w:tcW w:w="809" w:type="dxa"/>
            <w:shd w:val="clear" w:color="auto" w:fill="A9D08E"/>
          </w:tcPr>
          <w:p w14:paraId="5A4DC984" w14:textId="77777777" w:rsidR="00F07870" w:rsidRDefault="00F07870" w:rsidP="00296A4A">
            <w:pPr>
              <w:pStyle w:val="TableParagraph"/>
              <w:spacing w:before="5"/>
              <w:rPr>
                <w:rFonts w:ascii="Times New Roman"/>
                <w:sz w:val="11"/>
              </w:rPr>
            </w:pPr>
          </w:p>
          <w:p w14:paraId="7538BE04" w14:textId="77777777" w:rsidR="00F07870" w:rsidRDefault="00F07870" w:rsidP="00296A4A">
            <w:pPr>
              <w:pStyle w:val="TableParagraph"/>
              <w:spacing w:line="146" w:lineRule="exact"/>
              <w:ind w:right="-29"/>
              <w:jc w:val="right"/>
              <w:rPr>
                <w:b/>
                <w:sz w:val="12"/>
              </w:rPr>
            </w:pPr>
            <w:r>
              <w:rPr>
                <w:b/>
                <w:color w:val="44536A"/>
                <w:w w:val="105"/>
                <w:sz w:val="12"/>
              </w:rPr>
              <w:t>2019</w:t>
            </w:r>
          </w:p>
        </w:tc>
        <w:tc>
          <w:tcPr>
            <w:tcW w:w="754" w:type="dxa"/>
            <w:shd w:val="clear" w:color="auto" w:fill="A9D08E"/>
          </w:tcPr>
          <w:p w14:paraId="1CDEA354" w14:textId="77777777" w:rsidR="00F07870" w:rsidRDefault="00F07870" w:rsidP="00296A4A">
            <w:pPr>
              <w:pStyle w:val="TableParagraph"/>
              <w:rPr>
                <w:rFonts w:ascii="Times New Roman"/>
                <w:sz w:val="12"/>
              </w:rPr>
            </w:pPr>
          </w:p>
        </w:tc>
        <w:tc>
          <w:tcPr>
            <w:tcW w:w="1188" w:type="dxa"/>
            <w:shd w:val="clear" w:color="auto" w:fill="B1B1B1"/>
          </w:tcPr>
          <w:p w14:paraId="242C9B5E" w14:textId="77777777" w:rsidR="00F07870" w:rsidRDefault="00F07870" w:rsidP="00296A4A">
            <w:pPr>
              <w:pStyle w:val="TableParagraph"/>
              <w:spacing w:line="111" w:lineRule="exact"/>
              <w:ind w:left="231"/>
              <w:rPr>
                <w:b/>
                <w:sz w:val="12"/>
              </w:rPr>
            </w:pPr>
            <w:r>
              <w:rPr>
                <w:b/>
                <w:w w:val="105"/>
                <w:sz w:val="12"/>
              </w:rPr>
              <w:t>Comments</w:t>
            </w:r>
            <w:r>
              <w:rPr>
                <w:b/>
                <w:spacing w:val="-1"/>
                <w:w w:val="105"/>
                <w:sz w:val="12"/>
              </w:rPr>
              <w:t xml:space="preserve"> </w:t>
            </w:r>
            <w:r>
              <w:rPr>
                <w:b/>
                <w:w w:val="105"/>
                <w:sz w:val="12"/>
              </w:rPr>
              <w:t>by</w:t>
            </w:r>
          </w:p>
          <w:p w14:paraId="5E51346C" w14:textId="77777777" w:rsidR="00F07870" w:rsidRDefault="00F07870" w:rsidP="00296A4A">
            <w:pPr>
              <w:pStyle w:val="TableParagraph"/>
              <w:spacing w:before="21" w:line="146" w:lineRule="exact"/>
              <w:ind w:left="317"/>
              <w:rPr>
                <w:b/>
                <w:sz w:val="12"/>
              </w:rPr>
            </w:pPr>
            <w:r>
              <w:rPr>
                <w:b/>
                <w:w w:val="105"/>
                <w:sz w:val="12"/>
              </w:rPr>
              <w:t>Evaluators</w:t>
            </w:r>
          </w:p>
        </w:tc>
        <w:tc>
          <w:tcPr>
            <w:tcW w:w="894" w:type="dxa"/>
          </w:tcPr>
          <w:p w14:paraId="6C54F3D1" w14:textId="77777777" w:rsidR="00F07870" w:rsidRDefault="00F07870" w:rsidP="00296A4A">
            <w:pPr>
              <w:pStyle w:val="TableParagraph"/>
              <w:spacing w:before="5"/>
              <w:rPr>
                <w:rFonts w:ascii="Times New Roman"/>
                <w:sz w:val="11"/>
              </w:rPr>
            </w:pPr>
          </w:p>
          <w:p w14:paraId="121A77F0" w14:textId="77777777" w:rsidR="00F07870" w:rsidRDefault="00F07870" w:rsidP="00296A4A">
            <w:pPr>
              <w:pStyle w:val="TableParagraph"/>
              <w:spacing w:line="146" w:lineRule="exact"/>
              <w:ind w:left="20"/>
              <w:rPr>
                <w:b/>
                <w:sz w:val="12"/>
              </w:rPr>
            </w:pPr>
            <w:r>
              <w:rPr>
                <w:b/>
                <w:w w:val="105"/>
                <w:sz w:val="12"/>
              </w:rPr>
              <w:t>Key</w:t>
            </w:r>
            <w:r>
              <w:rPr>
                <w:b/>
                <w:spacing w:val="-1"/>
                <w:w w:val="105"/>
                <w:sz w:val="12"/>
              </w:rPr>
              <w:t xml:space="preserve"> </w:t>
            </w:r>
            <w:r>
              <w:rPr>
                <w:b/>
                <w:w w:val="105"/>
                <w:sz w:val="12"/>
              </w:rPr>
              <w:t>Evidence</w:t>
            </w:r>
          </w:p>
        </w:tc>
        <w:tc>
          <w:tcPr>
            <w:tcW w:w="2623" w:type="dxa"/>
          </w:tcPr>
          <w:p w14:paraId="1C77F1F4" w14:textId="77777777" w:rsidR="00F07870" w:rsidRDefault="00F07870" w:rsidP="00296A4A">
            <w:pPr>
              <w:pStyle w:val="TableParagraph"/>
              <w:spacing w:before="1"/>
              <w:rPr>
                <w:rFonts w:ascii="Times New Roman"/>
                <w:sz w:val="13"/>
              </w:rPr>
            </w:pPr>
          </w:p>
          <w:p w14:paraId="4089E738" w14:textId="77777777" w:rsidR="00F07870" w:rsidRDefault="00F07870" w:rsidP="00296A4A">
            <w:pPr>
              <w:pStyle w:val="TableParagraph"/>
              <w:spacing w:line="127" w:lineRule="exact"/>
              <w:ind w:left="19"/>
              <w:rPr>
                <w:b/>
                <w:sz w:val="12"/>
              </w:rPr>
            </w:pPr>
            <w:r>
              <w:rPr>
                <w:b/>
                <w:w w:val="105"/>
                <w:sz w:val="12"/>
              </w:rPr>
              <w:t>Footnotes</w:t>
            </w:r>
          </w:p>
        </w:tc>
      </w:tr>
      <w:tr w:rsidR="00F07870" w14:paraId="669FD8FA" w14:textId="77777777" w:rsidTr="00296A4A">
        <w:trPr>
          <w:trHeight w:val="298"/>
        </w:trPr>
        <w:tc>
          <w:tcPr>
            <w:tcW w:w="293" w:type="dxa"/>
          </w:tcPr>
          <w:p w14:paraId="6FF2E92C" w14:textId="77777777" w:rsidR="00F07870" w:rsidRDefault="00F07870" w:rsidP="00296A4A">
            <w:pPr>
              <w:pStyle w:val="TableParagraph"/>
              <w:rPr>
                <w:rFonts w:ascii="Times New Roman"/>
                <w:sz w:val="12"/>
              </w:rPr>
            </w:pPr>
          </w:p>
        </w:tc>
        <w:tc>
          <w:tcPr>
            <w:tcW w:w="1882" w:type="dxa"/>
          </w:tcPr>
          <w:p w14:paraId="54E82D00" w14:textId="77777777" w:rsidR="00F07870" w:rsidRDefault="00F07870" w:rsidP="00296A4A">
            <w:pPr>
              <w:pStyle w:val="TableParagraph"/>
              <w:rPr>
                <w:rFonts w:ascii="Times New Roman"/>
                <w:sz w:val="12"/>
              </w:rPr>
            </w:pPr>
          </w:p>
        </w:tc>
        <w:tc>
          <w:tcPr>
            <w:tcW w:w="662" w:type="dxa"/>
            <w:shd w:val="clear" w:color="auto" w:fill="FFCCFF"/>
          </w:tcPr>
          <w:p w14:paraId="6A13481E" w14:textId="77777777" w:rsidR="00F07870" w:rsidRDefault="00F07870" w:rsidP="00296A4A">
            <w:pPr>
              <w:pStyle w:val="TableParagraph"/>
              <w:spacing w:line="111" w:lineRule="exact"/>
              <w:ind w:left="96"/>
              <w:rPr>
                <w:b/>
                <w:sz w:val="12"/>
              </w:rPr>
            </w:pPr>
            <w:r>
              <w:rPr>
                <w:b/>
                <w:w w:val="105"/>
                <w:sz w:val="12"/>
              </w:rPr>
              <w:t>per 2019</w:t>
            </w:r>
          </w:p>
          <w:p w14:paraId="00C28F0E" w14:textId="77777777" w:rsidR="00F07870" w:rsidRDefault="00F07870" w:rsidP="00296A4A">
            <w:pPr>
              <w:pStyle w:val="TableParagraph"/>
              <w:spacing w:before="21" w:line="146" w:lineRule="exact"/>
              <w:ind w:left="160"/>
              <w:rPr>
                <w:b/>
                <w:sz w:val="12"/>
              </w:rPr>
            </w:pPr>
            <w:r>
              <w:rPr>
                <w:b/>
                <w:w w:val="105"/>
                <w:sz w:val="12"/>
              </w:rPr>
              <w:t>report</w:t>
            </w:r>
          </w:p>
        </w:tc>
        <w:tc>
          <w:tcPr>
            <w:tcW w:w="540" w:type="dxa"/>
            <w:shd w:val="clear" w:color="auto" w:fill="FFCCFF"/>
          </w:tcPr>
          <w:p w14:paraId="42F6ABA2" w14:textId="77777777" w:rsidR="00F07870" w:rsidRDefault="00F07870" w:rsidP="00296A4A">
            <w:pPr>
              <w:pStyle w:val="TableParagraph"/>
              <w:rPr>
                <w:rFonts w:ascii="Times New Roman"/>
                <w:sz w:val="12"/>
              </w:rPr>
            </w:pPr>
          </w:p>
        </w:tc>
        <w:tc>
          <w:tcPr>
            <w:tcW w:w="713" w:type="dxa"/>
            <w:shd w:val="clear" w:color="auto" w:fill="FFFF00"/>
          </w:tcPr>
          <w:p w14:paraId="0C232B64" w14:textId="77777777" w:rsidR="00F07870" w:rsidRDefault="00F07870" w:rsidP="00296A4A">
            <w:pPr>
              <w:pStyle w:val="TableParagraph"/>
              <w:spacing w:line="111" w:lineRule="exact"/>
              <w:ind w:left="168"/>
              <w:rPr>
                <w:b/>
                <w:sz w:val="12"/>
              </w:rPr>
            </w:pPr>
            <w:r>
              <w:rPr>
                <w:b/>
                <w:color w:val="44536A"/>
                <w:w w:val="105"/>
                <w:sz w:val="12"/>
              </w:rPr>
              <w:t>Prodoc</w:t>
            </w:r>
          </w:p>
          <w:p w14:paraId="3C44497C" w14:textId="77777777" w:rsidR="00F07870" w:rsidRDefault="00F07870" w:rsidP="00296A4A">
            <w:pPr>
              <w:pStyle w:val="TableParagraph"/>
              <w:spacing w:before="21" w:line="146" w:lineRule="exact"/>
              <w:ind w:left="194"/>
              <w:rPr>
                <w:b/>
                <w:sz w:val="12"/>
              </w:rPr>
            </w:pPr>
            <w:r>
              <w:rPr>
                <w:b/>
                <w:color w:val="44536A"/>
                <w:w w:val="105"/>
                <w:sz w:val="12"/>
              </w:rPr>
              <w:t>target</w:t>
            </w:r>
          </w:p>
        </w:tc>
        <w:tc>
          <w:tcPr>
            <w:tcW w:w="571" w:type="dxa"/>
            <w:shd w:val="clear" w:color="auto" w:fill="FFFF00"/>
          </w:tcPr>
          <w:p w14:paraId="22C3EFB1" w14:textId="77777777" w:rsidR="00F07870" w:rsidRDefault="00F07870" w:rsidP="00296A4A">
            <w:pPr>
              <w:pStyle w:val="TableParagraph"/>
              <w:spacing w:before="5"/>
              <w:rPr>
                <w:rFonts w:ascii="Times New Roman"/>
                <w:sz w:val="11"/>
              </w:rPr>
            </w:pPr>
          </w:p>
          <w:p w14:paraId="51CF2461" w14:textId="77777777" w:rsidR="00F07870" w:rsidRDefault="00F07870" w:rsidP="00296A4A">
            <w:pPr>
              <w:pStyle w:val="TableParagraph"/>
              <w:spacing w:line="146" w:lineRule="exact"/>
              <w:ind w:left="97" w:right="53"/>
              <w:jc w:val="center"/>
              <w:rPr>
                <w:b/>
                <w:sz w:val="12"/>
              </w:rPr>
            </w:pPr>
            <w:r>
              <w:rPr>
                <w:b/>
                <w:color w:val="44536A"/>
                <w:w w:val="105"/>
                <w:sz w:val="12"/>
              </w:rPr>
              <w:t>Actual</w:t>
            </w:r>
          </w:p>
        </w:tc>
        <w:tc>
          <w:tcPr>
            <w:tcW w:w="571" w:type="dxa"/>
            <w:shd w:val="clear" w:color="auto" w:fill="F4AF84"/>
          </w:tcPr>
          <w:p w14:paraId="12B3773B" w14:textId="77777777" w:rsidR="00F07870" w:rsidRDefault="00F07870" w:rsidP="00296A4A">
            <w:pPr>
              <w:pStyle w:val="TableParagraph"/>
              <w:spacing w:line="111" w:lineRule="exact"/>
              <w:ind w:left="104"/>
              <w:rPr>
                <w:b/>
                <w:sz w:val="12"/>
              </w:rPr>
            </w:pPr>
            <w:r>
              <w:rPr>
                <w:b/>
                <w:w w:val="105"/>
                <w:sz w:val="12"/>
              </w:rPr>
              <w:t>Report</w:t>
            </w:r>
          </w:p>
          <w:p w14:paraId="09F1CBAF" w14:textId="77777777" w:rsidR="00F07870" w:rsidRDefault="00F07870" w:rsidP="00296A4A">
            <w:pPr>
              <w:pStyle w:val="TableParagraph"/>
              <w:spacing w:before="21" w:line="146" w:lineRule="exact"/>
              <w:ind w:left="125"/>
              <w:rPr>
                <w:b/>
                <w:sz w:val="12"/>
              </w:rPr>
            </w:pPr>
            <w:r>
              <w:rPr>
                <w:b/>
                <w:w w:val="105"/>
                <w:sz w:val="12"/>
              </w:rPr>
              <w:t>target</w:t>
            </w:r>
          </w:p>
        </w:tc>
        <w:tc>
          <w:tcPr>
            <w:tcW w:w="571" w:type="dxa"/>
            <w:shd w:val="clear" w:color="auto" w:fill="F4AF84"/>
          </w:tcPr>
          <w:p w14:paraId="1C1FA35C" w14:textId="77777777" w:rsidR="00F07870" w:rsidRDefault="00F07870" w:rsidP="00296A4A">
            <w:pPr>
              <w:pStyle w:val="TableParagraph"/>
              <w:spacing w:before="5"/>
              <w:rPr>
                <w:rFonts w:ascii="Times New Roman"/>
                <w:sz w:val="11"/>
              </w:rPr>
            </w:pPr>
          </w:p>
          <w:p w14:paraId="04CACF66" w14:textId="77777777" w:rsidR="00F07870" w:rsidRDefault="00F07870" w:rsidP="00296A4A">
            <w:pPr>
              <w:pStyle w:val="TableParagraph"/>
              <w:spacing w:line="146" w:lineRule="exact"/>
              <w:ind w:left="98" w:right="53"/>
              <w:jc w:val="center"/>
              <w:rPr>
                <w:b/>
                <w:sz w:val="12"/>
              </w:rPr>
            </w:pPr>
            <w:r>
              <w:rPr>
                <w:b/>
                <w:color w:val="44536A"/>
                <w:w w:val="105"/>
                <w:sz w:val="12"/>
              </w:rPr>
              <w:t>Actual</w:t>
            </w:r>
          </w:p>
        </w:tc>
        <w:tc>
          <w:tcPr>
            <w:tcW w:w="768" w:type="dxa"/>
            <w:shd w:val="clear" w:color="auto" w:fill="B4C5E7"/>
          </w:tcPr>
          <w:p w14:paraId="738340C3" w14:textId="77777777" w:rsidR="00F07870" w:rsidRDefault="00F07870" w:rsidP="00296A4A">
            <w:pPr>
              <w:pStyle w:val="TableParagraph"/>
              <w:spacing w:before="5"/>
              <w:rPr>
                <w:rFonts w:ascii="Times New Roman"/>
                <w:sz w:val="11"/>
              </w:rPr>
            </w:pPr>
          </w:p>
          <w:p w14:paraId="0D586856" w14:textId="77777777" w:rsidR="00F07870" w:rsidRDefault="00F07870" w:rsidP="00296A4A">
            <w:pPr>
              <w:pStyle w:val="TableParagraph"/>
              <w:spacing w:line="146" w:lineRule="exact"/>
              <w:ind w:right="-29"/>
              <w:jc w:val="right"/>
              <w:rPr>
                <w:b/>
                <w:sz w:val="12"/>
              </w:rPr>
            </w:pPr>
            <w:r>
              <w:rPr>
                <w:b/>
                <w:color w:val="44536A"/>
                <w:w w:val="105"/>
                <w:sz w:val="12"/>
              </w:rPr>
              <w:t>Report</w:t>
            </w:r>
            <w:r>
              <w:rPr>
                <w:b/>
                <w:color w:val="44536A"/>
                <w:spacing w:val="-1"/>
                <w:w w:val="105"/>
                <w:sz w:val="12"/>
              </w:rPr>
              <w:t xml:space="preserve"> </w:t>
            </w:r>
            <w:r>
              <w:rPr>
                <w:b/>
                <w:color w:val="44536A"/>
                <w:w w:val="105"/>
                <w:sz w:val="12"/>
              </w:rPr>
              <w:t>target</w:t>
            </w:r>
          </w:p>
        </w:tc>
        <w:tc>
          <w:tcPr>
            <w:tcW w:w="737" w:type="dxa"/>
            <w:shd w:val="clear" w:color="auto" w:fill="B4C5E7"/>
          </w:tcPr>
          <w:p w14:paraId="13A76983" w14:textId="77777777" w:rsidR="00F07870" w:rsidRDefault="00F07870" w:rsidP="00296A4A">
            <w:pPr>
              <w:pStyle w:val="TableParagraph"/>
              <w:spacing w:before="5"/>
              <w:rPr>
                <w:rFonts w:ascii="Times New Roman"/>
                <w:sz w:val="11"/>
              </w:rPr>
            </w:pPr>
          </w:p>
          <w:p w14:paraId="188777E5" w14:textId="77777777" w:rsidR="00F07870" w:rsidRDefault="00F07870" w:rsidP="00296A4A">
            <w:pPr>
              <w:pStyle w:val="TableParagraph"/>
              <w:spacing w:line="146" w:lineRule="exact"/>
              <w:ind w:left="180" w:right="137"/>
              <w:jc w:val="center"/>
              <w:rPr>
                <w:b/>
                <w:sz w:val="12"/>
              </w:rPr>
            </w:pPr>
            <w:r>
              <w:rPr>
                <w:b/>
                <w:color w:val="44536A"/>
                <w:w w:val="105"/>
                <w:sz w:val="12"/>
              </w:rPr>
              <w:t>Actual</w:t>
            </w:r>
          </w:p>
        </w:tc>
        <w:tc>
          <w:tcPr>
            <w:tcW w:w="809" w:type="dxa"/>
            <w:shd w:val="clear" w:color="auto" w:fill="C5DFB4"/>
          </w:tcPr>
          <w:p w14:paraId="200F539A" w14:textId="77777777" w:rsidR="00F07870" w:rsidRDefault="00F07870" w:rsidP="00296A4A">
            <w:pPr>
              <w:pStyle w:val="TableParagraph"/>
              <w:spacing w:before="5"/>
              <w:rPr>
                <w:rFonts w:ascii="Times New Roman"/>
                <w:sz w:val="11"/>
              </w:rPr>
            </w:pPr>
          </w:p>
          <w:p w14:paraId="0706F265" w14:textId="77777777" w:rsidR="00F07870" w:rsidRDefault="00F07870" w:rsidP="00296A4A">
            <w:pPr>
              <w:pStyle w:val="TableParagraph"/>
              <w:spacing w:line="146" w:lineRule="exact"/>
              <w:ind w:right="-15"/>
              <w:jc w:val="right"/>
              <w:rPr>
                <w:b/>
                <w:sz w:val="12"/>
              </w:rPr>
            </w:pPr>
            <w:r>
              <w:rPr>
                <w:b/>
                <w:color w:val="44536A"/>
                <w:w w:val="105"/>
                <w:sz w:val="12"/>
              </w:rPr>
              <w:t>Report</w:t>
            </w:r>
            <w:r>
              <w:rPr>
                <w:b/>
                <w:color w:val="44536A"/>
                <w:spacing w:val="-1"/>
                <w:w w:val="105"/>
                <w:sz w:val="12"/>
              </w:rPr>
              <w:t xml:space="preserve"> </w:t>
            </w:r>
            <w:r>
              <w:rPr>
                <w:b/>
                <w:color w:val="44536A"/>
                <w:w w:val="105"/>
                <w:sz w:val="12"/>
              </w:rPr>
              <w:t>Target</w:t>
            </w:r>
          </w:p>
        </w:tc>
        <w:tc>
          <w:tcPr>
            <w:tcW w:w="754" w:type="dxa"/>
            <w:shd w:val="clear" w:color="auto" w:fill="C5DFB4"/>
          </w:tcPr>
          <w:p w14:paraId="308DD00E" w14:textId="77777777" w:rsidR="00F07870" w:rsidRDefault="00F07870" w:rsidP="00296A4A">
            <w:pPr>
              <w:pStyle w:val="TableParagraph"/>
              <w:spacing w:before="5"/>
              <w:rPr>
                <w:rFonts w:ascii="Times New Roman"/>
                <w:sz w:val="11"/>
              </w:rPr>
            </w:pPr>
          </w:p>
          <w:p w14:paraId="4B7367E0" w14:textId="77777777" w:rsidR="00F07870" w:rsidRDefault="00F07870" w:rsidP="00296A4A">
            <w:pPr>
              <w:pStyle w:val="TableParagraph"/>
              <w:spacing w:line="146" w:lineRule="exact"/>
              <w:ind w:left="190" w:right="145"/>
              <w:jc w:val="center"/>
              <w:rPr>
                <w:b/>
                <w:sz w:val="12"/>
              </w:rPr>
            </w:pPr>
            <w:r>
              <w:rPr>
                <w:b/>
                <w:color w:val="44536A"/>
                <w:w w:val="105"/>
                <w:sz w:val="12"/>
              </w:rPr>
              <w:t>Actual</w:t>
            </w:r>
          </w:p>
        </w:tc>
        <w:tc>
          <w:tcPr>
            <w:tcW w:w="1188" w:type="dxa"/>
            <w:shd w:val="clear" w:color="auto" w:fill="B1B1B1"/>
          </w:tcPr>
          <w:p w14:paraId="2564DE75" w14:textId="77777777" w:rsidR="00F07870" w:rsidRDefault="00F07870" w:rsidP="00296A4A">
            <w:pPr>
              <w:pStyle w:val="TableParagraph"/>
              <w:rPr>
                <w:rFonts w:ascii="Times New Roman"/>
                <w:sz w:val="12"/>
              </w:rPr>
            </w:pPr>
          </w:p>
        </w:tc>
        <w:tc>
          <w:tcPr>
            <w:tcW w:w="894" w:type="dxa"/>
          </w:tcPr>
          <w:p w14:paraId="29B6FF6E" w14:textId="77777777" w:rsidR="00F07870" w:rsidRDefault="00F07870" w:rsidP="00296A4A">
            <w:pPr>
              <w:pStyle w:val="TableParagraph"/>
              <w:rPr>
                <w:rFonts w:ascii="Times New Roman"/>
                <w:sz w:val="12"/>
              </w:rPr>
            </w:pPr>
          </w:p>
        </w:tc>
        <w:tc>
          <w:tcPr>
            <w:tcW w:w="2623" w:type="dxa"/>
          </w:tcPr>
          <w:p w14:paraId="6C71D907" w14:textId="77777777" w:rsidR="00F07870" w:rsidRDefault="00F07870" w:rsidP="00296A4A">
            <w:pPr>
              <w:pStyle w:val="TableParagraph"/>
              <w:rPr>
                <w:rFonts w:ascii="Times New Roman"/>
                <w:sz w:val="12"/>
              </w:rPr>
            </w:pPr>
          </w:p>
        </w:tc>
      </w:tr>
      <w:tr w:rsidR="00F07870" w14:paraId="1EC30864" w14:textId="77777777" w:rsidTr="00296A4A">
        <w:trPr>
          <w:trHeight w:val="228"/>
        </w:trPr>
        <w:tc>
          <w:tcPr>
            <w:tcW w:w="10953" w:type="dxa"/>
            <w:gridSpan w:val="14"/>
            <w:tcBorders>
              <w:left w:val="single" w:sz="6" w:space="0" w:color="000000"/>
              <w:bottom w:val="single" w:sz="6" w:space="0" w:color="000000"/>
              <w:right w:val="single" w:sz="6" w:space="0" w:color="000000"/>
            </w:tcBorders>
          </w:tcPr>
          <w:p w14:paraId="1D53DD58" w14:textId="77777777" w:rsidR="00F07870" w:rsidRDefault="00F07870" w:rsidP="00296A4A">
            <w:pPr>
              <w:pStyle w:val="TableParagraph"/>
              <w:spacing w:before="77" w:line="131" w:lineRule="exact"/>
              <w:ind w:left="34"/>
              <w:rPr>
                <w:b/>
                <w:sz w:val="12"/>
              </w:rPr>
            </w:pPr>
            <w:r>
              <w:rPr>
                <w:b/>
                <w:w w:val="105"/>
                <w:sz w:val="12"/>
              </w:rPr>
              <w:t>Output</w:t>
            </w:r>
            <w:r>
              <w:rPr>
                <w:b/>
                <w:spacing w:val="-3"/>
                <w:w w:val="105"/>
                <w:sz w:val="12"/>
              </w:rPr>
              <w:t xml:space="preserve"> </w:t>
            </w:r>
            <w:r>
              <w:rPr>
                <w:b/>
                <w:w w:val="105"/>
                <w:sz w:val="12"/>
              </w:rPr>
              <w:t>1: A</w:t>
            </w:r>
            <w:r>
              <w:rPr>
                <w:b/>
                <w:spacing w:val="-2"/>
                <w:w w:val="105"/>
                <w:sz w:val="12"/>
              </w:rPr>
              <w:t xml:space="preserve"> </w:t>
            </w:r>
            <w:r>
              <w:rPr>
                <w:b/>
                <w:w w:val="105"/>
                <w:sz w:val="12"/>
              </w:rPr>
              <w:t>political</w:t>
            </w:r>
            <w:r>
              <w:rPr>
                <w:b/>
                <w:spacing w:val="-1"/>
                <w:w w:val="105"/>
                <w:sz w:val="12"/>
              </w:rPr>
              <w:t xml:space="preserve"> </w:t>
            </w:r>
            <w:r>
              <w:rPr>
                <w:b/>
                <w:w w:val="105"/>
                <w:sz w:val="12"/>
              </w:rPr>
              <w:t>environment</w:t>
            </w:r>
            <w:r>
              <w:rPr>
                <w:b/>
                <w:spacing w:val="-3"/>
                <w:w w:val="105"/>
                <w:sz w:val="12"/>
              </w:rPr>
              <w:t xml:space="preserve"> </w:t>
            </w:r>
            <w:r>
              <w:rPr>
                <w:b/>
                <w:w w:val="105"/>
                <w:sz w:val="12"/>
              </w:rPr>
              <w:t>that</w:t>
            </w:r>
            <w:r>
              <w:rPr>
                <w:b/>
                <w:spacing w:val="-2"/>
                <w:w w:val="105"/>
                <w:sz w:val="12"/>
              </w:rPr>
              <w:t xml:space="preserve"> </w:t>
            </w:r>
            <w:r>
              <w:rPr>
                <w:b/>
                <w:w w:val="105"/>
                <w:sz w:val="12"/>
              </w:rPr>
              <w:t>strengthens</w:t>
            </w:r>
            <w:r>
              <w:rPr>
                <w:b/>
                <w:spacing w:val="-2"/>
                <w:w w:val="105"/>
                <w:sz w:val="12"/>
              </w:rPr>
              <w:t xml:space="preserve"> </w:t>
            </w:r>
            <w:r>
              <w:rPr>
                <w:b/>
                <w:w w:val="105"/>
                <w:sz w:val="12"/>
              </w:rPr>
              <w:t>rule of</w:t>
            </w:r>
            <w:r>
              <w:rPr>
                <w:b/>
                <w:spacing w:val="-1"/>
                <w:w w:val="105"/>
                <w:sz w:val="12"/>
              </w:rPr>
              <w:t xml:space="preserve"> </w:t>
            </w:r>
            <w:r>
              <w:rPr>
                <w:b/>
                <w:w w:val="105"/>
                <w:sz w:val="12"/>
              </w:rPr>
              <w:t>law</w:t>
            </w:r>
            <w:r>
              <w:rPr>
                <w:b/>
                <w:spacing w:val="-2"/>
                <w:w w:val="105"/>
                <w:sz w:val="12"/>
              </w:rPr>
              <w:t xml:space="preserve"> </w:t>
            </w:r>
            <w:r>
              <w:rPr>
                <w:b/>
                <w:w w:val="105"/>
                <w:sz w:val="12"/>
              </w:rPr>
              <w:t>and</w:t>
            </w:r>
            <w:r>
              <w:rPr>
                <w:b/>
                <w:spacing w:val="-3"/>
                <w:w w:val="105"/>
                <w:sz w:val="12"/>
              </w:rPr>
              <w:t xml:space="preserve"> </w:t>
            </w:r>
            <w:r>
              <w:rPr>
                <w:b/>
                <w:w w:val="105"/>
                <w:sz w:val="12"/>
              </w:rPr>
              <w:t>human</w:t>
            </w:r>
            <w:r>
              <w:rPr>
                <w:b/>
                <w:spacing w:val="-2"/>
                <w:w w:val="105"/>
                <w:sz w:val="12"/>
              </w:rPr>
              <w:t xml:space="preserve"> </w:t>
            </w:r>
            <w:r>
              <w:rPr>
                <w:b/>
                <w:w w:val="105"/>
                <w:sz w:val="12"/>
              </w:rPr>
              <w:t>rights</w:t>
            </w:r>
            <w:r>
              <w:rPr>
                <w:b/>
                <w:spacing w:val="-2"/>
                <w:w w:val="105"/>
                <w:sz w:val="12"/>
              </w:rPr>
              <w:t xml:space="preserve"> </w:t>
            </w:r>
            <w:r>
              <w:rPr>
                <w:b/>
                <w:w w:val="105"/>
                <w:sz w:val="12"/>
              </w:rPr>
              <w:t>is</w:t>
            </w:r>
            <w:r>
              <w:rPr>
                <w:b/>
                <w:spacing w:val="-1"/>
                <w:w w:val="105"/>
                <w:sz w:val="12"/>
              </w:rPr>
              <w:t xml:space="preserve"> </w:t>
            </w:r>
            <w:r>
              <w:rPr>
                <w:b/>
                <w:w w:val="105"/>
                <w:sz w:val="12"/>
              </w:rPr>
              <w:t>further</w:t>
            </w:r>
            <w:r>
              <w:rPr>
                <w:b/>
                <w:spacing w:val="-2"/>
                <w:w w:val="105"/>
                <w:sz w:val="12"/>
              </w:rPr>
              <w:t xml:space="preserve"> </w:t>
            </w:r>
            <w:r>
              <w:rPr>
                <w:b/>
                <w:w w:val="105"/>
                <w:sz w:val="12"/>
              </w:rPr>
              <w:t>enabled.</w:t>
            </w:r>
          </w:p>
        </w:tc>
        <w:tc>
          <w:tcPr>
            <w:tcW w:w="2623" w:type="dxa"/>
            <w:tcBorders>
              <w:left w:val="single" w:sz="6" w:space="0" w:color="000000"/>
              <w:bottom w:val="single" w:sz="6" w:space="0" w:color="000000"/>
              <w:right w:val="single" w:sz="6" w:space="0" w:color="000000"/>
            </w:tcBorders>
          </w:tcPr>
          <w:p w14:paraId="355F2960" w14:textId="77777777" w:rsidR="00F07870" w:rsidRDefault="00F07870" w:rsidP="00296A4A">
            <w:pPr>
              <w:pStyle w:val="TableParagraph"/>
              <w:rPr>
                <w:rFonts w:ascii="Times New Roman"/>
                <w:sz w:val="12"/>
              </w:rPr>
            </w:pPr>
          </w:p>
        </w:tc>
      </w:tr>
      <w:tr w:rsidR="00F07870" w14:paraId="691C3550" w14:textId="77777777" w:rsidTr="00296A4A">
        <w:trPr>
          <w:trHeight w:val="678"/>
        </w:trPr>
        <w:tc>
          <w:tcPr>
            <w:tcW w:w="293" w:type="dxa"/>
            <w:tcBorders>
              <w:top w:val="single" w:sz="6" w:space="0" w:color="000000"/>
              <w:left w:val="single" w:sz="6" w:space="0" w:color="000000"/>
              <w:bottom w:val="single" w:sz="6" w:space="0" w:color="000000"/>
              <w:right w:val="single" w:sz="6" w:space="0" w:color="000000"/>
            </w:tcBorders>
          </w:tcPr>
          <w:p w14:paraId="3B25A6DD" w14:textId="77777777" w:rsidR="00F07870" w:rsidRDefault="00F07870" w:rsidP="00296A4A">
            <w:pPr>
              <w:pStyle w:val="TableParagraph"/>
              <w:rPr>
                <w:rFonts w:ascii="Times New Roman"/>
                <w:sz w:val="12"/>
              </w:rPr>
            </w:pPr>
          </w:p>
        </w:tc>
        <w:tc>
          <w:tcPr>
            <w:tcW w:w="1882" w:type="dxa"/>
            <w:tcBorders>
              <w:top w:val="single" w:sz="6" w:space="0" w:color="000000"/>
              <w:left w:val="single" w:sz="6" w:space="0" w:color="000000"/>
              <w:bottom w:val="single" w:sz="6" w:space="0" w:color="000000"/>
              <w:right w:val="single" w:sz="6" w:space="0" w:color="000000"/>
            </w:tcBorders>
          </w:tcPr>
          <w:p w14:paraId="2E7F5184" w14:textId="77777777" w:rsidR="00F07870" w:rsidRDefault="00F07870" w:rsidP="00296A4A">
            <w:pPr>
              <w:pStyle w:val="TableParagraph"/>
              <w:spacing w:before="16" w:line="276" w:lineRule="auto"/>
              <w:ind w:left="34" w:right="48"/>
              <w:rPr>
                <w:sz w:val="12"/>
              </w:rPr>
            </w:pPr>
            <w:r>
              <w:rPr>
                <w:w w:val="105"/>
                <w:sz w:val="12"/>
              </w:rPr>
              <w:t>1.1 Number of contexts with</w:t>
            </w:r>
            <w:r>
              <w:rPr>
                <w:spacing w:val="1"/>
                <w:w w:val="105"/>
                <w:sz w:val="12"/>
              </w:rPr>
              <w:t xml:space="preserve"> </w:t>
            </w:r>
            <w:r>
              <w:rPr>
                <w:w w:val="105"/>
                <w:sz w:val="12"/>
              </w:rPr>
              <w:t>improved capacities for oversight</w:t>
            </w:r>
            <w:r>
              <w:rPr>
                <w:spacing w:val="1"/>
                <w:w w:val="105"/>
                <w:sz w:val="12"/>
              </w:rPr>
              <w:t xml:space="preserve"> </w:t>
            </w:r>
            <w:r>
              <w:rPr>
                <w:w w:val="105"/>
                <w:sz w:val="12"/>
              </w:rPr>
              <w:t>and/or</w:t>
            </w:r>
            <w:r>
              <w:rPr>
                <w:spacing w:val="-2"/>
                <w:w w:val="105"/>
                <w:sz w:val="12"/>
              </w:rPr>
              <w:t xml:space="preserve"> </w:t>
            </w:r>
            <w:r>
              <w:rPr>
                <w:w w:val="105"/>
                <w:sz w:val="12"/>
              </w:rPr>
              <w:t>governance</w:t>
            </w:r>
            <w:r>
              <w:rPr>
                <w:spacing w:val="-1"/>
                <w:w w:val="105"/>
                <w:sz w:val="12"/>
              </w:rPr>
              <w:t xml:space="preserve"> </w:t>
            </w:r>
            <w:r>
              <w:rPr>
                <w:w w:val="105"/>
                <w:sz w:val="12"/>
              </w:rPr>
              <w:t>mechanisms in</w:t>
            </w:r>
          </w:p>
          <w:p w14:paraId="6566F7A3" w14:textId="77777777" w:rsidR="00F07870" w:rsidRDefault="00F07870" w:rsidP="00296A4A">
            <w:pPr>
              <w:pStyle w:val="TableParagraph"/>
              <w:spacing w:line="137" w:lineRule="exact"/>
              <w:ind w:left="34"/>
              <w:rPr>
                <w:sz w:val="12"/>
              </w:rPr>
            </w:pPr>
            <w:r>
              <w:rPr>
                <w:w w:val="105"/>
                <w:sz w:val="12"/>
              </w:rPr>
              <w:t>the</w:t>
            </w:r>
            <w:r>
              <w:rPr>
                <w:spacing w:val="-2"/>
                <w:w w:val="105"/>
                <w:sz w:val="12"/>
              </w:rPr>
              <w:t xml:space="preserve"> </w:t>
            </w:r>
            <w:r>
              <w:rPr>
                <w:w w:val="105"/>
                <w:sz w:val="12"/>
              </w:rPr>
              <w:t>security sector</w:t>
            </w:r>
          </w:p>
        </w:tc>
        <w:tc>
          <w:tcPr>
            <w:tcW w:w="662" w:type="dxa"/>
            <w:tcBorders>
              <w:top w:val="single" w:sz="6" w:space="0" w:color="000000"/>
              <w:left w:val="single" w:sz="6" w:space="0" w:color="000000"/>
              <w:bottom w:val="single" w:sz="6" w:space="0" w:color="000000"/>
              <w:right w:val="single" w:sz="6" w:space="0" w:color="000000"/>
            </w:tcBorders>
            <w:shd w:val="clear" w:color="auto" w:fill="FFCCFF"/>
          </w:tcPr>
          <w:p w14:paraId="3A371B61" w14:textId="77777777" w:rsidR="00F07870" w:rsidRDefault="00F07870" w:rsidP="00296A4A">
            <w:pPr>
              <w:pStyle w:val="TableParagraph"/>
              <w:rPr>
                <w:rFonts w:ascii="Times New Roman"/>
                <w:sz w:val="12"/>
              </w:rPr>
            </w:pPr>
          </w:p>
          <w:p w14:paraId="6F22390B" w14:textId="77777777" w:rsidR="00F07870" w:rsidRDefault="00F07870" w:rsidP="00296A4A">
            <w:pPr>
              <w:pStyle w:val="TableParagraph"/>
              <w:rPr>
                <w:rFonts w:ascii="Times New Roman"/>
                <w:sz w:val="12"/>
              </w:rPr>
            </w:pPr>
          </w:p>
          <w:p w14:paraId="0EF34EEA" w14:textId="77777777" w:rsidR="00F07870" w:rsidRDefault="00F07870" w:rsidP="00296A4A">
            <w:pPr>
              <w:pStyle w:val="TableParagraph"/>
              <w:rPr>
                <w:rFonts w:ascii="Times New Roman"/>
                <w:sz w:val="12"/>
              </w:rPr>
            </w:pPr>
          </w:p>
          <w:p w14:paraId="27271A7C" w14:textId="77777777" w:rsidR="00F07870" w:rsidRDefault="00F07870" w:rsidP="00296A4A">
            <w:pPr>
              <w:pStyle w:val="TableParagraph"/>
              <w:spacing w:before="9"/>
              <w:rPr>
                <w:rFonts w:ascii="Times New Roman"/>
                <w:sz w:val="9"/>
              </w:rPr>
            </w:pPr>
          </w:p>
          <w:p w14:paraId="222FD8B9" w14:textId="77777777" w:rsidR="00F07870" w:rsidRDefault="00F07870" w:rsidP="00296A4A">
            <w:pPr>
              <w:pStyle w:val="TableParagraph"/>
              <w:spacing w:before="1" w:line="131" w:lineRule="exact"/>
              <w:ind w:left="47"/>
              <w:jc w:val="center"/>
              <w:rPr>
                <w:sz w:val="12"/>
              </w:rPr>
            </w:pPr>
            <w:r>
              <w:rPr>
                <w:w w:val="106"/>
                <w:sz w:val="12"/>
              </w:rPr>
              <w:t>7</w:t>
            </w:r>
          </w:p>
        </w:tc>
        <w:tc>
          <w:tcPr>
            <w:tcW w:w="540" w:type="dxa"/>
            <w:tcBorders>
              <w:top w:val="single" w:sz="6" w:space="0" w:color="000000"/>
              <w:left w:val="single" w:sz="6" w:space="0" w:color="000000"/>
              <w:bottom w:val="single" w:sz="6" w:space="0" w:color="000000"/>
              <w:right w:val="single" w:sz="6" w:space="0" w:color="000000"/>
            </w:tcBorders>
            <w:shd w:val="clear" w:color="auto" w:fill="FFCCFF"/>
          </w:tcPr>
          <w:p w14:paraId="2099E43C" w14:textId="77777777" w:rsidR="00F07870" w:rsidRDefault="00F07870" w:rsidP="00296A4A">
            <w:pPr>
              <w:pStyle w:val="TableParagraph"/>
              <w:rPr>
                <w:rFonts w:ascii="Times New Roman"/>
                <w:sz w:val="12"/>
              </w:rPr>
            </w:pPr>
          </w:p>
          <w:p w14:paraId="4AD5A006" w14:textId="77777777" w:rsidR="00F07870" w:rsidRDefault="00F07870" w:rsidP="00296A4A">
            <w:pPr>
              <w:pStyle w:val="TableParagraph"/>
              <w:rPr>
                <w:rFonts w:ascii="Times New Roman"/>
                <w:sz w:val="12"/>
              </w:rPr>
            </w:pPr>
          </w:p>
          <w:p w14:paraId="0068D1F0" w14:textId="77777777" w:rsidR="00F07870" w:rsidRDefault="00F07870" w:rsidP="00296A4A">
            <w:pPr>
              <w:pStyle w:val="TableParagraph"/>
              <w:rPr>
                <w:rFonts w:ascii="Times New Roman"/>
                <w:sz w:val="12"/>
              </w:rPr>
            </w:pPr>
          </w:p>
          <w:p w14:paraId="504A89CD" w14:textId="77777777" w:rsidR="00F07870" w:rsidRDefault="00F07870" w:rsidP="00296A4A">
            <w:pPr>
              <w:pStyle w:val="TableParagraph"/>
              <w:spacing w:before="9"/>
              <w:rPr>
                <w:rFonts w:ascii="Times New Roman"/>
                <w:sz w:val="9"/>
              </w:rPr>
            </w:pPr>
          </w:p>
          <w:p w14:paraId="56955E5B" w14:textId="77777777" w:rsidR="00F07870" w:rsidRDefault="00F07870" w:rsidP="00296A4A">
            <w:pPr>
              <w:pStyle w:val="TableParagraph"/>
              <w:spacing w:before="1" w:line="131" w:lineRule="exact"/>
              <w:ind w:left="136" w:right="88"/>
              <w:jc w:val="center"/>
              <w:rPr>
                <w:sz w:val="12"/>
              </w:rPr>
            </w:pPr>
            <w:r>
              <w:rPr>
                <w:w w:val="105"/>
                <w:sz w:val="12"/>
              </w:rPr>
              <w:t>2015</w:t>
            </w:r>
          </w:p>
        </w:tc>
        <w:tc>
          <w:tcPr>
            <w:tcW w:w="713" w:type="dxa"/>
            <w:tcBorders>
              <w:top w:val="single" w:sz="6" w:space="0" w:color="000000"/>
              <w:left w:val="single" w:sz="6" w:space="0" w:color="000000"/>
              <w:bottom w:val="single" w:sz="6" w:space="0" w:color="000000"/>
              <w:right w:val="single" w:sz="6" w:space="0" w:color="000000"/>
            </w:tcBorders>
            <w:shd w:val="clear" w:color="auto" w:fill="FFFF00"/>
          </w:tcPr>
          <w:p w14:paraId="3B51ABF7" w14:textId="77777777" w:rsidR="00F07870" w:rsidRDefault="00F07870" w:rsidP="00296A4A">
            <w:pPr>
              <w:pStyle w:val="TableParagraph"/>
              <w:rPr>
                <w:rFonts w:ascii="Times New Roman"/>
                <w:sz w:val="12"/>
              </w:rPr>
            </w:pPr>
          </w:p>
          <w:p w14:paraId="473EF394" w14:textId="77777777" w:rsidR="00F07870" w:rsidRDefault="00F07870" w:rsidP="00296A4A">
            <w:pPr>
              <w:pStyle w:val="TableParagraph"/>
              <w:rPr>
                <w:rFonts w:ascii="Times New Roman"/>
                <w:sz w:val="12"/>
              </w:rPr>
            </w:pPr>
          </w:p>
          <w:p w14:paraId="55134E3B" w14:textId="77777777" w:rsidR="00F07870" w:rsidRDefault="00F07870" w:rsidP="00296A4A">
            <w:pPr>
              <w:pStyle w:val="TableParagraph"/>
              <w:rPr>
                <w:rFonts w:ascii="Times New Roman"/>
                <w:sz w:val="12"/>
              </w:rPr>
            </w:pPr>
          </w:p>
          <w:p w14:paraId="60AD02A0" w14:textId="77777777" w:rsidR="00F07870" w:rsidRDefault="00F07870" w:rsidP="00296A4A">
            <w:pPr>
              <w:pStyle w:val="TableParagraph"/>
              <w:spacing w:before="106" w:line="138" w:lineRule="exact"/>
              <w:ind w:left="261" w:right="220"/>
              <w:jc w:val="center"/>
              <w:rPr>
                <w:sz w:val="12"/>
              </w:rPr>
            </w:pPr>
            <w:r>
              <w:rPr>
                <w:w w:val="105"/>
                <w:sz w:val="12"/>
              </w:rPr>
              <w:t>n/a</w:t>
            </w:r>
          </w:p>
        </w:tc>
        <w:tc>
          <w:tcPr>
            <w:tcW w:w="571" w:type="dxa"/>
            <w:tcBorders>
              <w:top w:val="single" w:sz="6" w:space="0" w:color="000000"/>
              <w:left w:val="single" w:sz="6" w:space="0" w:color="000000"/>
              <w:bottom w:val="single" w:sz="6" w:space="0" w:color="000000"/>
              <w:right w:val="single" w:sz="6" w:space="0" w:color="000000"/>
            </w:tcBorders>
            <w:shd w:val="clear" w:color="auto" w:fill="FFFF00"/>
          </w:tcPr>
          <w:p w14:paraId="684AA21E" w14:textId="77777777" w:rsidR="00F07870" w:rsidRDefault="00F07870" w:rsidP="00296A4A">
            <w:pPr>
              <w:pStyle w:val="TableParagraph"/>
              <w:rPr>
                <w:rFonts w:ascii="Times New Roman"/>
                <w:sz w:val="12"/>
              </w:rPr>
            </w:pPr>
          </w:p>
          <w:p w14:paraId="123A4B9E" w14:textId="77777777" w:rsidR="00F07870" w:rsidRDefault="00F07870" w:rsidP="00296A4A">
            <w:pPr>
              <w:pStyle w:val="TableParagraph"/>
              <w:rPr>
                <w:rFonts w:ascii="Times New Roman"/>
                <w:sz w:val="12"/>
              </w:rPr>
            </w:pPr>
          </w:p>
          <w:p w14:paraId="6173A365" w14:textId="77777777" w:rsidR="00F07870" w:rsidRDefault="00F07870" w:rsidP="00296A4A">
            <w:pPr>
              <w:pStyle w:val="TableParagraph"/>
              <w:rPr>
                <w:rFonts w:ascii="Times New Roman"/>
                <w:sz w:val="12"/>
              </w:rPr>
            </w:pPr>
          </w:p>
          <w:p w14:paraId="2C503FF8" w14:textId="77777777" w:rsidR="00F07870" w:rsidRDefault="00F07870" w:rsidP="00296A4A">
            <w:pPr>
              <w:pStyle w:val="TableParagraph"/>
              <w:spacing w:before="9"/>
              <w:rPr>
                <w:rFonts w:ascii="Times New Roman"/>
                <w:sz w:val="9"/>
              </w:rPr>
            </w:pPr>
          </w:p>
          <w:p w14:paraId="1DB2E49D" w14:textId="77777777" w:rsidR="00F07870" w:rsidRDefault="00F07870" w:rsidP="00296A4A">
            <w:pPr>
              <w:pStyle w:val="TableParagraph"/>
              <w:spacing w:before="1" w:line="131" w:lineRule="exact"/>
              <w:ind w:left="49"/>
              <w:jc w:val="center"/>
              <w:rPr>
                <w:sz w:val="12"/>
              </w:rPr>
            </w:pPr>
            <w:r>
              <w:rPr>
                <w:w w:val="106"/>
                <w:sz w:val="12"/>
              </w:rPr>
              <w:t>9</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72F91481" w14:textId="77777777" w:rsidR="00F07870" w:rsidRDefault="00F07870" w:rsidP="00296A4A">
            <w:pPr>
              <w:pStyle w:val="TableParagraph"/>
              <w:rPr>
                <w:rFonts w:ascii="Times New Roman"/>
                <w:sz w:val="12"/>
              </w:rPr>
            </w:pPr>
          </w:p>
          <w:p w14:paraId="58947EEA" w14:textId="77777777" w:rsidR="00F07870" w:rsidRDefault="00F07870" w:rsidP="00296A4A">
            <w:pPr>
              <w:pStyle w:val="TableParagraph"/>
              <w:rPr>
                <w:rFonts w:ascii="Times New Roman"/>
                <w:sz w:val="12"/>
              </w:rPr>
            </w:pPr>
          </w:p>
          <w:p w14:paraId="53D5C022" w14:textId="77777777" w:rsidR="00F07870" w:rsidRDefault="00F07870" w:rsidP="00296A4A">
            <w:pPr>
              <w:pStyle w:val="TableParagraph"/>
              <w:rPr>
                <w:rFonts w:ascii="Times New Roman"/>
                <w:sz w:val="12"/>
              </w:rPr>
            </w:pPr>
          </w:p>
          <w:p w14:paraId="4A38AC1F" w14:textId="77777777" w:rsidR="00F07870" w:rsidRDefault="00F07870" w:rsidP="00296A4A">
            <w:pPr>
              <w:pStyle w:val="TableParagraph"/>
              <w:spacing w:before="106" w:line="138" w:lineRule="exact"/>
              <w:ind w:left="44"/>
              <w:jc w:val="center"/>
              <w:rPr>
                <w:sz w:val="12"/>
              </w:rPr>
            </w:pPr>
            <w:r>
              <w:rPr>
                <w:w w:val="106"/>
                <w:sz w:val="12"/>
              </w:rPr>
              <w:t>8</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7B2FFDF2" w14:textId="77777777" w:rsidR="00F07870" w:rsidRDefault="00F07870" w:rsidP="00296A4A">
            <w:pPr>
              <w:pStyle w:val="TableParagraph"/>
              <w:rPr>
                <w:rFonts w:ascii="Times New Roman"/>
                <w:sz w:val="12"/>
              </w:rPr>
            </w:pPr>
          </w:p>
          <w:p w14:paraId="7B2E2133" w14:textId="77777777" w:rsidR="00F07870" w:rsidRDefault="00F07870" w:rsidP="00296A4A">
            <w:pPr>
              <w:pStyle w:val="TableParagraph"/>
              <w:rPr>
                <w:rFonts w:ascii="Times New Roman"/>
                <w:sz w:val="12"/>
              </w:rPr>
            </w:pPr>
          </w:p>
          <w:p w14:paraId="33BC9E22" w14:textId="77777777" w:rsidR="00F07870" w:rsidRDefault="00F07870" w:rsidP="00296A4A">
            <w:pPr>
              <w:pStyle w:val="TableParagraph"/>
              <w:rPr>
                <w:rFonts w:ascii="Times New Roman"/>
                <w:sz w:val="12"/>
              </w:rPr>
            </w:pPr>
          </w:p>
          <w:p w14:paraId="660B5AE3" w14:textId="77777777" w:rsidR="00F07870" w:rsidRDefault="00F07870" w:rsidP="00296A4A">
            <w:pPr>
              <w:pStyle w:val="TableParagraph"/>
              <w:spacing w:before="9"/>
              <w:rPr>
                <w:rFonts w:ascii="Times New Roman"/>
                <w:sz w:val="9"/>
              </w:rPr>
            </w:pPr>
          </w:p>
          <w:p w14:paraId="5CAA9CD1" w14:textId="77777777" w:rsidR="00F07870" w:rsidRDefault="00F07870" w:rsidP="00296A4A">
            <w:pPr>
              <w:pStyle w:val="TableParagraph"/>
              <w:spacing w:before="1" w:line="131" w:lineRule="exact"/>
              <w:ind w:left="72" w:right="20"/>
              <w:jc w:val="center"/>
              <w:rPr>
                <w:sz w:val="12"/>
              </w:rPr>
            </w:pPr>
            <w:r>
              <w:rPr>
                <w:w w:val="105"/>
                <w:sz w:val="12"/>
              </w:rPr>
              <w:t>14</w:t>
            </w:r>
          </w:p>
        </w:tc>
        <w:tc>
          <w:tcPr>
            <w:tcW w:w="768" w:type="dxa"/>
            <w:tcBorders>
              <w:top w:val="single" w:sz="6" w:space="0" w:color="000000"/>
              <w:left w:val="single" w:sz="6" w:space="0" w:color="000000"/>
              <w:bottom w:val="single" w:sz="6" w:space="0" w:color="000000"/>
              <w:right w:val="single" w:sz="6" w:space="0" w:color="000000"/>
            </w:tcBorders>
            <w:shd w:val="clear" w:color="auto" w:fill="B4C5E7"/>
          </w:tcPr>
          <w:p w14:paraId="184EDC6A" w14:textId="77777777" w:rsidR="00F07870" w:rsidRDefault="00F07870" w:rsidP="00296A4A">
            <w:pPr>
              <w:pStyle w:val="TableParagraph"/>
              <w:rPr>
                <w:rFonts w:ascii="Times New Roman"/>
                <w:sz w:val="12"/>
              </w:rPr>
            </w:pPr>
          </w:p>
          <w:p w14:paraId="246A83DC" w14:textId="77777777" w:rsidR="00F07870" w:rsidRDefault="00F07870" w:rsidP="00296A4A">
            <w:pPr>
              <w:pStyle w:val="TableParagraph"/>
              <w:rPr>
                <w:rFonts w:ascii="Times New Roman"/>
                <w:sz w:val="12"/>
              </w:rPr>
            </w:pPr>
          </w:p>
          <w:p w14:paraId="25514EFD" w14:textId="77777777" w:rsidR="00F07870" w:rsidRDefault="00F07870" w:rsidP="00296A4A">
            <w:pPr>
              <w:pStyle w:val="TableParagraph"/>
              <w:rPr>
                <w:rFonts w:ascii="Times New Roman"/>
                <w:sz w:val="12"/>
              </w:rPr>
            </w:pPr>
          </w:p>
          <w:p w14:paraId="3B4FFF00" w14:textId="77777777" w:rsidR="00F07870" w:rsidRDefault="00F07870" w:rsidP="00296A4A">
            <w:pPr>
              <w:pStyle w:val="TableParagraph"/>
              <w:spacing w:before="106" w:line="138" w:lineRule="exact"/>
              <w:ind w:left="45"/>
              <w:jc w:val="center"/>
              <w:rPr>
                <w:sz w:val="12"/>
              </w:rPr>
            </w:pPr>
            <w:r>
              <w:rPr>
                <w:w w:val="106"/>
                <w:sz w:val="12"/>
              </w:rPr>
              <w:t>7</w:t>
            </w:r>
          </w:p>
        </w:tc>
        <w:tc>
          <w:tcPr>
            <w:tcW w:w="737" w:type="dxa"/>
            <w:tcBorders>
              <w:top w:val="single" w:sz="6" w:space="0" w:color="000000"/>
              <w:left w:val="single" w:sz="6" w:space="0" w:color="000000"/>
              <w:bottom w:val="single" w:sz="6" w:space="0" w:color="000000"/>
              <w:right w:val="single" w:sz="6" w:space="0" w:color="000000"/>
            </w:tcBorders>
            <w:shd w:val="clear" w:color="auto" w:fill="B4C5E7"/>
          </w:tcPr>
          <w:p w14:paraId="06F67A98" w14:textId="77777777" w:rsidR="00F07870" w:rsidRDefault="00F07870" w:rsidP="00296A4A">
            <w:pPr>
              <w:pStyle w:val="TableParagraph"/>
              <w:rPr>
                <w:rFonts w:ascii="Times New Roman"/>
                <w:sz w:val="12"/>
              </w:rPr>
            </w:pPr>
          </w:p>
          <w:p w14:paraId="38C9D9A8" w14:textId="77777777" w:rsidR="00F07870" w:rsidRDefault="00F07870" w:rsidP="00296A4A">
            <w:pPr>
              <w:pStyle w:val="TableParagraph"/>
              <w:rPr>
                <w:rFonts w:ascii="Times New Roman"/>
                <w:sz w:val="12"/>
              </w:rPr>
            </w:pPr>
          </w:p>
          <w:p w14:paraId="32AFE3F7" w14:textId="77777777" w:rsidR="00F07870" w:rsidRDefault="00F07870" w:rsidP="00296A4A">
            <w:pPr>
              <w:pStyle w:val="TableParagraph"/>
              <w:rPr>
                <w:rFonts w:ascii="Times New Roman"/>
                <w:sz w:val="12"/>
              </w:rPr>
            </w:pPr>
          </w:p>
          <w:p w14:paraId="20C93DB8" w14:textId="77777777" w:rsidR="00F07870" w:rsidRDefault="00F07870" w:rsidP="00296A4A">
            <w:pPr>
              <w:pStyle w:val="TableParagraph"/>
              <w:spacing w:before="106" w:line="138" w:lineRule="exact"/>
              <w:ind w:left="76" w:right="31"/>
              <w:jc w:val="center"/>
              <w:rPr>
                <w:sz w:val="12"/>
              </w:rPr>
            </w:pPr>
            <w:r>
              <w:rPr>
                <w:w w:val="105"/>
                <w:sz w:val="12"/>
              </w:rPr>
              <w:t>20</w:t>
            </w:r>
          </w:p>
        </w:tc>
        <w:tc>
          <w:tcPr>
            <w:tcW w:w="809" w:type="dxa"/>
            <w:tcBorders>
              <w:top w:val="single" w:sz="6" w:space="0" w:color="000000"/>
              <w:left w:val="single" w:sz="6" w:space="0" w:color="000000"/>
              <w:bottom w:val="single" w:sz="6" w:space="0" w:color="000000"/>
              <w:right w:val="single" w:sz="6" w:space="0" w:color="000000"/>
            </w:tcBorders>
            <w:shd w:val="clear" w:color="auto" w:fill="C5DFB4"/>
          </w:tcPr>
          <w:p w14:paraId="63517E27" w14:textId="77777777" w:rsidR="00F07870" w:rsidRDefault="00F07870" w:rsidP="00296A4A">
            <w:pPr>
              <w:pStyle w:val="TableParagraph"/>
              <w:rPr>
                <w:rFonts w:ascii="Times New Roman"/>
                <w:sz w:val="12"/>
              </w:rPr>
            </w:pPr>
          </w:p>
          <w:p w14:paraId="486194DB" w14:textId="77777777" w:rsidR="00F07870" w:rsidRDefault="00F07870" w:rsidP="00296A4A">
            <w:pPr>
              <w:pStyle w:val="TableParagraph"/>
              <w:rPr>
                <w:rFonts w:ascii="Times New Roman"/>
                <w:sz w:val="12"/>
              </w:rPr>
            </w:pPr>
          </w:p>
          <w:p w14:paraId="6298649B" w14:textId="77777777" w:rsidR="00F07870" w:rsidRDefault="00F07870" w:rsidP="00296A4A">
            <w:pPr>
              <w:pStyle w:val="TableParagraph"/>
              <w:rPr>
                <w:rFonts w:ascii="Times New Roman"/>
                <w:sz w:val="12"/>
              </w:rPr>
            </w:pPr>
          </w:p>
          <w:p w14:paraId="0B58805A" w14:textId="77777777" w:rsidR="00F07870" w:rsidRDefault="00F07870" w:rsidP="00296A4A">
            <w:pPr>
              <w:pStyle w:val="TableParagraph"/>
              <w:spacing w:before="9"/>
              <w:rPr>
                <w:rFonts w:ascii="Times New Roman"/>
                <w:sz w:val="9"/>
              </w:rPr>
            </w:pPr>
          </w:p>
          <w:p w14:paraId="5D40C1B4" w14:textId="77777777" w:rsidR="00F07870" w:rsidRDefault="00F07870" w:rsidP="00296A4A">
            <w:pPr>
              <w:pStyle w:val="TableParagraph"/>
              <w:spacing w:before="1" w:line="131" w:lineRule="exact"/>
              <w:ind w:left="335" w:right="285"/>
              <w:jc w:val="center"/>
              <w:rPr>
                <w:sz w:val="12"/>
              </w:rPr>
            </w:pPr>
            <w:r>
              <w:rPr>
                <w:w w:val="105"/>
                <w:sz w:val="12"/>
              </w:rPr>
              <w:t>13</w:t>
            </w:r>
          </w:p>
        </w:tc>
        <w:tc>
          <w:tcPr>
            <w:tcW w:w="754" w:type="dxa"/>
            <w:tcBorders>
              <w:top w:val="single" w:sz="6" w:space="0" w:color="000000"/>
              <w:left w:val="single" w:sz="6" w:space="0" w:color="000000"/>
              <w:bottom w:val="single" w:sz="6" w:space="0" w:color="000000"/>
              <w:right w:val="single" w:sz="6" w:space="0" w:color="000000"/>
            </w:tcBorders>
            <w:shd w:val="clear" w:color="auto" w:fill="C5DFB4"/>
          </w:tcPr>
          <w:p w14:paraId="1853FB66" w14:textId="77777777" w:rsidR="00F07870" w:rsidRDefault="00F07870" w:rsidP="00296A4A">
            <w:pPr>
              <w:pStyle w:val="TableParagraph"/>
              <w:rPr>
                <w:rFonts w:ascii="Times New Roman"/>
                <w:sz w:val="12"/>
              </w:rPr>
            </w:pPr>
          </w:p>
          <w:p w14:paraId="68E025D5" w14:textId="77777777" w:rsidR="00F07870" w:rsidRDefault="00F07870" w:rsidP="00296A4A">
            <w:pPr>
              <w:pStyle w:val="TableParagraph"/>
              <w:rPr>
                <w:rFonts w:ascii="Times New Roman"/>
                <w:sz w:val="12"/>
              </w:rPr>
            </w:pPr>
          </w:p>
          <w:p w14:paraId="7A185BE7" w14:textId="77777777" w:rsidR="00F07870" w:rsidRDefault="00F07870" w:rsidP="00296A4A">
            <w:pPr>
              <w:pStyle w:val="TableParagraph"/>
              <w:rPr>
                <w:rFonts w:ascii="Times New Roman"/>
                <w:sz w:val="12"/>
              </w:rPr>
            </w:pPr>
          </w:p>
          <w:p w14:paraId="138AB2F8" w14:textId="77777777" w:rsidR="00F07870" w:rsidRDefault="00F07870" w:rsidP="00296A4A">
            <w:pPr>
              <w:pStyle w:val="TableParagraph"/>
              <w:spacing w:before="9"/>
              <w:rPr>
                <w:rFonts w:ascii="Times New Roman"/>
                <w:sz w:val="9"/>
              </w:rPr>
            </w:pPr>
          </w:p>
          <w:p w14:paraId="4B0085EC" w14:textId="77777777" w:rsidR="00F07870" w:rsidRDefault="00F07870" w:rsidP="00296A4A">
            <w:pPr>
              <w:pStyle w:val="TableParagraph"/>
              <w:spacing w:before="1" w:line="131" w:lineRule="exact"/>
              <w:ind w:left="88" w:right="36"/>
              <w:jc w:val="center"/>
              <w:rPr>
                <w:sz w:val="12"/>
              </w:rPr>
            </w:pPr>
            <w:r>
              <w:rPr>
                <w:w w:val="105"/>
                <w:sz w:val="12"/>
              </w:rPr>
              <w:t>22</w:t>
            </w:r>
          </w:p>
        </w:tc>
        <w:tc>
          <w:tcPr>
            <w:tcW w:w="1188" w:type="dxa"/>
            <w:tcBorders>
              <w:top w:val="single" w:sz="6" w:space="0" w:color="000000"/>
              <w:left w:val="single" w:sz="6" w:space="0" w:color="000000"/>
              <w:bottom w:val="single" w:sz="6" w:space="0" w:color="000000"/>
              <w:right w:val="single" w:sz="6" w:space="0" w:color="000000"/>
            </w:tcBorders>
            <w:shd w:val="clear" w:color="auto" w:fill="B1B1B1"/>
          </w:tcPr>
          <w:p w14:paraId="6E1E808E" w14:textId="77777777" w:rsidR="00F07870" w:rsidRDefault="00F07870" w:rsidP="00296A4A">
            <w:pPr>
              <w:pStyle w:val="TableParagraph"/>
              <w:spacing w:before="16" w:line="276" w:lineRule="auto"/>
              <w:ind w:left="66" w:right="20" w:firstLine="48"/>
              <w:jc w:val="both"/>
              <w:rPr>
                <w:sz w:val="12"/>
              </w:rPr>
            </w:pPr>
            <w:r>
              <w:rPr>
                <w:w w:val="105"/>
                <w:sz w:val="12"/>
              </w:rPr>
              <w:t>Significant increase</w:t>
            </w:r>
            <w:r>
              <w:rPr>
                <w:spacing w:val="1"/>
                <w:w w:val="105"/>
                <w:sz w:val="12"/>
              </w:rPr>
              <w:t xml:space="preserve"> </w:t>
            </w:r>
            <w:r>
              <w:rPr>
                <w:w w:val="105"/>
                <w:sz w:val="12"/>
              </w:rPr>
              <w:t>(3X baseline), 2019</w:t>
            </w:r>
            <w:r>
              <w:rPr>
                <w:spacing w:val="1"/>
                <w:w w:val="105"/>
                <w:sz w:val="12"/>
              </w:rPr>
              <w:t xml:space="preserve"> </w:t>
            </w:r>
            <w:r>
              <w:rPr>
                <w:w w:val="105"/>
                <w:sz w:val="12"/>
              </w:rPr>
              <w:t>target</w:t>
            </w:r>
            <w:r>
              <w:rPr>
                <w:spacing w:val="-3"/>
                <w:w w:val="105"/>
                <w:sz w:val="12"/>
              </w:rPr>
              <w:t xml:space="preserve"> </w:t>
            </w:r>
            <w:r>
              <w:rPr>
                <w:w w:val="105"/>
                <w:sz w:val="12"/>
              </w:rPr>
              <w:t>set</w:t>
            </w:r>
            <w:r>
              <w:rPr>
                <w:spacing w:val="-3"/>
                <w:w w:val="105"/>
                <w:sz w:val="12"/>
              </w:rPr>
              <w:t xml:space="preserve"> </w:t>
            </w:r>
            <w:r>
              <w:rPr>
                <w:w w:val="105"/>
                <w:sz w:val="12"/>
              </w:rPr>
              <w:t>lower</w:t>
            </w:r>
            <w:r>
              <w:rPr>
                <w:spacing w:val="-5"/>
                <w:w w:val="105"/>
                <w:sz w:val="12"/>
              </w:rPr>
              <w:t xml:space="preserve"> </w:t>
            </w:r>
            <w:r>
              <w:rPr>
                <w:w w:val="105"/>
                <w:sz w:val="12"/>
              </w:rPr>
              <w:t>than</w:t>
            </w:r>
          </w:p>
          <w:p w14:paraId="2336AEEA" w14:textId="77777777" w:rsidR="00F07870" w:rsidRDefault="00F07870" w:rsidP="00296A4A">
            <w:pPr>
              <w:pStyle w:val="TableParagraph"/>
              <w:spacing w:line="137" w:lineRule="exact"/>
              <w:ind w:left="100"/>
              <w:jc w:val="both"/>
              <w:rPr>
                <w:sz w:val="12"/>
              </w:rPr>
            </w:pPr>
            <w:r>
              <w:rPr>
                <w:w w:val="105"/>
                <w:sz w:val="12"/>
              </w:rPr>
              <w:t>2018,</w:t>
            </w:r>
            <w:r>
              <w:rPr>
                <w:spacing w:val="1"/>
                <w:w w:val="105"/>
                <w:sz w:val="12"/>
              </w:rPr>
              <w:t xml:space="preserve"> </w:t>
            </w:r>
            <w:r>
              <w:rPr>
                <w:w w:val="105"/>
                <w:sz w:val="12"/>
              </w:rPr>
              <w:t>but</w:t>
            </w:r>
            <w:r>
              <w:rPr>
                <w:spacing w:val="2"/>
                <w:w w:val="105"/>
                <w:sz w:val="12"/>
              </w:rPr>
              <w:t xml:space="preserve"> </w:t>
            </w:r>
            <w:r>
              <w:rPr>
                <w:w w:val="105"/>
                <w:sz w:val="12"/>
              </w:rPr>
              <w:t>exceeded</w:t>
            </w:r>
          </w:p>
        </w:tc>
        <w:tc>
          <w:tcPr>
            <w:tcW w:w="894" w:type="dxa"/>
            <w:tcBorders>
              <w:top w:val="single" w:sz="6" w:space="0" w:color="000000"/>
              <w:left w:val="single" w:sz="6" w:space="0" w:color="000000"/>
              <w:bottom w:val="single" w:sz="6" w:space="0" w:color="000000"/>
              <w:right w:val="single" w:sz="6" w:space="0" w:color="000000"/>
            </w:tcBorders>
          </w:tcPr>
          <w:p w14:paraId="03E10D12" w14:textId="77777777" w:rsidR="00F07870" w:rsidRDefault="00F07870" w:rsidP="00296A4A">
            <w:pPr>
              <w:pStyle w:val="TableParagraph"/>
              <w:spacing w:before="16" w:line="276" w:lineRule="auto"/>
              <w:ind w:left="35" w:right="88"/>
              <w:rPr>
                <w:sz w:val="12"/>
              </w:rPr>
            </w:pPr>
            <w:r>
              <w:rPr>
                <w:w w:val="105"/>
                <w:sz w:val="12"/>
              </w:rPr>
              <w:t>IRRF</w:t>
            </w:r>
            <w:r>
              <w:rPr>
                <w:spacing w:val="1"/>
                <w:w w:val="105"/>
                <w:sz w:val="12"/>
              </w:rPr>
              <w:t xml:space="preserve"> </w:t>
            </w:r>
            <w:r>
              <w:rPr>
                <w:w w:val="105"/>
                <w:sz w:val="12"/>
              </w:rPr>
              <w:t>Indicator</w:t>
            </w:r>
            <w:r>
              <w:rPr>
                <w:spacing w:val="-26"/>
                <w:w w:val="105"/>
                <w:sz w:val="12"/>
              </w:rPr>
              <w:t xml:space="preserve"> </w:t>
            </w:r>
            <w:r>
              <w:rPr>
                <w:w w:val="105"/>
                <w:sz w:val="12"/>
              </w:rPr>
              <w:t>2.2.3.3</w:t>
            </w:r>
            <w:r>
              <w:rPr>
                <w:spacing w:val="7"/>
                <w:w w:val="105"/>
                <w:sz w:val="12"/>
              </w:rPr>
              <w:t xml:space="preserve"> </w:t>
            </w:r>
            <w:r>
              <w:rPr>
                <w:w w:val="105"/>
                <w:sz w:val="12"/>
              </w:rPr>
              <w:t>RoLSHR</w:t>
            </w:r>
          </w:p>
          <w:p w14:paraId="6BBF18A5" w14:textId="77777777" w:rsidR="00F07870" w:rsidRDefault="00F07870" w:rsidP="00296A4A">
            <w:pPr>
              <w:pStyle w:val="TableParagraph"/>
              <w:spacing w:line="137" w:lineRule="exact"/>
              <w:ind w:left="35"/>
              <w:rPr>
                <w:sz w:val="12"/>
              </w:rPr>
            </w:pPr>
            <w:r>
              <w:rPr>
                <w:w w:val="105"/>
                <w:sz w:val="12"/>
              </w:rPr>
              <w:t>Reporting</w:t>
            </w:r>
          </w:p>
        </w:tc>
        <w:tc>
          <w:tcPr>
            <w:tcW w:w="2623" w:type="dxa"/>
            <w:tcBorders>
              <w:top w:val="single" w:sz="6" w:space="0" w:color="000000"/>
              <w:left w:val="single" w:sz="6" w:space="0" w:color="000000"/>
              <w:bottom w:val="single" w:sz="6" w:space="0" w:color="000000"/>
              <w:right w:val="single" w:sz="6" w:space="0" w:color="000000"/>
            </w:tcBorders>
          </w:tcPr>
          <w:p w14:paraId="1D21591F" w14:textId="77777777" w:rsidR="00F07870" w:rsidRDefault="00F07870" w:rsidP="00296A4A">
            <w:pPr>
              <w:pStyle w:val="TableParagraph"/>
              <w:spacing w:before="16" w:line="276" w:lineRule="auto"/>
              <w:ind w:left="34" w:right="65"/>
              <w:rPr>
                <w:sz w:val="12"/>
              </w:rPr>
            </w:pPr>
            <w:r>
              <w:rPr>
                <w:w w:val="105"/>
                <w:sz w:val="12"/>
              </w:rPr>
              <w:t>IRRF Indicator 2.2.3.3 measures “Number of</w:t>
            </w:r>
            <w:r>
              <w:rPr>
                <w:spacing w:val="1"/>
                <w:w w:val="105"/>
                <w:sz w:val="12"/>
              </w:rPr>
              <w:t xml:space="preserve"> </w:t>
            </w:r>
            <w:r>
              <w:rPr>
                <w:w w:val="105"/>
                <w:sz w:val="12"/>
              </w:rPr>
              <w:t>additional</w:t>
            </w:r>
            <w:r>
              <w:rPr>
                <w:spacing w:val="-1"/>
                <w:w w:val="105"/>
                <w:sz w:val="12"/>
              </w:rPr>
              <w:t xml:space="preserve"> </w:t>
            </w:r>
            <w:r>
              <w:rPr>
                <w:w w:val="105"/>
                <w:sz w:val="12"/>
              </w:rPr>
              <w:t>contexts</w:t>
            </w:r>
            <w:r>
              <w:rPr>
                <w:spacing w:val="1"/>
                <w:w w:val="105"/>
                <w:sz w:val="12"/>
              </w:rPr>
              <w:t xml:space="preserve"> </w:t>
            </w:r>
            <w:r>
              <w:rPr>
                <w:w w:val="105"/>
                <w:sz w:val="12"/>
              </w:rPr>
              <w:t>with strengthened capacities</w:t>
            </w:r>
            <w:r>
              <w:rPr>
                <w:spacing w:val="-25"/>
                <w:w w:val="105"/>
                <w:sz w:val="12"/>
              </w:rPr>
              <w:t xml:space="preserve"> </w:t>
            </w:r>
            <w:r>
              <w:rPr>
                <w:w w:val="105"/>
                <w:sz w:val="12"/>
              </w:rPr>
              <w:t>for</w:t>
            </w:r>
            <w:r>
              <w:rPr>
                <w:spacing w:val="-2"/>
                <w:w w:val="105"/>
                <w:sz w:val="12"/>
              </w:rPr>
              <w:t xml:space="preserve"> </w:t>
            </w:r>
            <w:r>
              <w:rPr>
                <w:w w:val="105"/>
                <w:sz w:val="12"/>
              </w:rPr>
              <w:t>governance</w:t>
            </w:r>
            <w:r>
              <w:rPr>
                <w:spacing w:val="-1"/>
                <w:w w:val="105"/>
                <w:sz w:val="12"/>
              </w:rPr>
              <w:t xml:space="preserve"> </w:t>
            </w:r>
            <w:r>
              <w:rPr>
                <w:w w:val="105"/>
                <w:sz w:val="12"/>
              </w:rPr>
              <w:t>and</w:t>
            </w:r>
            <w:r>
              <w:rPr>
                <w:spacing w:val="-1"/>
                <w:w w:val="105"/>
                <w:sz w:val="12"/>
              </w:rPr>
              <w:t xml:space="preserve"> </w:t>
            </w:r>
            <w:r>
              <w:rPr>
                <w:w w:val="105"/>
                <w:sz w:val="12"/>
              </w:rPr>
              <w:t>oversight</w:t>
            </w:r>
            <w:r>
              <w:rPr>
                <w:spacing w:val="1"/>
                <w:w w:val="105"/>
                <w:sz w:val="12"/>
              </w:rPr>
              <w:t xml:space="preserve"> </w:t>
            </w:r>
            <w:r>
              <w:rPr>
                <w:w w:val="105"/>
                <w:sz w:val="12"/>
              </w:rPr>
              <w:t>of</w:t>
            </w:r>
            <w:r>
              <w:rPr>
                <w:spacing w:val="-1"/>
                <w:w w:val="105"/>
                <w:sz w:val="12"/>
              </w:rPr>
              <w:t xml:space="preserve"> </w:t>
            </w:r>
            <w:r>
              <w:rPr>
                <w:w w:val="105"/>
                <w:sz w:val="12"/>
              </w:rPr>
              <w:t>rule</w:t>
            </w:r>
            <w:r>
              <w:rPr>
                <w:spacing w:val="-1"/>
                <w:w w:val="105"/>
                <w:sz w:val="12"/>
              </w:rPr>
              <w:t xml:space="preserve"> </w:t>
            </w:r>
            <w:r>
              <w:rPr>
                <w:w w:val="105"/>
                <w:sz w:val="12"/>
              </w:rPr>
              <w:t>of</w:t>
            </w:r>
            <w:r>
              <w:rPr>
                <w:spacing w:val="-1"/>
                <w:w w:val="105"/>
                <w:sz w:val="12"/>
              </w:rPr>
              <w:t xml:space="preserve"> </w:t>
            </w:r>
            <w:r>
              <w:rPr>
                <w:w w:val="105"/>
                <w:sz w:val="12"/>
              </w:rPr>
              <w:t>law</w:t>
            </w:r>
          </w:p>
          <w:p w14:paraId="2364B263" w14:textId="77777777" w:rsidR="00F07870" w:rsidRDefault="00F07870" w:rsidP="00296A4A">
            <w:pPr>
              <w:pStyle w:val="TableParagraph"/>
              <w:spacing w:line="137" w:lineRule="exact"/>
              <w:ind w:left="34"/>
              <w:rPr>
                <w:sz w:val="12"/>
              </w:rPr>
            </w:pPr>
            <w:r>
              <w:rPr>
                <w:w w:val="105"/>
                <w:sz w:val="12"/>
              </w:rPr>
              <w:t>institutions”</w:t>
            </w:r>
          </w:p>
        </w:tc>
      </w:tr>
      <w:tr w:rsidR="00F07870" w14:paraId="0F4BB4F5" w14:textId="77777777" w:rsidTr="00296A4A">
        <w:trPr>
          <w:trHeight w:val="1332"/>
        </w:trPr>
        <w:tc>
          <w:tcPr>
            <w:tcW w:w="293" w:type="dxa"/>
            <w:tcBorders>
              <w:top w:val="single" w:sz="6" w:space="0" w:color="000000"/>
              <w:left w:val="single" w:sz="6" w:space="0" w:color="000000"/>
              <w:bottom w:val="single" w:sz="6" w:space="0" w:color="000000"/>
              <w:right w:val="single" w:sz="6" w:space="0" w:color="000000"/>
            </w:tcBorders>
          </w:tcPr>
          <w:p w14:paraId="7A36247C" w14:textId="77777777" w:rsidR="00F07870" w:rsidRDefault="00F07870" w:rsidP="00296A4A">
            <w:pPr>
              <w:pStyle w:val="TableParagraph"/>
              <w:rPr>
                <w:rFonts w:ascii="Times New Roman"/>
                <w:sz w:val="12"/>
              </w:rPr>
            </w:pPr>
          </w:p>
        </w:tc>
        <w:tc>
          <w:tcPr>
            <w:tcW w:w="1882" w:type="dxa"/>
            <w:tcBorders>
              <w:top w:val="single" w:sz="6" w:space="0" w:color="000000"/>
              <w:left w:val="single" w:sz="6" w:space="0" w:color="000000"/>
              <w:bottom w:val="single" w:sz="6" w:space="0" w:color="000000"/>
              <w:right w:val="single" w:sz="6" w:space="0" w:color="000000"/>
            </w:tcBorders>
          </w:tcPr>
          <w:p w14:paraId="0A22B4DE" w14:textId="77777777" w:rsidR="00F07870" w:rsidRDefault="00F07870" w:rsidP="00296A4A">
            <w:pPr>
              <w:pStyle w:val="TableParagraph"/>
              <w:rPr>
                <w:rFonts w:ascii="Times New Roman"/>
                <w:sz w:val="12"/>
              </w:rPr>
            </w:pPr>
          </w:p>
          <w:p w14:paraId="70815A06" w14:textId="77777777" w:rsidR="00F07870" w:rsidRDefault="00F07870" w:rsidP="00296A4A">
            <w:pPr>
              <w:pStyle w:val="TableParagraph"/>
              <w:spacing w:before="11"/>
              <w:rPr>
                <w:rFonts w:ascii="Times New Roman"/>
                <w:sz w:val="16"/>
              </w:rPr>
            </w:pPr>
          </w:p>
          <w:p w14:paraId="2D678CEB" w14:textId="77777777" w:rsidR="00F07870" w:rsidRDefault="00F07870" w:rsidP="00296A4A">
            <w:pPr>
              <w:pStyle w:val="TableParagraph"/>
              <w:spacing w:line="276" w:lineRule="auto"/>
              <w:ind w:left="34" w:right="34"/>
              <w:rPr>
                <w:sz w:val="12"/>
              </w:rPr>
            </w:pPr>
            <w:r>
              <w:rPr>
                <w:w w:val="105"/>
                <w:sz w:val="12"/>
              </w:rPr>
              <w:t>1.2 Joint programmes in place to</w:t>
            </w:r>
            <w:r>
              <w:rPr>
                <w:spacing w:val="1"/>
                <w:w w:val="105"/>
                <w:sz w:val="12"/>
              </w:rPr>
              <w:t xml:space="preserve"> </w:t>
            </w:r>
            <w:r>
              <w:rPr>
                <w:w w:val="105"/>
                <w:sz w:val="12"/>
              </w:rPr>
              <w:t>increase the impact of UN system</w:t>
            </w:r>
            <w:r>
              <w:rPr>
                <w:spacing w:val="1"/>
                <w:w w:val="105"/>
                <w:sz w:val="12"/>
              </w:rPr>
              <w:t xml:space="preserve"> </w:t>
            </w:r>
            <w:r>
              <w:rPr>
                <w:w w:val="105"/>
                <w:sz w:val="12"/>
              </w:rPr>
              <w:t>delivery in creating political spaces</w:t>
            </w:r>
            <w:r>
              <w:rPr>
                <w:spacing w:val="-26"/>
                <w:w w:val="105"/>
                <w:sz w:val="12"/>
              </w:rPr>
              <w:t xml:space="preserve"> </w:t>
            </w:r>
            <w:r>
              <w:rPr>
                <w:w w:val="105"/>
                <w:sz w:val="12"/>
              </w:rPr>
              <w:t>for the development of justice,</w:t>
            </w:r>
            <w:r>
              <w:rPr>
                <w:spacing w:val="1"/>
                <w:w w:val="105"/>
                <w:sz w:val="12"/>
              </w:rPr>
              <w:t xml:space="preserve"> </w:t>
            </w:r>
            <w:r>
              <w:rPr>
                <w:w w:val="105"/>
                <w:sz w:val="12"/>
              </w:rPr>
              <w:t>security</w:t>
            </w:r>
            <w:r>
              <w:rPr>
                <w:spacing w:val="-1"/>
                <w:w w:val="105"/>
                <w:sz w:val="12"/>
              </w:rPr>
              <w:t xml:space="preserve"> </w:t>
            </w:r>
            <w:r>
              <w:rPr>
                <w:w w:val="105"/>
                <w:sz w:val="12"/>
              </w:rPr>
              <w:t>and human rights</w:t>
            </w:r>
          </w:p>
          <w:p w14:paraId="7895ED35" w14:textId="77777777" w:rsidR="00F07870" w:rsidRDefault="00F07870" w:rsidP="00296A4A">
            <w:pPr>
              <w:pStyle w:val="TableParagraph"/>
              <w:spacing w:line="137" w:lineRule="exact"/>
              <w:ind w:left="34"/>
              <w:rPr>
                <w:sz w:val="12"/>
              </w:rPr>
            </w:pPr>
            <w:r>
              <w:rPr>
                <w:w w:val="105"/>
                <w:sz w:val="12"/>
              </w:rPr>
              <w:t>institutions</w:t>
            </w:r>
          </w:p>
        </w:tc>
        <w:tc>
          <w:tcPr>
            <w:tcW w:w="662" w:type="dxa"/>
            <w:tcBorders>
              <w:top w:val="single" w:sz="6" w:space="0" w:color="000000"/>
              <w:left w:val="single" w:sz="6" w:space="0" w:color="000000"/>
              <w:bottom w:val="single" w:sz="6" w:space="0" w:color="000000"/>
              <w:right w:val="single" w:sz="6" w:space="0" w:color="000000"/>
            </w:tcBorders>
            <w:shd w:val="clear" w:color="auto" w:fill="FFCCFF"/>
          </w:tcPr>
          <w:p w14:paraId="2ABA024A" w14:textId="77777777" w:rsidR="00F07870" w:rsidRDefault="00F07870" w:rsidP="00296A4A">
            <w:pPr>
              <w:pStyle w:val="TableParagraph"/>
              <w:rPr>
                <w:rFonts w:ascii="Times New Roman"/>
                <w:sz w:val="12"/>
              </w:rPr>
            </w:pPr>
          </w:p>
          <w:p w14:paraId="3CF6AA6C" w14:textId="77777777" w:rsidR="00F07870" w:rsidRDefault="00F07870" w:rsidP="00296A4A">
            <w:pPr>
              <w:pStyle w:val="TableParagraph"/>
              <w:rPr>
                <w:rFonts w:ascii="Times New Roman"/>
                <w:sz w:val="12"/>
              </w:rPr>
            </w:pPr>
          </w:p>
          <w:p w14:paraId="5DF4CD65" w14:textId="77777777" w:rsidR="00F07870" w:rsidRDefault="00F07870" w:rsidP="00296A4A">
            <w:pPr>
              <w:pStyle w:val="TableParagraph"/>
              <w:rPr>
                <w:rFonts w:ascii="Times New Roman"/>
                <w:sz w:val="12"/>
              </w:rPr>
            </w:pPr>
          </w:p>
          <w:p w14:paraId="13788591" w14:textId="77777777" w:rsidR="00F07870" w:rsidRDefault="00F07870" w:rsidP="00296A4A">
            <w:pPr>
              <w:pStyle w:val="TableParagraph"/>
              <w:rPr>
                <w:rFonts w:ascii="Times New Roman"/>
                <w:sz w:val="12"/>
              </w:rPr>
            </w:pPr>
          </w:p>
          <w:p w14:paraId="11A8D868" w14:textId="77777777" w:rsidR="00F07870" w:rsidRDefault="00F07870" w:rsidP="00296A4A">
            <w:pPr>
              <w:pStyle w:val="TableParagraph"/>
              <w:rPr>
                <w:rFonts w:ascii="Times New Roman"/>
                <w:sz w:val="12"/>
              </w:rPr>
            </w:pPr>
          </w:p>
          <w:p w14:paraId="1582C143" w14:textId="77777777" w:rsidR="00F07870" w:rsidRDefault="00F07870" w:rsidP="00296A4A">
            <w:pPr>
              <w:pStyle w:val="TableParagraph"/>
              <w:rPr>
                <w:rFonts w:ascii="Times New Roman"/>
                <w:sz w:val="12"/>
              </w:rPr>
            </w:pPr>
          </w:p>
          <w:p w14:paraId="543CD2A6" w14:textId="77777777" w:rsidR="00F07870" w:rsidRDefault="00F07870" w:rsidP="00296A4A">
            <w:pPr>
              <w:pStyle w:val="TableParagraph"/>
              <w:rPr>
                <w:rFonts w:ascii="Times New Roman"/>
                <w:sz w:val="12"/>
              </w:rPr>
            </w:pPr>
          </w:p>
          <w:p w14:paraId="3C6A03B2" w14:textId="77777777" w:rsidR="00F07870" w:rsidRDefault="00F07870" w:rsidP="00296A4A">
            <w:pPr>
              <w:pStyle w:val="TableParagraph"/>
              <w:rPr>
                <w:rFonts w:ascii="Times New Roman"/>
                <w:sz w:val="12"/>
              </w:rPr>
            </w:pPr>
          </w:p>
          <w:p w14:paraId="4A1C91E4" w14:textId="77777777" w:rsidR="00F07870" w:rsidRDefault="00F07870" w:rsidP="00296A4A">
            <w:pPr>
              <w:pStyle w:val="TableParagraph"/>
              <w:spacing w:before="77" w:line="131" w:lineRule="exact"/>
              <w:ind w:left="47"/>
              <w:jc w:val="center"/>
              <w:rPr>
                <w:sz w:val="12"/>
              </w:rPr>
            </w:pPr>
            <w:r>
              <w:rPr>
                <w:w w:val="106"/>
                <w:sz w:val="12"/>
              </w:rPr>
              <w:t>5</w:t>
            </w:r>
          </w:p>
        </w:tc>
        <w:tc>
          <w:tcPr>
            <w:tcW w:w="540" w:type="dxa"/>
            <w:tcBorders>
              <w:top w:val="single" w:sz="6" w:space="0" w:color="000000"/>
              <w:left w:val="single" w:sz="6" w:space="0" w:color="000000"/>
              <w:bottom w:val="single" w:sz="6" w:space="0" w:color="000000"/>
              <w:right w:val="single" w:sz="6" w:space="0" w:color="000000"/>
            </w:tcBorders>
            <w:shd w:val="clear" w:color="auto" w:fill="FFCCFF"/>
          </w:tcPr>
          <w:p w14:paraId="4515A395" w14:textId="77777777" w:rsidR="00F07870" w:rsidRDefault="00F07870" w:rsidP="00296A4A">
            <w:pPr>
              <w:pStyle w:val="TableParagraph"/>
              <w:rPr>
                <w:rFonts w:ascii="Times New Roman"/>
                <w:sz w:val="12"/>
              </w:rPr>
            </w:pPr>
          </w:p>
          <w:p w14:paraId="6A31571B" w14:textId="77777777" w:rsidR="00F07870" w:rsidRDefault="00F07870" w:rsidP="00296A4A">
            <w:pPr>
              <w:pStyle w:val="TableParagraph"/>
              <w:rPr>
                <w:rFonts w:ascii="Times New Roman"/>
                <w:sz w:val="12"/>
              </w:rPr>
            </w:pPr>
          </w:p>
          <w:p w14:paraId="01E787B2" w14:textId="77777777" w:rsidR="00F07870" w:rsidRDefault="00F07870" w:rsidP="00296A4A">
            <w:pPr>
              <w:pStyle w:val="TableParagraph"/>
              <w:rPr>
                <w:rFonts w:ascii="Times New Roman"/>
                <w:sz w:val="12"/>
              </w:rPr>
            </w:pPr>
          </w:p>
          <w:p w14:paraId="2A4D65D2" w14:textId="77777777" w:rsidR="00F07870" w:rsidRDefault="00F07870" w:rsidP="00296A4A">
            <w:pPr>
              <w:pStyle w:val="TableParagraph"/>
              <w:rPr>
                <w:rFonts w:ascii="Times New Roman"/>
                <w:sz w:val="12"/>
              </w:rPr>
            </w:pPr>
          </w:p>
          <w:p w14:paraId="7647FEEE" w14:textId="77777777" w:rsidR="00F07870" w:rsidRDefault="00F07870" w:rsidP="00296A4A">
            <w:pPr>
              <w:pStyle w:val="TableParagraph"/>
              <w:rPr>
                <w:rFonts w:ascii="Times New Roman"/>
                <w:sz w:val="12"/>
              </w:rPr>
            </w:pPr>
          </w:p>
          <w:p w14:paraId="430BF8E8" w14:textId="77777777" w:rsidR="00F07870" w:rsidRDefault="00F07870" w:rsidP="00296A4A">
            <w:pPr>
              <w:pStyle w:val="TableParagraph"/>
              <w:rPr>
                <w:rFonts w:ascii="Times New Roman"/>
                <w:sz w:val="12"/>
              </w:rPr>
            </w:pPr>
          </w:p>
          <w:p w14:paraId="3D58AD47" w14:textId="77777777" w:rsidR="00F07870" w:rsidRDefault="00F07870" w:rsidP="00296A4A">
            <w:pPr>
              <w:pStyle w:val="TableParagraph"/>
              <w:rPr>
                <w:rFonts w:ascii="Times New Roman"/>
                <w:sz w:val="12"/>
              </w:rPr>
            </w:pPr>
          </w:p>
          <w:p w14:paraId="0DFC6433" w14:textId="77777777" w:rsidR="00F07870" w:rsidRDefault="00F07870" w:rsidP="00296A4A">
            <w:pPr>
              <w:pStyle w:val="TableParagraph"/>
              <w:rPr>
                <w:rFonts w:ascii="Times New Roman"/>
                <w:sz w:val="12"/>
              </w:rPr>
            </w:pPr>
          </w:p>
          <w:p w14:paraId="269C9F1E" w14:textId="77777777" w:rsidR="00F07870" w:rsidRDefault="00F07870" w:rsidP="00296A4A">
            <w:pPr>
              <w:pStyle w:val="TableParagraph"/>
              <w:spacing w:before="77" w:line="131" w:lineRule="exact"/>
              <w:ind w:left="136" w:right="88"/>
              <w:jc w:val="center"/>
              <w:rPr>
                <w:sz w:val="12"/>
              </w:rPr>
            </w:pPr>
            <w:r>
              <w:rPr>
                <w:w w:val="105"/>
                <w:sz w:val="12"/>
              </w:rPr>
              <w:t>2015</w:t>
            </w:r>
          </w:p>
        </w:tc>
        <w:tc>
          <w:tcPr>
            <w:tcW w:w="713" w:type="dxa"/>
            <w:tcBorders>
              <w:top w:val="single" w:sz="6" w:space="0" w:color="000000"/>
              <w:left w:val="single" w:sz="6" w:space="0" w:color="000000"/>
              <w:bottom w:val="single" w:sz="6" w:space="0" w:color="000000"/>
              <w:right w:val="single" w:sz="6" w:space="0" w:color="000000"/>
            </w:tcBorders>
            <w:shd w:val="clear" w:color="auto" w:fill="FFFF00"/>
          </w:tcPr>
          <w:p w14:paraId="61910A47" w14:textId="77777777" w:rsidR="00F07870" w:rsidRDefault="00F07870" w:rsidP="00296A4A">
            <w:pPr>
              <w:pStyle w:val="TableParagraph"/>
              <w:rPr>
                <w:rFonts w:ascii="Times New Roman"/>
                <w:sz w:val="12"/>
              </w:rPr>
            </w:pPr>
          </w:p>
          <w:p w14:paraId="14443178" w14:textId="77777777" w:rsidR="00F07870" w:rsidRDefault="00F07870" w:rsidP="00296A4A">
            <w:pPr>
              <w:pStyle w:val="TableParagraph"/>
              <w:rPr>
                <w:rFonts w:ascii="Times New Roman"/>
                <w:sz w:val="12"/>
              </w:rPr>
            </w:pPr>
          </w:p>
          <w:p w14:paraId="172A7CBF" w14:textId="77777777" w:rsidR="00F07870" w:rsidRDefault="00F07870" w:rsidP="00296A4A">
            <w:pPr>
              <w:pStyle w:val="TableParagraph"/>
              <w:rPr>
                <w:rFonts w:ascii="Times New Roman"/>
                <w:sz w:val="12"/>
              </w:rPr>
            </w:pPr>
          </w:p>
          <w:p w14:paraId="54006F0C" w14:textId="77777777" w:rsidR="00F07870" w:rsidRDefault="00F07870" w:rsidP="00296A4A">
            <w:pPr>
              <w:pStyle w:val="TableParagraph"/>
              <w:rPr>
                <w:rFonts w:ascii="Times New Roman"/>
                <w:sz w:val="12"/>
              </w:rPr>
            </w:pPr>
          </w:p>
          <w:p w14:paraId="2FB0FA06" w14:textId="77777777" w:rsidR="00F07870" w:rsidRDefault="00F07870" w:rsidP="00296A4A">
            <w:pPr>
              <w:pStyle w:val="TableParagraph"/>
              <w:rPr>
                <w:rFonts w:ascii="Times New Roman"/>
                <w:sz w:val="12"/>
              </w:rPr>
            </w:pPr>
          </w:p>
          <w:p w14:paraId="337489C7" w14:textId="77777777" w:rsidR="00F07870" w:rsidRDefault="00F07870" w:rsidP="00296A4A">
            <w:pPr>
              <w:pStyle w:val="TableParagraph"/>
              <w:rPr>
                <w:rFonts w:ascii="Times New Roman"/>
                <w:sz w:val="12"/>
              </w:rPr>
            </w:pPr>
          </w:p>
          <w:p w14:paraId="18D669B8" w14:textId="77777777" w:rsidR="00F07870" w:rsidRDefault="00F07870" w:rsidP="00296A4A">
            <w:pPr>
              <w:pStyle w:val="TableParagraph"/>
              <w:rPr>
                <w:rFonts w:ascii="Times New Roman"/>
                <w:sz w:val="12"/>
              </w:rPr>
            </w:pPr>
          </w:p>
          <w:p w14:paraId="74A263D3" w14:textId="77777777" w:rsidR="00F07870" w:rsidRDefault="00F07870" w:rsidP="00296A4A">
            <w:pPr>
              <w:pStyle w:val="TableParagraph"/>
              <w:rPr>
                <w:rFonts w:ascii="Times New Roman"/>
                <w:sz w:val="12"/>
              </w:rPr>
            </w:pPr>
          </w:p>
          <w:p w14:paraId="14DC8765" w14:textId="77777777" w:rsidR="00F07870" w:rsidRDefault="00F07870" w:rsidP="00296A4A">
            <w:pPr>
              <w:pStyle w:val="TableParagraph"/>
              <w:spacing w:before="77" w:line="131" w:lineRule="exact"/>
              <w:ind w:left="50"/>
              <w:jc w:val="center"/>
              <w:rPr>
                <w:sz w:val="12"/>
              </w:rPr>
            </w:pPr>
            <w:r>
              <w:rPr>
                <w:w w:val="106"/>
                <w:sz w:val="12"/>
              </w:rPr>
              <w:t>7</w:t>
            </w:r>
          </w:p>
        </w:tc>
        <w:tc>
          <w:tcPr>
            <w:tcW w:w="571" w:type="dxa"/>
            <w:tcBorders>
              <w:top w:val="single" w:sz="6" w:space="0" w:color="000000"/>
              <w:left w:val="single" w:sz="6" w:space="0" w:color="000000"/>
              <w:bottom w:val="single" w:sz="6" w:space="0" w:color="000000"/>
              <w:right w:val="single" w:sz="6" w:space="0" w:color="000000"/>
            </w:tcBorders>
            <w:shd w:val="clear" w:color="auto" w:fill="FFFF00"/>
          </w:tcPr>
          <w:p w14:paraId="6B42FD56" w14:textId="77777777" w:rsidR="00F07870" w:rsidRDefault="00F07870" w:rsidP="00296A4A">
            <w:pPr>
              <w:pStyle w:val="TableParagraph"/>
              <w:rPr>
                <w:rFonts w:ascii="Times New Roman"/>
                <w:sz w:val="12"/>
              </w:rPr>
            </w:pPr>
          </w:p>
          <w:p w14:paraId="03FDCFAC" w14:textId="77777777" w:rsidR="00F07870" w:rsidRDefault="00F07870" w:rsidP="00296A4A">
            <w:pPr>
              <w:pStyle w:val="TableParagraph"/>
              <w:rPr>
                <w:rFonts w:ascii="Times New Roman"/>
                <w:sz w:val="12"/>
              </w:rPr>
            </w:pPr>
          </w:p>
          <w:p w14:paraId="3B149DAD" w14:textId="77777777" w:rsidR="00F07870" w:rsidRDefault="00F07870" w:rsidP="00296A4A">
            <w:pPr>
              <w:pStyle w:val="TableParagraph"/>
              <w:rPr>
                <w:rFonts w:ascii="Times New Roman"/>
                <w:sz w:val="12"/>
              </w:rPr>
            </w:pPr>
          </w:p>
          <w:p w14:paraId="20F1C56C" w14:textId="77777777" w:rsidR="00F07870" w:rsidRDefault="00F07870" w:rsidP="00296A4A">
            <w:pPr>
              <w:pStyle w:val="TableParagraph"/>
              <w:rPr>
                <w:rFonts w:ascii="Times New Roman"/>
                <w:sz w:val="12"/>
              </w:rPr>
            </w:pPr>
          </w:p>
          <w:p w14:paraId="762F9653" w14:textId="77777777" w:rsidR="00F07870" w:rsidRDefault="00F07870" w:rsidP="00296A4A">
            <w:pPr>
              <w:pStyle w:val="TableParagraph"/>
              <w:rPr>
                <w:rFonts w:ascii="Times New Roman"/>
                <w:sz w:val="12"/>
              </w:rPr>
            </w:pPr>
          </w:p>
          <w:p w14:paraId="1AA6E30B" w14:textId="77777777" w:rsidR="00F07870" w:rsidRDefault="00F07870" w:rsidP="00296A4A">
            <w:pPr>
              <w:pStyle w:val="TableParagraph"/>
              <w:rPr>
                <w:rFonts w:ascii="Times New Roman"/>
                <w:sz w:val="12"/>
              </w:rPr>
            </w:pPr>
          </w:p>
          <w:p w14:paraId="0F60DE43" w14:textId="77777777" w:rsidR="00F07870" w:rsidRDefault="00F07870" w:rsidP="00296A4A">
            <w:pPr>
              <w:pStyle w:val="TableParagraph"/>
              <w:rPr>
                <w:rFonts w:ascii="Times New Roman"/>
                <w:sz w:val="12"/>
              </w:rPr>
            </w:pPr>
          </w:p>
          <w:p w14:paraId="123B6BD6" w14:textId="77777777" w:rsidR="00F07870" w:rsidRDefault="00F07870" w:rsidP="00296A4A">
            <w:pPr>
              <w:pStyle w:val="TableParagraph"/>
              <w:rPr>
                <w:rFonts w:ascii="Times New Roman"/>
                <w:sz w:val="12"/>
              </w:rPr>
            </w:pPr>
          </w:p>
          <w:p w14:paraId="0CA4ACC3" w14:textId="77777777" w:rsidR="00F07870" w:rsidRDefault="00F07870" w:rsidP="00296A4A">
            <w:pPr>
              <w:pStyle w:val="TableParagraph"/>
              <w:spacing w:before="77" w:line="131" w:lineRule="exact"/>
              <w:ind w:left="72" w:right="21"/>
              <w:jc w:val="center"/>
              <w:rPr>
                <w:sz w:val="12"/>
              </w:rPr>
            </w:pPr>
            <w:r>
              <w:rPr>
                <w:w w:val="105"/>
                <w:sz w:val="1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24847B46" w14:textId="77777777" w:rsidR="00F07870" w:rsidRDefault="00F07870" w:rsidP="00296A4A">
            <w:pPr>
              <w:pStyle w:val="TableParagraph"/>
              <w:rPr>
                <w:rFonts w:ascii="Times New Roman"/>
                <w:sz w:val="12"/>
              </w:rPr>
            </w:pPr>
          </w:p>
          <w:p w14:paraId="0979FC62" w14:textId="77777777" w:rsidR="00F07870" w:rsidRDefault="00F07870" w:rsidP="00296A4A">
            <w:pPr>
              <w:pStyle w:val="TableParagraph"/>
              <w:rPr>
                <w:rFonts w:ascii="Times New Roman"/>
                <w:sz w:val="12"/>
              </w:rPr>
            </w:pPr>
          </w:p>
          <w:p w14:paraId="27D3E7D0" w14:textId="77777777" w:rsidR="00F07870" w:rsidRDefault="00F07870" w:rsidP="00296A4A">
            <w:pPr>
              <w:pStyle w:val="TableParagraph"/>
              <w:rPr>
                <w:rFonts w:ascii="Times New Roman"/>
                <w:sz w:val="12"/>
              </w:rPr>
            </w:pPr>
          </w:p>
          <w:p w14:paraId="0770D07C" w14:textId="77777777" w:rsidR="00F07870" w:rsidRDefault="00F07870" w:rsidP="00296A4A">
            <w:pPr>
              <w:pStyle w:val="TableParagraph"/>
              <w:rPr>
                <w:rFonts w:ascii="Times New Roman"/>
                <w:sz w:val="12"/>
              </w:rPr>
            </w:pPr>
          </w:p>
          <w:p w14:paraId="0DFAE830" w14:textId="77777777" w:rsidR="00F07870" w:rsidRDefault="00F07870" w:rsidP="00296A4A">
            <w:pPr>
              <w:pStyle w:val="TableParagraph"/>
              <w:rPr>
                <w:rFonts w:ascii="Times New Roman"/>
                <w:sz w:val="12"/>
              </w:rPr>
            </w:pPr>
          </w:p>
          <w:p w14:paraId="6DAA2352" w14:textId="77777777" w:rsidR="00F07870" w:rsidRDefault="00F07870" w:rsidP="00296A4A">
            <w:pPr>
              <w:pStyle w:val="TableParagraph"/>
              <w:rPr>
                <w:rFonts w:ascii="Times New Roman"/>
                <w:sz w:val="12"/>
              </w:rPr>
            </w:pPr>
          </w:p>
          <w:p w14:paraId="3319EF3C" w14:textId="77777777" w:rsidR="00F07870" w:rsidRDefault="00F07870" w:rsidP="00296A4A">
            <w:pPr>
              <w:pStyle w:val="TableParagraph"/>
              <w:rPr>
                <w:rFonts w:ascii="Times New Roman"/>
                <w:sz w:val="12"/>
              </w:rPr>
            </w:pPr>
          </w:p>
          <w:p w14:paraId="04FBA0C0" w14:textId="77777777" w:rsidR="00F07870" w:rsidRDefault="00F07870" w:rsidP="00296A4A">
            <w:pPr>
              <w:pStyle w:val="TableParagraph"/>
              <w:rPr>
                <w:rFonts w:ascii="Times New Roman"/>
                <w:sz w:val="12"/>
              </w:rPr>
            </w:pPr>
          </w:p>
          <w:p w14:paraId="445291F5" w14:textId="77777777" w:rsidR="00F07870" w:rsidRDefault="00F07870" w:rsidP="00296A4A">
            <w:pPr>
              <w:pStyle w:val="TableParagraph"/>
              <w:spacing w:before="77" w:line="131" w:lineRule="exact"/>
              <w:ind w:left="49"/>
              <w:jc w:val="center"/>
              <w:rPr>
                <w:sz w:val="12"/>
              </w:rPr>
            </w:pPr>
            <w:r>
              <w:rPr>
                <w:w w:val="106"/>
                <w:sz w:val="12"/>
              </w:rPr>
              <w:t>8</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2EB6444A" w14:textId="77777777" w:rsidR="00F07870" w:rsidRDefault="00F07870" w:rsidP="00296A4A">
            <w:pPr>
              <w:pStyle w:val="TableParagraph"/>
              <w:rPr>
                <w:rFonts w:ascii="Times New Roman"/>
                <w:sz w:val="12"/>
              </w:rPr>
            </w:pPr>
          </w:p>
          <w:p w14:paraId="21668E05" w14:textId="77777777" w:rsidR="00F07870" w:rsidRDefault="00F07870" w:rsidP="00296A4A">
            <w:pPr>
              <w:pStyle w:val="TableParagraph"/>
              <w:rPr>
                <w:rFonts w:ascii="Times New Roman"/>
                <w:sz w:val="12"/>
              </w:rPr>
            </w:pPr>
          </w:p>
          <w:p w14:paraId="76632610" w14:textId="77777777" w:rsidR="00F07870" w:rsidRDefault="00F07870" w:rsidP="00296A4A">
            <w:pPr>
              <w:pStyle w:val="TableParagraph"/>
              <w:rPr>
                <w:rFonts w:ascii="Times New Roman"/>
                <w:sz w:val="12"/>
              </w:rPr>
            </w:pPr>
          </w:p>
          <w:p w14:paraId="54B82242" w14:textId="77777777" w:rsidR="00F07870" w:rsidRDefault="00F07870" w:rsidP="00296A4A">
            <w:pPr>
              <w:pStyle w:val="TableParagraph"/>
              <w:rPr>
                <w:rFonts w:ascii="Times New Roman"/>
                <w:sz w:val="12"/>
              </w:rPr>
            </w:pPr>
          </w:p>
          <w:p w14:paraId="37070DED" w14:textId="77777777" w:rsidR="00F07870" w:rsidRDefault="00F07870" w:rsidP="00296A4A">
            <w:pPr>
              <w:pStyle w:val="TableParagraph"/>
              <w:rPr>
                <w:rFonts w:ascii="Times New Roman"/>
                <w:sz w:val="12"/>
              </w:rPr>
            </w:pPr>
          </w:p>
          <w:p w14:paraId="24AE0FAC" w14:textId="77777777" w:rsidR="00F07870" w:rsidRDefault="00F07870" w:rsidP="00296A4A">
            <w:pPr>
              <w:pStyle w:val="TableParagraph"/>
              <w:rPr>
                <w:rFonts w:ascii="Times New Roman"/>
                <w:sz w:val="12"/>
              </w:rPr>
            </w:pPr>
          </w:p>
          <w:p w14:paraId="449BF367" w14:textId="77777777" w:rsidR="00F07870" w:rsidRDefault="00F07870" w:rsidP="00296A4A">
            <w:pPr>
              <w:pStyle w:val="TableParagraph"/>
              <w:rPr>
                <w:rFonts w:ascii="Times New Roman"/>
                <w:sz w:val="12"/>
              </w:rPr>
            </w:pPr>
          </w:p>
          <w:p w14:paraId="2DD59FEB" w14:textId="77777777" w:rsidR="00F07870" w:rsidRDefault="00F07870" w:rsidP="00296A4A">
            <w:pPr>
              <w:pStyle w:val="TableParagraph"/>
              <w:rPr>
                <w:rFonts w:ascii="Times New Roman"/>
                <w:sz w:val="12"/>
              </w:rPr>
            </w:pPr>
          </w:p>
          <w:p w14:paraId="7764CA9E" w14:textId="77777777" w:rsidR="00F07870" w:rsidRDefault="00F07870" w:rsidP="00296A4A">
            <w:pPr>
              <w:pStyle w:val="TableParagraph"/>
              <w:spacing w:before="77" w:line="131" w:lineRule="exact"/>
              <w:ind w:left="72" w:right="20"/>
              <w:jc w:val="center"/>
              <w:rPr>
                <w:sz w:val="12"/>
              </w:rPr>
            </w:pPr>
            <w:r>
              <w:rPr>
                <w:w w:val="105"/>
                <w:sz w:val="12"/>
              </w:rPr>
              <w:t>15</w:t>
            </w:r>
          </w:p>
        </w:tc>
        <w:tc>
          <w:tcPr>
            <w:tcW w:w="768" w:type="dxa"/>
            <w:tcBorders>
              <w:top w:val="single" w:sz="6" w:space="0" w:color="000000"/>
              <w:left w:val="single" w:sz="6" w:space="0" w:color="000000"/>
              <w:bottom w:val="single" w:sz="6" w:space="0" w:color="000000"/>
              <w:right w:val="single" w:sz="6" w:space="0" w:color="000000"/>
            </w:tcBorders>
            <w:shd w:val="clear" w:color="auto" w:fill="B4C5E7"/>
          </w:tcPr>
          <w:p w14:paraId="70BDFDD7" w14:textId="77777777" w:rsidR="00F07870" w:rsidRDefault="00F07870" w:rsidP="00296A4A">
            <w:pPr>
              <w:pStyle w:val="TableParagraph"/>
              <w:rPr>
                <w:rFonts w:ascii="Times New Roman"/>
                <w:sz w:val="12"/>
              </w:rPr>
            </w:pPr>
          </w:p>
          <w:p w14:paraId="43C0176B" w14:textId="77777777" w:rsidR="00F07870" w:rsidRDefault="00F07870" w:rsidP="00296A4A">
            <w:pPr>
              <w:pStyle w:val="TableParagraph"/>
              <w:rPr>
                <w:rFonts w:ascii="Times New Roman"/>
                <w:sz w:val="12"/>
              </w:rPr>
            </w:pPr>
          </w:p>
          <w:p w14:paraId="3B4F3685" w14:textId="77777777" w:rsidR="00F07870" w:rsidRDefault="00F07870" w:rsidP="00296A4A">
            <w:pPr>
              <w:pStyle w:val="TableParagraph"/>
              <w:rPr>
                <w:rFonts w:ascii="Times New Roman"/>
                <w:sz w:val="12"/>
              </w:rPr>
            </w:pPr>
          </w:p>
          <w:p w14:paraId="68EB4D34" w14:textId="77777777" w:rsidR="00F07870" w:rsidRDefault="00F07870" w:rsidP="00296A4A">
            <w:pPr>
              <w:pStyle w:val="TableParagraph"/>
              <w:rPr>
                <w:rFonts w:ascii="Times New Roman"/>
                <w:sz w:val="12"/>
              </w:rPr>
            </w:pPr>
          </w:p>
          <w:p w14:paraId="25FDA945" w14:textId="77777777" w:rsidR="00F07870" w:rsidRDefault="00F07870" w:rsidP="00296A4A">
            <w:pPr>
              <w:pStyle w:val="TableParagraph"/>
              <w:rPr>
                <w:rFonts w:ascii="Times New Roman"/>
                <w:sz w:val="12"/>
              </w:rPr>
            </w:pPr>
          </w:p>
          <w:p w14:paraId="0F538CB1" w14:textId="77777777" w:rsidR="00F07870" w:rsidRDefault="00F07870" w:rsidP="00296A4A">
            <w:pPr>
              <w:pStyle w:val="TableParagraph"/>
              <w:rPr>
                <w:rFonts w:ascii="Times New Roman"/>
                <w:sz w:val="12"/>
              </w:rPr>
            </w:pPr>
          </w:p>
          <w:p w14:paraId="134926DD" w14:textId="77777777" w:rsidR="00F07870" w:rsidRDefault="00F07870" w:rsidP="00296A4A">
            <w:pPr>
              <w:pStyle w:val="TableParagraph"/>
              <w:rPr>
                <w:rFonts w:ascii="Times New Roman"/>
                <w:sz w:val="12"/>
              </w:rPr>
            </w:pPr>
          </w:p>
          <w:p w14:paraId="7864A77A" w14:textId="77777777" w:rsidR="00F07870" w:rsidRDefault="00F07870" w:rsidP="00296A4A">
            <w:pPr>
              <w:pStyle w:val="TableParagraph"/>
              <w:rPr>
                <w:rFonts w:ascii="Times New Roman"/>
                <w:sz w:val="12"/>
              </w:rPr>
            </w:pPr>
          </w:p>
          <w:p w14:paraId="4879E031" w14:textId="77777777" w:rsidR="00F07870" w:rsidRDefault="00F07870" w:rsidP="00296A4A">
            <w:pPr>
              <w:pStyle w:val="TableParagraph"/>
              <w:spacing w:before="77" w:line="131" w:lineRule="exact"/>
              <w:ind w:left="50"/>
              <w:jc w:val="center"/>
              <w:rPr>
                <w:sz w:val="12"/>
              </w:rPr>
            </w:pPr>
            <w:r>
              <w:rPr>
                <w:w w:val="106"/>
                <w:sz w:val="12"/>
              </w:rPr>
              <w:t>8</w:t>
            </w:r>
          </w:p>
        </w:tc>
        <w:tc>
          <w:tcPr>
            <w:tcW w:w="737" w:type="dxa"/>
            <w:tcBorders>
              <w:top w:val="single" w:sz="6" w:space="0" w:color="000000"/>
              <w:left w:val="single" w:sz="6" w:space="0" w:color="000000"/>
              <w:bottom w:val="single" w:sz="6" w:space="0" w:color="000000"/>
              <w:right w:val="single" w:sz="6" w:space="0" w:color="000000"/>
            </w:tcBorders>
            <w:shd w:val="clear" w:color="auto" w:fill="B4C5E7"/>
          </w:tcPr>
          <w:p w14:paraId="069A8ECC" w14:textId="77777777" w:rsidR="00F07870" w:rsidRDefault="00F07870" w:rsidP="00296A4A">
            <w:pPr>
              <w:pStyle w:val="TableParagraph"/>
              <w:rPr>
                <w:rFonts w:ascii="Times New Roman"/>
                <w:sz w:val="12"/>
              </w:rPr>
            </w:pPr>
          </w:p>
          <w:p w14:paraId="7264D729" w14:textId="77777777" w:rsidR="00F07870" w:rsidRDefault="00F07870" w:rsidP="00296A4A">
            <w:pPr>
              <w:pStyle w:val="TableParagraph"/>
              <w:rPr>
                <w:rFonts w:ascii="Times New Roman"/>
                <w:sz w:val="12"/>
              </w:rPr>
            </w:pPr>
          </w:p>
          <w:p w14:paraId="219F42CC" w14:textId="77777777" w:rsidR="00F07870" w:rsidRDefault="00F07870" w:rsidP="00296A4A">
            <w:pPr>
              <w:pStyle w:val="TableParagraph"/>
              <w:rPr>
                <w:rFonts w:ascii="Times New Roman"/>
                <w:sz w:val="12"/>
              </w:rPr>
            </w:pPr>
          </w:p>
          <w:p w14:paraId="75D24C2C" w14:textId="77777777" w:rsidR="00F07870" w:rsidRDefault="00F07870" w:rsidP="00296A4A">
            <w:pPr>
              <w:pStyle w:val="TableParagraph"/>
              <w:rPr>
                <w:rFonts w:ascii="Times New Roman"/>
                <w:sz w:val="12"/>
              </w:rPr>
            </w:pPr>
          </w:p>
          <w:p w14:paraId="1FC11971" w14:textId="77777777" w:rsidR="00F07870" w:rsidRDefault="00F07870" w:rsidP="00296A4A">
            <w:pPr>
              <w:pStyle w:val="TableParagraph"/>
              <w:rPr>
                <w:rFonts w:ascii="Times New Roman"/>
                <w:sz w:val="12"/>
              </w:rPr>
            </w:pPr>
          </w:p>
          <w:p w14:paraId="4DF9B56E" w14:textId="77777777" w:rsidR="00F07870" w:rsidRDefault="00F07870" w:rsidP="00296A4A">
            <w:pPr>
              <w:pStyle w:val="TableParagraph"/>
              <w:rPr>
                <w:rFonts w:ascii="Times New Roman"/>
                <w:sz w:val="12"/>
              </w:rPr>
            </w:pPr>
          </w:p>
          <w:p w14:paraId="7FB20B55" w14:textId="77777777" w:rsidR="00F07870" w:rsidRDefault="00F07870" w:rsidP="00296A4A">
            <w:pPr>
              <w:pStyle w:val="TableParagraph"/>
              <w:rPr>
                <w:rFonts w:ascii="Times New Roman"/>
                <w:sz w:val="12"/>
              </w:rPr>
            </w:pPr>
          </w:p>
          <w:p w14:paraId="6C69BBEE" w14:textId="77777777" w:rsidR="00F07870" w:rsidRDefault="00F07870" w:rsidP="00296A4A">
            <w:pPr>
              <w:pStyle w:val="TableParagraph"/>
              <w:rPr>
                <w:rFonts w:ascii="Times New Roman"/>
                <w:sz w:val="12"/>
              </w:rPr>
            </w:pPr>
          </w:p>
          <w:p w14:paraId="2F5B83A3" w14:textId="77777777" w:rsidR="00F07870" w:rsidRDefault="00F07870" w:rsidP="00296A4A">
            <w:pPr>
              <w:pStyle w:val="TableParagraph"/>
              <w:spacing w:before="77" w:line="131" w:lineRule="exact"/>
              <w:ind w:left="76" w:right="26"/>
              <w:jc w:val="center"/>
              <w:rPr>
                <w:sz w:val="12"/>
              </w:rPr>
            </w:pPr>
            <w:r>
              <w:rPr>
                <w:w w:val="105"/>
                <w:sz w:val="12"/>
              </w:rPr>
              <w:t>32</w:t>
            </w:r>
          </w:p>
        </w:tc>
        <w:tc>
          <w:tcPr>
            <w:tcW w:w="809" w:type="dxa"/>
            <w:tcBorders>
              <w:top w:val="single" w:sz="6" w:space="0" w:color="000000"/>
              <w:left w:val="single" w:sz="6" w:space="0" w:color="000000"/>
              <w:bottom w:val="single" w:sz="6" w:space="0" w:color="000000"/>
              <w:right w:val="single" w:sz="6" w:space="0" w:color="000000"/>
            </w:tcBorders>
            <w:shd w:val="clear" w:color="auto" w:fill="C5DFB4"/>
          </w:tcPr>
          <w:p w14:paraId="64D5C686" w14:textId="77777777" w:rsidR="00F07870" w:rsidRDefault="00F07870" w:rsidP="00296A4A">
            <w:pPr>
              <w:pStyle w:val="TableParagraph"/>
              <w:rPr>
                <w:rFonts w:ascii="Times New Roman"/>
                <w:sz w:val="12"/>
              </w:rPr>
            </w:pPr>
          </w:p>
          <w:p w14:paraId="782DF95D" w14:textId="77777777" w:rsidR="00F07870" w:rsidRDefault="00F07870" w:rsidP="00296A4A">
            <w:pPr>
              <w:pStyle w:val="TableParagraph"/>
              <w:rPr>
                <w:rFonts w:ascii="Times New Roman"/>
                <w:sz w:val="12"/>
              </w:rPr>
            </w:pPr>
          </w:p>
          <w:p w14:paraId="16C45A33" w14:textId="77777777" w:rsidR="00F07870" w:rsidRDefault="00F07870" w:rsidP="00296A4A">
            <w:pPr>
              <w:pStyle w:val="TableParagraph"/>
              <w:rPr>
                <w:rFonts w:ascii="Times New Roman"/>
                <w:sz w:val="12"/>
              </w:rPr>
            </w:pPr>
          </w:p>
          <w:p w14:paraId="05C52249" w14:textId="77777777" w:rsidR="00F07870" w:rsidRDefault="00F07870" w:rsidP="00296A4A">
            <w:pPr>
              <w:pStyle w:val="TableParagraph"/>
              <w:rPr>
                <w:rFonts w:ascii="Times New Roman"/>
                <w:sz w:val="12"/>
              </w:rPr>
            </w:pPr>
          </w:p>
          <w:p w14:paraId="76C0F021" w14:textId="77777777" w:rsidR="00F07870" w:rsidRDefault="00F07870" w:rsidP="00296A4A">
            <w:pPr>
              <w:pStyle w:val="TableParagraph"/>
              <w:rPr>
                <w:rFonts w:ascii="Times New Roman"/>
                <w:sz w:val="12"/>
              </w:rPr>
            </w:pPr>
          </w:p>
          <w:p w14:paraId="62C9293B" w14:textId="77777777" w:rsidR="00F07870" w:rsidRDefault="00F07870" w:rsidP="00296A4A">
            <w:pPr>
              <w:pStyle w:val="TableParagraph"/>
              <w:rPr>
                <w:rFonts w:ascii="Times New Roman"/>
                <w:sz w:val="12"/>
              </w:rPr>
            </w:pPr>
          </w:p>
          <w:p w14:paraId="5A3FB764" w14:textId="77777777" w:rsidR="00F07870" w:rsidRDefault="00F07870" w:rsidP="00296A4A">
            <w:pPr>
              <w:pStyle w:val="TableParagraph"/>
              <w:rPr>
                <w:rFonts w:ascii="Times New Roman"/>
                <w:sz w:val="12"/>
              </w:rPr>
            </w:pPr>
          </w:p>
          <w:p w14:paraId="596B53F0" w14:textId="77777777" w:rsidR="00F07870" w:rsidRDefault="00F07870" w:rsidP="00296A4A">
            <w:pPr>
              <w:pStyle w:val="TableParagraph"/>
              <w:rPr>
                <w:rFonts w:ascii="Times New Roman"/>
                <w:sz w:val="12"/>
              </w:rPr>
            </w:pPr>
          </w:p>
          <w:p w14:paraId="05800B83" w14:textId="77777777" w:rsidR="00F07870" w:rsidRDefault="00F07870" w:rsidP="00296A4A">
            <w:pPr>
              <w:pStyle w:val="TableParagraph"/>
              <w:spacing w:before="77" w:line="131" w:lineRule="exact"/>
              <w:ind w:left="335" w:right="285"/>
              <w:jc w:val="center"/>
              <w:rPr>
                <w:sz w:val="12"/>
              </w:rPr>
            </w:pPr>
            <w:r>
              <w:rPr>
                <w:w w:val="105"/>
                <w:sz w:val="12"/>
              </w:rPr>
              <w:t>11</w:t>
            </w:r>
          </w:p>
        </w:tc>
        <w:tc>
          <w:tcPr>
            <w:tcW w:w="754" w:type="dxa"/>
            <w:tcBorders>
              <w:top w:val="single" w:sz="6" w:space="0" w:color="000000"/>
              <w:left w:val="single" w:sz="6" w:space="0" w:color="000000"/>
              <w:bottom w:val="single" w:sz="6" w:space="0" w:color="000000"/>
              <w:right w:val="single" w:sz="6" w:space="0" w:color="000000"/>
            </w:tcBorders>
            <w:shd w:val="clear" w:color="auto" w:fill="C5DFB4"/>
          </w:tcPr>
          <w:p w14:paraId="1C465498" w14:textId="77777777" w:rsidR="00F07870" w:rsidRDefault="00F07870" w:rsidP="00296A4A">
            <w:pPr>
              <w:pStyle w:val="TableParagraph"/>
              <w:rPr>
                <w:rFonts w:ascii="Times New Roman"/>
                <w:sz w:val="12"/>
              </w:rPr>
            </w:pPr>
          </w:p>
          <w:p w14:paraId="512800F1" w14:textId="77777777" w:rsidR="00F07870" w:rsidRDefault="00F07870" w:rsidP="00296A4A">
            <w:pPr>
              <w:pStyle w:val="TableParagraph"/>
              <w:rPr>
                <w:rFonts w:ascii="Times New Roman"/>
                <w:sz w:val="12"/>
              </w:rPr>
            </w:pPr>
          </w:p>
          <w:p w14:paraId="06B90076" w14:textId="77777777" w:rsidR="00F07870" w:rsidRDefault="00F07870" w:rsidP="00296A4A">
            <w:pPr>
              <w:pStyle w:val="TableParagraph"/>
              <w:rPr>
                <w:rFonts w:ascii="Times New Roman"/>
                <w:sz w:val="12"/>
              </w:rPr>
            </w:pPr>
          </w:p>
          <w:p w14:paraId="0253595B" w14:textId="77777777" w:rsidR="00F07870" w:rsidRDefault="00F07870" w:rsidP="00296A4A">
            <w:pPr>
              <w:pStyle w:val="TableParagraph"/>
              <w:rPr>
                <w:rFonts w:ascii="Times New Roman"/>
                <w:sz w:val="12"/>
              </w:rPr>
            </w:pPr>
          </w:p>
          <w:p w14:paraId="5297AB29" w14:textId="77777777" w:rsidR="00F07870" w:rsidRDefault="00F07870" w:rsidP="00296A4A">
            <w:pPr>
              <w:pStyle w:val="TableParagraph"/>
              <w:rPr>
                <w:rFonts w:ascii="Times New Roman"/>
                <w:sz w:val="12"/>
              </w:rPr>
            </w:pPr>
          </w:p>
          <w:p w14:paraId="1F8E1918" w14:textId="77777777" w:rsidR="00F07870" w:rsidRDefault="00F07870" w:rsidP="00296A4A">
            <w:pPr>
              <w:pStyle w:val="TableParagraph"/>
              <w:rPr>
                <w:rFonts w:ascii="Times New Roman"/>
                <w:sz w:val="12"/>
              </w:rPr>
            </w:pPr>
          </w:p>
          <w:p w14:paraId="296565FE" w14:textId="77777777" w:rsidR="00F07870" w:rsidRDefault="00F07870" w:rsidP="00296A4A">
            <w:pPr>
              <w:pStyle w:val="TableParagraph"/>
              <w:rPr>
                <w:rFonts w:ascii="Times New Roman"/>
                <w:sz w:val="12"/>
              </w:rPr>
            </w:pPr>
          </w:p>
          <w:p w14:paraId="3206848F" w14:textId="77777777" w:rsidR="00F07870" w:rsidRDefault="00F07870" w:rsidP="00296A4A">
            <w:pPr>
              <w:pStyle w:val="TableParagraph"/>
              <w:rPr>
                <w:rFonts w:ascii="Times New Roman"/>
                <w:sz w:val="12"/>
              </w:rPr>
            </w:pPr>
          </w:p>
          <w:p w14:paraId="3F184022" w14:textId="77777777" w:rsidR="00F07870" w:rsidRDefault="00F07870" w:rsidP="00296A4A">
            <w:pPr>
              <w:pStyle w:val="TableParagraph"/>
              <w:spacing w:before="77" w:line="131" w:lineRule="exact"/>
              <w:ind w:left="88" w:right="36"/>
              <w:jc w:val="center"/>
              <w:rPr>
                <w:sz w:val="12"/>
              </w:rPr>
            </w:pPr>
            <w:r>
              <w:rPr>
                <w:w w:val="105"/>
                <w:sz w:val="12"/>
              </w:rPr>
              <w:t>37</w:t>
            </w:r>
          </w:p>
        </w:tc>
        <w:tc>
          <w:tcPr>
            <w:tcW w:w="1188" w:type="dxa"/>
            <w:tcBorders>
              <w:top w:val="single" w:sz="6" w:space="0" w:color="000000"/>
              <w:left w:val="single" w:sz="6" w:space="0" w:color="000000"/>
              <w:bottom w:val="single" w:sz="6" w:space="0" w:color="000000"/>
              <w:right w:val="single" w:sz="6" w:space="0" w:color="000000"/>
            </w:tcBorders>
            <w:shd w:val="clear" w:color="auto" w:fill="B1B1B1"/>
          </w:tcPr>
          <w:p w14:paraId="20613E8E" w14:textId="77777777" w:rsidR="00F07870" w:rsidRDefault="00F07870" w:rsidP="00296A4A">
            <w:pPr>
              <w:pStyle w:val="TableParagraph"/>
              <w:spacing w:line="276" w:lineRule="auto"/>
              <w:ind w:left="52" w:right="6"/>
              <w:jc w:val="center"/>
              <w:rPr>
                <w:sz w:val="12"/>
              </w:rPr>
            </w:pPr>
            <w:r>
              <w:rPr>
                <w:w w:val="105"/>
                <w:sz w:val="12"/>
              </w:rPr>
              <w:t>Significant increase in</w:t>
            </w:r>
            <w:r>
              <w:rPr>
                <w:spacing w:val="-26"/>
                <w:w w:val="105"/>
                <w:sz w:val="12"/>
              </w:rPr>
              <w:t xml:space="preserve"> </w:t>
            </w:r>
            <w:r>
              <w:rPr>
                <w:w w:val="105"/>
                <w:sz w:val="12"/>
              </w:rPr>
              <w:t>#JPs (more than 3X),</w:t>
            </w:r>
            <w:r>
              <w:rPr>
                <w:spacing w:val="1"/>
                <w:w w:val="105"/>
                <w:sz w:val="12"/>
              </w:rPr>
              <w:t xml:space="preserve"> </w:t>
            </w:r>
            <w:r>
              <w:rPr>
                <w:w w:val="105"/>
                <w:sz w:val="12"/>
              </w:rPr>
              <w:t>well above targets</w:t>
            </w:r>
            <w:r>
              <w:rPr>
                <w:spacing w:val="1"/>
                <w:w w:val="105"/>
                <w:sz w:val="12"/>
              </w:rPr>
              <w:t xml:space="preserve"> </w:t>
            </w:r>
            <w:r>
              <w:rPr>
                <w:w w:val="105"/>
                <w:sz w:val="12"/>
              </w:rPr>
              <w:t>(several set below</w:t>
            </w:r>
            <w:r>
              <w:rPr>
                <w:spacing w:val="1"/>
                <w:w w:val="105"/>
                <w:sz w:val="12"/>
              </w:rPr>
              <w:t xml:space="preserve"> </w:t>
            </w:r>
            <w:r>
              <w:rPr>
                <w:w w:val="105"/>
                <w:sz w:val="12"/>
              </w:rPr>
              <w:t>the previous year's</w:t>
            </w:r>
            <w:r>
              <w:rPr>
                <w:spacing w:val="1"/>
                <w:w w:val="105"/>
                <w:sz w:val="12"/>
              </w:rPr>
              <w:t xml:space="preserve"> </w:t>
            </w:r>
            <w:r>
              <w:rPr>
                <w:w w:val="105"/>
                <w:sz w:val="12"/>
              </w:rPr>
              <w:t>actual). SP indicator</w:t>
            </w:r>
            <w:r>
              <w:rPr>
                <w:spacing w:val="1"/>
                <w:w w:val="105"/>
                <w:sz w:val="12"/>
              </w:rPr>
              <w:t xml:space="preserve"> </w:t>
            </w:r>
            <w:r>
              <w:rPr>
                <w:w w:val="105"/>
                <w:sz w:val="12"/>
              </w:rPr>
              <w:t>wording</w:t>
            </w:r>
            <w:r>
              <w:rPr>
                <w:spacing w:val="-1"/>
                <w:w w:val="105"/>
                <w:sz w:val="12"/>
              </w:rPr>
              <w:t xml:space="preserve"> </w:t>
            </w:r>
            <w:r>
              <w:rPr>
                <w:w w:val="105"/>
                <w:sz w:val="12"/>
              </w:rPr>
              <w:t>is</w:t>
            </w:r>
            <w:r>
              <w:rPr>
                <w:spacing w:val="1"/>
                <w:w w:val="105"/>
                <w:sz w:val="12"/>
              </w:rPr>
              <w:t xml:space="preserve"> </w:t>
            </w:r>
            <w:r>
              <w:rPr>
                <w:w w:val="105"/>
                <w:sz w:val="12"/>
              </w:rPr>
              <w:t>very</w:t>
            </w:r>
          </w:p>
          <w:p w14:paraId="4DA99E22" w14:textId="77777777" w:rsidR="00F07870" w:rsidRDefault="00F07870" w:rsidP="00296A4A">
            <w:pPr>
              <w:pStyle w:val="TableParagraph"/>
              <w:spacing w:line="136" w:lineRule="exact"/>
              <w:ind w:left="52" w:right="5"/>
              <w:jc w:val="center"/>
              <w:rPr>
                <w:sz w:val="12"/>
              </w:rPr>
            </w:pPr>
            <w:r>
              <w:rPr>
                <w:w w:val="105"/>
                <w:sz w:val="12"/>
              </w:rPr>
              <w:t>different.</w:t>
            </w:r>
          </w:p>
        </w:tc>
        <w:tc>
          <w:tcPr>
            <w:tcW w:w="894" w:type="dxa"/>
            <w:tcBorders>
              <w:top w:val="single" w:sz="6" w:space="0" w:color="000000"/>
              <w:left w:val="single" w:sz="6" w:space="0" w:color="000000"/>
              <w:bottom w:val="single" w:sz="6" w:space="0" w:color="000000"/>
              <w:right w:val="single" w:sz="6" w:space="0" w:color="000000"/>
            </w:tcBorders>
          </w:tcPr>
          <w:p w14:paraId="7F24624D" w14:textId="77777777" w:rsidR="00F07870" w:rsidRDefault="00F07870" w:rsidP="00296A4A">
            <w:pPr>
              <w:pStyle w:val="TableParagraph"/>
              <w:rPr>
                <w:rFonts w:ascii="Times New Roman"/>
                <w:sz w:val="12"/>
              </w:rPr>
            </w:pPr>
          </w:p>
          <w:p w14:paraId="31DC3004" w14:textId="77777777" w:rsidR="00F07870" w:rsidRDefault="00F07870" w:rsidP="00296A4A">
            <w:pPr>
              <w:pStyle w:val="TableParagraph"/>
              <w:rPr>
                <w:rFonts w:ascii="Times New Roman"/>
                <w:sz w:val="12"/>
              </w:rPr>
            </w:pPr>
          </w:p>
          <w:p w14:paraId="672ACFA9" w14:textId="77777777" w:rsidR="00F07870" w:rsidRDefault="00F07870" w:rsidP="00296A4A">
            <w:pPr>
              <w:pStyle w:val="TableParagraph"/>
              <w:rPr>
                <w:rFonts w:ascii="Times New Roman"/>
                <w:sz w:val="12"/>
              </w:rPr>
            </w:pPr>
          </w:p>
          <w:p w14:paraId="706D67CC" w14:textId="77777777" w:rsidR="00F07870" w:rsidRDefault="00F07870" w:rsidP="00296A4A">
            <w:pPr>
              <w:pStyle w:val="TableParagraph"/>
              <w:spacing w:before="87"/>
              <w:ind w:left="35"/>
              <w:rPr>
                <w:sz w:val="12"/>
              </w:rPr>
            </w:pPr>
            <w:r>
              <w:rPr>
                <w:w w:val="105"/>
                <w:sz w:val="12"/>
              </w:rPr>
              <w:t>RoLSHR</w:t>
            </w:r>
          </w:p>
          <w:p w14:paraId="30340268" w14:textId="77777777" w:rsidR="00F07870" w:rsidRDefault="00F07870" w:rsidP="00296A4A">
            <w:pPr>
              <w:pStyle w:val="TableParagraph"/>
              <w:spacing w:before="21"/>
              <w:ind w:left="35"/>
              <w:rPr>
                <w:sz w:val="12"/>
              </w:rPr>
            </w:pPr>
            <w:r>
              <w:rPr>
                <w:w w:val="105"/>
                <w:sz w:val="12"/>
              </w:rPr>
              <w:t>Reporting</w:t>
            </w:r>
          </w:p>
          <w:p w14:paraId="564D2F04" w14:textId="77777777" w:rsidR="00F07870" w:rsidRDefault="00F07870" w:rsidP="00296A4A">
            <w:pPr>
              <w:pStyle w:val="TableParagraph"/>
              <w:spacing w:before="4"/>
              <w:rPr>
                <w:rFonts w:ascii="Times New Roman"/>
                <w:sz w:val="15"/>
              </w:rPr>
            </w:pPr>
          </w:p>
          <w:p w14:paraId="6A11811F" w14:textId="77777777" w:rsidR="00F07870" w:rsidRDefault="00F07870" w:rsidP="00296A4A">
            <w:pPr>
              <w:pStyle w:val="TableParagraph"/>
              <w:spacing w:line="160" w:lineRule="atLeast"/>
              <w:ind w:left="35" w:right="114"/>
              <w:rPr>
                <w:sz w:val="12"/>
              </w:rPr>
            </w:pPr>
            <w:r>
              <w:rPr>
                <w:spacing w:val="-1"/>
                <w:w w:val="105"/>
                <w:sz w:val="12"/>
              </w:rPr>
              <w:t xml:space="preserve">IRRF </w:t>
            </w:r>
            <w:r>
              <w:rPr>
                <w:w w:val="105"/>
                <w:sz w:val="12"/>
              </w:rPr>
              <w:t>Indicator</w:t>
            </w:r>
            <w:r>
              <w:rPr>
                <w:spacing w:val="-26"/>
                <w:w w:val="105"/>
                <w:sz w:val="12"/>
              </w:rPr>
              <w:t xml:space="preserve"> </w:t>
            </w:r>
            <w:r>
              <w:rPr>
                <w:w w:val="105"/>
                <w:sz w:val="12"/>
              </w:rPr>
              <w:t>3.2.2.1.D</w:t>
            </w:r>
          </w:p>
        </w:tc>
        <w:tc>
          <w:tcPr>
            <w:tcW w:w="2623" w:type="dxa"/>
            <w:tcBorders>
              <w:top w:val="single" w:sz="6" w:space="0" w:color="000000"/>
              <w:left w:val="single" w:sz="6" w:space="0" w:color="000000"/>
              <w:bottom w:val="single" w:sz="6" w:space="0" w:color="000000"/>
              <w:right w:val="single" w:sz="6" w:space="0" w:color="000000"/>
            </w:tcBorders>
          </w:tcPr>
          <w:p w14:paraId="3C9365D8" w14:textId="77777777" w:rsidR="00F07870" w:rsidRDefault="00F07870" w:rsidP="00296A4A">
            <w:pPr>
              <w:pStyle w:val="TableParagraph"/>
              <w:rPr>
                <w:rFonts w:ascii="Times New Roman"/>
                <w:sz w:val="12"/>
              </w:rPr>
            </w:pPr>
          </w:p>
          <w:p w14:paraId="7DB6D24D" w14:textId="77777777" w:rsidR="00F07870" w:rsidRDefault="00F07870" w:rsidP="00296A4A">
            <w:pPr>
              <w:pStyle w:val="TableParagraph"/>
              <w:rPr>
                <w:rFonts w:ascii="Times New Roman"/>
                <w:sz w:val="12"/>
              </w:rPr>
            </w:pPr>
          </w:p>
          <w:p w14:paraId="69AED512" w14:textId="77777777" w:rsidR="00F07870" w:rsidRDefault="00F07870" w:rsidP="00296A4A">
            <w:pPr>
              <w:pStyle w:val="TableParagraph"/>
              <w:rPr>
                <w:rFonts w:ascii="Times New Roman"/>
                <w:sz w:val="12"/>
              </w:rPr>
            </w:pPr>
          </w:p>
          <w:p w14:paraId="7331128A" w14:textId="77777777" w:rsidR="00F07870" w:rsidRDefault="00F07870" w:rsidP="00296A4A">
            <w:pPr>
              <w:pStyle w:val="TableParagraph"/>
              <w:spacing w:before="87" w:line="276" w:lineRule="auto"/>
              <w:ind w:left="34"/>
              <w:rPr>
                <w:sz w:val="12"/>
              </w:rPr>
            </w:pPr>
            <w:r>
              <w:rPr>
                <w:w w:val="105"/>
                <w:sz w:val="12"/>
              </w:rPr>
              <w:t>IRRF Indicator 3.2.2.1.D measures “Number of</w:t>
            </w:r>
            <w:r>
              <w:rPr>
                <w:spacing w:val="1"/>
                <w:w w:val="105"/>
                <w:sz w:val="12"/>
              </w:rPr>
              <w:t xml:space="preserve"> </w:t>
            </w:r>
            <w:r>
              <w:rPr>
                <w:w w:val="105"/>
                <w:sz w:val="12"/>
              </w:rPr>
              <w:t>contexts with national and</w:t>
            </w:r>
            <w:r>
              <w:rPr>
                <w:spacing w:val="-1"/>
                <w:w w:val="105"/>
                <w:sz w:val="12"/>
              </w:rPr>
              <w:t xml:space="preserve"> </w:t>
            </w:r>
            <w:r>
              <w:rPr>
                <w:w w:val="105"/>
                <w:sz w:val="12"/>
              </w:rPr>
              <w:t>local systems</w:t>
            </w:r>
            <w:r>
              <w:rPr>
                <w:spacing w:val="1"/>
                <w:w w:val="105"/>
                <w:sz w:val="12"/>
              </w:rPr>
              <w:t xml:space="preserve"> </w:t>
            </w:r>
            <w:r>
              <w:rPr>
                <w:w w:val="105"/>
                <w:sz w:val="12"/>
              </w:rPr>
              <w:t>restored</w:t>
            </w:r>
            <w:r>
              <w:rPr>
                <w:spacing w:val="-26"/>
                <w:w w:val="105"/>
                <w:sz w:val="12"/>
              </w:rPr>
              <w:t xml:space="preserve"> </w:t>
            </w:r>
            <w:r>
              <w:rPr>
                <w:w w:val="105"/>
                <w:sz w:val="12"/>
              </w:rPr>
              <w:t>or adopted following crises: utilizing joint UN</w:t>
            </w:r>
            <w:r>
              <w:rPr>
                <w:spacing w:val="1"/>
                <w:w w:val="105"/>
                <w:sz w:val="12"/>
              </w:rPr>
              <w:t xml:space="preserve"> </w:t>
            </w:r>
            <w:r>
              <w:rPr>
                <w:w w:val="105"/>
                <w:sz w:val="12"/>
              </w:rPr>
              <w:t>approaches to rebuilding rule</w:t>
            </w:r>
            <w:r>
              <w:rPr>
                <w:spacing w:val="-1"/>
                <w:w w:val="105"/>
                <w:sz w:val="12"/>
              </w:rPr>
              <w:t xml:space="preserve"> </w:t>
            </w:r>
            <w:r>
              <w:rPr>
                <w:w w:val="105"/>
                <w:sz w:val="12"/>
              </w:rPr>
              <w:t>of</w:t>
            </w:r>
            <w:r>
              <w:rPr>
                <w:spacing w:val="-1"/>
                <w:w w:val="105"/>
                <w:sz w:val="12"/>
              </w:rPr>
              <w:t xml:space="preserve"> </w:t>
            </w:r>
            <w:r>
              <w:rPr>
                <w:w w:val="105"/>
                <w:sz w:val="12"/>
              </w:rPr>
              <w:t>law and justice</w:t>
            </w:r>
          </w:p>
          <w:p w14:paraId="3CA133C4" w14:textId="77777777" w:rsidR="00F07870" w:rsidRDefault="00F07870" w:rsidP="00296A4A">
            <w:pPr>
              <w:pStyle w:val="TableParagraph"/>
              <w:spacing w:line="137" w:lineRule="exact"/>
              <w:ind w:left="34"/>
              <w:rPr>
                <w:sz w:val="12"/>
              </w:rPr>
            </w:pPr>
            <w:r>
              <w:rPr>
                <w:w w:val="105"/>
                <w:sz w:val="12"/>
              </w:rPr>
              <w:t>sector</w:t>
            </w:r>
            <w:r>
              <w:rPr>
                <w:spacing w:val="-2"/>
                <w:w w:val="105"/>
                <w:sz w:val="12"/>
              </w:rPr>
              <w:t xml:space="preserve"> </w:t>
            </w:r>
            <w:r>
              <w:rPr>
                <w:w w:val="105"/>
                <w:sz w:val="12"/>
              </w:rPr>
              <w:t>institutions</w:t>
            </w:r>
            <w:r>
              <w:rPr>
                <w:spacing w:val="1"/>
                <w:w w:val="105"/>
                <w:sz w:val="12"/>
              </w:rPr>
              <w:t xml:space="preserve"> </w:t>
            </w:r>
            <w:r>
              <w:rPr>
                <w:w w:val="105"/>
                <w:sz w:val="12"/>
              </w:rPr>
              <w:t>and services”</w:t>
            </w:r>
          </w:p>
        </w:tc>
      </w:tr>
      <w:tr w:rsidR="00F07870" w14:paraId="35A335CE" w14:textId="77777777" w:rsidTr="00296A4A">
        <w:trPr>
          <w:trHeight w:val="152"/>
        </w:trPr>
        <w:tc>
          <w:tcPr>
            <w:tcW w:w="10953" w:type="dxa"/>
            <w:gridSpan w:val="14"/>
            <w:tcBorders>
              <w:top w:val="single" w:sz="6" w:space="0" w:color="000000"/>
              <w:left w:val="single" w:sz="6" w:space="0" w:color="000000"/>
              <w:bottom w:val="single" w:sz="6" w:space="0" w:color="000000"/>
              <w:right w:val="single" w:sz="6" w:space="0" w:color="000000"/>
            </w:tcBorders>
          </w:tcPr>
          <w:p w14:paraId="6669CACE" w14:textId="77777777" w:rsidR="00F07870" w:rsidRDefault="00F07870" w:rsidP="00296A4A">
            <w:pPr>
              <w:pStyle w:val="TableParagraph"/>
              <w:spacing w:before="2" w:line="131" w:lineRule="exact"/>
              <w:ind w:left="34"/>
              <w:rPr>
                <w:b/>
                <w:sz w:val="12"/>
              </w:rPr>
            </w:pPr>
            <w:r>
              <w:rPr>
                <w:b/>
                <w:w w:val="105"/>
                <w:sz w:val="12"/>
              </w:rPr>
              <w:t>Output</w:t>
            </w:r>
            <w:r>
              <w:rPr>
                <w:b/>
                <w:spacing w:val="-3"/>
                <w:w w:val="105"/>
                <w:sz w:val="12"/>
              </w:rPr>
              <w:t xml:space="preserve"> </w:t>
            </w:r>
            <w:r>
              <w:rPr>
                <w:b/>
                <w:w w:val="105"/>
                <w:sz w:val="12"/>
              </w:rPr>
              <w:t>2: Capable</w:t>
            </w:r>
            <w:r>
              <w:rPr>
                <w:b/>
                <w:spacing w:val="-1"/>
                <w:w w:val="105"/>
                <w:sz w:val="12"/>
              </w:rPr>
              <w:t xml:space="preserve"> </w:t>
            </w:r>
            <w:r>
              <w:rPr>
                <w:b/>
                <w:w w:val="105"/>
                <w:sz w:val="12"/>
              </w:rPr>
              <w:t>justice and</w:t>
            </w:r>
            <w:r>
              <w:rPr>
                <w:b/>
                <w:spacing w:val="-3"/>
                <w:w w:val="105"/>
                <w:sz w:val="12"/>
              </w:rPr>
              <w:t xml:space="preserve"> </w:t>
            </w:r>
            <w:r>
              <w:rPr>
                <w:b/>
                <w:w w:val="105"/>
                <w:sz w:val="12"/>
              </w:rPr>
              <w:t>security</w:t>
            </w:r>
            <w:r>
              <w:rPr>
                <w:b/>
                <w:spacing w:val="-1"/>
                <w:w w:val="105"/>
                <w:sz w:val="12"/>
              </w:rPr>
              <w:t xml:space="preserve"> </w:t>
            </w:r>
            <w:r>
              <w:rPr>
                <w:b/>
                <w:w w:val="105"/>
                <w:sz w:val="12"/>
              </w:rPr>
              <w:t>institutions</w:t>
            </w:r>
            <w:r>
              <w:rPr>
                <w:b/>
                <w:spacing w:val="-2"/>
                <w:w w:val="105"/>
                <w:sz w:val="12"/>
              </w:rPr>
              <w:t xml:space="preserve"> </w:t>
            </w:r>
            <w:r>
              <w:rPr>
                <w:b/>
                <w:w w:val="105"/>
                <w:sz w:val="12"/>
              </w:rPr>
              <w:t>are established</w:t>
            </w:r>
            <w:r>
              <w:rPr>
                <w:b/>
                <w:spacing w:val="-3"/>
                <w:w w:val="105"/>
                <w:sz w:val="12"/>
              </w:rPr>
              <w:t xml:space="preserve"> </w:t>
            </w:r>
            <w:r>
              <w:rPr>
                <w:b/>
                <w:w w:val="105"/>
                <w:sz w:val="12"/>
              </w:rPr>
              <w:t>and</w:t>
            </w:r>
            <w:r>
              <w:rPr>
                <w:b/>
                <w:spacing w:val="-2"/>
                <w:w w:val="105"/>
                <w:sz w:val="12"/>
              </w:rPr>
              <w:t xml:space="preserve"> </w:t>
            </w:r>
            <w:r>
              <w:rPr>
                <w:b/>
                <w:w w:val="105"/>
                <w:sz w:val="12"/>
              </w:rPr>
              <w:t>strengthened</w:t>
            </w:r>
            <w:r>
              <w:rPr>
                <w:b/>
                <w:spacing w:val="-2"/>
                <w:w w:val="105"/>
                <w:sz w:val="12"/>
              </w:rPr>
              <w:t xml:space="preserve"> </w:t>
            </w:r>
            <w:r>
              <w:rPr>
                <w:b/>
                <w:w w:val="105"/>
                <w:sz w:val="12"/>
              </w:rPr>
              <w:t>to</w:t>
            </w:r>
            <w:r>
              <w:rPr>
                <w:b/>
                <w:spacing w:val="-1"/>
                <w:w w:val="105"/>
                <w:sz w:val="12"/>
              </w:rPr>
              <w:t xml:space="preserve"> </w:t>
            </w:r>
            <w:r>
              <w:rPr>
                <w:b/>
                <w:w w:val="105"/>
                <w:sz w:val="12"/>
              </w:rPr>
              <w:t>increase and</w:t>
            </w:r>
            <w:r>
              <w:rPr>
                <w:b/>
                <w:spacing w:val="-3"/>
                <w:w w:val="105"/>
                <w:sz w:val="12"/>
              </w:rPr>
              <w:t xml:space="preserve"> </w:t>
            </w:r>
            <w:r>
              <w:rPr>
                <w:b/>
                <w:w w:val="105"/>
                <w:sz w:val="12"/>
              </w:rPr>
              <w:t>improve service</w:t>
            </w:r>
            <w:r>
              <w:rPr>
                <w:b/>
                <w:spacing w:val="-1"/>
                <w:w w:val="105"/>
                <w:sz w:val="12"/>
              </w:rPr>
              <w:t xml:space="preserve"> </w:t>
            </w:r>
            <w:r>
              <w:rPr>
                <w:b/>
                <w:w w:val="105"/>
                <w:sz w:val="12"/>
              </w:rPr>
              <w:t>delivery</w:t>
            </w:r>
            <w:r>
              <w:rPr>
                <w:b/>
                <w:spacing w:val="-1"/>
                <w:w w:val="105"/>
                <w:sz w:val="12"/>
              </w:rPr>
              <w:t xml:space="preserve"> </w:t>
            </w:r>
            <w:r>
              <w:rPr>
                <w:b/>
                <w:w w:val="105"/>
                <w:sz w:val="12"/>
              </w:rPr>
              <w:t>in</w:t>
            </w:r>
            <w:r>
              <w:rPr>
                <w:b/>
                <w:spacing w:val="-3"/>
                <w:w w:val="105"/>
                <w:sz w:val="12"/>
              </w:rPr>
              <w:t xml:space="preserve"> </w:t>
            </w:r>
            <w:r>
              <w:rPr>
                <w:b/>
                <w:w w:val="105"/>
                <w:sz w:val="12"/>
              </w:rPr>
              <w:t>crisis-affected</w:t>
            </w:r>
            <w:r>
              <w:rPr>
                <w:b/>
                <w:spacing w:val="-2"/>
                <w:w w:val="105"/>
                <w:sz w:val="12"/>
              </w:rPr>
              <w:t xml:space="preserve"> </w:t>
            </w:r>
            <w:r>
              <w:rPr>
                <w:b/>
                <w:w w:val="105"/>
                <w:sz w:val="12"/>
              </w:rPr>
              <w:t>and</w:t>
            </w:r>
            <w:r>
              <w:rPr>
                <w:b/>
                <w:spacing w:val="-2"/>
                <w:w w:val="105"/>
                <w:sz w:val="12"/>
              </w:rPr>
              <w:t xml:space="preserve"> </w:t>
            </w:r>
            <w:r>
              <w:rPr>
                <w:b/>
                <w:w w:val="105"/>
                <w:sz w:val="12"/>
              </w:rPr>
              <w:t>transitional</w:t>
            </w:r>
            <w:r>
              <w:rPr>
                <w:b/>
                <w:spacing w:val="-2"/>
                <w:w w:val="105"/>
                <w:sz w:val="12"/>
              </w:rPr>
              <w:t xml:space="preserve"> </w:t>
            </w:r>
            <w:r>
              <w:rPr>
                <w:b/>
                <w:w w:val="105"/>
                <w:sz w:val="12"/>
              </w:rPr>
              <w:t>settings.</w:t>
            </w:r>
          </w:p>
        </w:tc>
        <w:tc>
          <w:tcPr>
            <w:tcW w:w="2623" w:type="dxa"/>
            <w:tcBorders>
              <w:top w:val="single" w:sz="6" w:space="0" w:color="000000"/>
              <w:left w:val="single" w:sz="6" w:space="0" w:color="000000"/>
              <w:bottom w:val="single" w:sz="6" w:space="0" w:color="000000"/>
              <w:right w:val="single" w:sz="6" w:space="0" w:color="000000"/>
            </w:tcBorders>
          </w:tcPr>
          <w:p w14:paraId="03963CB2" w14:textId="77777777" w:rsidR="00F07870" w:rsidRDefault="00F07870" w:rsidP="00296A4A">
            <w:pPr>
              <w:pStyle w:val="TableParagraph"/>
              <w:rPr>
                <w:rFonts w:ascii="Times New Roman"/>
                <w:sz w:val="8"/>
              </w:rPr>
            </w:pPr>
          </w:p>
        </w:tc>
      </w:tr>
      <w:tr w:rsidR="00F07870" w14:paraId="4E2BD0CD" w14:textId="77777777" w:rsidTr="00296A4A">
        <w:trPr>
          <w:trHeight w:val="937"/>
        </w:trPr>
        <w:tc>
          <w:tcPr>
            <w:tcW w:w="293" w:type="dxa"/>
            <w:tcBorders>
              <w:top w:val="single" w:sz="6" w:space="0" w:color="000000"/>
              <w:left w:val="single" w:sz="6" w:space="0" w:color="000000"/>
              <w:bottom w:val="single" w:sz="6" w:space="0" w:color="000000"/>
              <w:right w:val="single" w:sz="6" w:space="0" w:color="000000"/>
            </w:tcBorders>
          </w:tcPr>
          <w:p w14:paraId="51540211" w14:textId="77777777" w:rsidR="00F07870" w:rsidRDefault="00F07870" w:rsidP="00296A4A">
            <w:pPr>
              <w:pStyle w:val="TableParagraph"/>
              <w:rPr>
                <w:rFonts w:ascii="Times New Roman"/>
                <w:sz w:val="12"/>
              </w:rPr>
            </w:pPr>
          </w:p>
        </w:tc>
        <w:tc>
          <w:tcPr>
            <w:tcW w:w="1882" w:type="dxa"/>
            <w:tcBorders>
              <w:top w:val="single" w:sz="6" w:space="0" w:color="000000"/>
              <w:left w:val="single" w:sz="6" w:space="0" w:color="000000"/>
              <w:bottom w:val="single" w:sz="6" w:space="0" w:color="000000"/>
              <w:right w:val="single" w:sz="6" w:space="0" w:color="000000"/>
            </w:tcBorders>
          </w:tcPr>
          <w:p w14:paraId="1EE0250A" w14:textId="77777777" w:rsidR="00F07870" w:rsidRDefault="00F07870" w:rsidP="00296A4A">
            <w:pPr>
              <w:pStyle w:val="TableParagraph"/>
              <w:spacing w:before="10"/>
              <w:rPr>
                <w:rFonts w:ascii="Times New Roman"/>
                <w:sz w:val="12"/>
              </w:rPr>
            </w:pPr>
          </w:p>
          <w:p w14:paraId="17F9A277" w14:textId="77777777" w:rsidR="00F07870" w:rsidRDefault="00F07870" w:rsidP="00296A4A">
            <w:pPr>
              <w:pStyle w:val="TableParagraph"/>
              <w:spacing w:line="276" w:lineRule="auto"/>
              <w:ind w:left="34" w:right="76"/>
              <w:rPr>
                <w:sz w:val="12"/>
              </w:rPr>
            </w:pPr>
            <w:r>
              <w:rPr>
                <w:w w:val="105"/>
                <w:sz w:val="12"/>
              </w:rPr>
              <w:t>2.1 Number of contexts where</w:t>
            </w:r>
            <w:r>
              <w:rPr>
                <w:spacing w:val="1"/>
                <w:w w:val="105"/>
                <w:sz w:val="12"/>
              </w:rPr>
              <w:t xml:space="preserve"> </w:t>
            </w:r>
            <w:r>
              <w:rPr>
                <w:w w:val="105"/>
                <w:sz w:val="12"/>
              </w:rPr>
              <w:t>justice and security services reach</w:t>
            </w:r>
            <w:r>
              <w:rPr>
                <w:spacing w:val="-26"/>
                <w:w w:val="105"/>
                <w:sz w:val="12"/>
              </w:rPr>
              <w:t xml:space="preserve"> </w:t>
            </w:r>
            <w:r>
              <w:rPr>
                <w:w w:val="105"/>
                <w:sz w:val="12"/>
              </w:rPr>
              <w:t>out to an increasing and/or more</w:t>
            </w:r>
            <w:r>
              <w:rPr>
                <w:spacing w:val="1"/>
                <w:w w:val="105"/>
                <w:sz w:val="12"/>
              </w:rPr>
              <w:t xml:space="preserve"> </w:t>
            </w:r>
            <w:r>
              <w:rPr>
                <w:w w:val="105"/>
                <w:sz w:val="12"/>
              </w:rPr>
              <w:t>inclusive</w:t>
            </w:r>
            <w:r>
              <w:rPr>
                <w:spacing w:val="-2"/>
                <w:w w:val="105"/>
                <w:sz w:val="12"/>
              </w:rPr>
              <w:t xml:space="preserve"> </w:t>
            </w:r>
            <w:r>
              <w:rPr>
                <w:w w:val="105"/>
                <w:sz w:val="12"/>
              </w:rPr>
              <w:t>number</w:t>
            </w:r>
            <w:r>
              <w:rPr>
                <w:spacing w:val="-1"/>
                <w:w w:val="105"/>
                <w:sz w:val="12"/>
              </w:rPr>
              <w:t xml:space="preserve"> </w:t>
            </w:r>
            <w:r>
              <w:rPr>
                <w:w w:val="105"/>
                <w:sz w:val="12"/>
              </w:rPr>
              <w:t>of people</w:t>
            </w:r>
          </w:p>
        </w:tc>
        <w:tc>
          <w:tcPr>
            <w:tcW w:w="662" w:type="dxa"/>
            <w:tcBorders>
              <w:top w:val="single" w:sz="6" w:space="0" w:color="000000"/>
              <w:left w:val="single" w:sz="6" w:space="0" w:color="000000"/>
              <w:bottom w:val="single" w:sz="6" w:space="0" w:color="000000"/>
              <w:right w:val="single" w:sz="6" w:space="0" w:color="000000"/>
            </w:tcBorders>
            <w:shd w:val="clear" w:color="auto" w:fill="FFCCFF"/>
          </w:tcPr>
          <w:p w14:paraId="5EDA5AB0" w14:textId="77777777" w:rsidR="00F07870" w:rsidRDefault="00F07870" w:rsidP="00296A4A">
            <w:pPr>
              <w:pStyle w:val="TableParagraph"/>
              <w:rPr>
                <w:rFonts w:ascii="Times New Roman"/>
                <w:sz w:val="12"/>
              </w:rPr>
            </w:pPr>
          </w:p>
          <w:p w14:paraId="79D5F943" w14:textId="77777777" w:rsidR="00F07870" w:rsidRDefault="00F07870" w:rsidP="00296A4A">
            <w:pPr>
              <w:pStyle w:val="TableParagraph"/>
              <w:rPr>
                <w:rFonts w:ascii="Times New Roman"/>
                <w:sz w:val="12"/>
              </w:rPr>
            </w:pPr>
          </w:p>
          <w:p w14:paraId="20C86BB0" w14:textId="77777777" w:rsidR="00F07870" w:rsidRDefault="00F07870" w:rsidP="00296A4A">
            <w:pPr>
              <w:pStyle w:val="TableParagraph"/>
              <w:spacing w:before="9"/>
              <w:rPr>
                <w:rFonts w:ascii="Times New Roman"/>
                <w:sz w:val="10"/>
              </w:rPr>
            </w:pPr>
          </w:p>
          <w:p w14:paraId="43D80B97" w14:textId="77777777" w:rsidR="00F07870" w:rsidRDefault="00F07870" w:rsidP="00296A4A">
            <w:pPr>
              <w:pStyle w:val="TableParagraph"/>
              <w:ind w:left="112" w:right="72"/>
              <w:jc w:val="center"/>
              <w:rPr>
                <w:sz w:val="12"/>
              </w:rPr>
            </w:pPr>
            <w:r>
              <w:rPr>
                <w:color w:val="44536A"/>
                <w:w w:val="105"/>
                <w:sz w:val="12"/>
              </w:rPr>
              <w:t>24</w:t>
            </w:r>
          </w:p>
        </w:tc>
        <w:tc>
          <w:tcPr>
            <w:tcW w:w="540" w:type="dxa"/>
            <w:tcBorders>
              <w:top w:val="single" w:sz="6" w:space="0" w:color="000000"/>
              <w:left w:val="single" w:sz="6" w:space="0" w:color="000000"/>
              <w:bottom w:val="single" w:sz="6" w:space="0" w:color="000000"/>
              <w:right w:val="single" w:sz="6" w:space="0" w:color="000000"/>
            </w:tcBorders>
            <w:shd w:val="clear" w:color="auto" w:fill="FFCCFF"/>
          </w:tcPr>
          <w:p w14:paraId="524172BA" w14:textId="77777777" w:rsidR="00F07870" w:rsidRDefault="00F07870" w:rsidP="00296A4A">
            <w:pPr>
              <w:pStyle w:val="TableParagraph"/>
              <w:rPr>
                <w:rFonts w:ascii="Times New Roman"/>
                <w:sz w:val="12"/>
              </w:rPr>
            </w:pPr>
          </w:p>
          <w:p w14:paraId="33DB1F5D" w14:textId="77777777" w:rsidR="00F07870" w:rsidRDefault="00F07870" w:rsidP="00296A4A">
            <w:pPr>
              <w:pStyle w:val="TableParagraph"/>
              <w:rPr>
                <w:rFonts w:ascii="Times New Roman"/>
                <w:sz w:val="12"/>
              </w:rPr>
            </w:pPr>
          </w:p>
          <w:p w14:paraId="784F0BCC" w14:textId="77777777" w:rsidR="00F07870" w:rsidRDefault="00F07870" w:rsidP="00296A4A">
            <w:pPr>
              <w:pStyle w:val="TableParagraph"/>
              <w:spacing w:before="9"/>
              <w:rPr>
                <w:rFonts w:ascii="Times New Roman"/>
                <w:sz w:val="10"/>
              </w:rPr>
            </w:pPr>
          </w:p>
          <w:p w14:paraId="0B848939" w14:textId="77777777" w:rsidR="00F07870" w:rsidRDefault="00F07870" w:rsidP="00296A4A">
            <w:pPr>
              <w:pStyle w:val="TableParagraph"/>
              <w:ind w:left="133" w:right="90"/>
              <w:jc w:val="center"/>
              <w:rPr>
                <w:sz w:val="12"/>
              </w:rPr>
            </w:pPr>
            <w:r>
              <w:rPr>
                <w:color w:val="44536A"/>
                <w:w w:val="105"/>
                <w:sz w:val="12"/>
              </w:rPr>
              <w:t>2015</w:t>
            </w:r>
          </w:p>
        </w:tc>
        <w:tc>
          <w:tcPr>
            <w:tcW w:w="713" w:type="dxa"/>
            <w:tcBorders>
              <w:top w:val="single" w:sz="6" w:space="0" w:color="000000"/>
              <w:left w:val="single" w:sz="6" w:space="0" w:color="000000"/>
              <w:bottom w:val="single" w:sz="6" w:space="0" w:color="000000"/>
              <w:right w:val="single" w:sz="6" w:space="0" w:color="000000"/>
            </w:tcBorders>
            <w:shd w:val="clear" w:color="auto" w:fill="FFFF00"/>
          </w:tcPr>
          <w:p w14:paraId="769109C6" w14:textId="77777777" w:rsidR="00F07870" w:rsidRDefault="00F07870" w:rsidP="00296A4A">
            <w:pPr>
              <w:pStyle w:val="TableParagraph"/>
              <w:rPr>
                <w:rFonts w:ascii="Times New Roman"/>
                <w:sz w:val="12"/>
              </w:rPr>
            </w:pPr>
          </w:p>
          <w:p w14:paraId="3530E85E" w14:textId="77777777" w:rsidR="00F07870" w:rsidRDefault="00F07870" w:rsidP="00296A4A">
            <w:pPr>
              <w:pStyle w:val="TableParagraph"/>
              <w:rPr>
                <w:rFonts w:ascii="Times New Roman"/>
                <w:sz w:val="12"/>
              </w:rPr>
            </w:pPr>
          </w:p>
          <w:p w14:paraId="304F264E" w14:textId="77777777" w:rsidR="00F07870" w:rsidRDefault="00F07870" w:rsidP="00296A4A">
            <w:pPr>
              <w:pStyle w:val="TableParagraph"/>
              <w:spacing w:before="9"/>
              <w:rPr>
                <w:rFonts w:ascii="Times New Roman"/>
                <w:sz w:val="10"/>
              </w:rPr>
            </w:pPr>
          </w:p>
          <w:p w14:paraId="677D551A" w14:textId="77777777" w:rsidR="00F07870" w:rsidRDefault="00F07870" w:rsidP="00296A4A">
            <w:pPr>
              <w:pStyle w:val="TableParagraph"/>
              <w:ind w:left="261" w:right="218"/>
              <w:jc w:val="center"/>
              <w:rPr>
                <w:sz w:val="12"/>
              </w:rPr>
            </w:pPr>
            <w:r>
              <w:rPr>
                <w:color w:val="44536A"/>
                <w:w w:val="105"/>
                <w:sz w:val="12"/>
              </w:rPr>
              <w:t>22</w:t>
            </w:r>
          </w:p>
        </w:tc>
        <w:tc>
          <w:tcPr>
            <w:tcW w:w="571" w:type="dxa"/>
            <w:tcBorders>
              <w:top w:val="single" w:sz="6" w:space="0" w:color="000000"/>
              <w:left w:val="single" w:sz="6" w:space="0" w:color="000000"/>
              <w:bottom w:val="single" w:sz="6" w:space="0" w:color="000000"/>
              <w:right w:val="single" w:sz="6" w:space="0" w:color="000000"/>
            </w:tcBorders>
            <w:shd w:val="clear" w:color="auto" w:fill="FFFF00"/>
          </w:tcPr>
          <w:p w14:paraId="4E36AD52" w14:textId="77777777" w:rsidR="00F07870" w:rsidRDefault="00F07870" w:rsidP="00296A4A">
            <w:pPr>
              <w:pStyle w:val="TableParagraph"/>
              <w:rPr>
                <w:rFonts w:ascii="Times New Roman"/>
                <w:sz w:val="12"/>
              </w:rPr>
            </w:pPr>
          </w:p>
          <w:p w14:paraId="22A40BB1" w14:textId="77777777" w:rsidR="00F07870" w:rsidRDefault="00F07870" w:rsidP="00296A4A">
            <w:pPr>
              <w:pStyle w:val="TableParagraph"/>
              <w:rPr>
                <w:rFonts w:ascii="Times New Roman"/>
                <w:sz w:val="12"/>
              </w:rPr>
            </w:pPr>
          </w:p>
          <w:p w14:paraId="0A61442B" w14:textId="77777777" w:rsidR="00F07870" w:rsidRDefault="00F07870" w:rsidP="00296A4A">
            <w:pPr>
              <w:pStyle w:val="TableParagraph"/>
              <w:spacing w:before="9"/>
              <w:rPr>
                <w:rFonts w:ascii="Times New Roman"/>
                <w:sz w:val="10"/>
              </w:rPr>
            </w:pPr>
          </w:p>
          <w:p w14:paraId="5080E84E" w14:textId="77777777" w:rsidR="00F07870" w:rsidRDefault="00F07870" w:rsidP="00296A4A">
            <w:pPr>
              <w:pStyle w:val="TableParagraph"/>
              <w:ind w:left="70" w:right="28"/>
              <w:jc w:val="center"/>
              <w:rPr>
                <w:sz w:val="12"/>
              </w:rPr>
            </w:pPr>
            <w:r>
              <w:rPr>
                <w:color w:val="44536A"/>
                <w:w w:val="105"/>
                <w:sz w:val="12"/>
              </w:rPr>
              <w:t>26</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7C5CEB7F" w14:textId="77777777" w:rsidR="00F07870" w:rsidRDefault="00F07870" w:rsidP="00296A4A">
            <w:pPr>
              <w:pStyle w:val="TableParagraph"/>
              <w:rPr>
                <w:rFonts w:ascii="Times New Roman"/>
                <w:sz w:val="12"/>
              </w:rPr>
            </w:pPr>
          </w:p>
          <w:p w14:paraId="13C36E4F" w14:textId="77777777" w:rsidR="00F07870" w:rsidRDefault="00F07870" w:rsidP="00296A4A">
            <w:pPr>
              <w:pStyle w:val="TableParagraph"/>
              <w:rPr>
                <w:rFonts w:ascii="Times New Roman"/>
                <w:sz w:val="12"/>
              </w:rPr>
            </w:pPr>
          </w:p>
          <w:p w14:paraId="4B6B9A40" w14:textId="77777777" w:rsidR="00F07870" w:rsidRDefault="00F07870" w:rsidP="00296A4A">
            <w:pPr>
              <w:pStyle w:val="TableParagraph"/>
              <w:spacing w:before="9"/>
              <w:rPr>
                <w:rFonts w:ascii="Times New Roman"/>
                <w:sz w:val="10"/>
              </w:rPr>
            </w:pPr>
          </w:p>
          <w:p w14:paraId="7A096303" w14:textId="77777777" w:rsidR="00F07870" w:rsidRDefault="00F07870" w:rsidP="00296A4A">
            <w:pPr>
              <w:pStyle w:val="TableParagraph"/>
              <w:ind w:left="70" w:right="28"/>
              <w:jc w:val="center"/>
              <w:rPr>
                <w:sz w:val="12"/>
              </w:rPr>
            </w:pPr>
            <w:r>
              <w:rPr>
                <w:color w:val="44536A"/>
                <w:w w:val="105"/>
                <w:sz w:val="12"/>
              </w:rPr>
              <w:t>26</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55285B28" w14:textId="77777777" w:rsidR="00F07870" w:rsidRDefault="00F07870" w:rsidP="00296A4A">
            <w:pPr>
              <w:pStyle w:val="TableParagraph"/>
              <w:rPr>
                <w:rFonts w:ascii="Times New Roman"/>
                <w:sz w:val="12"/>
              </w:rPr>
            </w:pPr>
          </w:p>
          <w:p w14:paraId="083DEB1F" w14:textId="77777777" w:rsidR="00F07870" w:rsidRDefault="00F07870" w:rsidP="00296A4A">
            <w:pPr>
              <w:pStyle w:val="TableParagraph"/>
              <w:rPr>
                <w:rFonts w:ascii="Times New Roman"/>
                <w:sz w:val="12"/>
              </w:rPr>
            </w:pPr>
          </w:p>
          <w:p w14:paraId="4A71B2B8" w14:textId="77777777" w:rsidR="00F07870" w:rsidRDefault="00F07870" w:rsidP="00296A4A">
            <w:pPr>
              <w:pStyle w:val="TableParagraph"/>
              <w:spacing w:before="9"/>
              <w:rPr>
                <w:rFonts w:ascii="Times New Roman"/>
                <w:sz w:val="10"/>
              </w:rPr>
            </w:pPr>
          </w:p>
          <w:p w14:paraId="06E20800" w14:textId="77777777" w:rsidR="00F07870" w:rsidRDefault="00F07870" w:rsidP="00296A4A">
            <w:pPr>
              <w:pStyle w:val="TableParagraph"/>
              <w:ind w:left="71" w:right="28"/>
              <w:jc w:val="center"/>
              <w:rPr>
                <w:sz w:val="12"/>
              </w:rPr>
            </w:pPr>
            <w:r>
              <w:rPr>
                <w:color w:val="44536A"/>
                <w:w w:val="105"/>
                <w:sz w:val="12"/>
              </w:rPr>
              <w:t>28</w:t>
            </w:r>
          </w:p>
        </w:tc>
        <w:tc>
          <w:tcPr>
            <w:tcW w:w="768" w:type="dxa"/>
            <w:tcBorders>
              <w:top w:val="single" w:sz="6" w:space="0" w:color="000000"/>
              <w:left w:val="single" w:sz="6" w:space="0" w:color="000000"/>
              <w:bottom w:val="single" w:sz="6" w:space="0" w:color="000000"/>
              <w:right w:val="single" w:sz="6" w:space="0" w:color="000000"/>
            </w:tcBorders>
            <w:shd w:val="clear" w:color="auto" w:fill="B4C5E7"/>
          </w:tcPr>
          <w:p w14:paraId="2859A298" w14:textId="77777777" w:rsidR="00F07870" w:rsidRDefault="00F07870" w:rsidP="00296A4A">
            <w:pPr>
              <w:pStyle w:val="TableParagraph"/>
              <w:rPr>
                <w:rFonts w:ascii="Times New Roman"/>
                <w:sz w:val="12"/>
              </w:rPr>
            </w:pPr>
          </w:p>
          <w:p w14:paraId="11BF7CB6" w14:textId="77777777" w:rsidR="00F07870" w:rsidRDefault="00F07870" w:rsidP="00296A4A">
            <w:pPr>
              <w:pStyle w:val="TableParagraph"/>
              <w:rPr>
                <w:rFonts w:ascii="Times New Roman"/>
                <w:sz w:val="12"/>
              </w:rPr>
            </w:pPr>
          </w:p>
          <w:p w14:paraId="7A1FFD46" w14:textId="77777777" w:rsidR="00F07870" w:rsidRDefault="00F07870" w:rsidP="00296A4A">
            <w:pPr>
              <w:pStyle w:val="TableParagraph"/>
              <w:spacing w:before="9"/>
              <w:rPr>
                <w:rFonts w:ascii="Times New Roman"/>
                <w:sz w:val="10"/>
              </w:rPr>
            </w:pPr>
          </w:p>
          <w:p w14:paraId="3844583F" w14:textId="77777777" w:rsidR="00F07870" w:rsidRDefault="00F07870" w:rsidP="00296A4A">
            <w:pPr>
              <w:pStyle w:val="TableParagraph"/>
              <w:ind w:left="309" w:right="266"/>
              <w:jc w:val="center"/>
              <w:rPr>
                <w:sz w:val="12"/>
              </w:rPr>
            </w:pPr>
            <w:r>
              <w:rPr>
                <w:color w:val="44536A"/>
                <w:w w:val="105"/>
                <w:sz w:val="12"/>
              </w:rPr>
              <w:t>25</w:t>
            </w:r>
          </w:p>
        </w:tc>
        <w:tc>
          <w:tcPr>
            <w:tcW w:w="737" w:type="dxa"/>
            <w:tcBorders>
              <w:top w:val="single" w:sz="6" w:space="0" w:color="000000"/>
              <w:left w:val="single" w:sz="6" w:space="0" w:color="000000"/>
              <w:bottom w:val="single" w:sz="6" w:space="0" w:color="000000"/>
              <w:right w:val="single" w:sz="6" w:space="0" w:color="000000"/>
            </w:tcBorders>
            <w:shd w:val="clear" w:color="auto" w:fill="B4C5E7"/>
          </w:tcPr>
          <w:p w14:paraId="30FA3F6E" w14:textId="77777777" w:rsidR="00F07870" w:rsidRDefault="00F07870" w:rsidP="00296A4A">
            <w:pPr>
              <w:pStyle w:val="TableParagraph"/>
              <w:rPr>
                <w:rFonts w:ascii="Times New Roman"/>
                <w:sz w:val="12"/>
              </w:rPr>
            </w:pPr>
          </w:p>
          <w:p w14:paraId="0B6030F0" w14:textId="77777777" w:rsidR="00F07870" w:rsidRDefault="00F07870" w:rsidP="00296A4A">
            <w:pPr>
              <w:pStyle w:val="TableParagraph"/>
              <w:rPr>
                <w:rFonts w:ascii="Times New Roman"/>
                <w:sz w:val="12"/>
              </w:rPr>
            </w:pPr>
          </w:p>
          <w:p w14:paraId="04420FBA" w14:textId="77777777" w:rsidR="00F07870" w:rsidRDefault="00F07870" w:rsidP="00296A4A">
            <w:pPr>
              <w:pStyle w:val="TableParagraph"/>
              <w:spacing w:before="9"/>
              <w:rPr>
                <w:rFonts w:ascii="Times New Roman"/>
                <w:sz w:val="10"/>
              </w:rPr>
            </w:pPr>
          </w:p>
          <w:p w14:paraId="7562104F" w14:textId="77777777" w:rsidR="00F07870" w:rsidRDefault="00F07870" w:rsidP="00296A4A">
            <w:pPr>
              <w:pStyle w:val="TableParagraph"/>
              <w:ind w:left="76" w:right="31"/>
              <w:jc w:val="center"/>
              <w:rPr>
                <w:sz w:val="12"/>
              </w:rPr>
            </w:pPr>
            <w:r>
              <w:rPr>
                <w:color w:val="44536A"/>
                <w:w w:val="105"/>
                <w:sz w:val="12"/>
              </w:rPr>
              <w:t>29</w:t>
            </w:r>
          </w:p>
        </w:tc>
        <w:tc>
          <w:tcPr>
            <w:tcW w:w="809" w:type="dxa"/>
            <w:tcBorders>
              <w:top w:val="single" w:sz="6" w:space="0" w:color="000000"/>
              <w:left w:val="single" w:sz="6" w:space="0" w:color="000000"/>
              <w:bottom w:val="single" w:sz="6" w:space="0" w:color="000000"/>
              <w:right w:val="single" w:sz="6" w:space="0" w:color="000000"/>
            </w:tcBorders>
            <w:shd w:val="clear" w:color="auto" w:fill="C5DFB4"/>
          </w:tcPr>
          <w:p w14:paraId="4E189A50" w14:textId="77777777" w:rsidR="00F07870" w:rsidRDefault="00F07870" w:rsidP="00296A4A">
            <w:pPr>
              <w:pStyle w:val="TableParagraph"/>
              <w:rPr>
                <w:rFonts w:ascii="Times New Roman"/>
                <w:sz w:val="12"/>
              </w:rPr>
            </w:pPr>
          </w:p>
          <w:p w14:paraId="20E4D365" w14:textId="77777777" w:rsidR="00F07870" w:rsidRDefault="00F07870" w:rsidP="00296A4A">
            <w:pPr>
              <w:pStyle w:val="TableParagraph"/>
              <w:rPr>
                <w:rFonts w:ascii="Times New Roman"/>
                <w:sz w:val="12"/>
              </w:rPr>
            </w:pPr>
          </w:p>
          <w:p w14:paraId="058E857D" w14:textId="77777777" w:rsidR="00F07870" w:rsidRDefault="00F07870" w:rsidP="00296A4A">
            <w:pPr>
              <w:pStyle w:val="TableParagraph"/>
              <w:spacing w:before="9"/>
              <w:rPr>
                <w:rFonts w:ascii="Times New Roman"/>
                <w:sz w:val="10"/>
              </w:rPr>
            </w:pPr>
          </w:p>
          <w:p w14:paraId="47A3BDF0" w14:textId="77777777" w:rsidR="00F07870" w:rsidRDefault="00F07870" w:rsidP="00296A4A">
            <w:pPr>
              <w:pStyle w:val="TableParagraph"/>
              <w:ind w:left="333" w:right="288"/>
              <w:jc w:val="center"/>
              <w:rPr>
                <w:sz w:val="12"/>
              </w:rPr>
            </w:pPr>
            <w:r>
              <w:rPr>
                <w:color w:val="44536A"/>
                <w:w w:val="105"/>
                <w:sz w:val="12"/>
              </w:rPr>
              <w:t>27</w:t>
            </w:r>
          </w:p>
        </w:tc>
        <w:tc>
          <w:tcPr>
            <w:tcW w:w="754" w:type="dxa"/>
            <w:tcBorders>
              <w:top w:val="single" w:sz="6" w:space="0" w:color="000000"/>
              <w:left w:val="single" w:sz="6" w:space="0" w:color="000000"/>
              <w:bottom w:val="single" w:sz="6" w:space="0" w:color="000000"/>
              <w:right w:val="single" w:sz="6" w:space="0" w:color="000000"/>
            </w:tcBorders>
            <w:shd w:val="clear" w:color="auto" w:fill="C5DFB4"/>
          </w:tcPr>
          <w:p w14:paraId="6FBA7C7F" w14:textId="77777777" w:rsidR="00F07870" w:rsidRDefault="00F07870" w:rsidP="00296A4A">
            <w:pPr>
              <w:pStyle w:val="TableParagraph"/>
              <w:rPr>
                <w:rFonts w:ascii="Times New Roman"/>
                <w:sz w:val="12"/>
              </w:rPr>
            </w:pPr>
          </w:p>
          <w:p w14:paraId="60470BF2" w14:textId="77777777" w:rsidR="00F07870" w:rsidRDefault="00F07870" w:rsidP="00296A4A">
            <w:pPr>
              <w:pStyle w:val="TableParagraph"/>
              <w:rPr>
                <w:rFonts w:ascii="Times New Roman"/>
                <w:sz w:val="12"/>
              </w:rPr>
            </w:pPr>
          </w:p>
          <w:p w14:paraId="20A22DD7" w14:textId="77777777" w:rsidR="00F07870" w:rsidRDefault="00F07870" w:rsidP="00296A4A">
            <w:pPr>
              <w:pStyle w:val="TableParagraph"/>
              <w:spacing w:before="9"/>
              <w:rPr>
                <w:rFonts w:ascii="Times New Roman"/>
                <w:sz w:val="10"/>
              </w:rPr>
            </w:pPr>
          </w:p>
          <w:p w14:paraId="08C54C4D" w14:textId="77777777" w:rsidR="00F07870" w:rsidRDefault="00F07870" w:rsidP="00296A4A">
            <w:pPr>
              <w:pStyle w:val="TableParagraph"/>
              <w:ind w:left="79" w:right="37"/>
              <w:jc w:val="center"/>
              <w:rPr>
                <w:b/>
                <w:sz w:val="12"/>
              </w:rPr>
            </w:pPr>
            <w:r>
              <w:rPr>
                <w:b/>
                <w:color w:val="44536A"/>
                <w:w w:val="105"/>
                <w:sz w:val="12"/>
              </w:rPr>
              <w:t>31</w:t>
            </w:r>
          </w:p>
        </w:tc>
        <w:tc>
          <w:tcPr>
            <w:tcW w:w="1188" w:type="dxa"/>
            <w:tcBorders>
              <w:top w:val="single" w:sz="6" w:space="0" w:color="000000"/>
              <w:left w:val="single" w:sz="6" w:space="0" w:color="000000"/>
              <w:bottom w:val="single" w:sz="6" w:space="0" w:color="000000"/>
              <w:right w:val="single" w:sz="6" w:space="0" w:color="000000"/>
            </w:tcBorders>
            <w:shd w:val="clear" w:color="auto" w:fill="B1B1B1"/>
          </w:tcPr>
          <w:p w14:paraId="140CEC7C" w14:textId="77777777" w:rsidR="00F07870" w:rsidRDefault="00F07870" w:rsidP="00296A4A">
            <w:pPr>
              <w:pStyle w:val="TableParagraph"/>
              <w:spacing w:before="10"/>
              <w:rPr>
                <w:rFonts w:ascii="Times New Roman"/>
                <w:sz w:val="12"/>
              </w:rPr>
            </w:pPr>
          </w:p>
          <w:p w14:paraId="4ED9019A" w14:textId="77777777" w:rsidR="00F07870" w:rsidRDefault="00F07870" w:rsidP="00296A4A">
            <w:pPr>
              <w:pStyle w:val="TableParagraph"/>
              <w:spacing w:line="276" w:lineRule="auto"/>
              <w:ind w:left="85" w:right="40" w:firstLine="3"/>
              <w:jc w:val="center"/>
              <w:rPr>
                <w:sz w:val="12"/>
              </w:rPr>
            </w:pPr>
            <w:r>
              <w:rPr>
                <w:w w:val="105"/>
                <w:sz w:val="12"/>
              </w:rPr>
              <w:t>Slight increase from</w:t>
            </w:r>
            <w:r>
              <w:rPr>
                <w:spacing w:val="-26"/>
                <w:w w:val="105"/>
                <w:sz w:val="12"/>
              </w:rPr>
              <w:t xml:space="preserve"> </w:t>
            </w:r>
            <w:r>
              <w:rPr>
                <w:w w:val="105"/>
                <w:sz w:val="12"/>
              </w:rPr>
              <w:t>high baseline, which</w:t>
            </w:r>
            <w:r>
              <w:rPr>
                <w:spacing w:val="-26"/>
                <w:w w:val="105"/>
                <w:sz w:val="12"/>
              </w:rPr>
              <w:t xml:space="preserve"> </w:t>
            </w:r>
            <w:r>
              <w:rPr>
                <w:w w:val="105"/>
                <w:sz w:val="12"/>
              </w:rPr>
              <w:t>raises question of</w:t>
            </w:r>
            <w:r>
              <w:rPr>
                <w:spacing w:val="1"/>
                <w:w w:val="105"/>
                <w:sz w:val="12"/>
              </w:rPr>
              <w:t xml:space="preserve"> </w:t>
            </w:r>
            <w:r>
              <w:rPr>
                <w:w w:val="105"/>
                <w:sz w:val="12"/>
              </w:rPr>
              <w:t>utility</w:t>
            </w:r>
            <w:r>
              <w:rPr>
                <w:spacing w:val="-1"/>
                <w:w w:val="105"/>
                <w:sz w:val="12"/>
              </w:rPr>
              <w:t xml:space="preserve"> </w:t>
            </w:r>
            <w:r>
              <w:rPr>
                <w:w w:val="105"/>
                <w:sz w:val="12"/>
              </w:rPr>
              <w:t>of</w:t>
            </w:r>
            <w:r>
              <w:rPr>
                <w:spacing w:val="-1"/>
                <w:w w:val="105"/>
                <w:sz w:val="12"/>
              </w:rPr>
              <w:t xml:space="preserve"> </w:t>
            </w:r>
            <w:r>
              <w:rPr>
                <w:w w:val="105"/>
                <w:sz w:val="12"/>
              </w:rPr>
              <w:t>indicator</w:t>
            </w:r>
          </w:p>
        </w:tc>
        <w:tc>
          <w:tcPr>
            <w:tcW w:w="894" w:type="dxa"/>
            <w:tcBorders>
              <w:top w:val="single" w:sz="6" w:space="0" w:color="000000"/>
              <w:left w:val="single" w:sz="6" w:space="0" w:color="000000"/>
              <w:bottom w:val="single" w:sz="6" w:space="0" w:color="000000"/>
              <w:right w:val="single" w:sz="6" w:space="0" w:color="000000"/>
            </w:tcBorders>
          </w:tcPr>
          <w:p w14:paraId="761F3F64" w14:textId="77777777" w:rsidR="00F07870" w:rsidRDefault="00F07870" w:rsidP="00296A4A">
            <w:pPr>
              <w:pStyle w:val="TableParagraph"/>
              <w:rPr>
                <w:rFonts w:ascii="Times New Roman"/>
                <w:sz w:val="12"/>
              </w:rPr>
            </w:pPr>
          </w:p>
          <w:p w14:paraId="27CFE65A" w14:textId="77777777" w:rsidR="00F07870" w:rsidRDefault="00F07870" w:rsidP="00296A4A">
            <w:pPr>
              <w:pStyle w:val="TableParagraph"/>
              <w:rPr>
                <w:rFonts w:ascii="Times New Roman"/>
                <w:sz w:val="12"/>
              </w:rPr>
            </w:pPr>
          </w:p>
          <w:p w14:paraId="6DC4CA75" w14:textId="77777777" w:rsidR="00F07870" w:rsidRDefault="00F07870" w:rsidP="00296A4A">
            <w:pPr>
              <w:pStyle w:val="TableParagraph"/>
              <w:rPr>
                <w:rFonts w:ascii="Times New Roman"/>
                <w:sz w:val="12"/>
              </w:rPr>
            </w:pPr>
          </w:p>
          <w:p w14:paraId="3197DA73" w14:textId="77777777" w:rsidR="00F07870" w:rsidRDefault="00F07870" w:rsidP="00296A4A">
            <w:pPr>
              <w:pStyle w:val="TableParagraph"/>
              <w:spacing w:before="2"/>
              <w:rPr>
                <w:rFonts w:ascii="Times New Roman"/>
                <w:sz w:val="17"/>
              </w:rPr>
            </w:pPr>
          </w:p>
          <w:p w14:paraId="29A42FA4" w14:textId="77777777" w:rsidR="00F07870" w:rsidRDefault="00F07870" w:rsidP="00296A4A">
            <w:pPr>
              <w:pStyle w:val="TableParagraph"/>
              <w:ind w:left="35"/>
              <w:rPr>
                <w:sz w:val="12"/>
              </w:rPr>
            </w:pPr>
            <w:r>
              <w:rPr>
                <w:w w:val="105"/>
                <w:sz w:val="12"/>
              </w:rPr>
              <w:t>RoLSHR</w:t>
            </w:r>
          </w:p>
          <w:p w14:paraId="1AC47375" w14:textId="77777777" w:rsidR="00F07870" w:rsidRDefault="00F07870" w:rsidP="00296A4A">
            <w:pPr>
              <w:pStyle w:val="TableParagraph"/>
              <w:spacing w:before="21" w:line="138" w:lineRule="exact"/>
              <w:ind w:left="35"/>
              <w:rPr>
                <w:sz w:val="12"/>
              </w:rPr>
            </w:pPr>
            <w:r>
              <w:rPr>
                <w:w w:val="105"/>
                <w:sz w:val="12"/>
              </w:rPr>
              <w:t>Reporting</w:t>
            </w:r>
          </w:p>
        </w:tc>
        <w:tc>
          <w:tcPr>
            <w:tcW w:w="2623" w:type="dxa"/>
            <w:tcBorders>
              <w:top w:val="single" w:sz="6" w:space="0" w:color="000000"/>
              <w:left w:val="single" w:sz="6" w:space="0" w:color="000000"/>
              <w:bottom w:val="single" w:sz="6" w:space="0" w:color="000000"/>
              <w:right w:val="single" w:sz="6" w:space="0" w:color="000000"/>
            </w:tcBorders>
          </w:tcPr>
          <w:p w14:paraId="7D8E10EA" w14:textId="77777777" w:rsidR="00F07870" w:rsidRDefault="00F07870" w:rsidP="00296A4A">
            <w:pPr>
              <w:pStyle w:val="TableParagraph"/>
              <w:rPr>
                <w:rFonts w:ascii="Times New Roman"/>
                <w:sz w:val="12"/>
              </w:rPr>
            </w:pPr>
          </w:p>
        </w:tc>
      </w:tr>
      <w:tr w:rsidR="00F07870" w14:paraId="5F186CE0" w14:textId="77777777" w:rsidTr="00296A4A">
        <w:trPr>
          <w:trHeight w:val="1458"/>
        </w:trPr>
        <w:tc>
          <w:tcPr>
            <w:tcW w:w="293" w:type="dxa"/>
            <w:tcBorders>
              <w:top w:val="single" w:sz="6" w:space="0" w:color="000000"/>
              <w:left w:val="single" w:sz="6" w:space="0" w:color="000000"/>
              <w:bottom w:val="single" w:sz="6" w:space="0" w:color="000000"/>
              <w:right w:val="single" w:sz="6" w:space="0" w:color="000000"/>
            </w:tcBorders>
          </w:tcPr>
          <w:p w14:paraId="01F6229E" w14:textId="77777777" w:rsidR="00F07870" w:rsidRDefault="00F07870" w:rsidP="00296A4A">
            <w:pPr>
              <w:pStyle w:val="TableParagraph"/>
              <w:rPr>
                <w:rFonts w:ascii="Times New Roman"/>
                <w:sz w:val="12"/>
              </w:rPr>
            </w:pPr>
          </w:p>
        </w:tc>
        <w:tc>
          <w:tcPr>
            <w:tcW w:w="1882" w:type="dxa"/>
            <w:tcBorders>
              <w:top w:val="single" w:sz="6" w:space="0" w:color="000000"/>
              <w:left w:val="single" w:sz="6" w:space="0" w:color="000000"/>
              <w:bottom w:val="single" w:sz="6" w:space="0" w:color="000000"/>
              <w:right w:val="single" w:sz="6" w:space="0" w:color="000000"/>
            </w:tcBorders>
          </w:tcPr>
          <w:p w14:paraId="5A9AA837" w14:textId="77777777" w:rsidR="00F07870" w:rsidRDefault="00F07870" w:rsidP="00296A4A">
            <w:pPr>
              <w:pStyle w:val="TableParagraph"/>
              <w:spacing w:before="8"/>
              <w:rPr>
                <w:rFonts w:ascii="Times New Roman"/>
                <w:sz w:val="13"/>
              </w:rPr>
            </w:pPr>
          </w:p>
          <w:p w14:paraId="7A343540" w14:textId="77777777" w:rsidR="00F07870" w:rsidRDefault="00F07870" w:rsidP="00296A4A">
            <w:pPr>
              <w:pStyle w:val="TableParagraph"/>
              <w:spacing w:line="276" w:lineRule="auto"/>
              <w:ind w:left="34" w:right="44"/>
              <w:rPr>
                <w:sz w:val="12"/>
              </w:rPr>
            </w:pPr>
            <w:r>
              <w:rPr>
                <w:w w:val="105"/>
                <w:sz w:val="12"/>
              </w:rPr>
              <w:t>2.2 Number of contexts with</w:t>
            </w:r>
            <w:r>
              <w:rPr>
                <w:spacing w:val="1"/>
                <w:w w:val="105"/>
                <w:sz w:val="12"/>
              </w:rPr>
              <w:t xml:space="preserve"> </w:t>
            </w:r>
            <w:r>
              <w:rPr>
                <w:w w:val="105"/>
                <w:sz w:val="12"/>
              </w:rPr>
              <w:t>national-level security strategies</w:t>
            </w:r>
            <w:r>
              <w:rPr>
                <w:spacing w:val="1"/>
                <w:w w:val="105"/>
                <w:sz w:val="12"/>
              </w:rPr>
              <w:t xml:space="preserve"> </w:t>
            </w:r>
            <w:r>
              <w:rPr>
                <w:w w:val="105"/>
                <w:sz w:val="12"/>
              </w:rPr>
              <w:t>that are developed through a</w:t>
            </w:r>
            <w:r>
              <w:rPr>
                <w:spacing w:val="1"/>
                <w:w w:val="105"/>
                <w:sz w:val="12"/>
              </w:rPr>
              <w:t xml:space="preserve"> </w:t>
            </w:r>
            <w:r>
              <w:rPr>
                <w:w w:val="105"/>
                <w:sz w:val="12"/>
              </w:rPr>
              <w:t>participatory process, comply with</w:t>
            </w:r>
            <w:r>
              <w:rPr>
                <w:spacing w:val="-26"/>
                <w:w w:val="105"/>
                <w:sz w:val="12"/>
              </w:rPr>
              <w:t xml:space="preserve"> </w:t>
            </w:r>
            <w:r>
              <w:rPr>
                <w:w w:val="105"/>
                <w:sz w:val="12"/>
              </w:rPr>
              <w:t>human</w:t>
            </w:r>
            <w:r>
              <w:rPr>
                <w:spacing w:val="-1"/>
                <w:w w:val="105"/>
                <w:sz w:val="12"/>
              </w:rPr>
              <w:t xml:space="preserve"> </w:t>
            </w:r>
            <w:r>
              <w:rPr>
                <w:w w:val="105"/>
                <w:sz w:val="12"/>
              </w:rPr>
              <w:t>rights</w:t>
            </w:r>
            <w:r>
              <w:rPr>
                <w:spacing w:val="1"/>
                <w:w w:val="105"/>
                <w:sz w:val="12"/>
              </w:rPr>
              <w:t xml:space="preserve"> </w:t>
            </w:r>
            <w:r>
              <w:rPr>
                <w:w w:val="105"/>
                <w:sz w:val="12"/>
              </w:rPr>
              <w:t>standards, and/or</w:t>
            </w:r>
            <w:r>
              <w:rPr>
                <w:spacing w:val="1"/>
                <w:w w:val="105"/>
                <w:sz w:val="12"/>
              </w:rPr>
              <w:t xml:space="preserve"> </w:t>
            </w:r>
            <w:r>
              <w:rPr>
                <w:w w:val="105"/>
                <w:sz w:val="12"/>
              </w:rPr>
              <w:t>support reducing armed violence</w:t>
            </w:r>
            <w:r>
              <w:rPr>
                <w:spacing w:val="1"/>
                <w:w w:val="105"/>
                <w:sz w:val="12"/>
              </w:rPr>
              <w:t xml:space="preserve"> </w:t>
            </w:r>
            <w:r>
              <w:rPr>
                <w:w w:val="105"/>
                <w:sz w:val="12"/>
              </w:rPr>
              <w:t>and</w:t>
            </w:r>
            <w:r>
              <w:rPr>
                <w:spacing w:val="-1"/>
                <w:w w:val="105"/>
                <w:sz w:val="12"/>
              </w:rPr>
              <w:t xml:space="preserve"> </w:t>
            </w:r>
            <w:r>
              <w:rPr>
                <w:w w:val="105"/>
                <w:sz w:val="12"/>
              </w:rPr>
              <w:t>promote</w:t>
            </w:r>
            <w:r>
              <w:rPr>
                <w:spacing w:val="-2"/>
                <w:w w:val="105"/>
                <w:sz w:val="12"/>
              </w:rPr>
              <w:t xml:space="preserve"> </w:t>
            </w:r>
            <w:r>
              <w:rPr>
                <w:w w:val="105"/>
                <w:sz w:val="12"/>
              </w:rPr>
              <w:t>control</w:t>
            </w:r>
            <w:r>
              <w:rPr>
                <w:spacing w:val="-1"/>
                <w:w w:val="105"/>
                <w:sz w:val="12"/>
              </w:rPr>
              <w:t xml:space="preserve"> </w:t>
            </w:r>
            <w:r>
              <w:rPr>
                <w:w w:val="105"/>
                <w:sz w:val="12"/>
              </w:rPr>
              <w:t>of</w:t>
            </w:r>
            <w:r>
              <w:rPr>
                <w:spacing w:val="-1"/>
                <w:w w:val="105"/>
                <w:sz w:val="12"/>
              </w:rPr>
              <w:t xml:space="preserve"> </w:t>
            </w:r>
            <w:r>
              <w:rPr>
                <w:w w:val="105"/>
                <w:sz w:val="12"/>
              </w:rPr>
              <w:t>small</w:t>
            </w:r>
            <w:r>
              <w:rPr>
                <w:spacing w:val="-1"/>
                <w:w w:val="105"/>
                <w:sz w:val="12"/>
              </w:rPr>
              <w:t xml:space="preserve"> </w:t>
            </w:r>
            <w:r>
              <w:rPr>
                <w:w w:val="105"/>
                <w:sz w:val="12"/>
              </w:rPr>
              <w:t>arms</w:t>
            </w:r>
          </w:p>
        </w:tc>
        <w:tc>
          <w:tcPr>
            <w:tcW w:w="662" w:type="dxa"/>
            <w:tcBorders>
              <w:top w:val="single" w:sz="6" w:space="0" w:color="000000"/>
              <w:left w:val="single" w:sz="6" w:space="0" w:color="000000"/>
              <w:bottom w:val="single" w:sz="6" w:space="0" w:color="000000"/>
              <w:right w:val="single" w:sz="6" w:space="0" w:color="000000"/>
            </w:tcBorders>
            <w:shd w:val="clear" w:color="auto" w:fill="FFCCFF"/>
          </w:tcPr>
          <w:p w14:paraId="3FEBBEFA" w14:textId="77777777" w:rsidR="00F07870" w:rsidRDefault="00F07870" w:rsidP="00296A4A">
            <w:pPr>
              <w:pStyle w:val="TableParagraph"/>
              <w:rPr>
                <w:rFonts w:ascii="Times New Roman"/>
                <w:sz w:val="12"/>
              </w:rPr>
            </w:pPr>
          </w:p>
          <w:p w14:paraId="520A57DB" w14:textId="77777777" w:rsidR="00F07870" w:rsidRDefault="00F07870" w:rsidP="00296A4A">
            <w:pPr>
              <w:pStyle w:val="TableParagraph"/>
              <w:rPr>
                <w:rFonts w:ascii="Times New Roman"/>
                <w:sz w:val="12"/>
              </w:rPr>
            </w:pPr>
          </w:p>
          <w:p w14:paraId="71D960FF" w14:textId="77777777" w:rsidR="00F07870" w:rsidRDefault="00F07870" w:rsidP="00296A4A">
            <w:pPr>
              <w:pStyle w:val="TableParagraph"/>
              <w:rPr>
                <w:rFonts w:ascii="Times New Roman"/>
                <w:sz w:val="12"/>
              </w:rPr>
            </w:pPr>
          </w:p>
          <w:p w14:paraId="3B6AFAD1" w14:textId="77777777" w:rsidR="00F07870" w:rsidRDefault="00F07870" w:rsidP="00296A4A">
            <w:pPr>
              <w:pStyle w:val="TableParagraph"/>
              <w:rPr>
                <w:rFonts w:ascii="Times New Roman"/>
                <w:sz w:val="12"/>
              </w:rPr>
            </w:pPr>
          </w:p>
          <w:p w14:paraId="1224F839" w14:textId="77777777" w:rsidR="00F07870" w:rsidRDefault="00F07870" w:rsidP="00296A4A">
            <w:pPr>
              <w:pStyle w:val="TableParagraph"/>
              <w:spacing w:before="6"/>
              <w:rPr>
                <w:rFonts w:ascii="Times New Roman"/>
                <w:sz w:val="9"/>
              </w:rPr>
            </w:pPr>
          </w:p>
          <w:p w14:paraId="2F536372" w14:textId="77777777" w:rsidR="00F07870" w:rsidRDefault="00F07870" w:rsidP="00296A4A">
            <w:pPr>
              <w:pStyle w:val="TableParagraph"/>
              <w:ind w:left="42"/>
              <w:jc w:val="center"/>
              <w:rPr>
                <w:sz w:val="12"/>
              </w:rPr>
            </w:pPr>
            <w:r>
              <w:rPr>
                <w:color w:val="44536A"/>
                <w:w w:val="106"/>
                <w:sz w:val="12"/>
              </w:rPr>
              <w:t>6</w:t>
            </w:r>
          </w:p>
        </w:tc>
        <w:tc>
          <w:tcPr>
            <w:tcW w:w="540" w:type="dxa"/>
            <w:tcBorders>
              <w:top w:val="single" w:sz="6" w:space="0" w:color="000000"/>
              <w:left w:val="single" w:sz="6" w:space="0" w:color="000000"/>
              <w:bottom w:val="single" w:sz="6" w:space="0" w:color="000000"/>
              <w:right w:val="single" w:sz="6" w:space="0" w:color="000000"/>
            </w:tcBorders>
            <w:shd w:val="clear" w:color="auto" w:fill="FFCCFF"/>
          </w:tcPr>
          <w:p w14:paraId="2D1AE3DB" w14:textId="77777777" w:rsidR="00F07870" w:rsidRDefault="00F07870" w:rsidP="00296A4A">
            <w:pPr>
              <w:pStyle w:val="TableParagraph"/>
              <w:rPr>
                <w:rFonts w:ascii="Times New Roman"/>
                <w:sz w:val="12"/>
              </w:rPr>
            </w:pPr>
          </w:p>
          <w:p w14:paraId="7BA4216C" w14:textId="77777777" w:rsidR="00F07870" w:rsidRDefault="00F07870" w:rsidP="00296A4A">
            <w:pPr>
              <w:pStyle w:val="TableParagraph"/>
              <w:rPr>
                <w:rFonts w:ascii="Times New Roman"/>
                <w:sz w:val="12"/>
              </w:rPr>
            </w:pPr>
          </w:p>
          <w:p w14:paraId="62A31668" w14:textId="77777777" w:rsidR="00F07870" w:rsidRDefault="00F07870" w:rsidP="00296A4A">
            <w:pPr>
              <w:pStyle w:val="TableParagraph"/>
              <w:rPr>
                <w:rFonts w:ascii="Times New Roman"/>
                <w:sz w:val="12"/>
              </w:rPr>
            </w:pPr>
          </w:p>
          <w:p w14:paraId="259F7C75" w14:textId="77777777" w:rsidR="00F07870" w:rsidRDefault="00F07870" w:rsidP="00296A4A">
            <w:pPr>
              <w:pStyle w:val="TableParagraph"/>
              <w:rPr>
                <w:rFonts w:ascii="Times New Roman"/>
                <w:sz w:val="12"/>
              </w:rPr>
            </w:pPr>
          </w:p>
          <w:p w14:paraId="727664D3" w14:textId="77777777" w:rsidR="00F07870" w:rsidRDefault="00F07870" w:rsidP="00296A4A">
            <w:pPr>
              <w:pStyle w:val="TableParagraph"/>
              <w:spacing w:before="6"/>
              <w:rPr>
                <w:rFonts w:ascii="Times New Roman"/>
                <w:sz w:val="9"/>
              </w:rPr>
            </w:pPr>
          </w:p>
          <w:p w14:paraId="4306E811" w14:textId="77777777" w:rsidR="00F07870" w:rsidRDefault="00F07870" w:rsidP="00296A4A">
            <w:pPr>
              <w:pStyle w:val="TableParagraph"/>
              <w:ind w:left="133" w:right="90"/>
              <w:jc w:val="center"/>
              <w:rPr>
                <w:sz w:val="12"/>
              </w:rPr>
            </w:pPr>
            <w:r>
              <w:rPr>
                <w:color w:val="44536A"/>
                <w:w w:val="105"/>
                <w:sz w:val="12"/>
              </w:rPr>
              <w:t>2016</w:t>
            </w:r>
          </w:p>
        </w:tc>
        <w:tc>
          <w:tcPr>
            <w:tcW w:w="713" w:type="dxa"/>
            <w:tcBorders>
              <w:top w:val="single" w:sz="6" w:space="0" w:color="000000"/>
              <w:left w:val="single" w:sz="6" w:space="0" w:color="000000"/>
              <w:bottom w:val="single" w:sz="6" w:space="0" w:color="000000"/>
              <w:right w:val="single" w:sz="6" w:space="0" w:color="000000"/>
            </w:tcBorders>
            <w:shd w:val="clear" w:color="auto" w:fill="FFFF00"/>
          </w:tcPr>
          <w:p w14:paraId="7B019FED" w14:textId="77777777" w:rsidR="00F07870" w:rsidRDefault="00F07870" w:rsidP="00296A4A">
            <w:pPr>
              <w:pStyle w:val="TableParagraph"/>
              <w:rPr>
                <w:rFonts w:ascii="Times New Roman"/>
                <w:sz w:val="12"/>
              </w:rPr>
            </w:pPr>
          </w:p>
          <w:p w14:paraId="08613971" w14:textId="77777777" w:rsidR="00F07870" w:rsidRDefault="00F07870" w:rsidP="00296A4A">
            <w:pPr>
              <w:pStyle w:val="TableParagraph"/>
              <w:rPr>
                <w:rFonts w:ascii="Times New Roman"/>
                <w:sz w:val="12"/>
              </w:rPr>
            </w:pPr>
          </w:p>
          <w:p w14:paraId="14E55EB9" w14:textId="77777777" w:rsidR="00F07870" w:rsidRDefault="00F07870" w:rsidP="00296A4A">
            <w:pPr>
              <w:pStyle w:val="TableParagraph"/>
              <w:rPr>
                <w:rFonts w:ascii="Times New Roman"/>
                <w:sz w:val="12"/>
              </w:rPr>
            </w:pPr>
          </w:p>
          <w:p w14:paraId="3E6F9B4D" w14:textId="77777777" w:rsidR="00F07870" w:rsidRDefault="00F07870" w:rsidP="00296A4A">
            <w:pPr>
              <w:pStyle w:val="TableParagraph"/>
              <w:rPr>
                <w:rFonts w:ascii="Times New Roman"/>
                <w:sz w:val="12"/>
              </w:rPr>
            </w:pPr>
          </w:p>
          <w:p w14:paraId="5AA5A65F" w14:textId="77777777" w:rsidR="00F07870" w:rsidRDefault="00F07870" w:rsidP="00296A4A">
            <w:pPr>
              <w:pStyle w:val="TableParagraph"/>
              <w:spacing w:before="6"/>
              <w:rPr>
                <w:rFonts w:ascii="Times New Roman"/>
                <w:sz w:val="9"/>
              </w:rPr>
            </w:pPr>
          </w:p>
          <w:p w14:paraId="1FEC7CB4" w14:textId="77777777" w:rsidR="00F07870" w:rsidRDefault="00F07870" w:rsidP="00296A4A">
            <w:pPr>
              <w:pStyle w:val="TableParagraph"/>
              <w:ind w:left="40"/>
              <w:jc w:val="center"/>
              <w:rPr>
                <w:sz w:val="12"/>
              </w:rPr>
            </w:pPr>
            <w:r>
              <w:rPr>
                <w:color w:val="44536A"/>
                <w:w w:val="106"/>
                <w:sz w:val="1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FFFF00"/>
          </w:tcPr>
          <w:p w14:paraId="4E78D856" w14:textId="77777777" w:rsidR="00F07870" w:rsidRDefault="00F07870" w:rsidP="00296A4A">
            <w:pPr>
              <w:pStyle w:val="TableParagraph"/>
              <w:rPr>
                <w:rFonts w:ascii="Times New Roman"/>
                <w:sz w:val="12"/>
              </w:rPr>
            </w:pPr>
          </w:p>
          <w:p w14:paraId="0D103802" w14:textId="77777777" w:rsidR="00F07870" w:rsidRDefault="00F07870" w:rsidP="00296A4A">
            <w:pPr>
              <w:pStyle w:val="TableParagraph"/>
              <w:rPr>
                <w:rFonts w:ascii="Times New Roman"/>
                <w:sz w:val="12"/>
              </w:rPr>
            </w:pPr>
          </w:p>
          <w:p w14:paraId="42415342" w14:textId="77777777" w:rsidR="00F07870" w:rsidRDefault="00F07870" w:rsidP="00296A4A">
            <w:pPr>
              <w:pStyle w:val="TableParagraph"/>
              <w:rPr>
                <w:rFonts w:ascii="Times New Roman"/>
                <w:sz w:val="12"/>
              </w:rPr>
            </w:pPr>
          </w:p>
          <w:p w14:paraId="5F23DD19" w14:textId="77777777" w:rsidR="00F07870" w:rsidRDefault="00F07870" w:rsidP="00296A4A">
            <w:pPr>
              <w:pStyle w:val="TableParagraph"/>
              <w:rPr>
                <w:rFonts w:ascii="Times New Roman"/>
                <w:sz w:val="12"/>
              </w:rPr>
            </w:pPr>
          </w:p>
          <w:p w14:paraId="7DE5E4EA" w14:textId="77777777" w:rsidR="00F07870" w:rsidRDefault="00F07870" w:rsidP="00296A4A">
            <w:pPr>
              <w:pStyle w:val="TableParagraph"/>
              <w:spacing w:before="6"/>
              <w:rPr>
                <w:rFonts w:ascii="Times New Roman"/>
                <w:sz w:val="9"/>
              </w:rPr>
            </w:pPr>
          </w:p>
          <w:p w14:paraId="778BE73B" w14:textId="77777777" w:rsidR="00F07870" w:rsidRDefault="00F07870" w:rsidP="00296A4A">
            <w:pPr>
              <w:pStyle w:val="TableParagraph"/>
              <w:ind w:left="44"/>
              <w:jc w:val="center"/>
              <w:rPr>
                <w:sz w:val="12"/>
              </w:rPr>
            </w:pPr>
            <w:r>
              <w:rPr>
                <w:color w:val="44536A"/>
                <w:w w:val="106"/>
                <w:sz w:val="12"/>
              </w:rPr>
              <w:t>6</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4D32B6F2" w14:textId="77777777" w:rsidR="00F07870" w:rsidRDefault="00F07870" w:rsidP="00296A4A">
            <w:pPr>
              <w:pStyle w:val="TableParagraph"/>
              <w:rPr>
                <w:rFonts w:ascii="Times New Roman"/>
                <w:sz w:val="12"/>
              </w:rPr>
            </w:pPr>
          </w:p>
          <w:p w14:paraId="2DA14D23" w14:textId="77777777" w:rsidR="00F07870" w:rsidRDefault="00F07870" w:rsidP="00296A4A">
            <w:pPr>
              <w:pStyle w:val="TableParagraph"/>
              <w:rPr>
                <w:rFonts w:ascii="Times New Roman"/>
                <w:sz w:val="12"/>
              </w:rPr>
            </w:pPr>
          </w:p>
          <w:p w14:paraId="20190EC9" w14:textId="77777777" w:rsidR="00F07870" w:rsidRDefault="00F07870" w:rsidP="00296A4A">
            <w:pPr>
              <w:pStyle w:val="TableParagraph"/>
              <w:rPr>
                <w:rFonts w:ascii="Times New Roman"/>
                <w:sz w:val="12"/>
              </w:rPr>
            </w:pPr>
          </w:p>
          <w:p w14:paraId="7C58EB0A" w14:textId="77777777" w:rsidR="00F07870" w:rsidRDefault="00F07870" w:rsidP="00296A4A">
            <w:pPr>
              <w:pStyle w:val="TableParagraph"/>
              <w:rPr>
                <w:rFonts w:ascii="Times New Roman"/>
                <w:sz w:val="12"/>
              </w:rPr>
            </w:pPr>
          </w:p>
          <w:p w14:paraId="7A3DDD69" w14:textId="77777777" w:rsidR="00F07870" w:rsidRDefault="00F07870" w:rsidP="00296A4A">
            <w:pPr>
              <w:pStyle w:val="TableParagraph"/>
              <w:spacing w:before="6"/>
              <w:rPr>
                <w:rFonts w:ascii="Times New Roman"/>
                <w:sz w:val="9"/>
              </w:rPr>
            </w:pPr>
          </w:p>
          <w:p w14:paraId="3263EBDF" w14:textId="77777777" w:rsidR="00F07870" w:rsidRDefault="00F07870" w:rsidP="00296A4A">
            <w:pPr>
              <w:pStyle w:val="TableParagraph"/>
              <w:ind w:left="44"/>
              <w:jc w:val="center"/>
              <w:rPr>
                <w:sz w:val="12"/>
              </w:rPr>
            </w:pPr>
            <w:r>
              <w:rPr>
                <w:color w:val="44536A"/>
                <w:w w:val="106"/>
                <w:sz w:val="12"/>
              </w:rPr>
              <w:t>6</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3E5CA50D" w14:textId="77777777" w:rsidR="00F07870" w:rsidRDefault="00F07870" w:rsidP="00296A4A">
            <w:pPr>
              <w:pStyle w:val="TableParagraph"/>
              <w:rPr>
                <w:rFonts w:ascii="Times New Roman"/>
                <w:sz w:val="12"/>
              </w:rPr>
            </w:pPr>
          </w:p>
          <w:p w14:paraId="0334B1CD" w14:textId="77777777" w:rsidR="00F07870" w:rsidRDefault="00F07870" w:rsidP="00296A4A">
            <w:pPr>
              <w:pStyle w:val="TableParagraph"/>
              <w:rPr>
                <w:rFonts w:ascii="Times New Roman"/>
                <w:sz w:val="12"/>
              </w:rPr>
            </w:pPr>
          </w:p>
          <w:p w14:paraId="1795C34B" w14:textId="77777777" w:rsidR="00F07870" w:rsidRDefault="00F07870" w:rsidP="00296A4A">
            <w:pPr>
              <w:pStyle w:val="TableParagraph"/>
              <w:rPr>
                <w:rFonts w:ascii="Times New Roman"/>
                <w:sz w:val="12"/>
              </w:rPr>
            </w:pPr>
          </w:p>
          <w:p w14:paraId="6771C21A" w14:textId="77777777" w:rsidR="00F07870" w:rsidRDefault="00F07870" w:rsidP="00296A4A">
            <w:pPr>
              <w:pStyle w:val="TableParagraph"/>
              <w:rPr>
                <w:rFonts w:ascii="Times New Roman"/>
                <w:sz w:val="12"/>
              </w:rPr>
            </w:pPr>
          </w:p>
          <w:p w14:paraId="12305696" w14:textId="77777777" w:rsidR="00F07870" w:rsidRDefault="00F07870" w:rsidP="00296A4A">
            <w:pPr>
              <w:pStyle w:val="TableParagraph"/>
              <w:spacing w:before="6"/>
              <w:rPr>
                <w:rFonts w:ascii="Times New Roman"/>
                <w:sz w:val="9"/>
              </w:rPr>
            </w:pPr>
          </w:p>
          <w:p w14:paraId="637664A0" w14:textId="77777777" w:rsidR="00F07870" w:rsidRDefault="00F07870" w:rsidP="00296A4A">
            <w:pPr>
              <w:pStyle w:val="TableParagraph"/>
              <w:ind w:left="21"/>
              <w:jc w:val="center"/>
              <w:rPr>
                <w:i/>
                <w:sz w:val="12"/>
              </w:rPr>
            </w:pPr>
            <w:r>
              <w:rPr>
                <w:i/>
                <w:color w:val="44536A"/>
                <w:w w:val="106"/>
                <w:sz w:val="12"/>
              </w:rPr>
              <w:t>7</w:t>
            </w:r>
          </w:p>
        </w:tc>
        <w:tc>
          <w:tcPr>
            <w:tcW w:w="768" w:type="dxa"/>
            <w:tcBorders>
              <w:top w:val="single" w:sz="6" w:space="0" w:color="000000"/>
              <w:left w:val="single" w:sz="6" w:space="0" w:color="000000"/>
              <w:bottom w:val="single" w:sz="6" w:space="0" w:color="000000"/>
              <w:right w:val="single" w:sz="6" w:space="0" w:color="000000"/>
            </w:tcBorders>
            <w:shd w:val="clear" w:color="auto" w:fill="B4C5E7"/>
          </w:tcPr>
          <w:p w14:paraId="4FFF2770" w14:textId="77777777" w:rsidR="00F07870" w:rsidRDefault="00F07870" w:rsidP="00296A4A">
            <w:pPr>
              <w:pStyle w:val="TableParagraph"/>
              <w:rPr>
                <w:rFonts w:ascii="Times New Roman"/>
                <w:sz w:val="12"/>
              </w:rPr>
            </w:pPr>
          </w:p>
          <w:p w14:paraId="0A98E150" w14:textId="77777777" w:rsidR="00F07870" w:rsidRDefault="00F07870" w:rsidP="00296A4A">
            <w:pPr>
              <w:pStyle w:val="TableParagraph"/>
              <w:rPr>
                <w:rFonts w:ascii="Times New Roman"/>
                <w:sz w:val="12"/>
              </w:rPr>
            </w:pPr>
          </w:p>
          <w:p w14:paraId="26086393" w14:textId="77777777" w:rsidR="00F07870" w:rsidRDefault="00F07870" w:rsidP="00296A4A">
            <w:pPr>
              <w:pStyle w:val="TableParagraph"/>
              <w:rPr>
                <w:rFonts w:ascii="Times New Roman"/>
                <w:sz w:val="12"/>
              </w:rPr>
            </w:pPr>
          </w:p>
          <w:p w14:paraId="2AE0CA02" w14:textId="77777777" w:rsidR="00F07870" w:rsidRDefault="00F07870" w:rsidP="00296A4A">
            <w:pPr>
              <w:pStyle w:val="TableParagraph"/>
              <w:rPr>
                <w:rFonts w:ascii="Times New Roman"/>
                <w:sz w:val="12"/>
              </w:rPr>
            </w:pPr>
          </w:p>
          <w:p w14:paraId="0CB26CC5" w14:textId="77777777" w:rsidR="00F07870" w:rsidRDefault="00F07870" w:rsidP="00296A4A">
            <w:pPr>
              <w:pStyle w:val="TableParagraph"/>
              <w:spacing w:before="6"/>
              <w:rPr>
                <w:rFonts w:ascii="Times New Roman"/>
                <w:sz w:val="9"/>
              </w:rPr>
            </w:pPr>
          </w:p>
          <w:p w14:paraId="34038454" w14:textId="77777777" w:rsidR="00F07870" w:rsidRDefault="00F07870" w:rsidP="00296A4A">
            <w:pPr>
              <w:pStyle w:val="TableParagraph"/>
              <w:ind w:left="21"/>
              <w:jc w:val="center"/>
              <w:rPr>
                <w:i/>
                <w:sz w:val="12"/>
              </w:rPr>
            </w:pPr>
            <w:r>
              <w:rPr>
                <w:i/>
                <w:color w:val="44536A"/>
                <w:w w:val="106"/>
                <w:sz w:val="12"/>
              </w:rPr>
              <w:t>6</w:t>
            </w:r>
          </w:p>
        </w:tc>
        <w:tc>
          <w:tcPr>
            <w:tcW w:w="737" w:type="dxa"/>
            <w:tcBorders>
              <w:top w:val="single" w:sz="6" w:space="0" w:color="000000"/>
              <w:left w:val="single" w:sz="6" w:space="0" w:color="000000"/>
              <w:bottom w:val="single" w:sz="6" w:space="0" w:color="000000"/>
              <w:right w:val="single" w:sz="6" w:space="0" w:color="000000"/>
            </w:tcBorders>
            <w:shd w:val="clear" w:color="auto" w:fill="B4C5E7"/>
          </w:tcPr>
          <w:p w14:paraId="05F85E4A" w14:textId="77777777" w:rsidR="00F07870" w:rsidRDefault="00F07870" w:rsidP="00296A4A">
            <w:pPr>
              <w:pStyle w:val="TableParagraph"/>
              <w:rPr>
                <w:rFonts w:ascii="Times New Roman"/>
                <w:sz w:val="12"/>
              </w:rPr>
            </w:pPr>
          </w:p>
          <w:p w14:paraId="2445F335" w14:textId="77777777" w:rsidR="00F07870" w:rsidRDefault="00F07870" w:rsidP="00296A4A">
            <w:pPr>
              <w:pStyle w:val="TableParagraph"/>
              <w:rPr>
                <w:rFonts w:ascii="Times New Roman"/>
                <w:sz w:val="12"/>
              </w:rPr>
            </w:pPr>
          </w:p>
          <w:p w14:paraId="2A90062E" w14:textId="77777777" w:rsidR="00F07870" w:rsidRDefault="00F07870" w:rsidP="00296A4A">
            <w:pPr>
              <w:pStyle w:val="TableParagraph"/>
              <w:rPr>
                <w:rFonts w:ascii="Times New Roman"/>
                <w:sz w:val="12"/>
              </w:rPr>
            </w:pPr>
          </w:p>
          <w:p w14:paraId="7249E8F3" w14:textId="77777777" w:rsidR="00F07870" w:rsidRDefault="00F07870" w:rsidP="00296A4A">
            <w:pPr>
              <w:pStyle w:val="TableParagraph"/>
              <w:rPr>
                <w:rFonts w:ascii="Times New Roman"/>
                <w:sz w:val="12"/>
              </w:rPr>
            </w:pPr>
          </w:p>
          <w:p w14:paraId="187AB51B" w14:textId="77777777" w:rsidR="00F07870" w:rsidRDefault="00F07870" w:rsidP="00296A4A">
            <w:pPr>
              <w:pStyle w:val="TableParagraph"/>
              <w:spacing w:before="6"/>
              <w:rPr>
                <w:rFonts w:ascii="Times New Roman"/>
                <w:sz w:val="9"/>
              </w:rPr>
            </w:pPr>
          </w:p>
          <w:p w14:paraId="368285FB" w14:textId="77777777" w:rsidR="00F07870" w:rsidRDefault="00F07870" w:rsidP="00296A4A">
            <w:pPr>
              <w:pStyle w:val="TableParagraph"/>
              <w:ind w:left="42"/>
              <w:jc w:val="center"/>
              <w:rPr>
                <w:sz w:val="12"/>
              </w:rPr>
            </w:pPr>
            <w:r>
              <w:rPr>
                <w:color w:val="44536A"/>
                <w:w w:val="106"/>
                <w:sz w:val="12"/>
              </w:rPr>
              <w:t>8</w:t>
            </w:r>
          </w:p>
        </w:tc>
        <w:tc>
          <w:tcPr>
            <w:tcW w:w="809" w:type="dxa"/>
            <w:tcBorders>
              <w:top w:val="single" w:sz="6" w:space="0" w:color="000000"/>
              <w:left w:val="single" w:sz="6" w:space="0" w:color="000000"/>
              <w:bottom w:val="single" w:sz="6" w:space="0" w:color="000000"/>
              <w:right w:val="single" w:sz="6" w:space="0" w:color="000000"/>
            </w:tcBorders>
            <w:shd w:val="clear" w:color="auto" w:fill="C5DFB4"/>
          </w:tcPr>
          <w:p w14:paraId="485AB85D" w14:textId="77777777" w:rsidR="00F07870" w:rsidRDefault="00F07870" w:rsidP="00296A4A">
            <w:pPr>
              <w:pStyle w:val="TableParagraph"/>
              <w:rPr>
                <w:rFonts w:ascii="Times New Roman"/>
                <w:sz w:val="12"/>
              </w:rPr>
            </w:pPr>
          </w:p>
          <w:p w14:paraId="5B5F9AE1" w14:textId="77777777" w:rsidR="00F07870" w:rsidRDefault="00F07870" w:rsidP="00296A4A">
            <w:pPr>
              <w:pStyle w:val="TableParagraph"/>
              <w:rPr>
                <w:rFonts w:ascii="Times New Roman"/>
                <w:sz w:val="12"/>
              </w:rPr>
            </w:pPr>
          </w:p>
          <w:p w14:paraId="7DC5946F" w14:textId="77777777" w:rsidR="00F07870" w:rsidRDefault="00F07870" w:rsidP="00296A4A">
            <w:pPr>
              <w:pStyle w:val="TableParagraph"/>
              <w:rPr>
                <w:rFonts w:ascii="Times New Roman"/>
                <w:sz w:val="12"/>
              </w:rPr>
            </w:pPr>
          </w:p>
          <w:p w14:paraId="1FDC5957" w14:textId="77777777" w:rsidR="00F07870" w:rsidRDefault="00F07870" w:rsidP="00296A4A">
            <w:pPr>
              <w:pStyle w:val="TableParagraph"/>
              <w:rPr>
                <w:rFonts w:ascii="Times New Roman"/>
                <w:sz w:val="12"/>
              </w:rPr>
            </w:pPr>
          </w:p>
          <w:p w14:paraId="635C318D" w14:textId="77777777" w:rsidR="00F07870" w:rsidRDefault="00F07870" w:rsidP="00296A4A">
            <w:pPr>
              <w:pStyle w:val="TableParagraph"/>
              <w:spacing w:before="6"/>
              <w:rPr>
                <w:rFonts w:ascii="Times New Roman"/>
                <w:sz w:val="9"/>
              </w:rPr>
            </w:pPr>
          </w:p>
          <w:p w14:paraId="62E5CAFB" w14:textId="77777777" w:rsidR="00F07870" w:rsidRDefault="00F07870" w:rsidP="00296A4A">
            <w:pPr>
              <w:pStyle w:val="TableParagraph"/>
              <w:ind w:left="43"/>
              <w:jc w:val="center"/>
              <w:rPr>
                <w:sz w:val="12"/>
              </w:rPr>
            </w:pPr>
            <w:r>
              <w:rPr>
                <w:color w:val="44536A"/>
                <w:w w:val="106"/>
                <w:sz w:val="12"/>
              </w:rPr>
              <w:t>8</w:t>
            </w:r>
          </w:p>
        </w:tc>
        <w:tc>
          <w:tcPr>
            <w:tcW w:w="754" w:type="dxa"/>
            <w:tcBorders>
              <w:top w:val="single" w:sz="6" w:space="0" w:color="000000"/>
              <w:left w:val="single" w:sz="6" w:space="0" w:color="000000"/>
              <w:bottom w:val="single" w:sz="6" w:space="0" w:color="000000"/>
              <w:right w:val="single" w:sz="6" w:space="0" w:color="000000"/>
            </w:tcBorders>
            <w:shd w:val="clear" w:color="auto" w:fill="C5DFB4"/>
          </w:tcPr>
          <w:p w14:paraId="24A8FA71" w14:textId="77777777" w:rsidR="00F07870" w:rsidRDefault="00F07870" w:rsidP="00296A4A">
            <w:pPr>
              <w:pStyle w:val="TableParagraph"/>
              <w:rPr>
                <w:rFonts w:ascii="Times New Roman"/>
                <w:sz w:val="12"/>
              </w:rPr>
            </w:pPr>
          </w:p>
          <w:p w14:paraId="019C932D" w14:textId="77777777" w:rsidR="00F07870" w:rsidRDefault="00F07870" w:rsidP="00296A4A">
            <w:pPr>
              <w:pStyle w:val="TableParagraph"/>
              <w:rPr>
                <w:rFonts w:ascii="Times New Roman"/>
                <w:sz w:val="12"/>
              </w:rPr>
            </w:pPr>
          </w:p>
          <w:p w14:paraId="6EC6DBD1" w14:textId="77777777" w:rsidR="00F07870" w:rsidRDefault="00F07870" w:rsidP="00296A4A">
            <w:pPr>
              <w:pStyle w:val="TableParagraph"/>
              <w:rPr>
                <w:rFonts w:ascii="Times New Roman"/>
                <w:sz w:val="12"/>
              </w:rPr>
            </w:pPr>
          </w:p>
          <w:p w14:paraId="5DEBE327" w14:textId="77777777" w:rsidR="00F07870" w:rsidRDefault="00F07870" w:rsidP="00296A4A">
            <w:pPr>
              <w:pStyle w:val="TableParagraph"/>
              <w:rPr>
                <w:rFonts w:ascii="Times New Roman"/>
                <w:sz w:val="12"/>
              </w:rPr>
            </w:pPr>
          </w:p>
          <w:p w14:paraId="3D7628B5" w14:textId="77777777" w:rsidR="00F07870" w:rsidRDefault="00F07870" w:rsidP="00296A4A">
            <w:pPr>
              <w:pStyle w:val="TableParagraph"/>
              <w:spacing w:before="6"/>
              <w:rPr>
                <w:rFonts w:ascii="Times New Roman"/>
                <w:sz w:val="9"/>
              </w:rPr>
            </w:pPr>
          </w:p>
          <w:p w14:paraId="790483EA" w14:textId="77777777" w:rsidR="00F07870" w:rsidRDefault="00F07870" w:rsidP="00296A4A">
            <w:pPr>
              <w:pStyle w:val="TableParagraph"/>
              <w:ind w:left="79" w:right="37"/>
              <w:jc w:val="center"/>
              <w:rPr>
                <w:b/>
                <w:sz w:val="12"/>
              </w:rPr>
            </w:pPr>
            <w:r>
              <w:rPr>
                <w:b/>
                <w:color w:val="44536A"/>
                <w:w w:val="105"/>
                <w:sz w:val="12"/>
              </w:rPr>
              <w:t>10</w:t>
            </w:r>
          </w:p>
        </w:tc>
        <w:tc>
          <w:tcPr>
            <w:tcW w:w="1188" w:type="dxa"/>
            <w:tcBorders>
              <w:top w:val="single" w:sz="6" w:space="0" w:color="000000"/>
              <w:left w:val="single" w:sz="6" w:space="0" w:color="000000"/>
              <w:bottom w:val="single" w:sz="6" w:space="0" w:color="000000"/>
              <w:right w:val="single" w:sz="6" w:space="0" w:color="000000"/>
            </w:tcBorders>
            <w:shd w:val="clear" w:color="auto" w:fill="B1B1B1"/>
          </w:tcPr>
          <w:p w14:paraId="3D4591E2" w14:textId="77777777" w:rsidR="00F07870" w:rsidRDefault="00F07870" w:rsidP="00296A4A">
            <w:pPr>
              <w:pStyle w:val="TableParagraph"/>
              <w:rPr>
                <w:rFonts w:ascii="Times New Roman"/>
                <w:sz w:val="12"/>
              </w:rPr>
            </w:pPr>
          </w:p>
          <w:p w14:paraId="30FA57E8" w14:textId="77777777" w:rsidR="00F07870" w:rsidRDefault="00F07870" w:rsidP="00296A4A">
            <w:pPr>
              <w:pStyle w:val="TableParagraph"/>
              <w:rPr>
                <w:rFonts w:ascii="Times New Roman"/>
                <w:sz w:val="12"/>
              </w:rPr>
            </w:pPr>
          </w:p>
          <w:p w14:paraId="0F0B19BB" w14:textId="77777777" w:rsidR="00F07870" w:rsidRDefault="00F07870" w:rsidP="00296A4A">
            <w:pPr>
              <w:pStyle w:val="TableParagraph"/>
              <w:rPr>
                <w:rFonts w:ascii="Times New Roman"/>
                <w:sz w:val="12"/>
              </w:rPr>
            </w:pPr>
          </w:p>
          <w:p w14:paraId="37E6C21F" w14:textId="77777777" w:rsidR="00F07870" w:rsidRDefault="00F07870" w:rsidP="00296A4A">
            <w:pPr>
              <w:pStyle w:val="TableParagraph"/>
              <w:spacing w:before="80" w:line="276" w:lineRule="auto"/>
              <w:ind w:left="191" w:right="144"/>
              <w:jc w:val="center"/>
              <w:rPr>
                <w:sz w:val="12"/>
              </w:rPr>
            </w:pPr>
            <w:r>
              <w:rPr>
                <w:spacing w:val="-1"/>
                <w:w w:val="105"/>
                <w:sz w:val="12"/>
              </w:rPr>
              <w:t xml:space="preserve">Steady </w:t>
            </w:r>
            <w:r>
              <w:rPr>
                <w:w w:val="105"/>
                <w:sz w:val="12"/>
              </w:rPr>
              <w:t>increase,</w:t>
            </w:r>
            <w:r>
              <w:rPr>
                <w:spacing w:val="-26"/>
                <w:w w:val="105"/>
                <w:sz w:val="12"/>
              </w:rPr>
              <w:t xml:space="preserve"> </w:t>
            </w:r>
            <w:r>
              <w:rPr>
                <w:w w:val="105"/>
                <w:sz w:val="12"/>
              </w:rPr>
              <w:t>targets met or</w:t>
            </w:r>
            <w:r>
              <w:rPr>
                <w:spacing w:val="1"/>
                <w:w w:val="105"/>
                <w:sz w:val="12"/>
              </w:rPr>
              <w:t xml:space="preserve"> </w:t>
            </w:r>
            <w:r>
              <w:rPr>
                <w:w w:val="105"/>
                <w:sz w:val="12"/>
              </w:rPr>
              <w:t>exceeded</w:t>
            </w:r>
          </w:p>
        </w:tc>
        <w:tc>
          <w:tcPr>
            <w:tcW w:w="894" w:type="dxa"/>
            <w:tcBorders>
              <w:top w:val="single" w:sz="6" w:space="0" w:color="000000"/>
              <w:left w:val="single" w:sz="6" w:space="0" w:color="000000"/>
              <w:bottom w:val="single" w:sz="6" w:space="0" w:color="000000"/>
              <w:right w:val="single" w:sz="6" w:space="0" w:color="000000"/>
            </w:tcBorders>
          </w:tcPr>
          <w:p w14:paraId="2AB1F907" w14:textId="77777777" w:rsidR="00F07870" w:rsidRDefault="00F07870" w:rsidP="00296A4A">
            <w:pPr>
              <w:pStyle w:val="TableParagraph"/>
              <w:rPr>
                <w:rFonts w:ascii="Times New Roman"/>
                <w:sz w:val="12"/>
              </w:rPr>
            </w:pPr>
          </w:p>
          <w:p w14:paraId="08AB4C40" w14:textId="77777777" w:rsidR="00F07870" w:rsidRDefault="00F07870" w:rsidP="00296A4A">
            <w:pPr>
              <w:pStyle w:val="TableParagraph"/>
              <w:rPr>
                <w:rFonts w:ascii="Times New Roman"/>
                <w:sz w:val="12"/>
              </w:rPr>
            </w:pPr>
          </w:p>
          <w:p w14:paraId="2E98EA66" w14:textId="77777777" w:rsidR="00F07870" w:rsidRDefault="00F07870" w:rsidP="00296A4A">
            <w:pPr>
              <w:pStyle w:val="TableParagraph"/>
              <w:rPr>
                <w:rFonts w:ascii="Times New Roman"/>
                <w:sz w:val="12"/>
              </w:rPr>
            </w:pPr>
          </w:p>
          <w:p w14:paraId="3B6518E8" w14:textId="77777777" w:rsidR="00F07870" w:rsidRDefault="00F07870" w:rsidP="00296A4A">
            <w:pPr>
              <w:pStyle w:val="TableParagraph"/>
              <w:rPr>
                <w:rFonts w:ascii="Times New Roman"/>
                <w:sz w:val="12"/>
              </w:rPr>
            </w:pPr>
          </w:p>
          <w:p w14:paraId="30794B8F" w14:textId="77777777" w:rsidR="00F07870" w:rsidRDefault="00F07870" w:rsidP="00296A4A">
            <w:pPr>
              <w:pStyle w:val="TableParagraph"/>
              <w:rPr>
                <w:rFonts w:ascii="Times New Roman"/>
                <w:sz w:val="12"/>
              </w:rPr>
            </w:pPr>
          </w:p>
          <w:p w14:paraId="3854672B" w14:textId="77777777" w:rsidR="00F07870" w:rsidRDefault="00F07870" w:rsidP="00296A4A">
            <w:pPr>
              <w:pStyle w:val="TableParagraph"/>
              <w:rPr>
                <w:rFonts w:ascii="Times New Roman"/>
                <w:sz w:val="12"/>
              </w:rPr>
            </w:pPr>
          </w:p>
          <w:p w14:paraId="1906BBA2" w14:textId="77777777" w:rsidR="00F07870" w:rsidRDefault="00F07870" w:rsidP="00296A4A">
            <w:pPr>
              <w:pStyle w:val="TableParagraph"/>
              <w:rPr>
                <w:rFonts w:ascii="Times New Roman"/>
                <w:sz w:val="12"/>
              </w:rPr>
            </w:pPr>
          </w:p>
          <w:p w14:paraId="3258F59E" w14:textId="77777777" w:rsidR="00F07870" w:rsidRDefault="00F07870" w:rsidP="00296A4A">
            <w:pPr>
              <w:pStyle w:val="TableParagraph"/>
              <w:spacing w:before="5"/>
              <w:rPr>
                <w:rFonts w:ascii="Times New Roman"/>
                <w:sz w:val="14"/>
              </w:rPr>
            </w:pPr>
          </w:p>
          <w:p w14:paraId="19D377FB" w14:textId="77777777" w:rsidR="00F07870" w:rsidRDefault="00F07870" w:rsidP="00296A4A">
            <w:pPr>
              <w:pStyle w:val="TableParagraph"/>
              <w:ind w:left="35"/>
              <w:rPr>
                <w:sz w:val="12"/>
              </w:rPr>
            </w:pPr>
            <w:r>
              <w:rPr>
                <w:w w:val="105"/>
                <w:sz w:val="12"/>
              </w:rPr>
              <w:t>RoLSHR</w:t>
            </w:r>
          </w:p>
          <w:p w14:paraId="60AE99E5" w14:textId="77777777" w:rsidR="00F07870" w:rsidRDefault="00F07870" w:rsidP="00296A4A">
            <w:pPr>
              <w:pStyle w:val="TableParagraph"/>
              <w:spacing w:before="22" w:line="138" w:lineRule="exact"/>
              <w:ind w:left="35"/>
              <w:rPr>
                <w:sz w:val="12"/>
              </w:rPr>
            </w:pPr>
            <w:r>
              <w:rPr>
                <w:w w:val="105"/>
                <w:sz w:val="12"/>
              </w:rPr>
              <w:t>Reporting</w:t>
            </w:r>
          </w:p>
        </w:tc>
        <w:tc>
          <w:tcPr>
            <w:tcW w:w="2623" w:type="dxa"/>
            <w:tcBorders>
              <w:top w:val="single" w:sz="6" w:space="0" w:color="000000"/>
              <w:left w:val="single" w:sz="6" w:space="0" w:color="000000"/>
              <w:bottom w:val="single" w:sz="6" w:space="0" w:color="000000"/>
              <w:right w:val="single" w:sz="6" w:space="0" w:color="000000"/>
            </w:tcBorders>
          </w:tcPr>
          <w:p w14:paraId="2552CB7F" w14:textId="77777777" w:rsidR="00F07870" w:rsidRDefault="00F07870" w:rsidP="00296A4A">
            <w:pPr>
              <w:pStyle w:val="TableParagraph"/>
              <w:rPr>
                <w:rFonts w:ascii="Times New Roman"/>
                <w:sz w:val="12"/>
              </w:rPr>
            </w:pPr>
          </w:p>
          <w:p w14:paraId="745590CA" w14:textId="77777777" w:rsidR="00F07870" w:rsidRDefault="00F07870" w:rsidP="00296A4A">
            <w:pPr>
              <w:pStyle w:val="TableParagraph"/>
              <w:rPr>
                <w:rFonts w:ascii="Times New Roman"/>
                <w:sz w:val="12"/>
              </w:rPr>
            </w:pPr>
          </w:p>
          <w:p w14:paraId="11A0846E" w14:textId="77777777" w:rsidR="00F07870" w:rsidRDefault="00F07870" w:rsidP="00296A4A">
            <w:pPr>
              <w:pStyle w:val="TableParagraph"/>
              <w:rPr>
                <w:rFonts w:ascii="Times New Roman"/>
                <w:sz w:val="16"/>
              </w:rPr>
            </w:pPr>
          </w:p>
          <w:p w14:paraId="56052AEE" w14:textId="77777777" w:rsidR="00F07870" w:rsidRDefault="00F07870" w:rsidP="00296A4A">
            <w:pPr>
              <w:pStyle w:val="TableParagraph"/>
              <w:spacing w:line="276" w:lineRule="auto"/>
              <w:ind w:left="34" w:right="-15"/>
              <w:rPr>
                <w:sz w:val="12"/>
              </w:rPr>
            </w:pPr>
            <w:r>
              <w:rPr>
                <w:w w:val="105"/>
                <w:sz w:val="12"/>
              </w:rPr>
              <w:t>Baselines for Global Programme indicators not</w:t>
            </w:r>
            <w:r>
              <w:rPr>
                <w:spacing w:val="1"/>
                <w:w w:val="105"/>
                <w:sz w:val="12"/>
              </w:rPr>
              <w:t xml:space="preserve"> </w:t>
            </w:r>
            <w:r>
              <w:rPr>
                <w:w w:val="105"/>
                <w:sz w:val="12"/>
              </w:rPr>
              <w:t>previously</w:t>
            </w:r>
            <w:r>
              <w:rPr>
                <w:spacing w:val="6"/>
                <w:w w:val="105"/>
                <w:sz w:val="12"/>
              </w:rPr>
              <w:t xml:space="preserve"> </w:t>
            </w:r>
            <w:r>
              <w:rPr>
                <w:w w:val="105"/>
                <w:sz w:val="12"/>
              </w:rPr>
              <w:t>reported</w:t>
            </w:r>
            <w:r>
              <w:rPr>
                <w:spacing w:val="7"/>
                <w:w w:val="105"/>
                <w:sz w:val="12"/>
              </w:rPr>
              <w:t xml:space="preserve"> </w:t>
            </w:r>
            <w:r>
              <w:rPr>
                <w:w w:val="105"/>
                <w:sz w:val="12"/>
              </w:rPr>
              <w:t>on</w:t>
            </w:r>
            <w:r>
              <w:rPr>
                <w:spacing w:val="7"/>
                <w:w w:val="105"/>
                <w:sz w:val="12"/>
              </w:rPr>
              <w:t xml:space="preserve"> </w:t>
            </w:r>
            <w:r>
              <w:rPr>
                <w:w w:val="105"/>
                <w:sz w:val="12"/>
              </w:rPr>
              <w:t>were</w:t>
            </w:r>
            <w:r>
              <w:rPr>
                <w:spacing w:val="6"/>
                <w:w w:val="105"/>
                <w:sz w:val="12"/>
              </w:rPr>
              <w:t xml:space="preserve"> </w:t>
            </w:r>
            <w:r>
              <w:rPr>
                <w:w w:val="105"/>
                <w:sz w:val="12"/>
              </w:rPr>
              <w:t>determined</w:t>
            </w:r>
            <w:r>
              <w:rPr>
                <w:spacing w:val="1"/>
                <w:w w:val="105"/>
                <w:sz w:val="12"/>
              </w:rPr>
              <w:t xml:space="preserve"> </w:t>
            </w:r>
            <w:r>
              <w:rPr>
                <w:w w:val="105"/>
                <w:sz w:val="12"/>
              </w:rPr>
              <w:t>following the first year of Phase 3 implementation</w:t>
            </w:r>
            <w:r>
              <w:rPr>
                <w:spacing w:val="-26"/>
                <w:w w:val="105"/>
                <w:sz w:val="12"/>
              </w:rPr>
              <w:t xml:space="preserve"> </w:t>
            </w:r>
            <w:r>
              <w:rPr>
                <w:w w:val="105"/>
                <w:sz w:val="12"/>
              </w:rPr>
              <w:t>and reporting (2016). Thus, baselines and actuals</w:t>
            </w:r>
            <w:r>
              <w:rPr>
                <w:spacing w:val="1"/>
                <w:w w:val="105"/>
                <w:sz w:val="12"/>
              </w:rPr>
              <w:t xml:space="preserve"> </w:t>
            </w:r>
            <w:r>
              <w:rPr>
                <w:w w:val="105"/>
                <w:sz w:val="12"/>
              </w:rPr>
              <w:t>for</w:t>
            </w:r>
            <w:r>
              <w:rPr>
                <w:spacing w:val="-2"/>
                <w:w w:val="105"/>
                <w:sz w:val="12"/>
              </w:rPr>
              <w:t xml:space="preserve"> </w:t>
            </w:r>
            <w:r>
              <w:rPr>
                <w:w w:val="105"/>
                <w:sz w:val="12"/>
              </w:rPr>
              <w:t>the</w:t>
            </w:r>
            <w:r>
              <w:rPr>
                <w:spacing w:val="-1"/>
                <w:w w:val="105"/>
                <w:sz w:val="12"/>
              </w:rPr>
              <w:t xml:space="preserve"> </w:t>
            </w:r>
            <w:r>
              <w:rPr>
                <w:w w:val="105"/>
                <w:sz w:val="12"/>
              </w:rPr>
              <w:t>year</w:t>
            </w:r>
            <w:r>
              <w:rPr>
                <w:spacing w:val="-1"/>
                <w:w w:val="105"/>
                <w:sz w:val="12"/>
              </w:rPr>
              <w:t xml:space="preserve"> </w:t>
            </w:r>
            <w:r>
              <w:rPr>
                <w:w w:val="105"/>
                <w:sz w:val="12"/>
              </w:rPr>
              <w:t>of 2016</w:t>
            </w:r>
            <w:r>
              <w:rPr>
                <w:spacing w:val="1"/>
                <w:w w:val="105"/>
                <w:sz w:val="12"/>
              </w:rPr>
              <w:t xml:space="preserve"> </w:t>
            </w:r>
            <w:r>
              <w:rPr>
                <w:w w:val="105"/>
                <w:sz w:val="12"/>
              </w:rPr>
              <w:t>are</w:t>
            </w:r>
            <w:r>
              <w:rPr>
                <w:spacing w:val="-2"/>
                <w:w w:val="105"/>
                <w:sz w:val="12"/>
              </w:rPr>
              <w:t xml:space="preserve"> </w:t>
            </w:r>
            <w:r>
              <w:rPr>
                <w:w w:val="105"/>
                <w:sz w:val="12"/>
              </w:rPr>
              <w:t>the</w:t>
            </w:r>
            <w:r>
              <w:rPr>
                <w:spacing w:val="-1"/>
                <w:w w:val="105"/>
                <w:sz w:val="12"/>
              </w:rPr>
              <w:t xml:space="preserve"> </w:t>
            </w:r>
            <w:r>
              <w:rPr>
                <w:w w:val="105"/>
                <w:sz w:val="12"/>
              </w:rPr>
              <w:t>same</w:t>
            </w:r>
            <w:r>
              <w:rPr>
                <w:spacing w:val="-1"/>
                <w:w w:val="105"/>
                <w:sz w:val="12"/>
              </w:rPr>
              <w:t xml:space="preserve"> </w:t>
            </w:r>
            <w:r>
              <w:rPr>
                <w:w w:val="105"/>
                <w:sz w:val="12"/>
              </w:rPr>
              <w:t>for</w:t>
            </w:r>
            <w:r>
              <w:rPr>
                <w:spacing w:val="-1"/>
                <w:w w:val="105"/>
                <w:sz w:val="12"/>
              </w:rPr>
              <w:t xml:space="preserve"> </w:t>
            </w:r>
            <w:r>
              <w:rPr>
                <w:w w:val="105"/>
                <w:sz w:val="12"/>
              </w:rPr>
              <w:t>this</w:t>
            </w:r>
          </w:p>
          <w:p w14:paraId="1F4CC46E" w14:textId="77777777" w:rsidR="00F07870" w:rsidRDefault="00F07870" w:rsidP="00296A4A">
            <w:pPr>
              <w:pStyle w:val="TableParagraph"/>
              <w:spacing w:line="136" w:lineRule="exact"/>
              <w:ind w:left="34"/>
              <w:rPr>
                <w:sz w:val="12"/>
              </w:rPr>
            </w:pPr>
            <w:r>
              <w:rPr>
                <w:w w:val="105"/>
                <w:sz w:val="12"/>
              </w:rPr>
              <w:t>indicator.</w:t>
            </w:r>
          </w:p>
        </w:tc>
      </w:tr>
      <w:tr w:rsidR="00F07870" w14:paraId="7C698DA0" w14:textId="77777777" w:rsidTr="00296A4A">
        <w:trPr>
          <w:trHeight w:val="152"/>
        </w:trPr>
        <w:tc>
          <w:tcPr>
            <w:tcW w:w="10059" w:type="dxa"/>
            <w:gridSpan w:val="13"/>
            <w:tcBorders>
              <w:top w:val="single" w:sz="6" w:space="0" w:color="000000"/>
              <w:left w:val="single" w:sz="6" w:space="0" w:color="000000"/>
              <w:bottom w:val="single" w:sz="6" w:space="0" w:color="000000"/>
              <w:right w:val="single" w:sz="6" w:space="0" w:color="000000"/>
            </w:tcBorders>
          </w:tcPr>
          <w:p w14:paraId="4715C110" w14:textId="77777777" w:rsidR="00F07870" w:rsidRDefault="00F07870" w:rsidP="00296A4A">
            <w:pPr>
              <w:pStyle w:val="TableParagraph"/>
              <w:spacing w:before="2" w:line="131" w:lineRule="exact"/>
              <w:ind w:left="34"/>
              <w:rPr>
                <w:b/>
                <w:sz w:val="12"/>
              </w:rPr>
            </w:pPr>
            <w:r>
              <w:rPr>
                <w:b/>
                <w:w w:val="105"/>
                <w:sz w:val="12"/>
              </w:rPr>
              <w:t>Output</w:t>
            </w:r>
            <w:r>
              <w:rPr>
                <w:b/>
                <w:spacing w:val="-3"/>
                <w:w w:val="105"/>
                <w:sz w:val="12"/>
              </w:rPr>
              <w:t xml:space="preserve"> </w:t>
            </w:r>
            <w:r>
              <w:rPr>
                <w:b/>
                <w:w w:val="105"/>
                <w:sz w:val="12"/>
              </w:rPr>
              <w:t>3:</w:t>
            </w:r>
            <w:r>
              <w:rPr>
                <w:b/>
                <w:spacing w:val="-2"/>
                <w:w w:val="105"/>
                <w:sz w:val="12"/>
              </w:rPr>
              <w:t xml:space="preserve"> </w:t>
            </w:r>
            <w:r>
              <w:rPr>
                <w:b/>
                <w:w w:val="105"/>
                <w:sz w:val="12"/>
              </w:rPr>
              <w:t>Comprehensive</w:t>
            </w:r>
            <w:r>
              <w:rPr>
                <w:b/>
                <w:spacing w:val="-1"/>
                <w:w w:val="105"/>
                <w:sz w:val="12"/>
              </w:rPr>
              <w:t xml:space="preserve"> </w:t>
            </w:r>
            <w:r>
              <w:rPr>
                <w:b/>
                <w:w w:val="105"/>
                <w:sz w:val="12"/>
              </w:rPr>
              <w:t>community</w:t>
            </w:r>
            <w:r>
              <w:rPr>
                <w:b/>
                <w:spacing w:val="-2"/>
                <w:w w:val="105"/>
                <w:sz w:val="12"/>
              </w:rPr>
              <w:t xml:space="preserve"> </w:t>
            </w:r>
            <w:r>
              <w:rPr>
                <w:b/>
                <w:w w:val="105"/>
                <w:sz w:val="12"/>
              </w:rPr>
              <w:t>security</w:t>
            </w:r>
            <w:r>
              <w:rPr>
                <w:b/>
                <w:spacing w:val="-2"/>
                <w:w w:val="105"/>
                <w:sz w:val="12"/>
              </w:rPr>
              <w:t xml:space="preserve"> </w:t>
            </w:r>
            <w:r>
              <w:rPr>
                <w:b/>
                <w:w w:val="105"/>
                <w:sz w:val="12"/>
              </w:rPr>
              <w:t>approaches</w:t>
            </w:r>
            <w:r>
              <w:rPr>
                <w:b/>
                <w:spacing w:val="-2"/>
                <w:w w:val="105"/>
                <w:sz w:val="12"/>
              </w:rPr>
              <w:t xml:space="preserve"> </w:t>
            </w:r>
            <w:r>
              <w:rPr>
                <w:b/>
                <w:w w:val="105"/>
                <w:sz w:val="12"/>
              </w:rPr>
              <w:t>are</w:t>
            </w:r>
            <w:r>
              <w:rPr>
                <w:b/>
                <w:spacing w:val="-1"/>
                <w:w w:val="105"/>
                <w:sz w:val="12"/>
              </w:rPr>
              <w:t xml:space="preserve"> </w:t>
            </w:r>
            <w:r>
              <w:rPr>
                <w:b/>
                <w:w w:val="105"/>
                <w:sz w:val="12"/>
              </w:rPr>
              <w:t>developed,</w:t>
            </w:r>
            <w:r>
              <w:rPr>
                <w:b/>
                <w:spacing w:val="-1"/>
                <w:w w:val="105"/>
                <w:sz w:val="12"/>
              </w:rPr>
              <w:t xml:space="preserve"> </w:t>
            </w:r>
            <w:r>
              <w:rPr>
                <w:b/>
                <w:w w:val="105"/>
                <w:sz w:val="12"/>
              </w:rPr>
              <w:t>strengthened,</w:t>
            </w:r>
            <w:r>
              <w:rPr>
                <w:b/>
                <w:spacing w:val="-1"/>
                <w:w w:val="105"/>
                <w:sz w:val="12"/>
              </w:rPr>
              <w:t xml:space="preserve"> </w:t>
            </w:r>
            <w:r>
              <w:rPr>
                <w:b/>
                <w:w w:val="105"/>
                <w:sz w:val="12"/>
              </w:rPr>
              <w:t>and/or</w:t>
            </w:r>
            <w:r>
              <w:rPr>
                <w:b/>
                <w:spacing w:val="-2"/>
                <w:w w:val="105"/>
                <w:sz w:val="12"/>
              </w:rPr>
              <w:t xml:space="preserve"> </w:t>
            </w:r>
            <w:r>
              <w:rPr>
                <w:b/>
                <w:w w:val="105"/>
                <w:sz w:val="12"/>
              </w:rPr>
              <w:t>applied.</w:t>
            </w:r>
          </w:p>
        </w:tc>
        <w:tc>
          <w:tcPr>
            <w:tcW w:w="894" w:type="dxa"/>
            <w:tcBorders>
              <w:top w:val="single" w:sz="6" w:space="0" w:color="000000"/>
              <w:left w:val="single" w:sz="6" w:space="0" w:color="000000"/>
              <w:bottom w:val="single" w:sz="6" w:space="0" w:color="000000"/>
              <w:right w:val="single" w:sz="6" w:space="0" w:color="000000"/>
            </w:tcBorders>
          </w:tcPr>
          <w:p w14:paraId="289C6E09" w14:textId="77777777" w:rsidR="00F07870" w:rsidRDefault="00F07870" w:rsidP="00296A4A">
            <w:pPr>
              <w:pStyle w:val="TableParagraph"/>
              <w:rPr>
                <w:rFonts w:ascii="Times New Roman"/>
                <w:sz w:val="8"/>
              </w:rPr>
            </w:pPr>
          </w:p>
        </w:tc>
        <w:tc>
          <w:tcPr>
            <w:tcW w:w="2623" w:type="dxa"/>
            <w:tcBorders>
              <w:top w:val="single" w:sz="6" w:space="0" w:color="000000"/>
              <w:left w:val="single" w:sz="6" w:space="0" w:color="000000"/>
              <w:bottom w:val="single" w:sz="6" w:space="0" w:color="000000"/>
              <w:right w:val="single" w:sz="6" w:space="0" w:color="000000"/>
            </w:tcBorders>
          </w:tcPr>
          <w:p w14:paraId="14362657" w14:textId="77777777" w:rsidR="00F07870" w:rsidRDefault="00F07870" w:rsidP="00296A4A">
            <w:pPr>
              <w:pStyle w:val="TableParagraph"/>
              <w:rPr>
                <w:rFonts w:ascii="Times New Roman"/>
                <w:sz w:val="8"/>
              </w:rPr>
            </w:pPr>
          </w:p>
        </w:tc>
      </w:tr>
      <w:tr w:rsidR="00F07870" w14:paraId="48E5368F" w14:textId="77777777" w:rsidTr="00296A4A">
        <w:trPr>
          <w:trHeight w:val="1144"/>
        </w:trPr>
        <w:tc>
          <w:tcPr>
            <w:tcW w:w="293" w:type="dxa"/>
            <w:tcBorders>
              <w:top w:val="single" w:sz="6" w:space="0" w:color="000000"/>
              <w:left w:val="single" w:sz="6" w:space="0" w:color="000000"/>
              <w:bottom w:val="single" w:sz="6" w:space="0" w:color="000000"/>
              <w:right w:val="single" w:sz="6" w:space="0" w:color="000000"/>
            </w:tcBorders>
          </w:tcPr>
          <w:p w14:paraId="786B31E7" w14:textId="77777777" w:rsidR="00F07870" w:rsidRDefault="00F07870" w:rsidP="00296A4A">
            <w:pPr>
              <w:pStyle w:val="TableParagraph"/>
              <w:rPr>
                <w:rFonts w:ascii="Times New Roman"/>
                <w:sz w:val="12"/>
              </w:rPr>
            </w:pPr>
          </w:p>
        </w:tc>
        <w:tc>
          <w:tcPr>
            <w:tcW w:w="1882" w:type="dxa"/>
            <w:tcBorders>
              <w:top w:val="single" w:sz="6" w:space="0" w:color="000000"/>
              <w:left w:val="single" w:sz="6" w:space="0" w:color="000000"/>
              <w:bottom w:val="single" w:sz="6" w:space="0" w:color="000000"/>
              <w:right w:val="single" w:sz="6" w:space="0" w:color="000000"/>
            </w:tcBorders>
          </w:tcPr>
          <w:p w14:paraId="436651A5" w14:textId="77777777" w:rsidR="00F07870" w:rsidRDefault="00F07870" w:rsidP="00296A4A">
            <w:pPr>
              <w:pStyle w:val="TableParagraph"/>
              <w:spacing w:before="83" w:line="276" w:lineRule="auto"/>
              <w:ind w:left="34" w:right="77"/>
              <w:rPr>
                <w:sz w:val="12"/>
              </w:rPr>
            </w:pPr>
            <w:r>
              <w:rPr>
                <w:w w:val="105"/>
                <w:sz w:val="12"/>
              </w:rPr>
              <w:t>3.1 Number of contexts where</w:t>
            </w:r>
            <w:r>
              <w:rPr>
                <w:spacing w:val="1"/>
                <w:w w:val="105"/>
                <w:sz w:val="12"/>
              </w:rPr>
              <w:t xml:space="preserve"> </w:t>
            </w:r>
            <w:r>
              <w:rPr>
                <w:w w:val="105"/>
                <w:sz w:val="12"/>
              </w:rPr>
              <w:t>gender-sensitive, evidence-based</w:t>
            </w:r>
            <w:r>
              <w:rPr>
                <w:spacing w:val="1"/>
                <w:w w:val="105"/>
                <w:sz w:val="12"/>
              </w:rPr>
              <w:t xml:space="preserve"> </w:t>
            </w:r>
            <w:r>
              <w:rPr>
                <w:w w:val="105"/>
                <w:sz w:val="12"/>
              </w:rPr>
              <w:t>security strategies for reducing</w:t>
            </w:r>
            <w:r>
              <w:rPr>
                <w:spacing w:val="1"/>
                <w:w w:val="105"/>
                <w:sz w:val="12"/>
              </w:rPr>
              <w:t xml:space="preserve"> </w:t>
            </w:r>
            <w:r>
              <w:rPr>
                <w:w w:val="105"/>
                <w:sz w:val="12"/>
              </w:rPr>
              <w:t>armed violence and/or controlling</w:t>
            </w:r>
            <w:r>
              <w:rPr>
                <w:spacing w:val="-26"/>
                <w:w w:val="105"/>
                <w:sz w:val="12"/>
              </w:rPr>
              <w:t xml:space="preserve"> </w:t>
            </w:r>
            <w:r>
              <w:rPr>
                <w:w w:val="105"/>
                <w:sz w:val="12"/>
              </w:rPr>
              <w:t>small arms are in operation at the</w:t>
            </w:r>
            <w:r>
              <w:rPr>
                <w:spacing w:val="-26"/>
                <w:w w:val="105"/>
                <w:sz w:val="12"/>
              </w:rPr>
              <w:t xml:space="preserve"> </w:t>
            </w:r>
            <w:r>
              <w:rPr>
                <w:w w:val="105"/>
                <w:sz w:val="12"/>
              </w:rPr>
              <w:t>community</w:t>
            </w:r>
            <w:r>
              <w:rPr>
                <w:spacing w:val="-1"/>
                <w:w w:val="105"/>
                <w:sz w:val="12"/>
              </w:rPr>
              <w:t xml:space="preserve"> </w:t>
            </w:r>
            <w:r>
              <w:rPr>
                <w:w w:val="105"/>
                <w:sz w:val="12"/>
              </w:rPr>
              <w:t>level</w:t>
            </w:r>
          </w:p>
        </w:tc>
        <w:tc>
          <w:tcPr>
            <w:tcW w:w="662" w:type="dxa"/>
            <w:tcBorders>
              <w:top w:val="single" w:sz="6" w:space="0" w:color="000000"/>
              <w:left w:val="single" w:sz="6" w:space="0" w:color="000000"/>
              <w:bottom w:val="single" w:sz="6" w:space="0" w:color="000000"/>
              <w:right w:val="single" w:sz="6" w:space="0" w:color="000000"/>
            </w:tcBorders>
            <w:shd w:val="clear" w:color="auto" w:fill="FFCCFF"/>
          </w:tcPr>
          <w:p w14:paraId="475701FB" w14:textId="77777777" w:rsidR="00F07870" w:rsidRDefault="00F07870" w:rsidP="00296A4A">
            <w:pPr>
              <w:pStyle w:val="TableParagraph"/>
              <w:rPr>
                <w:rFonts w:ascii="Times New Roman"/>
                <w:sz w:val="12"/>
              </w:rPr>
            </w:pPr>
          </w:p>
          <w:p w14:paraId="6FF3C842" w14:textId="77777777" w:rsidR="00F07870" w:rsidRDefault="00F07870" w:rsidP="00296A4A">
            <w:pPr>
              <w:pStyle w:val="TableParagraph"/>
              <w:rPr>
                <w:rFonts w:ascii="Times New Roman"/>
                <w:sz w:val="12"/>
              </w:rPr>
            </w:pPr>
          </w:p>
          <w:p w14:paraId="76567027" w14:textId="77777777" w:rsidR="00F07870" w:rsidRDefault="00F07870" w:rsidP="00296A4A">
            <w:pPr>
              <w:pStyle w:val="TableParagraph"/>
              <w:rPr>
                <w:rFonts w:ascii="Times New Roman"/>
                <w:sz w:val="12"/>
              </w:rPr>
            </w:pPr>
          </w:p>
          <w:p w14:paraId="6D1982D3" w14:textId="77777777" w:rsidR="00F07870" w:rsidRDefault="00F07870" w:rsidP="00296A4A">
            <w:pPr>
              <w:pStyle w:val="TableParagraph"/>
              <w:spacing w:before="89"/>
              <w:ind w:left="42"/>
              <w:jc w:val="center"/>
              <w:rPr>
                <w:sz w:val="12"/>
              </w:rPr>
            </w:pPr>
            <w:r>
              <w:rPr>
                <w:color w:val="44536A"/>
                <w:w w:val="106"/>
                <w:sz w:val="12"/>
              </w:rPr>
              <w:t>6</w:t>
            </w:r>
          </w:p>
        </w:tc>
        <w:tc>
          <w:tcPr>
            <w:tcW w:w="540" w:type="dxa"/>
            <w:tcBorders>
              <w:top w:val="single" w:sz="6" w:space="0" w:color="000000"/>
              <w:left w:val="single" w:sz="6" w:space="0" w:color="000000"/>
              <w:bottom w:val="single" w:sz="6" w:space="0" w:color="000000"/>
              <w:right w:val="single" w:sz="6" w:space="0" w:color="000000"/>
            </w:tcBorders>
            <w:shd w:val="clear" w:color="auto" w:fill="FFCCFF"/>
          </w:tcPr>
          <w:p w14:paraId="06BCBFD5" w14:textId="77777777" w:rsidR="00F07870" w:rsidRDefault="00F07870" w:rsidP="00296A4A">
            <w:pPr>
              <w:pStyle w:val="TableParagraph"/>
              <w:rPr>
                <w:rFonts w:ascii="Times New Roman"/>
                <w:sz w:val="12"/>
              </w:rPr>
            </w:pPr>
          </w:p>
          <w:p w14:paraId="12180681" w14:textId="77777777" w:rsidR="00F07870" w:rsidRDefault="00F07870" w:rsidP="00296A4A">
            <w:pPr>
              <w:pStyle w:val="TableParagraph"/>
              <w:rPr>
                <w:rFonts w:ascii="Times New Roman"/>
                <w:sz w:val="12"/>
              </w:rPr>
            </w:pPr>
          </w:p>
          <w:p w14:paraId="3EBE3836" w14:textId="77777777" w:rsidR="00F07870" w:rsidRDefault="00F07870" w:rsidP="00296A4A">
            <w:pPr>
              <w:pStyle w:val="TableParagraph"/>
              <w:rPr>
                <w:rFonts w:ascii="Times New Roman"/>
                <w:sz w:val="12"/>
              </w:rPr>
            </w:pPr>
          </w:p>
          <w:p w14:paraId="227F560C" w14:textId="77777777" w:rsidR="00F07870" w:rsidRDefault="00F07870" w:rsidP="00296A4A">
            <w:pPr>
              <w:pStyle w:val="TableParagraph"/>
              <w:spacing w:before="89"/>
              <w:ind w:left="133" w:right="90"/>
              <w:jc w:val="center"/>
              <w:rPr>
                <w:sz w:val="12"/>
              </w:rPr>
            </w:pPr>
            <w:r>
              <w:rPr>
                <w:color w:val="44536A"/>
                <w:w w:val="105"/>
                <w:sz w:val="12"/>
              </w:rPr>
              <w:t>2015</w:t>
            </w:r>
          </w:p>
        </w:tc>
        <w:tc>
          <w:tcPr>
            <w:tcW w:w="713" w:type="dxa"/>
            <w:tcBorders>
              <w:top w:val="single" w:sz="6" w:space="0" w:color="000000"/>
              <w:left w:val="single" w:sz="6" w:space="0" w:color="000000"/>
              <w:bottom w:val="single" w:sz="6" w:space="0" w:color="000000"/>
              <w:right w:val="single" w:sz="6" w:space="0" w:color="000000"/>
            </w:tcBorders>
            <w:shd w:val="clear" w:color="auto" w:fill="FFFF00"/>
          </w:tcPr>
          <w:p w14:paraId="0A14C974" w14:textId="77777777" w:rsidR="00F07870" w:rsidRDefault="00F07870" w:rsidP="00296A4A">
            <w:pPr>
              <w:pStyle w:val="TableParagraph"/>
              <w:rPr>
                <w:rFonts w:ascii="Times New Roman"/>
                <w:sz w:val="12"/>
              </w:rPr>
            </w:pPr>
          </w:p>
          <w:p w14:paraId="5A81185E" w14:textId="77777777" w:rsidR="00F07870" w:rsidRDefault="00F07870" w:rsidP="00296A4A">
            <w:pPr>
              <w:pStyle w:val="TableParagraph"/>
              <w:rPr>
                <w:rFonts w:ascii="Times New Roman"/>
                <w:sz w:val="12"/>
              </w:rPr>
            </w:pPr>
          </w:p>
          <w:p w14:paraId="2590B4F4" w14:textId="77777777" w:rsidR="00F07870" w:rsidRDefault="00F07870" w:rsidP="00296A4A">
            <w:pPr>
              <w:pStyle w:val="TableParagraph"/>
              <w:rPr>
                <w:rFonts w:ascii="Times New Roman"/>
                <w:sz w:val="12"/>
              </w:rPr>
            </w:pPr>
          </w:p>
          <w:p w14:paraId="3B7AB036" w14:textId="77777777" w:rsidR="00F07870" w:rsidRDefault="00F07870" w:rsidP="00296A4A">
            <w:pPr>
              <w:pStyle w:val="TableParagraph"/>
              <w:rPr>
                <w:rFonts w:ascii="Times New Roman"/>
                <w:sz w:val="12"/>
              </w:rPr>
            </w:pPr>
          </w:p>
          <w:p w14:paraId="6CC6CA9A" w14:textId="77777777" w:rsidR="00F07870" w:rsidRDefault="00F07870" w:rsidP="00296A4A">
            <w:pPr>
              <w:pStyle w:val="TableParagraph"/>
              <w:rPr>
                <w:rFonts w:ascii="Times New Roman"/>
                <w:sz w:val="12"/>
              </w:rPr>
            </w:pPr>
          </w:p>
          <w:p w14:paraId="21575E9F" w14:textId="77777777" w:rsidR="00F07870" w:rsidRDefault="00F07870" w:rsidP="00296A4A">
            <w:pPr>
              <w:pStyle w:val="TableParagraph"/>
              <w:rPr>
                <w:rFonts w:ascii="Times New Roman"/>
                <w:sz w:val="12"/>
              </w:rPr>
            </w:pPr>
          </w:p>
          <w:p w14:paraId="2FD5CA29" w14:textId="77777777" w:rsidR="00F07870" w:rsidRDefault="00F07870" w:rsidP="00296A4A">
            <w:pPr>
              <w:pStyle w:val="TableParagraph"/>
              <w:spacing w:before="8"/>
              <w:rPr>
                <w:rFonts w:ascii="Times New Roman"/>
                <w:sz w:val="13"/>
              </w:rPr>
            </w:pPr>
          </w:p>
          <w:p w14:paraId="37B95CEA" w14:textId="77777777" w:rsidR="00F07870" w:rsidRDefault="00F07870" w:rsidP="00296A4A">
            <w:pPr>
              <w:pStyle w:val="TableParagraph"/>
              <w:spacing w:line="138" w:lineRule="exact"/>
              <w:ind w:left="261" w:right="220"/>
              <w:jc w:val="center"/>
              <w:rPr>
                <w:sz w:val="12"/>
              </w:rPr>
            </w:pPr>
            <w:r>
              <w:rPr>
                <w:w w:val="105"/>
                <w:sz w:val="12"/>
              </w:rPr>
              <w:t>n/a</w:t>
            </w:r>
          </w:p>
        </w:tc>
        <w:tc>
          <w:tcPr>
            <w:tcW w:w="571" w:type="dxa"/>
            <w:tcBorders>
              <w:top w:val="single" w:sz="6" w:space="0" w:color="000000"/>
              <w:left w:val="single" w:sz="6" w:space="0" w:color="000000"/>
              <w:bottom w:val="single" w:sz="6" w:space="0" w:color="000000"/>
              <w:right w:val="single" w:sz="6" w:space="0" w:color="000000"/>
            </w:tcBorders>
            <w:shd w:val="clear" w:color="auto" w:fill="FFFF00"/>
          </w:tcPr>
          <w:p w14:paraId="5D2E4490" w14:textId="77777777" w:rsidR="00F07870" w:rsidRDefault="00F07870" w:rsidP="00296A4A">
            <w:pPr>
              <w:pStyle w:val="TableParagraph"/>
              <w:rPr>
                <w:rFonts w:ascii="Times New Roman"/>
                <w:sz w:val="12"/>
              </w:rPr>
            </w:pPr>
          </w:p>
          <w:p w14:paraId="5309340F" w14:textId="77777777" w:rsidR="00F07870" w:rsidRDefault="00F07870" w:rsidP="00296A4A">
            <w:pPr>
              <w:pStyle w:val="TableParagraph"/>
              <w:rPr>
                <w:rFonts w:ascii="Times New Roman"/>
                <w:sz w:val="12"/>
              </w:rPr>
            </w:pPr>
          </w:p>
          <w:p w14:paraId="231F04EF" w14:textId="77777777" w:rsidR="00F07870" w:rsidRDefault="00F07870" w:rsidP="00296A4A">
            <w:pPr>
              <w:pStyle w:val="TableParagraph"/>
              <w:rPr>
                <w:rFonts w:ascii="Times New Roman"/>
                <w:sz w:val="12"/>
              </w:rPr>
            </w:pPr>
          </w:p>
          <w:p w14:paraId="780D045C" w14:textId="77777777" w:rsidR="00F07870" w:rsidRDefault="00F07870" w:rsidP="00296A4A">
            <w:pPr>
              <w:pStyle w:val="TableParagraph"/>
              <w:spacing w:before="89"/>
              <w:ind w:left="44"/>
              <w:jc w:val="center"/>
              <w:rPr>
                <w:sz w:val="12"/>
              </w:rPr>
            </w:pPr>
            <w:r>
              <w:rPr>
                <w:color w:val="44536A"/>
                <w:w w:val="106"/>
                <w:sz w:val="12"/>
              </w:rPr>
              <w:t>7</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266D3ED3" w14:textId="77777777" w:rsidR="00F07870" w:rsidRDefault="00F07870" w:rsidP="00296A4A">
            <w:pPr>
              <w:pStyle w:val="TableParagraph"/>
              <w:rPr>
                <w:rFonts w:ascii="Times New Roman"/>
                <w:sz w:val="12"/>
              </w:rPr>
            </w:pPr>
          </w:p>
          <w:p w14:paraId="480FF2CD" w14:textId="77777777" w:rsidR="00F07870" w:rsidRDefault="00F07870" w:rsidP="00296A4A">
            <w:pPr>
              <w:pStyle w:val="TableParagraph"/>
              <w:rPr>
                <w:rFonts w:ascii="Times New Roman"/>
                <w:sz w:val="12"/>
              </w:rPr>
            </w:pPr>
          </w:p>
          <w:p w14:paraId="26E28D9F" w14:textId="77777777" w:rsidR="00F07870" w:rsidRDefault="00F07870" w:rsidP="00296A4A">
            <w:pPr>
              <w:pStyle w:val="TableParagraph"/>
              <w:rPr>
                <w:rFonts w:ascii="Times New Roman"/>
                <w:sz w:val="12"/>
              </w:rPr>
            </w:pPr>
          </w:p>
          <w:p w14:paraId="5C5FDCDC" w14:textId="77777777" w:rsidR="00F07870" w:rsidRDefault="00F07870" w:rsidP="00296A4A">
            <w:pPr>
              <w:pStyle w:val="TableParagraph"/>
              <w:spacing w:before="89"/>
              <w:ind w:left="44"/>
              <w:jc w:val="center"/>
              <w:rPr>
                <w:sz w:val="12"/>
              </w:rPr>
            </w:pPr>
            <w:r>
              <w:rPr>
                <w:color w:val="44536A"/>
                <w:w w:val="106"/>
                <w:sz w:val="12"/>
              </w:rPr>
              <w:t>9</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64A8C46D" w14:textId="77777777" w:rsidR="00F07870" w:rsidRDefault="00F07870" w:rsidP="00296A4A">
            <w:pPr>
              <w:pStyle w:val="TableParagraph"/>
              <w:rPr>
                <w:rFonts w:ascii="Times New Roman"/>
                <w:sz w:val="12"/>
              </w:rPr>
            </w:pPr>
          </w:p>
          <w:p w14:paraId="39848801" w14:textId="77777777" w:rsidR="00F07870" w:rsidRDefault="00F07870" w:rsidP="00296A4A">
            <w:pPr>
              <w:pStyle w:val="TableParagraph"/>
              <w:rPr>
                <w:rFonts w:ascii="Times New Roman"/>
                <w:sz w:val="12"/>
              </w:rPr>
            </w:pPr>
          </w:p>
          <w:p w14:paraId="2C625240" w14:textId="77777777" w:rsidR="00F07870" w:rsidRDefault="00F07870" w:rsidP="00296A4A">
            <w:pPr>
              <w:pStyle w:val="TableParagraph"/>
              <w:rPr>
                <w:rFonts w:ascii="Times New Roman"/>
                <w:sz w:val="12"/>
              </w:rPr>
            </w:pPr>
          </w:p>
          <w:p w14:paraId="52FA2A74" w14:textId="77777777" w:rsidR="00F07870" w:rsidRDefault="00F07870" w:rsidP="00296A4A">
            <w:pPr>
              <w:pStyle w:val="TableParagraph"/>
              <w:spacing w:before="89"/>
              <w:ind w:left="21"/>
              <w:jc w:val="center"/>
              <w:rPr>
                <w:i/>
                <w:sz w:val="12"/>
              </w:rPr>
            </w:pPr>
            <w:r>
              <w:rPr>
                <w:i/>
                <w:color w:val="44536A"/>
                <w:w w:val="106"/>
                <w:sz w:val="12"/>
              </w:rPr>
              <w:t>8</w:t>
            </w:r>
          </w:p>
        </w:tc>
        <w:tc>
          <w:tcPr>
            <w:tcW w:w="768" w:type="dxa"/>
            <w:tcBorders>
              <w:top w:val="single" w:sz="6" w:space="0" w:color="000000"/>
              <w:left w:val="single" w:sz="6" w:space="0" w:color="000000"/>
              <w:bottom w:val="single" w:sz="6" w:space="0" w:color="000000"/>
              <w:right w:val="single" w:sz="6" w:space="0" w:color="000000"/>
            </w:tcBorders>
            <w:shd w:val="clear" w:color="auto" w:fill="B4C5E7"/>
          </w:tcPr>
          <w:p w14:paraId="623B8FBC" w14:textId="77777777" w:rsidR="00F07870" w:rsidRDefault="00F07870" w:rsidP="00296A4A">
            <w:pPr>
              <w:pStyle w:val="TableParagraph"/>
              <w:rPr>
                <w:rFonts w:ascii="Times New Roman"/>
                <w:sz w:val="12"/>
              </w:rPr>
            </w:pPr>
          </w:p>
          <w:p w14:paraId="22061935" w14:textId="77777777" w:rsidR="00F07870" w:rsidRDefault="00F07870" w:rsidP="00296A4A">
            <w:pPr>
              <w:pStyle w:val="TableParagraph"/>
              <w:rPr>
                <w:rFonts w:ascii="Times New Roman"/>
                <w:sz w:val="12"/>
              </w:rPr>
            </w:pPr>
          </w:p>
          <w:p w14:paraId="5F01CE09" w14:textId="77777777" w:rsidR="00F07870" w:rsidRDefault="00F07870" w:rsidP="00296A4A">
            <w:pPr>
              <w:pStyle w:val="TableParagraph"/>
              <w:rPr>
                <w:rFonts w:ascii="Times New Roman"/>
                <w:sz w:val="12"/>
              </w:rPr>
            </w:pPr>
          </w:p>
          <w:p w14:paraId="634A098E" w14:textId="77777777" w:rsidR="00F07870" w:rsidRDefault="00F07870" w:rsidP="00296A4A">
            <w:pPr>
              <w:pStyle w:val="TableParagraph"/>
              <w:spacing w:before="89"/>
              <w:ind w:left="21"/>
              <w:jc w:val="center"/>
              <w:rPr>
                <w:i/>
                <w:sz w:val="12"/>
              </w:rPr>
            </w:pPr>
            <w:r>
              <w:rPr>
                <w:i/>
                <w:color w:val="44536A"/>
                <w:w w:val="106"/>
                <w:sz w:val="12"/>
              </w:rPr>
              <w:t>7</w:t>
            </w:r>
          </w:p>
        </w:tc>
        <w:tc>
          <w:tcPr>
            <w:tcW w:w="737" w:type="dxa"/>
            <w:tcBorders>
              <w:top w:val="single" w:sz="6" w:space="0" w:color="000000"/>
              <w:left w:val="single" w:sz="6" w:space="0" w:color="000000"/>
              <w:bottom w:val="single" w:sz="6" w:space="0" w:color="000000"/>
              <w:right w:val="single" w:sz="6" w:space="0" w:color="000000"/>
            </w:tcBorders>
            <w:shd w:val="clear" w:color="auto" w:fill="B4C5E7"/>
          </w:tcPr>
          <w:p w14:paraId="2A5D8812" w14:textId="77777777" w:rsidR="00F07870" w:rsidRDefault="00F07870" w:rsidP="00296A4A">
            <w:pPr>
              <w:pStyle w:val="TableParagraph"/>
              <w:rPr>
                <w:rFonts w:ascii="Times New Roman"/>
                <w:sz w:val="12"/>
              </w:rPr>
            </w:pPr>
          </w:p>
          <w:p w14:paraId="6139DB33" w14:textId="77777777" w:rsidR="00F07870" w:rsidRDefault="00F07870" w:rsidP="00296A4A">
            <w:pPr>
              <w:pStyle w:val="TableParagraph"/>
              <w:rPr>
                <w:rFonts w:ascii="Times New Roman"/>
                <w:sz w:val="12"/>
              </w:rPr>
            </w:pPr>
          </w:p>
          <w:p w14:paraId="039B2A5E" w14:textId="77777777" w:rsidR="00F07870" w:rsidRDefault="00F07870" w:rsidP="00296A4A">
            <w:pPr>
              <w:pStyle w:val="TableParagraph"/>
              <w:rPr>
                <w:rFonts w:ascii="Times New Roman"/>
                <w:sz w:val="12"/>
              </w:rPr>
            </w:pPr>
          </w:p>
          <w:p w14:paraId="72B50EC5" w14:textId="77777777" w:rsidR="00F07870" w:rsidRDefault="00F07870" w:rsidP="00296A4A">
            <w:pPr>
              <w:pStyle w:val="TableParagraph"/>
              <w:spacing w:before="89"/>
              <w:ind w:left="76" w:right="31"/>
              <w:jc w:val="center"/>
              <w:rPr>
                <w:sz w:val="12"/>
              </w:rPr>
            </w:pPr>
            <w:r>
              <w:rPr>
                <w:color w:val="44536A"/>
                <w:w w:val="105"/>
                <w:sz w:val="12"/>
              </w:rPr>
              <w:t>16</w:t>
            </w:r>
          </w:p>
        </w:tc>
        <w:tc>
          <w:tcPr>
            <w:tcW w:w="809" w:type="dxa"/>
            <w:tcBorders>
              <w:top w:val="single" w:sz="6" w:space="0" w:color="000000"/>
              <w:left w:val="single" w:sz="6" w:space="0" w:color="000000"/>
              <w:bottom w:val="single" w:sz="6" w:space="0" w:color="000000"/>
              <w:right w:val="single" w:sz="6" w:space="0" w:color="000000"/>
            </w:tcBorders>
            <w:shd w:val="clear" w:color="auto" w:fill="C5DFB4"/>
          </w:tcPr>
          <w:p w14:paraId="2704855E" w14:textId="77777777" w:rsidR="00F07870" w:rsidRDefault="00F07870" w:rsidP="00296A4A">
            <w:pPr>
              <w:pStyle w:val="TableParagraph"/>
              <w:rPr>
                <w:rFonts w:ascii="Times New Roman"/>
                <w:sz w:val="12"/>
              </w:rPr>
            </w:pPr>
          </w:p>
          <w:p w14:paraId="737D2CE7" w14:textId="77777777" w:rsidR="00F07870" w:rsidRDefault="00F07870" w:rsidP="00296A4A">
            <w:pPr>
              <w:pStyle w:val="TableParagraph"/>
              <w:rPr>
                <w:rFonts w:ascii="Times New Roman"/>
                <w:sz w:val="12"/>
              </w:rPr>
            </w:pPr>
          </w:p>
          <w:p w14:paraId="24309E3E" w14:textId="77777777" w:rsidR="00F07870" w:rsidRDefault="00F07870" w:rsidP="00296A4A">
            <w:pPr>
              <w:pStyle w:val="TableParagraph"/>
              <w:rPr>
                <w:rFonts w:ascii="Times New Roman"/>
                <w:sz w:val="12"/>
              </w:rPr>
            </w:pPr>
          </w:p>
          <w:p w14:paraId="783381F8" w14:textId="77777777" w:rsidR="00F07870" w:rsidRDefault="00F07870" w:rsidP="00296A4A">
            <w:pPr>
              <w:pStyle w:val="TableParagraph"/>
              <w:spacing w:before="89"/>
              <w:ind w:left="43"/>
              <w:jc w:val="center"/>
              <w:rPr>
                <w:sz w:val="12"/>
              </w:rPr>
            </w:pPr>
            <w:r>
              <w:rPr>
                <w:color w:val="44536A"/>
                <w:w w:val="106"/>
                <w:sz w:val="12"/>
              </w:rPr>
              <w:t>7</w:t>
            </w:r>
          </w:p>
        </w:tc>
        <w:tc>
          <w:tcPr>
            <w:tcW w:w="754" w:type="dxa"/>
            <w:tcBorders>
              <w:top w:val="single" w:sz="6" w:space="0" w:color="000000"/>
              <w:left w:val="single" w:sz="6" w:space="0" w:color="000000"/>
              <w:bottom w:val="single" w:sz="6" w:space="0" w:color="000000"/>
              <w:right w:val="single" w:sz="6" w:space="0" w:color="000000"/>
            </w:tcBorders>
            <w:shd w:val="clear" w:color="auto" w:fill="C5DFB4"/>
          </w:tcPr>
          <w:p w14:paraId="6B0DF1F0" w14:textId="77777777" w:rsidR="00F07870" w:rsidRDefault="00F07870" w:rsidP="00296A4A">
            <w:pPr>
              <w:pStyle w:val="TableParagraph"/>
              <w:rPr>
                <w:rFonts w:ascii="Times New Roman"/>
                <w:sz w:val="12"/>
              </w:rPr>
            </w:pPr>
          </w:p>
          <w:p w14:paraId="1107854B" w14:textId="77777777" w:rsidR="00F07870" w:rsidRDefault="00F07870" w:rsidP="00296A4A">
            <w:pPr>
              <w:pStyle w:val="TableParagraph"/>
              <w:rPr>
                <w:rFonts w:ascii="Times New Roman"/>
                <w:sz w:val="12"/>
              </w:rPr>
            </w:pPr>
          </w:p>
          <w:p w14:paraId="68914085" w14:textId="77777777" w:rsidR="00F07870" w:rsidRDefault="00F07870" w:rsidP="00296A4A">
            <w:pPr>
              <w:pStyle w:val="TableParagraph"/>
              <w:rPr>
                <w:rFonts w:ascii="Times New Roman"/>
                <w:sz w:val="12"/>
              </w:rPr>
            </w:pPr>
          </w:p>
          <w:p w14:paraId="276529F3" w14:textId="77777777" w:rsidR="00F07870" w:rsidRDefault="00F07870" w:rsidP="00296A4A">
            <w:pPr>
              <w:pStyle w:val="TableParagraph"/>
              <w:spacing w:before="89"/>
              <w:ind w:left="79" w:right="37"/>
              <w:jc w:val="center"/>
              <w:rPr>
                <w:b/>
                <w:sz w:val="12"/>
              </w:rPr>
            </w:pPr>
            <w:r>
              <w:rPr>
                <w:b/>
                <w:color w:val="44536A"/>
                <w:w w:val="105"/>
                <w:sz w:val="12"/>
              </w:rPr>
              <w:t>15</w:t>
            </w:r>
          </w:p>
        </w:tc>
        <w:tc>
          <w:tcPr>
            <w:tcW w:w="1188" w:type="dxa"/>
            <w:tcBorders>
              <w:top w:val="single" w:sz="6" w:space="0" w:color="000000"/>
              <w:left w:val="single" w:sz="6" w:space="0" w:color="000000"/>
              <w:bottom w:val="single" w:sz="6" w:space="0" w:color="000000"/>
              <w:right w:val="single" w:sz="6" w:space="0" w:color="000000"/>
            </w:tcBorders>
            <w:shd w:val="clear" w:color="auto" w:fill="B1B1B1"/>
          </w:tcPr>
          <w:p w14:paraId="6F071DE0" w14:textId="77777777" w:rsidR="00F07870" w:rsidRDefault="00F07870" w:rsidP="00296A4A">
            <w:pPr>
              <w:pStyle w:val="TableParagraph"/>
              <w:rPr>
                <w:rFonts w:ascii="Times New Roman"/>
                <w:sz w:val="12"/>
              </w:rPr>
            </w:pPr>
          </w:p>
          <w:p w14:paraId="7F1208F7" w14:textId="77777777" w:rsidR="00F07870" w:rsidRDefault="00F07870" w:rsidP="00296A4A">
            <w:pPr>
              <w:pStyle w:val="TableParagraph"/>
              <w:rPr>
                <w:rFonts w:ascii="Times New Roman"/>
                <w:sz w:val="12"/>
              </w:rPr>
            </w:pPr>
          </w:p>
          <w:p w14:paraId="71EEEFD4" w14:textId="77777777" w:rsidR="00F07870" w:rsidRDefault="00F07870" w:rsidP="00296A4A">
            <w:pPr>
              <w:pStyle w:val="TableParagraph"/>
              <w:spacing w:before="8"/>
              <w:rPr>
                <w:rFonts w:ascii="Times New Roman"/>
                <w:sz w:val="16"/>
              </w:rPr>
            </w:pPr>
          </w:p>
          <w:p w14:paraId="76737AD8" w14:textId="77777777" w:rsidR="00F07870" w:rsidRDefault="00F07870" w:rsidP="00296A4A">
            <w:pPr>
              <w:pStyle w:val="TableParagraph"/>
              <w:spacing w:line="160" w:lineRule="atLeast"/>
              <w:ind w:left="44" w:right="2" w:firstLine="2"/>
              <w:jc w:val="center"/>
              <w:rPr>
                <w:sz w:val="12"/>
              </w:rPr>
            </w:pPr>
            <w:r>
              <w:rPr>
                <w:w w:val="105"/>
                <w:sz w:val="12"/>
              </w:rPr>
              <w:t>Steady increase (2X</w:t>
            </w:r>
            <w:r>
              <w:rPr>
                <w:spacing w:val="1"/>
                <w:w w:val="105"/>
                <w:sz w:val="12"/>
              </w:rPr>
              <w:t xml:space="preserve"> </w:t>
            </w:r>
            <w:r>
              <w:rPr>
                <w:w w:val="105"/>
                <w:sz w:val="12"/>
              </w:rPr>
              <w:t>baseline), 2019 target</w:t>
            </w:r>
            <w:r>
              <w:rPr>
                <w:spacing w:val="-26"/>
                <w:w w:val="105"/>
                <w:sz w:val="12"/>
              </w:rPr>
              <w:t xml:space="preserve"> </w:t>
            </w:r>
            <w:r>
              <w:rPr>
                <w:w w:val="105"/>
                <w:sz w:val="12"/>
              </w:rPr>
              <w:t>set</w:t>
            </w:r>
            <w:r>
              <w:rPr>
                <w:spacing w:val="1"/>
                <w:w w:val="105"/>
                <w:sz w:val="12"/>
              </w:rPr>
              <w:t xml:space="preserve"> </w:t>
            </w:r>
            <w:r>
              <w:rPr>
                <w:w w:val="105"/>
                <w:sz w:val="12"/>
              </w:rPr>
              <w:t>lower</w:t>
            </w:r>
            <w:r>
              <w:rPr>
                <w:spacing w:val="-1"/>
                <w:w w:val="105"/>
                <w:sz w:val="12"/>
              </w:rPr>
              <w:t xml:space="preserve"> </w:t>
            </w:r>
            <w:r>
              <w:rPr>
                <w:w w:val="105"/>
                <w:sz w:val="12"/>
              </w:rPr>
              <w:t>than</w:t>
            </w:r>
            <w:r>
              <w:rPr>
                <w:spacing w:val="1"/>
                <w:w w:val="105"/>
                <w:sz w:val="12"/>
              </w:rPr>
              <w:t xml:space="preserve"> </w:t>
            </w:r>
            <w:r>
              <w:rPr>
                <w:w w:val="105"/>
                <w:sz w:val="12"/>
              </w:rPr>
              <w:t>2018,</w:t>
            </w:r>
            <w:r>
              <w:rPr>
                <w:spacing w:val="1"/>
                <w:w w:val="105"/>
                <w:sz w:val="12"/>
              </w:rPr>
              <w:t xml:space="preserve"> </w:t>
            </w:r>
            <w:r>
              <w:rPr>
                <w:w w:val="105"/>
                <w:sz w:val="12"/>
              </w:rPr>
              <w:t>but exceeded</w:t>
            </w:r>
          </w:p>
        </w:tc>
        <w:tc>
          <w:tcPr>
            <w:tcW w:w="894" w:type="dxa"/>
            <w:tcBorders>
              <w:top w:val="single" w:sz="6" w:space="0" w:color="000000"/>
              <w:left w:val="single" w:sz="6" w:space="0" w:color="000000"/>
              <w:bottom w:val="single" w:sz="6" w:space="0" w:color="000000"/>
              <w:right w:val="single" w:sz="6" w:space="0" w:color="000000"/>
            </w:tcBorders>
          </w:tcPr>
          <w:p w14:paraId="473CA0C9" w14:textId="77777777" w:rsidR="00F07870" w:rsidRDefault="00F07870" w:rsidP="00296A4A">
            <w:pPr>
              <w:pStyle w:val="TableParagraph"/>
              <w:rPr>
                <w:rFonts w:ascii="Times New Roman"/>
                <w:sz w:val="12"/>
              </w:rPr>
            </w:pPr>
          </w:p>
          <w:p w14:paraId="7BF123A5" w14:textId="77777777" w:rsidR="00F07870" w:rsidRDefault="00F07870" w:rsidP="00296A4A">
            <w:pPr>
              <w:pStyle w:val="TableParagraph"/>
              <w:spacing w:before="3"/>
              <w:rPr>
                <w:rFonts w:ascii="Times New Roman"/>
                <w:sz w:val="15"/>
              </w:rPr>
            </w:pPr>
          </w:p>
          <w:p w14:paraId="6CF16EF8" w14:textId="77777777" w:rsidR="00F07870" w:rsidRDefault="00F07870" w:rsidP="00296A4A">
            <w:pPr>
              <w:pStyle w:val="TableParagraph"/>
              <w:spacing w:line="276" w:lineRule="auto"/>
              <w:ind w:left="35" w:right="114"/>
              <w:rPr>
                <w:sz w:val="12"/>
              </w:rPr>
            </w:pPr>
            <w:r>
              <w:rPr>
                <w:spacing w:val="-1"/>
                <w:w w:val="105"/>
                <w:sz w:val="12"/>
              </w:rPr>
              <w:t xml:space="preserve">IRRF </w:t>
            </w:r>
            <w:r>
              <w:rPr>
                <w:w w:val="105"/>
                <w:sz w:val="12"/>
              </w:rPr>
              <w:t>Indicator</w:t>
            </w:r>
            <w:r>
              <w:rPr>
                <w:spacing w:val="-26"/>
                <w:w w:val="105"/>
                <w:sz w:val="12"/>
              </w:rPr>
              <w:t xml:space="preserve"> </w:t>
            </w:r>
            <w:r>
              <w:rPr>
                <w:w w:val="105"/>
                <w:sz w:val="12"/>
              </w:rPr>
              <w:t>3.2.2.1.C</w:t>
            </w:r>
          </w:p>
          <w:p w14:paraId="053B0E04" w14:textId="77777777" w:rsidR="00F07870" w:rsidRDefault="00F07870" w:rsidP="00296A4A">
            <w:pPr>
              <w:pStyle w:val="TableParagraph"/>
              <w:spacing w:before="6"/>
              <w:rPr>
                <w:rFonts w:ascii="Times New Roman"/>
                <w:sz w:val="14"/>
              </w:rPr>
            </w:pPr>
          </w:p>
          <w:p w14:paraId="459574E9" w14:textId="77777777" w:rsidR="00F07870" w:rsidRDefault="00F07870" w:rsidP="00296A4A">
            <w:pPr>
              <w:pStyle w:val="TableParagraph"/>
              <w:ind w:left="35"/>
              <w:rPr>
                <w:sz w:val="12"/>
              </w:rPr>
            </w:pPr>
            <w:r>
              <w:rPr>
                <w:w w:val="105"/>
                <w:sz w:val="12"/>
              </w:rPr>
              <w:t>RoLSHR</w:t>
            </w:r>
          </w:p>
          <w:p w14:paraId="11B2F719" w14:textId="77777777" w:rsidR="00F07870" w:rsidRDefault="00F07870" w:rsidP="00296A4A">
            <w:pPr>
              <w:pStyle w:val="TableParagraph"/>
              <w:spacing w:before="22" w:line="138" w:lineRule="exact"/>
              <w:ind w:left="35"/>
              <w:rPr>
                <w:sz w:val="12"/>
              </w:rPr>
            </w:pPr>
            <w:r>
              <w:rPr>
                <w:w w:val="105"/>
                <w:sz w:val="12"/>
              </w:rPr>
              <w:t>Reporting</w:t>
            </w:r>
          </w:p>
        </w:tc>
        <w:tc>
          <w:tcPr>
            <w:tcW w:w="2623" w:type="dxa"/>
            <w:tcBorders>
              <w:top w:val="single" w:sz="6" w:space="0" w:color="000000"/>
              <w:left w:val="single" w:sz="6" w:space="0" w:color="000000"/>
              <w:bottom w:val="single" w:sz="6" w:space="0" w:color="000000"/>
              <w:right w:val="single" w:sz="6" w:space="0" w:color="000000"/>
            </w:tcBorders>
          </w:tcPr>
          <w:p w14:paraId="19BE3581" w14:textId="77777777" w:rsidR="00F07870" w:rsidRDefault="00F07870" w:rsidP="00296A4A">
            <w:pPr>
              <w:pStyle w:val="TableParagraph"/>
              <w:rPr>
                <w:rFonts w:ascii="Times New Roman"/>
                <w:sz w:val="12"/>
              </w:rPr>
            </w:pPr>
          </w:p>
          <w:p w14:paraId="31174AEA" w14:textId="77777777" w:rsidR="00F07870" w:rsidRDefault="00F07870" w:rsidP="00296A4A">
            <w:pPr>
              <w:pStyle w:val="TableParagraph"/>
              <w:rPr>
                <w:rFonts w:ascii="Times New Roman"/>
                <w:sz w:val="12"/>
              </w:rPr>
            </w:pPr>
          </w:p>
          <w:p w14:paraId="65A1BD8F" w14:textId="77777777" w:rsidR="00F07870" w:rsidRDefault="00F07870" w:rsidP="00296A4A">
            <w:pPr>
              <w:pStyle w:val="TableParagraph"/>
              <w:spacing w:before="8"/>
              <w:rPr>
                <w:rFonts w:ascii="Times New Roman"/>
                <w:sz w:val="16"/>
              </w:rPr>
            </w:pPr>
          </w:p>
          <w:p w14:paraId="08F20CE4" w14:textId="77777777" w:rsidR="00F07870" w:rsidRDefault="00F07870" w:rsidP="00296A4A">
            <w:pPr>
              <w:pStyle w:val="TableParagraph"/>
              <w:spacing w:line="160" w:lineRule="atLeast"/>
              <w:ind w:left="34"/>
              <w:rPr>
                <w:sz w:val="12"/>
              </w:rPr>
            </w:pPr>
            <w:r>
              <w:rPr>
                <w:w w:val="105"/>
                <w:sz w:val="12"/>
              </w:rPr>
              <w:t>IRRF Indicator 3.2.2.1.C measures “Number of</w:t>
            </w:r>
            <w:r>
              <w:rPr>
                <w:spacing w:val="1"/>
                <w:w w:val="105"/>
                <w:sz w:val="12"/>
              </w:rPr>
              <w:t xml:space="preserve"> </w:t>
            </w:r>
            <w:r>
              <w:rPr>
                <w:w w:val="105"/>
                <w:sz w:val="12"/>
              </w:rPr>
              <w:t>contexts with national and</w:t>
            </w:r>
            <w:r>
              <w:rPr>
                <w:spacing w:val="-1"/>
                <w:w w:val="105"/>
                <w:sz w:val="12"/>
              </w:rPr>
              <w:t xml:space="preserve"> </w:t>
            </w:r>
            <w:r>
              <w:rPr>
                <w:w w:val="105"/>
                <w:sz w:val="12"/>
              </w:rPr>
              <w:t>local systems</w:t>
            </w:r>
            <w:r>
              <w:rPr>
                <w:spacing w:val="1"/>
                <w:w w:val="105"/>
                <w:sz w:val="12"/>
              </w:rPr>
              <w:t xml:space="preserve"> </w:t>
            </w:r>
            <w:r>
              <w:rPr>
                <w:w w:val="105"/>
                <w:sz w:val="12"/>
              </w:rPr>
              <w:t>restored</w:t>
            </w:r>
            <w:r>
              <w:rPr>
                <w:spacing w:val="-26"/>
                <w:w w:val="105"/>
                <w:sz w:val="12"/>
              </w:rPr>
              <w:t xml:space="preserve"> </w:t>
            </w:r>
            <w:r>
              <w:rPr>
                <w:w w:val="105"/>
                <w:sz w:val="12"/>
              </w:rPr>
              <w:t>or adopted following crises: community-oriented</w:t>
            </w:r>
            <w:r>
              <w:rPr>
                <w:spacing w:val="1"/>
                <w:w w:val="105"/>
                <w:sz w:val="12"/>
              </w:rPr>
              <w:t xml:space="preserve"> </w:t>
            </w:r>
            <w:r>
              <w:rPr>
                <w:w w:val="105"/>
                <w:sz w:val="12"/>
              </w:rPr>
              <w:t>security</w:t>
            </w:r>
            <w:r>
              <w:rPr>
                <w:spacing w:val="-1"/>
                <w:w w:val="105"/>
                <w:sz w:val="12"/>
              </w:rPr>
              <w:t xml:space="preserve"> </w:t>
            </w:r>
            <w:r>
              <w:rPr>
                <w:w w:val="105"/>
                <w:sz w:val="12"/>
              </w:rPr>
              <w:t>services and oversight mechanisms”</w:t>
            </w:r>
          </w:p>
        </w:tc>
      </w:tr>
      <w:tr w:rsidR="00F07870" w14:paraId="7C46ACF0" w14:textId="77777777" w:rsidTr="00296A4A">
        <w:trPr>
          <w:trHeight w:val="717"/>
        </w:trPr>
        <w:tc>
          <w:tcPr>
            <w:tcW w:w="293" w:type="dxa"/>
            <w:tcBorders>
              <w:top w:val="single" w:sz="6" w:space="0" w:color="000000"/>
              <w:left w:val="single" w:sz="6" w:space="0" w:color="000000"/>
              <w:bottom w:val="single" w:sz="6" w:space="0" w:color="000000"/>
              <w:right w:val="single" w:sz="6" w:space="0" w:color="000000"/>
            </w:tcBorders>
          </w:tcPr>
          <w:p w14:paraId="1C6ADA7A" w14:textId="77777777" w:rsidR="00F07870" w:rsidRDefault="00F07870" w:rsidP="00296A4A">
            <w:pPr>
              <w:pStyle w:val="TableParagraph"/>
              <w:rPr>
                <w:rFonts w:ascii="Times New Roman"/>
                <w:sz w:val="12"/>
              </w:rPr>
            </w:pPr>
          </w:p>
        </w:tc>
        <w:tc>
          <w:tcPr>
            <w:tcW w:w="1882" w:type="dxa"/>
            <w:tcBorders>
              <w:top w:val="single" w:sz="6" w:space="0" w:color="000000"/>
              <w:left w:val="single" w:sz="6" w:space="0" w:color="000000"/>
              <w:bottom w:val="single" w:sz="6" w:space="0" w:color="000000"/>
              <w:right w:val="single" w:sz="6" w:space="0" w:color="000000"/>
            </w:tcBorders>
          </w:tcPr>
          <w:p w14:paraId="4A4C3B95" w14:textId="77777777" w:rsidR="00F07870" w:rsidRDefault="00F07870" w:rsidP="00296A4A">
            <w:pPr>
              <w:pStyle w:val="TableParagraph"/>
              <w:spacing w:before="24" w:line="160" w:lineRule="atLeast"/>
              <w:ind w:left="34" w:right="222"/>
              <w:rPr>
                <w:sz w:val="12"/>
              </w:rPr>
            </w:pPr>
            <w:r>
              <w:rPr>
                <w:w w:val="105"/>
                <w:sz w:val="12"/>
              </w:rPr>
              <w:t>3.2 Number</w:t>
            </w:r>
            <w:r>
              <w:rPr>
                <w:spacing w:val="-1"/>
                <w:w w:val="105"/>
                <w:sz w:val="12"/>
              </w:rPr>
              <w:t xml:space="preserve"> </w:t>
            </w:r>
            <w:r>
              <w:rPr>
                <w:w w:val="105"/>
                <w:sz w:val="12"/>
              </w:rPr>
              <w:t>of contexts</w:t>
            </w:r>
            <w:r>
              <w:rPr>
                <w:spacing w:val="1"/>
                <w:w w:val="105"/>
                <w:sz w:val="12"/>
              </w:rPr>
              <w:t xml:space="preserve"> </w:t>
            </w:r>
            <w:r>
              <w:rPr>
                <w:w w:val="105"/>
                <w:sz w:val="12"/>
              </w:rPr>
              <w:t>with</w:t>
            </w:r>
            <w:r>
              <w:rPr>
                <w:spacing w:val="1"/>
                <w:w w:val="105"/>
                <w:sz w:val="12"/>
              </w:rPr>
              <w:t xml:space="preserve"> </w:t>
            </w:r>
            <w:r>
              <w:rPr>
                <w:w w:val="105"/>
                <w:sz w:val="12"/>
              </w:rPr>
              <w:t>community-oriented policing</w:t>
            </w:r>
            <w:r>
              <w:rPr>
                <w:spacing w:val="1"/>
                <w:w w:val="105"/>
                <w:sz w:val="12"/>
              </w:rPr>
              <w:t xml:space="preserve"> </w:t>
            </w:r>
            <w:r>
              <w:rPr>
                <w:w w:val="105"/>
                <w:sz w:val="12"/>
              </w:rPr>
              <w:t>programmes developed and/or</w:t>
            </w:r>
            <w:r>
              <w:rPr>
                <w:spacing w:val="-26"/>
                <w:w w:val="105"/>
                <w:sz w:val="12"/>
              </w:rPr>
              <w:t xml:space="preserve"> </w:t>
            </w:r>
            <w:r>
              <w:rPr>
                <w:w w:val="105"/>
                <w:sz w:val="12"/>
              </w:rPr>
              <w:t>operational</w:t>
            </w:r>
          </w:p>
        </w:tc>
        <w:tc>
          <w:tcPr>
            <w:tcW w:w="662" w:type="dxa"/>
            <w:tcBorders>
              <w:top w:val="single" w:sz="6" w:space="0" w:color="000000"/>
              <w:left w:val="single" w:sz="6" w:space="0" w:color="000000"/>
              <w:bottom w:val="single" w:sz="6" w:space="0" w:color="000000"/>
              <w:right w:val="single" w:sz="6" w:space="0" w:color="000000"/>
            </w:tcBorders>
            <w:shd w:val="clear" w:color="auto" w:fill="FFCCFF"/>
          </w:tcPr>
          <w:p w14:paraId="6996A4FC" w14:textId="77777777" w:rsidR="00F07870" w:rsidRDefault="00F07870" w:rsidP="00296A4A">
            <w:pPr>
              <w:pStyle w:val="TableParagraph"/>
              <w:rPr>
                <w:rFonts w:ascii="Times New Roman"/>
                <w:sz w:val="12"/>
              </w:rPr>
            </w:pPr>
          </w:p>
          <w:p w14:paraId="534439ED" w14:textId="77777777" w:rsidR="00F07870" w:rsidRDefault="00F07870" w:rsidP="00296A4A">
            <w:pPr>
              <w:pStyle w:val="TableParagraph"/>
              <w:spacing w:before="2"/>
              <w:rPr>
                <w:rFonts w:ascii="Times New Roman"/>
                <w:sz w:val="13"/>
              </w:rPr>
            </w:pPr>
          </w:p>
          <w:p w14:paraId="7B6F25E4" w14:textId="77777777" w:rsidR="00F07870" w:rsidRDefault="00F07870" w:rsidP="00296A4A">
            <w:pPr>
              <w:pStyle w:val="TableParagraph"/>
              <w:ind w:left="42"/>
              <w:jc w:val="center"/>
              <w:rPr>
                <w:sz w:val="12"/>
              </w:rPr>
            </w:pPr>
            <w:r>
              <w:rPr>
                <w:color w:val="44536A"/>
                <w:w w:val="106"/>
                <w:sz w:val="12"/>
              </w:rPr>
              <w:t>7</w:t>
            </w:r>
          </w:p>
        </w:tc>
        <w:tc>
          <w:tcPr>
            <w:tcW w:w="540" w:type="dxa"/>
            <w:tcBorders>
              <w:top w:val="single" w:sz="6" w:space="0" w:color="000000"/>
              <w:left w:val="single" w:sz="6" w:space="0" w:color="000000"/>
              <w:bottom w:val="single" w:sz="6" w:space="0" w:color="000000"/>
              <w:right w:val="single" w:sz="6" w:space="0" w:color="000000"/>
            </w:tcBorders>
            <w:shd w:val="clear" w:color="auto" w:fill="FFCCFF"/>
          </w:tcPr>
          <w:p w14:paraId="720D9223" w14:textId="77777777" w:rsidR="00F07870" w:rsidRDefault="00F07870" w:rsidP="00296A4A">
            <w:pPr>
              <w:pStyle w:val="TableParagraph"/>
              <w:rPr>
                <w:rFonts w:ascii="Times New Roman"/>
                <w:sz w:val="12"/>
              </w:rPr>
            </w:pPr>
          </w:p>
          <w:p w14:paraId="0DAC41BA" w14:textId="77777777" w:rsidR="00F07870" w:rsidRDefault="00F07870" w:rsidP="00296A4A">
            <w:pPr>
              <w:pStyle w:val="TableParagraph"/>
              <w:spacing w:before="2"/>
              <w:rPr>
                <w:rFonts w:ascii="Times New Roman"/>
                <w:sz w:val="13"/>
              </w:rPr>
            </w:pPr>
          </w:p>
          <w:p w14:paraId="24623D89" w14:textId="77777777" w:rsidR="00F07870" w:rsidRDefault="00F07870" w:rsidP="00296A4A">
            <w:pPr>
              <w:pStyle w:val="TableParagraph"/>
              <w:ind w:left="133" w:right="90"/>
              <w:jc w:val="center"/>
              <w:rPr>
                <w:sz w:val="12"/>
              </w:rPr>
            </w:pPr>
            <w:r>
              <w:rPr>
                <w:color w:val="44536A"/>
                <w:w w:val="105"/>
                <w:sz w:val="12"/>
              </w:rPr>
              <w:t>2015</w:t>
            </w:r>
          </w:p>
        </w:tc>
        <w:tc>
          <w:tcPr>
            <w:tcW w:w="713" w:type="dxa"/>
            <w:tcBorders>
              <w:top w:val="single" w:sz="6" w:space="0" w:color="000000"/>
              <w:left w:val="single" w:sz="6" w:space="0" w:color="000000"/>
              <w:bottom w:val="single" w:sz="6" w:space="0" w:color="000000"/>
              <w:right w:val="single" w:sz="6" w:space="0" w:color="000000"/>
            </w:tcBorders>
            <w:shd w:val="clear" w:color="auto" w:fill="FFFF00"/>
          </w:tcPr>
          <w:p w14:paraId="67DF76C0" w14:textId="77777777" w:rsidR="00F07870" w:rsidRDefault="00F07870" w:rsidP="00296A4A">
            <w:pPr>
              <w:pStyle w:val="TableParagraph"/>
              <w:rPr>
                <w:rFonts w:ascii="Times New Roman"/>
                <w:sz w:val="12"/>
              </w:rPr>
            </w:pPr>
          </w:p>
          <w:p w14:paraId="02DB969E" w14:textId="77777777" w:rsidR="00F07870" w:rsidRDefault="00F07870" w:rsidP="00296A4A">
            <w:pPr>
              <w:pStyle w:val="TableParagraph"/>
              <w:spacing w:before="2"/>
              <w:rPr>
                <w:rFonts w:ascii="Times New Roman"/>
                <w:sz w:val="13"/>
              </w:rPr>
            </w:pPr>
          </w:p>
          <w:p w14:paraId="3D2DF055" w14:textId="77777777" w:rsidR="00F07870" w:rsidRDefault="00F07870" w:rsidP="00296A4A">
            <w:pPr>
              <w:pStyle w:val="TableParagraph"/>
              <w:ind w:left="40"/>
              <w:jc w:val="center"/>
              <w:rPr>
                <w:sz w:val="12"/>
              </w:rPr>
            </w:pPr>
            <w:r>
              <w:rPr>
                <w:color w:val="44536A"/>
                <w:w w:val="106"/>
                <w:sz w:val="12"/>
              </w:rPr>
              <w:t>9</w:t>
            </w:r>
          </w:p>
        </w:tc>
        <w:tc>
          <w:tcPr>
            <w:tcW w:w="571" w:type="dxa"/>
            <w:tcBorders>
              <w:top w:val="single" w:sz="6" w:space="0" w:color="000000"/>
              <w:left w:val="single" w:sz="6" w:space="0" w:color="000000"/>
              <w:bottom w:val="single" w:sz="6" w:space="0" w:color="000000"/>
              <w:right w:val="single" w:sz="6" w:space="0" w:color="000000"/>
            </w:tcBorders>
            <w:shd w:val="clear" w:color="auto" w:fill="FFFF00"/>
          </w:tcPr>
          <w:p w14:paraId="2669CAEB" w14:textId="77777777" w:rsidR="00F07870" w:rsidRDefault="00F07870" w:rsidP="00296A4A">
            <w:pPr>
              <w:pStyle w:val="TableParagraph"/>
              <w:rPr>
                <w:rFonts w:ascii="Times New Roman"/>
                <w:sz w:val="12"/>
              </w:rPr>
            </w:pPr>
          </w:p>
          <w:p w14:paraId="439A6247" w14:textId="77777777" w:rsidR="00F07870" w:rsidRDefault="00F07870" w:rsidP="00296A4A">
            <w:pPr>
              <w:pStyle w:val="TableParagraph"/>
              <w:spacing w:before="2"/>
              <w:rPr>
                <w:rFonts w:ascii="Times New Roman"/>
                <w:sz w:val="13"/>
              </w:rPr>
            </w:pPr>
          </w:p>
          <w:p w14:paraId="14B90D85" w14:textId="77777777" w:rsidR="00F07870" w:rsidRDefault="00F07870" w:rsidP="00296A4A">
            <w:pPr>
              <w:pStyle w:val="TableParagraph"/>
              <w:ind w:left="70" w:right="28"/>
              <w:jc w:val="center"/>
              <w:rPr>
                <w:sz w:val="12"/>
              </w:rPr>
            </w:pPr>
            <w:r>
              <w:rPr>
                <w:color w:val="44536A"/>
                <w:w w:val="105"/>
                <w:sz w:val="12"/>
              </w:rPr>
              <w:t>11</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1A4864FC" w14:textId="77777777" w:rsidR="00F07870" w:rsidRDefault="00F07870" w:rsidP="00296A4A">
            <w:pPr>
              <w:pStyle w:val="TableParagraph"/>
              <w:rPr>
                <w:rFonts w:ascii="Times New Roman"/>
                <w:sz w:val="12"/>
              </w:rPr>
            </w:pPr>
          </w:p>
          <w:p w14:paraId="6656DDD4" w14:textId="77777777" w:rsidR="00F07870" w:rsidRDefault="00F07870" w:rsidP="00296A4A">
            <w:pPr>
              <w:pStyle w:val="TableParagraph"/>
              <w:spacing w:before="2"/>
              <w:rPr>
                <w:rFonts w:ascii="Times New Roman"/>
                <w:sz w:val="13"/>
              </w:rPr>
            </w:pPr>
          </w:p>
          <w:p w14:paraId="2D88F664" w14:textId="77777777" w:rsidR="00F07870" w:rsidRDefault="00F07870" w:rsidP="00296A4A">
            <w:pPr>
              <w:pStyle w:val="TableParagraph"/>
              <w:ind w:left="70" w:right="28"/>
              <w:jc w:val="center"/>
              <w:rPr>
                <w:sz w:val="12"/>
              </w:rPr>
            </w:pPr>
            <w:r>
              <w:rPr>
                <w:color w:val="44536A"/>
                <w:w w:val="105"/>
                <w:sz w:val="12"/>
              </w:rPr>
              <w:t>11</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7A613523" w14:textId="77777777" w:rsidR="00F07870" w:rsidRDefault="00F07870" w:rsidP="00296A4A">
            <w:pPr>
              <w:pStyle w:val="TableParagraph"/>
              <w:rPr>
                <w:rFonts w:ascii="Times New Roman"/>
                <w:sz w:val="12"/>
              </w:rPr>
            </w:pPr>
          </w:p>
          <w:p w14:paraId="7E40859C" w14:textId="77777777" w:rsidR="00F07870" w:rsidRDefault="00F07870" w:rsidP="00296A4A">
            <w:pPr>
              <w:pStyle w:val="TableParagraph"/>
              <w:spacing w:before="2"/>
              <w:rPr>
                <w:rFonts w:ascii="Times New Roman"/>
                <w:sz w:val="13"/>
              </w:rPr>
            </w:pPr>
          </w:p>
          <w:p w14:paraId="0C52A24B" w14:textId="77777777" w:rsidR="00F07870" w:rsidRDefault="00F07870" w:rsidP="00296A4A">
            <w:pPr>
              <w:pStyle w:val="TableParagraph"/>
              <w:ind w:left="71" w:right="28"/>
              <w:jc w:val="center"/>
              <w:rPr>
                <w:sz w:val="12"/>
              </w:rPr>
            </w:pPr>
            <w:r>
              <w:rPr>
                <w:color w:val="44536A"/>
                <w:w w:val="105"/>
                <w:sz w:val="12"/>
              </w:rPr>
              <w:t>12</w:t>
            </w:r>
          </w:p>
        </w:tc>
        <w:tc>
          <w:tcPr>
            <w:tcW w:w="768" w:type="dxa"/>
            <w:tcBorders>
              <w:top w:val="single" w:sz="6" w:space="0" w:color="000000"/>
              <w:left w:val="single" w:sz="6" w:space="0" w:color="000000"/>
              <w:bottom w:val="single" w:sz="6" w:space="0" w:color="000000"/>
              <w:right w:val="single" w:sz="6" w:space="0" w:color="000000"/>
            </w:tcBorders>
            <w:shd w:val="clear" w:color="auto" w:fill="B4C5E7"/>
          </w:tcPr>
          <w:p w14:paraId="5928CB05" w14:textId="77777777" w:rsidR="00F07870" w:rsidRDefault="00F07870" w:rsidP="00296A4A">
            <w:pPr>
              <w:pStyle w:val="TableParagraph"/>
              <w:rPr>
                <w:rFonts w:ascii="Times New Roman"/>
                <w:sz w:val="12"/>
              </w:rPr>
            </w:pPr>
          </w:p>
          <w:p w14:paraId="0D016C5D" w14:textId="77777777" w:rsidR="00F07870" w:rsidRDefault="00F07870" w:rsidP="00296A4A">
            <w:pPr>
              <w:pStyle w:val="TableParagraph"/>
              <w:spacing w:before="2"/>
              <w:rPr>
                <w:rFonts w:ascii="Times New Roman"/>
                <w:sz w:val="13"/>
              </w:rPr>
            </w:pPr>
          </w:p>
          <w:p w14:paraId="0AA6F4B2" w14:textId="77777777" w:rsidR="00F07870" w:rsidRDefault="00F07870" w:rsidP="00296A4A">
            <w:pPr>
              <w:pStyle w:val="TableParagraph"/>
              <w:ind w:left="309" w:right="266"/>
              <w:jc w:val="center"/>
              <w:rPr>
                <w:sz w:val="12"/>
              </w:rPr>
            </w:pPr>
            <w:r>
              <w:rPr>
                <w:color w:val="44536A"/>
                <w:w w:val="105"/>
                <w:sz w:val="12"/>
              </w:rPr>
              <w:t>11</w:t>
            </w:r>
          </w:p>
        </w:tc>
        <w:tc>
          <w:tcPr>
            <w:tcW w:w="737" w:type="dxa"/>
            <w:tcBorders>
              <w:top w:val="single" w:sz="6" w:space="0" w:color="000000"/>
              <w:left w:val="single" w:sz="6" w:space="0" w:color="000000"/>
              <w:bottom w:val="single" w:sz="6" w:space="0" w:color="000000"/>
              <w:right w:val="single" w:sz="6" w:space="0" w:color="000000"/>
            </w:tcBorders>
            <w:shd w:val="clear" w:color="auto" w:fill="B4C5E7"/>
          </w:tcPr>
          <w:p w14:paraId="4205FA06" w14:textId="77777777" w:rsidR="00F07870" w:rsidRDefault="00F07870" w:rsidP="00296A4A">
            <w:pPr>
              <w:pStyle w:val="TableParagraph"/>
              <w:rPr>
                <w:rFonts w:ascii="Times New Roman"/>
                <w:sz w:val="12"/>
              </w:rPr>
            </w:pPr>
          </w:p>
          <w:p w14:paraId="7A559C35" w14:textId="77777777" w:rsidR="00F07870" w:rsidRDefault="00F07870" w:rsidP="00296A4A">
            <w:pPr>
              <w:pStyle w:val="TableParagraph"/>
              <w:spacing w:before="2"/>
              <w:rPr>
                <w:rFonts w:ascii="Times New Roman"/>
                <w:sz w:val="13"/>
              </w:rPr>
            </w:pPr>
          </w:p>
          <w:p w14:paraId="415689E6" w14:textId="77777777" w:rsidR="00F07870" w:rsidRDefault="00F07870" w:rsidP="00296A4A">
            <w:pPr>
              <w:pStyle w:val="TableParagraph"/>
              <w:ind w:left="76" w:right="31"/>
              <w:jc w:val="center"/>
              <w:rPr>
                <w:sz w:val="12"/>
              </w:rPr>
            </w:pPr>
            <w:r>
              <w:rPr>
                <w:color w:val="44536A"/>
                <w:w w:val="105"/>
                <w:sz w:val="12"/>
              </w:rPr>
              <w:t>19</w:t>
            </w:r>
          </w:p>
        </w:tc>
        <w:tc>
          <w:tcPr>
            <w:tcW w:w="809" w:type="dxa"/>
            <w:tcBorders>
              <w:top w:val="single" w:sz="6" w:space="0" w:color="000000"/>
              <w:left w:val="single" w:sz="6" w:space="0" w:color="000000"/>
              <w:bottom w:val="single" w:sz="6" w:space="0" w:color="000000"/>
              <w:right w:val="single" w:sz="6" w:space="0" w:color="000000"/>
            </w:tcBorders>
            <w:shd w:val="clear" w:color="auto" w:fill="C5DFB4"/>
          </w:tcPr>
          <w:p w14:paraId="2FF52515" w14:textId="77777777" w:rsidR="00F07870" w:rsidRDefault="00F07870" w:rsidP="00296A4A">
            <w:pPr>
              <w:pStyle w:val="TableParagraph"/>
              <w:rPr>
                <w:rFonts w:ascii="Times New Roman"/>
                <w:sz w:val="12"/>
              </w:rPr>
            </w:pPr>
          </w:p>
          <w:p w14:paraId="6A9C5903" w14:textId="77777777" w:rsidR="00F07870" w:rsidRDefault="00F07870" w:rsidP="00296A4A">
            <w:pPr>
              <w:pStyle w:val="TableParagraph"/>
              <w:spacing w:before="2"/>
              <w:rPr>
                <w:rFonts w:ascii="Times New Roman"/>
                <w:sz w:val="13"/>
              </w:rPr>
            </w:pPr>
          </w:p>
          <w:p w14:paraId="0B0FC5C0" w14:textId="77777777" w:rsidR="00F07870" w:rsidRDefault="00F07870" w:rsidP="00296A4A">
            <w:pPr>
              <w:pStyle w:val="TableParagraph"/>
              <w:ind w:left="333" w:right="288"/>
              <w:jc w:val="center"/>
              <w:rPr>
                <w:sz w:val="12"/>
              </w:rPr>
            </w:pPr>
            <w:r>
              <w:rPr>
                <w:color w:val="44536A"/>
                <w:w w:val="105"/>
                <w:sz w:val="12"/>
              </w:rPr>
              <w:t>13</w:t>
            </w:r>
          </w:p>
        </w:tc>
        <w:tc>
          <w:tcPr>
            <w:tcW w:w="754" w:type="dxa"/>
            <w:tcBorders>
              <w:top w:val="single" w:sz="6" w:space="0" w:color="000000"/>
              <w:left w:val="single" w:sz="6" w:space="0" w:color="000000"/>
              <w:bottom w:val="single" w:sz="6" w:space="0" w:color="000000"/>
              <w:right w:val="single" w:sz="6" w:space="0" w:color="000000"/>
            </w:tcBorders>
            <w:shd w:val="clear" w:color="auto" w:fill="C5DFB4"/>
          </w:tcPr>
          <w:p w14:paraId="7721FB50" w14:textId="77777777" w:rsidR="00F07870" w:rsidRDefault="00F07870" w:rsidP="00296A4A">
            <w:pPr>
              <w:pStyle w:val="TableParagraph"/>
              <w:rPr>
                <w:rFonts w:ascii="Times New Roman"/>
                <w:sz w:val="12"/>
              </w:rPr>
            </w:pPr>
          </w:p>
          <w:p w14:paraId="6DB31E7A" w14:textId="77777777" w:rsidR="00F07870" w:rsidRDefault="00F07870" w:rsidP="00296A4A">
            <w:pPr>
              <w:pStyle w:val="TableParagraph"/>
              <w:spacing w:before="2"/>
              <w:rPr>
                <w:rFonts w:ascii="Times New Roman"/>
                <w:sz w:val="13"/>
              </w:rPr>
            </w:pPr>
          </w:p>
          <w:p w14:paraId="0BA51640" w14:textId="77777777" w:rsidR="00F07870" w:rsidRDefault="00F07870" w:rsidP="00296A4A">
            <w:pPr>
              <w:pStyle w:val="TableParagraph"/>
              <w:ind w:left="79" w:right="37"/>
              <w:jc w:val="center"/>
              <w:rPr>
                <w:sz w:val="12"/>
              </w:rPr>
            </w:pPr>
            <w:r>
              <w:rPr>
                <w:color w:val="44536A"/>
                <w:w w:val="105"/>
                <w:sz w:val="12"/>
              </w:rPr>
              <w:t>19</w:t>
            </w:r>
          </w:p>
        </w:tc>
        <w:tc>
          <w:tcPr>
            <w:tcW w:w="1188" w:type="dxa"/>
            <w:tcBorders>
              <w:top w:val="single" w:sz="6" w:space="0" w:color="000000"/>
              <w:left w:val="single" w:sz="6" w:space="0" w:color="000000"/>
              <w:bottom w:val="single" w:sz="6" w:space="0" w:color="000000"/>
              <w:right w:val="single" w:sz="6" w:space="0" w:color="000000"/>
            </w:tcBorders>
            <w:shd w:val="clear" w:color="auto" w:fill="B1B1B1"/>
          </w:tcPr>
          <w:p w14:paraId="57534654" w14:textId="77777777" w:rsidR="00F07870" w:rsidRDefault="00F07870" w:rsidP="00296A4A">
            <w:pPr>
              <w:pStyle w:val="TableParagraph"/>
              <w:spacing w:before="41" w:line="160" w:lineRule="atLeast"/>
              <w:ind w:left="54" w:right="9" w:hanging="1"/>
              <w:jc w:val="center"/>
              <w:rPr>
                <w:sz w:val="12"/>
              </w:rPr>
            </w:pPr>
            <w:r>
              <w:rPr>
                <w:w w:val="105"/>
                <w:sz w:val="12"/>
              </w:rPr>
              <w:t>Significant increase,</w:t>
            </w:r>
            <w:r>
              <w:rPr>
                <w:spacing w:val="1"/>
                <w:w w:val="105"/>
                <w:sz w:val="12"/>
              </w:rPr>
              <w:t xml:space="preserve"> </w:t>
            </w:r>
            <w:r>
              <w:rPr>
                <w:w w:val="105"/>
                <w:sz w:val="12"/>
              </w:rPr>
              <w:t>2019 target set lower</w:t>
            </w:r>
            <w:r>
              <w:rPr>
                <w:spacing w:val="-26"/>
                <w:w w:val="105"/>
                <w:sz w:val="12"/>
              </w:rPr>
              <w:t xml:space="preserve"> </w:t>
            </w:r>
            <w:r>
              <w:rPr>
                <w:w w:val="105"/>
                <w:sz w:val="12"/>
              </w:rPr>
              <w:t>than 2018, but</w:t>
            </w:r>
            <w:r>
              <w:rPr>
                <w:spacing w:val="1"/>
                <w:w w:val="105"/>
                <w:sz w:val="12"/>
              </w:rPr>
              <w:t xml:space="preserve"> </w:t>
            </w:r>
            <w:r>
              <w:rPr>
                <w:w w:val="105"/>
                <w:sz w:val="12"/>
              </w:rPr>
              <w:t>exceeded</w:t>
            </w:r>
          </w:p>
        </w:tc>
        <w:tc>
          <w:tcPr>
            <w:tcW w:w="894" w:type="dxa"/>
            <w:tcBorders>
              <w:top w:val="single" w:sz="6" w:space="0" w:color="000000"/>
              <w:left w:val="single" w:sz="6" w:space="0" w:color="000000"/>
              <w:bottom w:val="single" w:sz="6" w:space="0" w:color="000000"/>
              <w:right w:val="single" w:sz="6" w:space="0" w:color="000000"/>
            </w:tcBorders>
          </w:tcPr>
          <w:p w14:paraId="30BDDD62" w14:textId="77777777" w:rsidR="00F07870" w:rsidRDefault="00F07870" w:rsidP="00296A4A">
            <w:pPr>
              <w:pStyle w:val="TableParagraph"/>
              <w:rPr>
                <w:rFonts w:ascii="Times New Roman"/>
                <w:sz w:val="12"/>
              </w:rPr>
            </w:pPr>
          </w:p>
          <w:p w14:paraId="7EE2BC68" w14:textId="77777777" w:rsidR="00F07870" w:rsidRDefault="00F07870" w:rsidP="00296A4A">
            <w:pPr>
              <w:pStyle w:val="TableParagraph"/>
              <w:rPr>
                <w:rFonts w:ascii="Times New Roman"/>
                <w:sz w:val="12"/>
              </w:rPr>
            </w:pPr>
          </w:p>
          <w:p w14:paraId="5B62F0BE" w14:textId="77777777" w:rsidR="00F07870" w:rsidRDefault="00F07870" w:rsidP="00296A4A">
            <w:pPr>
              <w:pStyle w:val="TableParagraph"/>
              <w:spacing w:before="11"/>
              <w:rPr>
                <w:rFonts w:ascii="Times New Roman"/>
                <w:sz w:val="9"/>
              </w:rPr>
            </w:pPr>
          </w:p>
          <w:p w14:paraId="7DBA98BD" w14:textId="77777777" w:rsidR="00F07870" w:rsidRDefault="00F07870" w:rsidP="00296A4A">
            <w:pPr>
              <w:pStyle w:val="TableParagraph"/>
              <w:ind w:left="35"/>
              <w:rPr>
                <w:sz w:val="12"/>
              </w:rPr>
            </w:pPr>
            <w:r>
              <w:rPr>
                <w:w w:val="105"/>
                <w:sz w:val="12"/>
              </w:rPr>
              <w:t>RoLSHR</w:t>
            </w:r>
          </w:p>
          <w:p w14:paraId="7A828431" w14:textId="77777777" w:rsidR="00F07870" w:rsidRDefault="00F07870" w:rsidP="00296A4A">
            <w:pPr>
              <w:pStyle w:val="TableParagraph"/>
              <w:spacing w:before="21" w:line="139" w:lineRule="exact"/>
              <w:ind w:left="35"/>
              <w:rPr>
                <w:sz w:val="12"/>
              </w:rPr>
            </w:pPr>
            <w:r>
              <w:rPr>
                <w:w w:val="105"/>
                <w:sz w:val="12"/>
              </w:rPr>
              <w:t>Reporting</w:t>
            </w:r>
          </w:p>
        </w:tc>
        <w:tc>
          <w:tcPr>
            <w:tcW w:w="2623" w:type="dxa"/>
            <w:tcBorders>
              <w:top w:val="single" w:sz="6" w:space="0" w:color="000000"/>
              <w:left w:val="single" w:sz="6" w:space="0" w:color="000000"/>
              <w:bottom w:val="single" w:sz="6" w:space="0" w:color="000000"/>
              <w:right w:val="single" w:sz="6" w:space="0" w:color="000000"/>
            </w:tcBorders>
          </w:tcPr>
          <w:p w14:paraId="7C163D9D" w14:textId="77777777" w:rsidR="00F07870" w:rsidRDefault="00F07870" w:rsidP="00296A4A">
            <w:pPr>
              <w:pStyle w:val="TableParagraph"/>
              <w:rPr>
                <w:rFonts w:ascii="Times New Roman"/>
                <w:sz w:val="12"/>
              </w:rPr>
            </w:pPr>
          </w:p>
        </w:tc>
      </w:tr>
      <w:tr w:rsidR="00F07870" w14:paraId="3300715B" w14:textId="77777777" w:rsidTr="00296A4A">
        <w:trPr>
          <w:trHeight w:val="153"/>
        </w:trPr>
        <w:tc>
          <w:tcPr>
            <w:tcW w:w="10059" w:type="dxa"/>
            <w:gridSpan w:val="13"/>
            <w:tcBorders>
              <w:top w:val="single" w:sz="6" w:space="0" w:color="000000"/>
              <w:left w:val="single" w:sz="6" w:space="0" w:color="000000"/>
              <w:bottom w:val="single" w:sz="6" w:space="0" w:color="000000"/>
              <w:right w:val="single" w:sz="6" w:space="0" w:color="000000"/>
            </w:tcBorders>
          </w:tcPr>
          <w:p w14:paraId="3E656B99" w14:textId="77777777" w:rsidR="00F07870" w:rsidRDefault="00F07870" w:rsidP="00296A4A">
            <w:pPr>
              <w:pStyle w:val="TableParagraph"/>
              <w:spacing w:before="2" w:line="131" w:lineRule="exact"/>
              <w:ind w:left="34"/>
              <w:rPr>
                <w:b/>
                <w:sz w:val="12"/>
              </w:rPr>
            </w:pPr>
            <w:r>
              <w:rPr>
                <w:b/>
                <w:w w:val="105"/>
                <w:sz w:val="12"/>
              </w:rPr>
              <w:t>Output</w:t>
            </w:r>
            <w:r>
              <w:rPr>
                <w:b/>
                <w:spacing w:val="-3"/>
                <w:w w:val="105"/>
                <w:sz w:val="12"/>
              </w:rPr>
              <w:t xml:space="preserve"> </w:t>
            </w:r>
            <w:r>
              <w:rPr>
                <w:b/>
                <w:w w:val="105"/>
                <w:sz w:val="12"/>
              </w:rPr>
              <w:t>4: National</w:t>
            </w:r>
            <w:r>
              <w:rPr>
                <w:b/>
                <w:spacing w:val="-1"/>
                <w:w w:val="105"/>
                <w:sz w:val="12"/>
              </w:rPr>
              <w:t xml:space="preserve"> </w:t>
            </w:r>
            <w:r>
              <w:rPr>
                <w:b/>
                <w:w w:val="105"/>
                <w:sz w:val="12"/>
              </w:rPr>
              <w:t>human</w:t>
            </w:r>
            <w:r>
              <w:rPr>
                <w:b/>
                <w:spacing w:val="-2"/>
                <w:w w:val="105"/>
                <w:sz w:val="12"/>
              </w:rPr>
              <w:t xml:space="preserve"> </w:t>
            </w:r>
            <w:r>
              <w:rPr>
                <w:b/>
                <w:w w:val="105"/>
                <w:sz w:val="12"/>
              </w:rPr>
              <w:t>rights</w:t>
            </w:r>
            <w:r>
              <w:rPr>
                <w:b/>
                <w:spacing w:val="-1"/>
                <w:w w:val="105"/>
                <w:sz w:val="12"/>
              </w:rPr>
              <w:t xml:space="preserve"> </w:t>
            </w:r>
            <w:r>
              <w:rPr>
                <w:b/>
                <w:w w:val="105"/>
                <w:sz w:val="12"/>
              </w:rPr>
              <w:t>systems</w:t>
            </w:r>
            <w:r>
              <w:rPr>
                <w:b/>
                <w:spacing w:val="-1"/>
                <w:w w:val="105"/>
                <w:sz w:val="12"/>
              </w:rPr>
              <w:t xml:space="preserve"> </w:t>
            </w:r>
            <w:r>
              <w:rPr>
                <w:b/>
                <w:w w:val="105"/>
                <w:sz w:val="12"/>
              </w:rPr>
              <w:t>are strengthened</w:t>
            </w:r>
            <w:r>
              <w:rPr>
                <w:b/>
                <w:spacing w:val="-2"/>
                <w:w w:val="105"/>
                <w:sz w:val="12"/>
              </w:rPr>
              <w:t xml:space="preserve"> </w:t>
            </w:r>
            <w:r>
              <w:rPr>
                <w:b/>
                <w:w w:val="105"/>
                <w:sz w:val="12"/>
              </w:rPr>
              <w:t>and</w:t>
            </w:r>
            <w:r>
              <w:rPr>
                <w:b/>
                <w:spacing w:val="-2"/>
                <w:w w:val="105"/>
                <w:sz w:val="12"/>
              </w:rPr>
              <w:t xml:space="preserve"> </w:t>
            </w:r>
            <w:r>
              <w:rPr>
                <w:b/>
                <w:w w:val="105"/>
                <w:sz w:val="12"/>
              </w:rPr>
              <w:t>made more effective in</w:t>
            </w:r>
            <w:r>
              <w:rPr>
                <w:b/>
                <w:spacing w:val="-2"/>
                <w:w w:val="105"/>
                <w:sz w:val="12"/>
              </w:rPr>
              <w:t xml:space="preserve"> </w:t>
            </w:r>
            <w:r>
              <w:rPr>
                <w:b/>
                <w:w w:val="105"/>
                <w:sz w:val="12"/>
              </w:rPr>
              <w:t>promoting</w:t>
            </w:r>
            <w:r>
              <w:rPr>
                <w:b/>
                <w:spacing w:val="-1"/>
                <w:w w:val="105"/>
                <w:sz w:val="12"/>
              </w:rPr>
              <w:t xml:space="preserve"> </w:t>
            </w:r>
            <w:r>
              <w:rPr>
                <w:b/>
                <w:w w:val="105"/>
                <w:sz w:val="12"/>
              </w:rPr>
              <w:t>and</w:t>
            </w:r>
            <w:r>
              <w:rPr>
                <w:b/>
                <w:spacing w:val="-2"/>
                <w:w w:val="105"/>
                <w:sz w:val="12"/>
              </w:rPr>
              <w:t xml:space="preserve"> </w:t>
            </w:r>
            <w:r>
              <w:rPr>
                <w:b/>
                <w:w w:val="105"/>
                <w:sz w:val="12"/>
              </w:rPr>
              <w:t>protecting</w:t>
            </w:r>
            <w:r>
              <w:rPr>
                <w:b/>
                <w:spacing w:val="-1"/>
                <w:w w:val="105"/>
                <w:sz w:val="12"/>
              </w:rPr>
              <w:t xml:space="preserve"> </w:t>
            </w:r>
            <w:r>
              <w:rPr>
                <w:b/>
                <w:w w:val="105"/>
                <w:sz w:val="12"/>
              </w:rPr>
              <w:t>human</w:t>
            </w:r>
            <w:r>
              <w:rPr>
                <w:b/>
                <w:spacing w:val="-3"/>
                <w:w w:val="105"/>
                <w:sz w:val="12"/>
              </w:rPr>
              <w:t xml:space="preserve"> </w:t>
            </w:r>
            <w:r>
              <w:rPr>
                <w:b/>
                <w:w w:val="105"/>
                <w:sz w:val="12"/>
              </w:rPr>
              <w:t>rights.</w:t>
            </w:r>
          </w:p>
        </w:tc>
        <w:tc>
          <w:tcPr>
            <w:tcW w:w="894" w:type="dxa"/>
            <w:tcBorders>
              <w:top w:val="single" w:sz="6" w:space="0" w:color="000000"/>
              <w:left w:val="single" w:sz="6" w:space="0" w:color="000000"/>
              <w:bottom w:val="single" w:sz="6" w:space="0" w:color="000000"/>
              <w:right w:val="single" w:sz="6" w:space="0" w:color="000000"/>
            </w:tcBorders>
          </w:tcPr>
          <w:p w14:paraId="53DDA286" w14:textId="77777777" w:rsidR="00F07870" w:rsidRDefault="00F07870" w:rsidP="00296A4A">
            <w:pPr>
              <w:pStyle w:val="TableParagraph"/>
              <w:rPr>
                <w:rFonts w:ascii="Times New Roman"/>
                <w:sz w:val="8"/>
              </w:rPr>
            </w:pPr>
          </w:p>
        </w:tc>
        <w:tc>
          <w:tcPr>
            <w:tcW w:w="2623" w:type="dxa"/>
            <w:tcBorders>
              <w:top w:val="single" w:sz="6" w:space="0" w:color="000000"/>
              <w:left w:val="single" w:sz="6" w:space="0" w:color="000000"/>
              <w:bottom w:val="single" w:sz="6" w:space="0" w:color="000000"/>
              <w:right w:val="single" w:sz="6" w:space="0" w:color="000000"/>
            </w:tcBorders>
          </w:tcPr>
          <w:p w14:paraId="78B0D5A1" w14:textId="77777777" w:rsidR="00F07870" w:rsidRDefault="00F07870" w:rsidP="00296A4A">
            <w:pPr>
              <w:pStyle w:val="TableParagraph"/>
              <w:rPr>
                <w:rFonts w:ascii="Times New Roman"/>
                <w:sz w:val="8"/>
              </w:rPr>
            </w:pPr>
          </w:p>
        </w:tc>
      </w:tr>
      <w:tr w:rsidR="00F07870" w14:paraId="4B83F10D" w14:textId="77777777" w:rsidTr="00296A4A">
        <w:trPr>
          <w:trHeight w:val="1019"/>
        </w:trPr>
        <w:tc>
          <w:tcPr>
            <w:tcW w:w="293" w:type="dxa"/>
            <w:tcBorders>
              <w:top w:val="single" w:sz="6" w:space="0" w:color="000000"/>
              <w:left w:val="single" w:sz="6" w:space="0" w:color="000000"/>
              <w:bottom w:val="single" w:sz="6" w:space="0" w:color="000000"/>
              <w:right w:val="single" w:sz="6" w:space="0" w:color="000000"/>
            </w:tcBorders>
          </w:tcPr>
          <w:p w14:paraId="3309913E" w14:textId="77777777" w:rsidR="00F07870" w:rsidRDefault="00F07870" w:rsidP="00296A4A">
            <w:pPr>
              <w:pStyle w:val="TableParagraph"/>
              <w:rPr>
                <w:rFonts w:ascii="Times New Roman"/>
                <w:sz w:val="12"/>
              </w:rPr>
            </w:pPr>
          </w:p>
        </w:tc>
        <w:tc>
          <w:tcPr>
            <w:tcW w:w="1882" w:type="dxa"/>
            <w:tcBorders>
              <w:top w:val="single" w:sz="6" w:space="0" w:color="000000"/>
              <w:left w:val="single" w:sz="6" w:space="0" w:color="000000"/>
              <w:bottom w:val="single" w:sz="6" w:space="0" w:color="000000"/>
              <w:right w:val="single" w:sz="6" w:space="0" w:color="000000"/>
            </w:tcBorders>
          </w:tcPr>
          <w:p w14:paraId="1115C18E" w14:textId="77777777" w:rsidR="00F07870" w:rsidRDefault="00F07870" w:rsidP="00296A4A">
            <w:pPr>
              <w:pStyle w:val="TableParagraph"/>
              <w:spacing w:line="168" w:lineRule="exact"/>
              <w:ind w:left="34" w:right="275"/>
              <w:rPr>
                <w:sz w:val="12"/>
              </w:rPr>
            </w:pPr>
            <w:r>
              <w:rPr>
                <w:color w:val="44536A"/>
                <w:w w:val="105"/>
                <w:sz w:val="12"/>
              </w:rPr>
              <w:t>4.1 Number</w:t>
            </w:r>
            <w:r>
              <w:rPr>
                <w:color w:val="44536A"/>
                <w:spacing w:val="-1"/>
                <w:w w:val="105"/>
                <w:sz w:val="12"/>
              </w:rPr>
              <w:t xml:space="preserve"> </w:t>
            </w:r>
            <w:r>
              <w:rPr>
                <w:color w:val="44536A"/>
                <w:w w:val="105"/>
                <w:sz w:val="12"/>
              </w:rPr>
              <w:t>of contexts</w:t>
            </w:r>
            <w:r>
              <w:rPr>
                <w:color w:val="44536A"/>
                <w:spacing w:val="1"/>
                <w:w w:val="105"/>
                <w:sz w:val="12"/>
              </w:rPr>
              <w:t xml:space="preserve"> </w:t>
            </w:r>
            <w:r>
              <w:rPr>
                <w:color w:val="44536A"/>
                <w:w w:val="105"/>
                <w:sz w:val="12"/>
              </w:rPr>
              <w:t>with</w:t>
            </w:r>
            <w:r>
              <w:rPr>
                <w:color w:val="44536A"/>
                <w:spacing w:val="1"/>
                <w:w w:val="105"/>
                <w:sz w:val="12"/>
              </w:rPr>
              <w:t xml:space="preserve"> </w:t>
            </w:r>
            <w:r>
              <w:rPr>
                <w:color w:val="44536A"/>
                <w:w w:val="105"/>
                <w:sz w:val="12"/>
              </w:rPr>
              <w:t>strengthened operational</w:t>
            </w:r>
            <w:r>
              <w:rPr>
                <w:color w:val="44536A"/>
                <w:spacing w:val="1"/>
                <w:w w:val="105"/>
                <w:sz w:val="12"/>
              </w:rPr>
              <w:t xml:space="preserve"> </w:t>
            </w:r>
            <w:r>
              <w:rPr>
                <w:color w:val="44536A"/>
                <w:w w:val="105"/>
                <w:sz w:val="12"/>
              </w:rPr>
              <w:t>institutions</w:t>
            </w:r>
            <w:r>
              <w:rPr>
                <w:color w:val="44536A"/>
                <w:spacing w:val="1"/>
                <w:w w:val="105"/>
                <w:sz w:val="12"/>
              </w:rPr>
              <w:t xml:space="preserve"> </w:t>
            </w:r>
            <w:r>
              <w:rPr>
                <w:color w:val="44536A"/>
                <w:w w:val="105"/>
                <w:sz w:val="12"/>
              </w:rPr>
              <w:t>supporting the</w:t>
            </w:r>
            <w:r>
              <w:rPr>
                <w:color w:val="44536A"/>
                <w:spacing w:val="1"/>
                <w:w w:val="105"/>
                <w:sz w:val="12"/>
              </w:rPr>
              <w:t xml:space="preserve"> </w:t>
            </w:r>
            <w:r>
              <w:rPr>
                <w:color w:val="44536A"/>
                <w:w w:val="105"/>
                <w:sz w:val="12"/>
              </w:rPr>
              <w:t>fulfillment of nationally and</w:t>
            </w:r>
            <w:r>
              <w:rPr>
                <w:color w:val="44536A"/>
                <w:spacing w:val="1"/>
                <w:w w:val="105"/>
                <w:sz w:val="12"/>
              </w:rPr>
              <w:t xml:space="preserve"> </w:t>
            </w:r>
            <w:r>
              <w:rPr>
                <w:color w:val="44536A"/>
                <w:w w:val="105"/>
                <w:sz w:val="12"/>
              </w:rPr>
              <w:t>internationally ratified human</w:t>
            </w:r>
            <w:r>
              <w:rPr>
                <w:color w:val="44536A"/>
                <w:spacing w:val="-26"/>
                <w:w w:val="105"/>
                <w:sz w:val="12"/>
              </w:rPr>
              <w:t xml:space="preserve"> </w:t>
            </w:r>
            <w:r>
              <w:rPr>
                <w:color w:val="44536A"/>
                <w:w w:val="105"/>
                <w:sz w:val="12"/>
              </w:rPr>
              <w:t>rights obligations</w:t>
            </w:r>
          </w:p>
        </w:tc>
        <w:tc>
          <w:tcPr>
            <w:tcW w:w="662" w:type="dxa"/>
            <w:tcBorders>
              <w:top w:val="single" w:sz="6" w:space="0" w:color="000000"/>
              <w:left w:val="single" w:sz="6" w:space="0" w:color="000000"/>
              <w:bottom w:val="single" w:sz="6" w:space="0" w:color="000000"/>
              <w:right w:val="single" w:sz="6" w:space="0" w:color="000000"/>
            </w:tcBorders>
            <w:shd w:val="clear" w:color="auto" w:fill="FFCCFF"/>
          </w:tcPr>
          <w:p w14:paraId="0AAF29C0" w14:textId="77777777" w:rsidR="00F07870" w:rsidRDefault="00F07870" w:rsidP="00296A4A">
            <w:pPr>
              <w:pStyle w:val="TableParagraph"/>
              <w:rPr>
                <w:rFonts w:ascii="Times New Roman"/>
                <w:sz w:val="12"/>
              </w:rPr>
            </w:pPr>
          </w:p>
          <w:p w14:paraId="7CE150F6" w14:textId="77777777" w:rsidR="00F07870" w:rsidRDefault="00F07870" w:rsidP="00296A4A">
            <w:pPr>
              <w:pStyle w:val="TableParagraph"/>
              <w:rPr>
                <w:rFonts w:ascii="Times New Roman"/>
                <w:sz w:val="12"/>
              </w:rPr>
            </w:pPr>
          </w:p>
          <w:p w14:paraId="6AEBDFA1" w14:textId="77777777" w:rsidR="00F07870" w:rsidRDefault="00F07870" w:rsidP="00296A4A">
            <w:pPr>
              <w:pStyle w:val="TableParagraph"/>
              <w:spacing w:before="4"/>
              <w:rPr>
                <w:rFonts w:ascii="Times New Roman"/>
                <w:sz w:val="14"/>
              </w:rPr>
            </w:pPr>
          </w:p>
          <w:p w14:paraId="75EF23D6" w14:textId="77777777" w:rsidR="00F07870" w:rsidRDefault="00F07870" w:rsidP="00296A4A">
            <w:pPr>
              <w:pStyle w:val="TableParagraph"/>
              <w:ind w:left="112" w:right="72"/>
              <w:jc w:val="center"/>
              <w:rPr>
                <w:sz w:val="12"/>
              </w:rPr>
            </w:pPr>
            <w:r>
              <w:rPr>
                <w:color w:val="44536A"/>
                <w:w w:val="105"/>
                <w:sz w:val="12"/>
              </w:rPr>
              <w:t>10</w:t>
            </w:r>
          </w:p>
        </w:tc>
        <w:tc>
          <w:tcPr>
            <w:tcW w:w="540" w:type="dxa"/>
            <w:tcBorders>
              <w:top w:val="single" w:sz="6" w:space="0" w:color="000000"/>
              <w:left w:val="single" w:sz="6" w:space="0" w:color="000000"/>
              <w:bottom w:val="single" w:sz="6" w:space="0" w:color="000000"/>
              <w:right w:val="single" w:sz="6" w:space="0" w:color="000000"/>
            </w:tcBorders>
            <w:shd w:val="clear" w:color="auto" w:fill="FFCCFF"/>
          </w:tcPr>
          <w:p w14:paraId="723ECEC9" w14:textId="77777777" w:rsidR="00F07870" w:rsidRDefault="00F07870" w:rsidP="00296A4A">
            <w:pPr>
              <w:pStyle w:val="TableParagraph"/>
              <w:rPr>
                <w:rFonts w:ascii="Times New Roman"/>
                <w:sz w:val="12"/>
              </w:rPr>
            </w:pPr>
          </w:p>
          <w:p w14:paraId="6E8FF392" w14:textId="77777777" w:rsidR="00F07870" w:rsidRDefault="00F07870" w:rsidP="00296A4A">
            <w:pPr>
              <w:pStyle w:val="TableParagraph"/>
              <w:rPr>
                <w:rFonts w:ascii="Times New Roman"/>
                <w:sz w:val="12"/>
              </w:rPr>
            </w:pPr>
          </w:p>
          <w:p w14:paraId="2380204D" w14:textId="77777777" w:rsidR="00F07870" w:rsidRDefault="00F07870" w:rsidP="00296A4A">
            <w:pPr>
              <w:pStyle w:val="TableParagraph"/>
              <w:spacing w:before="4"/>
              <w:rPr>
                <w:rFonts w:ascii="Times New Roman"/>
                <w:sz w:val="14"/>
              </w:rPr>
            </w:pPr>
          </w:p>
          <w:p w14:paraId="0563F1FC" w14:textId="77777777" w:rsidR="00F07870" w:rsidRDefault="00F07870" w:rsidP="00296A4A">
            <w:pPr>
              <w:pStyle w:val="TableParagraph"/>
              <w:ind w:left="133" w:right="90"/>
              <w:jc w:val="center"/>
              <w:rPr>
                <w:sz w:val="12"/>
              </w:rPr>
            </w:pPr>
            <w:r>
              <w:rPr>
                <w:color w:val="44536A"/>
                <w:w w:val="105"/>
                <w:sz w:val="12"/>
              </w:rPr>
              <w:t>2015</w:t>
            </w:r>
          </w:p>
        </w:tc>
        <w:tc>
          <w:tcPr>
            <w:tcW w:w="713" w:type="dxa"/>
            <w:tcBorders>
              <w:top w:val="single" w:sz="6" w:space="0" w:color="000000"/>
              <w:left w:val="single" w:sz="6" w:space="0" w:color="000000"/>
              <w:bottom w:val="single" w:sz="6" w:space="0" w:color="000000"/>
              <w:right w:val="single" w:sz="6" w:space="0" w:color="000000"/>
            </w:tcBorders>
            <w:shd w:val="clear" w:color="auto" w:fill="FFFF00"/>
          </w:tcPr>
          <w:p w14:paraId="6646F303" w14:textId="77777777" w:rsidR="00F07870" w:rsidRDefault="00F07870" w:rsidP="00296A4A">
            <w:pPr>
              <w:pStyle w:val="TableParagraph"/>
              <w:rPr>
                <w:rFonts w:ascii="Times New Roman"/>
                <w:sz w:val="12"/>
              </w:rPr>
            </w:pPr>
          </w:p>
          <w:p w14:paraId="4AE5A935" w14:textId="77777777" w:rsidR="00F07870" w:rsidRDefault="00F07870" w:rsidP="00296A4A">
            <w:pPr>
              <w:pStyle w:val="TableParagraph"/>
              <w:rPr>
                <w:rFonts w:ascii="Times New Roman"/>
                <w:sz w:val="12"/>
              </w:rPr>
            </w:pPr>
          </w:p>
          <w:p w14:paraId="67993E67" w14:textId="77777777" w:rsidR="00F07870" w:rsidRDefault="00F07870" w:rsidP="00296A4A">
            <w:pPr>
              <w:pStyle w:val="TableParagraph"/>
              <w:rPr>
                <w:rFonts w:ascii="Times New Roman"/>
                <w:sz w:val="12"/>
              </w:rPr>
            </w:pPr>
          </w:p>
          <w:p w14:paraId="7CFBE1B0" w14:textId="77777777" w:rsidR="00F07870" w:rsidRDefault="00F07870" w:rsidP="00296A4A">
            <w:pPr>
              <w:pStyle w:val="TableParagraph"/>
              <w:rPr>
                <w:rFonts w:ascii="Times New Roman"/>
                <w:sz w:val="12"/>
              </w:rPr>
            </w:pPr>
          </w:p>
          <w:p w14:paraId="660E08D5" w14:textId="77777777" w:rsidR="00F07870" w:rsidRDefault="00F07870" w:rsidP="00296A4A">
            <w:pPr>
              <w:pStyle w:val="TableParagraph"/>
              <w:rPr>
                <w:rFonts w:ascii="Times New Roman"/>
                <w:sz w:val="12"/>
              </w:rPr>
            </w:pPr>
          </w:p>
          <w:p w14:paraId="4375C2CC" w14:textId="77777777" w:rsidR="00F07870" w:rsidRDefault="00F07870" w:rsidP="00296A4A">
            <w:pPr>
              <w:pStyle w:val="TableParagraph"/>
              <w:spacing w:before="10"/>
              <w:rPr>
                <w:rFonts w:ascii="Times New Roman"/>
                <w:sz w:val="14"/>
              </w:rPr>
            </w:pPr>
          </w:p>
          <w:p w14:paraId="17BEE9C6" w14:textId="77777777" w:rsidR="00F07870" w:rsidRDefault="00F07870" w:rsidP="00296A4A">
            <w:pPr>
              <w:pStyle w:val="TableParagraph"/>
              <w:spacing w:line="138" w:lineRule="exact"/>
              <w:ind w:left="261" w:right="220"/>
              <w:jc w:val="center"/>
              <w:rPr>
                <w:sz w:val="12"/>
              </w:rPr>
            </w:pPr>
            <w:r>
              <w:rPr>
                <w:w w:val="105"/>
                <w:sz w:val="12"/>
              </w:rPr>
              <w:t>n/a</w:t>
            </w:r>
          </w:p>
        </w:tc>
        <w:tc>
          <w:tcPr>
            <w:tcW w:w="571" w:type="dxa"/>
            <w:tcBorders>
              <w:top w:val="single" w:sz="6" w:space="0" w:color="000000"/>
              <w:left w:val="single" w:sz="6" w:space="0" w:color="000000"/>
              <w:bottom w:val="single" w:sz="6" w:space="0" w:color="000000"/>
              <w:right w:val="single" w:sz="6" w:space="0" w:color="000000"/>
            </w:tcBorders>
            <w:shd w:val="clear" w:color="auto" w:fill="FFFF00"/>
          </w:tcPr>
          <w:p w14:paraId="121B065B" w14:textId="77777777" w:rsidR="00F07870" w:rsidRDefault="00F07870" w:rsidP="00296A4A">
            <w:pPr>
              <w:pStyle w:val="TableParagraph"/>
              <w:rPr>
                <w:rFonts w:ascii="Times New Roman"/>
                <w:sz w:val="12"/>
              </w:rPr>
            </w:pPr>
          </w:p>
          <w:p w14:paraId="31CF9818" w14:textId="77777777" w:rsidR="00F07870" w:rsidRDefault="00F07870" w:rsidP="00296A4A">
            <w:pPr>
              <w:pStyle w:val="TableParagraph"/>
              <w:rPr>
                <w:rFonts w:ascii="Times New Roman"/>
                <w:sz w:val="12"/>
              </w:rPr>
            </w:pPr>
          </w:p>
          <w:p w14:paraId="040A8BB1" w14:textId="77777777" w:rsidR="00F07870" w:rsidRDefault="00F07870" w:rsidP="00296A4A">
            <w:pPr>
              <w:pStyle w:val="TableParagraph"/>
              <w:spacing w:before="4"/>
              <w:rPr>
                <w:rFonts w:ascii="Times New Roman"/>
                <w:sz w:val="14"/>
              </w:rPr>
            </w:pPr>
          </w:p>
          <w:p w14:paraId="239DB6E8" w14:textId="77777777" w:rsidR="00F07870" w:rsidRDefault="00F07870" w:rsidP="00296A4A">
            <w:pPr>
              <w:pStyle w:val="TableParagraph"/>
              <w:ind w:left="70" w:right="28"/>
              <w:jc w:val="center"/>
              <w:rPr>
                <w:sz w:val="12"/>
              </w:rPr>
            </w:pPr>
            <w:r>
              <w:rPr>
                <w:color w:val="44536A"/>
                <w:w w:val="105"/>
                <w:sz w:val="12"/>
              </w:rPr>
              <w:t>12</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747E9F32" w14:textId="77777777" w:rsidR="00F07870" w:rsidRDefault="00F07870" w:rsidP="00296A4A">
            <w:pPr>
              <w:pStyle w:val="TableParagraph"/>
              <w:rPr>
                <w:rFonts w:ascii="Times New Roman"/>
                <w:sz w:val="12"/>
              </w:rPr>
            </w:pPr>
          </w:p>
          <w:p w14:paraId="38AE34DB" w14:textId="77777777" w:rsidR="00F07870" w:rsidRDefault="00F07870" w:rsidP="00296A4A">
            <w:pPr>
              <w:pStyle w:val="TableParagraph"/>
              <w:rPr>
                <w:rFonts w:ascii="Times New Roman"/>
                <w:sz w:val="12"/>
              </w:rPr>
            </w:pPr>
          </w:p>
          <w:p w14:paraId="0E2E7A6C" w14:textId="77777777" w:rsidR="00F07870" w:rsidRDefault="00F07870" w:rsidP="00296A4A">
            <w:pPr>
              <w:pStyle w:val="TableParagraph"/>
              <w:spacing w:before="4"/>
              <w:rPr>
                <w:rFonts w:ascii="Times New Roman"/>
                <w:sz w:val="14"/>
              </w:rPr>
            </w:pPr>
          </w:p>
          <w:p w14:paraId="281B31F1" w14:textId="77777777" w:rsidR="00F07870" w:rsidRDefault="00F07870" w:rsidP="00296A4A">
            <w:pPr>
              <w:pStyle w:val="TableParagraph"/>
              <w:ind w:left="70" w:right="28"/>
              <w:jc w:val="center"/>
              <w:rPr>
                <w:sz w:val="12"/>
              </w:rPr>
            </w:pPr>
            <w:r>
              <w:rPr>
                <w:color w:val="44536A"/>
                <w:w w:val="105"/>
                <w:sz w:val="12"/>
              </w:rPr>
              <w:t>16</w:t>
            </w:r>
          </w:p>
        </w:tc>
        <w:tc>
          <w:tcPr>
            <w:tcW w:w="571" w:type="dxa"/>
            <w:tcBorders>
              <w:top w:val="single" w:sz="6" w:space="0" w:color="000000"/>
              <w:left w:val="single" w:sz="6" w:space="0" w:color="000000"/>
              <w:bottom w:val="single" w:sz="6" w:space="0" w:color="000000"/>
              <w:right w:val="single" w:sz="6" w:space="0" w:color="000000"/>
            </w:tcBorders>
            <w:shd w:val="clear" w:color="auto" w:fill="F4AF84"/>
          </w:tcPr>
          <w:p w14:paraId="3657A093" w14:textId="77777777" w:rsidR="00F07870" w:rsidRDefault="00F07870" w:rsidP="00296A4A">
            <w:pPr>
              <w:pStyle w:val="TableParagraph"/>
              <w:rPr>
                <w:rFonts w:ascii="Times New Roman"/>
                <w:sz w:val="12"/>
              </w:rPr>
            </w:pPr>
          </w:p>
          <w:p w14:paraId="5AB7FFD1" w14:textId="77777777" w:rsidR="00F07870" w:rsidRDefault="00F07870" w:rsidP="00296A4A">
            <w:pPr>
              <w:pStyle w:val="TableParagraph"/>
              <w:rPr>
                <w:rFonts w:ascii="Times New Roman"/>
                <w:sz w:val="12"/>
              </w:rPr>
            </w:pPr>
          </w:p>
          <w:p w14:paraId="5FDDDBA7" w14:textId="77777777" w:rsidR="00F07870" w:rsidRDefault="00F07870" w:rsidP="00296A4A">
            <w:pPr>
              <w:pStyle w:val="TableParagraph"/>
              <w:spacing w:before="4"/>
              <w:rPr>
                <w:rFonts w:ascii="Times New Roman"/>
                <w:sz w:val="14"/>
              </w:rPr>
            </w:pPr>
          </w:p>
          <w:p w14:paraId="5D4070A1" w14:textId="77777777" w:rsidR="00F07870" w:rsidRDefault="00F07870" w:rsidP="00296A4A">
            <w:pPr>
              <w:pStyle w:val="TableParagraph"/>
              <w:ind w:left="71" w:right="28"/>
              <w:jc w:val="center"/>
              <w:rPr>
                <w:sz w:val="12"/>
              </w:rPr>
            </w:pPr>
            <w:r>
              <w:rPr>
                <w:color w:val="44536A"/>
                <w:w w:val="105"/>
                <w:sz w:val="12"/>
              </w:rPr>
              <w:t>18</w:t>
            </w:r>
          </w:p>
        </w:tc>
        <w:tc>
          <w:tcPr>
            <w:tcW w:w="768" w:type="dxa"/>
            <w:tcBorders>
              <w:top w:val="single" w:sz="6" w:space="0" w:color="000000"/>
              <w:left w:val="single" w:sz="6" w:space="0" w:color="000000"/>
              <w:bottom w:val="single" w:sz="6" w:space="0" w:color="000000"/>
              <w:right w:val="single" w:sz="6" w:space="0" w:color="000000"/>
            </w:tcBorders>
            <w:shd w:val="clear" w:color="auto" w:fill="B4C5E7"/>
          </w:tcPr>
          <w:p w14:paraId="0C2DBDF6" w14:textId="77777777" w:rsidR="00F07870" w:rsidRDefault="00F07870" w:rsidP="00296A4A">
            <w:pPr>
              <w:pStyle w:val="TableParagraph"/>
              <w:rPr>
                <w:rFonts w:ascii="Times New Roman"/>
                <w:sz w:val="12"/>
              </w:rPr>
            </w:pPr>
          </w:p>
          <w:p w14:paraId="51DD484E" w14:textId="77777777" w:rsidR="00F07870" w:rsidRDefault="00F07870" w:rsidP="00296A4A">
            <w:pPr>
              <w:pStyle w:val="TableParagraph"/>
              <w:rPr>
                <w:rFonts w:ascii="Times New Roman"/>
                <w:sz w:val="12"/>
              </w:rPr>
            </w:pPr>
          </w:p>
          <w:p w14:paraId="312BAC2F" w14:textId="77777777" w:rsidR="00F07870" w:rsidRDefault="00F07870" w:rsidP="00296A4A">
            <w:pPr>
              <w:pStyle w:val="TableParagraph"/>
              <w:spacing w:before="4"/>
              <w:rPr>
                <w:rFonts w:ascii="Times New Roman"/>
                <w:sz w:val="14"/>
              </w:rPr>
            </w:pPr>
          </w:p>
          <w:p w14:paraId="7379445D" w14:textId="77777777" w:rsidR="00F07870" w:rsidRDefault="00F07870" w:rsidP="00296A4A">
            <w:pPr>
              <w:pStyle w:val="TableParagraph"/>
              <w:ind w:left="45"/>
              <w:jc w:val="center"/>
              <w:rPr>
                <w:sz w:val="12"/>
              </w:rPr>
            </w:pPr>
            <w:r>
              <w:rPr>
                <w:color w:val="44536A"/>
                <w:w w:val="106"/>
                <w:sz w:val="12"/>
              </w:rPr>
              <w:t>9</w:t>
            </w:r>
          </w:p>
        </w:tc>
        <w:tc>
          <w:tcPr>
            <w:tcW w:w="737" w:type="dxa"/>
            <w:tcBorders>
              <w:top w:val="single" w:sz="6" w:space="0" w:color="000000"/>
              <w:left w:val="single" w:sz="6" w:space="0" w:color="000000"/>
              <w:bottom w:val="single" w:sz="6" w:space="0" w:color="000000"/>
              <w:right w:val="single" w:sz="6" w:space="0" w:color="000000"/>
            </w:tcBorders>
            <w:shd w:val="clear" w:color="auto" w:fill="B4C5E7"/>
          </w:tcPr>
          <w:p w14:paraId="0E4093F5" w14:textId="77777777" w:rsidR="00F07870" w:rsidRDefault="00F07870" w:rsidP="00296A4A">
            <w:pPr>
              <w:pStyle w:val="TableParagraph"/>
              <w:rPr>
                <w:rFonts w:ascii="Times New Roman"/>
                <w:sz w:val="12"/>
              </w:rPr>
            </w:pPr>
          </w:p>
          <w:p w14:paraId="5E78CE55" w14:textId="77777777" w:rsidR="00F07870" w:rsidRDefault="00F07870" w:rsidP="00296A4A">
            <w:pPr>
              <w:pStyle w:val="TableParagraph"/>
              <w:rPr>
                <w:rFonts w:ascii="Times New Roman"/>
                <w:sz w:val="12"/>
              </w:rPr>
            </w:pPr>
          </w:p>
          <w:p w14:paraId="5B9072C9" w14:textId="77777777" w:rsidR="00F07870" w:rsidRDefault="00F07870" w:rsidP="00296A4A">
            <w:pPr>
              <w:pStyle w:val="TableParagraph"/>
              <w:spacing w:before="4"/>
              <w:rPr>
                <w:rFonts w:ascii="Times New Roman"/>
                <w:sz w:val="14"/>
              </w:rPr>
            </w:pPr>
          </w:p>
          <w:p w14:paraId="4F90760A" w14:textId="77777777" w:rsidR="00F07870" w:rsidRDefault="00F07870" w:rsidP="00296A4A">
            <w:pPr>
              <w:pStyle w:val="TableParagraph"/>
              <w:ind w:left="76" w:right="31"/>
              <w:jc w:val="center"/>
              <w:rPr>
                <w:sz w:val="12"/>
              </w:rPr>
            </w:pPr>
            <w:r>
              <w:rPr>
                <w:color w:val="44536A"/>
                <w:w w:val="105"/>
                <w:sz w:val="12"/>
              </w:rPr>
              <w:t>24</w:t>
            </w:r>
          </w:p>
        </w:tc>
        <w:tc>
          <w:tcPr>
            <w:tcW w:w="809" w:type="dxa"/>
            <w:tcBorders>
              <w:top w:val="single" w:sz="6" w:space="0" w:color="000000"/>
              <w:left w:val="single" w:sz="6" w:space="0" w:color="000000"/>
              <w:bottom w:val="single" w:sz="6" w:space="0" w:color="000000"/>
              <w:right w:val="single" w:sz="6" w:space="0" w:color="000000"/>
            </w:tcBorders>
            <w:shd w:val="clear" w:color="auto" w:fill="C5DFB4"/>
          </w:tcPr>
          <w:p w14:paraId="740D427C" w14:textId="77777777" w:rsidR="00F07870" w:rsidRDefault="00F07870" w:rsidP="00296A4A">
            <w:pPr>
              <w:pStyle w:val="TableParagraph"/>
              <w:rPr>
                <w:rFonts w:ascii="Times New Roman"/>
                <w:sz w:val="12"/>
              </w:rPr>
            </w:pPr>
          </w:p>
          <w:p w14:paraId="3BBC7B9E" w14:textId="77777777" w:rsidR="00F07870" w:rsidRDefault="00F07870" w:rsidP="00296A4A">
            <w:pPr>
              <w:pStyle w:val="TableParagraph"/>
              <w:rPr>
                <w:rFonts w:ascii="Times New Roman"/>
                <w:sz w:val="12"/>
              </w:rPr>
            </w:pPr>
          </w:p>
          <w:p w14:paraId="48DF3DE1" w14:textId="77777777" w:rsidR="00F07870" w:rsidRDefault="00F07870" w:rsidP="00296A4A">
            <w:pPr>
              <w:pStyle w:val="TableParagraph"/>
              <w:spacing w:before="4"/>
              <w:rPr>
                <w:rFonts w:ascii="Times New Roman"/>
                <w:sz w:val="14"/>
              </w:rPr>
            </w:pPr>
          </w:p>
          <w:p w14:paraId="3755C6A4" w14:textId="77777777" w:rsidR="00F07870" w:rsidRDefault="00F07870" w:rsidP="00296A4A">
            <w:pPr>
              <w:pStyle w:val="TableParagraph"/>
              <w:ind w:left="333" w:right="288"/>
              <w:jc w:val="center"/>
              <w:rPr>
                <w:sz w:val="12"/>
              </w:rPr>
            </w:pPr>
            <w:r>
              <w:rPr>
                <w:color w:val="44536A"/>
                <w:w w:val="105"/>
                <w:sz w:val="12"/>
              </w:rPr>
              <w:t>12</w:t>
            </w:r>
          </w:p>
        </w:tc>
        <w:tc>
          <w:tcPr>
            <w:tcW w:w="754" w:type="dxa"/>
            <w:tcBorders>
              <w:top w:val="single" w:sz="6" w:space="0" w:color="000000"/>
              <w:left w:val="single" w:sz="6" w:space="0" w:color="000000"/>
              <w:bottom w:val="single" w:sz="6" w:space="0" w:color="000000"/>
              <w:right w:val="single" w:sz="6" w:space="0" w:color="000000"/>
            </w:tcBorders>
            <w:shd w:val="clear" w:color="auto" w:fill="C5DFB4"/>
          </w:tcPr>
          <w:p w14:paraId="70B25C9D" w14:textId="77777777" w:rsidR="00F07870" w:rsidRDefault="00F07870" w:rsidP="00296A4A">
            <w:pPr>
              <w:pStyle w:val="TableParagraph"/>
              <w:rPr>
                <w:rFonts w:ascii="Times New Roman"/>
                <w:sz w:val="12"/>
              </w:rPr>
            </w:pPr>
          </w:p>
          <w:p w14:paraId="0597E77A" w14:textId="77777777" w:rsidR="00F07870" w:rsidRDefault="00F07870" w:rsidP="00296A4A">
            <w:pPr>
              <w:pStyle w:val="TableParagraph"/>
              <w:rPr>
                <w:rFonts w:ascii="Times New Roman"/>
                <w:sz w:val="12"/>
              </w:rPr>
            </w:pPr>
          </w:p>
          <w:p w14:paraId="2F97F14A" w14:textId="77777777" w:rsidR="00F07870" w:rsidRDefault="00F07870" w:rsidP="00296A4A">
            <w:pPr>
              <w:pStyle w:val="TableParagraph"/>
              <w:spacing w:before="4"/>
              <w:rPr>
                <w:rFonts w:ascii="Times New Roman"/>
                <w:sz w:val="14"/>
              </w:rPr>
            </w:pPr>
          </w:p>
          <w:p w14:paraId="73105FAC" w14:textId="77777777" w:rsidR="00F07870" w:rsidRDefault="00F07870" w:rsidP="00296A4A">
            <w:pPr>
              <w:pStyle w:val="TableParagraph"/>
              <w:ind w:left="79" w:right="37"/>
              <w:jc w:val="center"/>
              <w:rPr>
                <w:b/>
                <w:sz w:val="12"/>
              </w:rPr>
            </w:pPr>
            <w:r>
              <w:rPr>
                <w:b/>
                <w:color w:val="44536A"/>
                <w:w w:val="105"/>
                <w:sz w:val="12"/>
              </w:rPr>
              <w:t>24</w:t>
            </w:r>
          </w:p>
        </w:tc>
        <w:tc>
          <w:tcPr>
            <w:tcW w:w="1188" w:type="dxa"/>
            <w:tcBorders>
              <w:top w:val="single" w:sz="6" w:space="0" w:color="000000"/>
              <w:left w:val="single" w:sz="6" w:space="0" w:color="000000"/>
              <w:bottom w:val="single" w:sz="6" w:space="0" w:color="000000"/>
              <w:right w:val="single" w:sz="6" w:space="0" w:color="000000"/>
            </w:tcBorders>
            <w:shd w:val="clear" w:color="auto" w:fill="B1B1B1"/>
          </w:tcPr>
          <w:p w14:paraId="563347BD" w14:textId="77777777" w:rsidR="00F07870" w:rsidRDefault="00F07870" w:rsidP="00296A4A">
            <w:pPr>
              <w:pStyle w:val="TableParagraph"/>
              <w:rPr>
                <w:rFonts w:ascii="Times New Roman"/>
                <w:sz w:val="12"/>
              </w:rPr>
            </w:pPr>
          </w:p>
          <w:p w14:paraId="0853FA0D" w14:textId="77777777" w:rsidR="00F07870" w:rsidRDefault="00F07870" w:rsidP="00296A4A">
            <w:pPr>
              <w:pStyle w:val="TableParagraph"/>
              <w:spacing w:before="8"/>
              <w:rPr>
                <w:rFonts w:ascii="Times New Roman"/>
                <w:sz w:val="15"/>
              </w:rPr>
            </w:pPr>
          </w:p>
          <w:p w14:paraId="18AC76C7" w14:textId="77777777" w:rsidR="00F07870" w:rsidRDefault="00F07870" w:rsidP="00296A4A">
            <w:pPr>
              <w:pStyle w:val="TableParagraph"/>
              <w:spacing w:before="1" w:line="170" w:lineRule="atLeast"/>
              <w:ind w:left="66" w:right="20" w:firstLine="1"/>
              <w:jc w:val="center"/>
              <w:rPr>
                <w:sz w:val="12"/>
              </w:rPr>
            </w:pPr>
            <w:r>
              <w:rPr>
                <w:w w:val="105"/>
                <w:sz w:val="12"/>
              </w:rPr>
              <w:t>Significant increase</w:t>
            </w:r>
            <w:r>
              <w:rPr>
                <w:spacing w:val="1"/>
                <w:w w:val="105"/>
                <w:sz w:val="12"/>
              </w:rPr>
              <w:t xml:space="preserve"> </w:t>
            </w:r>
            <w:r>
              <w:rPr>
                <w:w w:val="105"/>
                <w:sz w:val="12"/>
              </w:rPr>
              <w:t>(2X baseline), 2019</w:t>
            </w:r>
            <w:r>
              <w:rPr>
                <w:spacing w:val="1"/>
                <w:w w:val="105"/>
                <w:sz w:val="12"/>
              </w:rPr>
              <w:t xml:space="preserve"> </w:t>
            </w:r>
            <w:r>
              <w:rPr>
                <w:w w:val="105"/>
                <w:sz w:val="12"/>
              </w:rPr>
              <w:t>target set lower than</w:t>
            </w:r>
            <w:r>
              <w:rPr>
                <w:spacing w:val="-26"/>
                <w:w w:val="105"/>
                <w:sz w:val="12"/>
              </w:rPr>
              <w:t xml:space="preserve"> </w:t>
            </w:r>
            <w:r>
              <w:rPr>
                <w:w w:val="105"/>
                <w:sz w:val="12"/>
              </w:rPr>
              <w:t>2018, but</w:t>
            </w:r>
            <w:r>
              <w:rPr>
                <w:spacing w:val="1"/>
                <w:w w:val="105"/>
                <w:sz w:val="12"/>
              </w:rPr>
              <w:t xml:space="preserve"> </w:t>
            </w:r>
            <w:r>
              <w:rPr>
                <w:w w:val="105"/>
                <w:sz w:val="12"/>
              </w:rPr>
              <w:t>exceeded</w:t>
            </w:r>
          </w:p>
        </w:tc>
        <w:tc>
          <w:tcPr>
            <w:tcW w:w="894" w:type="dxa"/>
            <w:tcBorders>
              <w:top w:val="single" w:sz="6" w:space="0" w:color="000000"/>
              <w:left w:val="single" w:sz="6" w:space="0" w:color="000000"/>
              <w:bottom w:val="single" w:sz="6" w:space="0" w:color="000000"/>
              <w:right w:val="single" w:sz="6" w:space="0" w:color="000000"/>
            </w:tcBorders>
          </w:tcPr>
          <w:p w14:paraId="2B5570A8" w14:textId="77777777" w:rsidR="00F07870" w:rsidRDefault="00F07870" w:rsidP="00296A4A">
            <w:pPr>
              <w:pStyle w:val="TableParagraph"/>
              <w:spacing w:before="5"/>
              <w:rPr>
                <w:rFonts w:ascii="Times New Roman"/>
                <w:sz w:val="16"/>
              </w:rPr>
            </w:pPr>
          </w:p>
          <w:p w14:paraId="07CFB7FF" w14:textId="77777777" w:rsidR="00F07870" w:rsidRDefault="00F07870" w:rsidP="00296A4A">
            <w:pPr>
              <w:pStyle w:val="TableParagraph"/>
              <w:spacing w:line="276" w:lineRule="auto"/>
              <w:ind w:left="35" w:right="114"/>
              <w:rPr>
                <w:sz w:val="12"/>
              </w:rPr>
            </w:pPr>
            <w:r>
              <w:rPr>
                <w:spacing w:val="-1"/>
                <w:w w:val="105"/>
                <w:sz w:val="12"/>
              </w:rPr>
              <w:t xml:space="preserve">IRRF </w:t>
            </w:r>
            <w:r>
              <w:rPr>
                <w:w w:val="105"/>
                <w:sz w:val="12"/>
              </w:rPr>
              <w:t>Indicator</w:t>
            </w:r>
            <w:r>
              <w:rPr>
                <w:spacing w:val="-26"/>
                <w:w w:val="105"/>
                <w:sz w:val="12"/>
              </w:rPr>
              <w:t xml:space="preserve"> </w:t>
            </w:r>
            <w:r>
              <w:rPr>
                <w:w w:val="105"/>
                <w:sz w:val="12"/>
              </w:rPr>
              <w:t>2.2.3.1</w:t>
            </w:r>
          </w:p>
          <w:p w14:paraId="46D278BE" w14:textId="77777777" w:rsidR="00F07870" w:rsidRDefault="00F07870" w:rsidP="00296A4A">
            <w:pPr>
              <w:pStyle w:val="TableParagraph"/>
              <w:spacing w:before="6"/>
              <w:rPr>
                <w:rFonts w:ascii="Times New Roman"/>
                <w:sz w:val="14"/>
              </w:rPr>
            </w:pPr>
          </w:p>
          <w:p w14:paraId="136EF954" w14:textId="77777777" w:rsidR="00F07870" w:rsidRDefault="00F07870" w:rsidP="00296A4A">
            <w:pPr>
              <w:pStyle w:val="TableParagraph"/>
              <w:ind w:left="35"/>
              <w:rPr>
                <w:sz w:val="12"/>
              </w:rPr>
            </w:pPr>
            <w:r>
              <w:rPr>
                <w:w w:val="105"/>
                <w:sz w:val="12"/>
              </w:rPr>
              <w:t>RoLSHR</w:t>
            </w:r>
          </w:p>
          <w:p w14:paraId="235FB900" w14:textId="77777777" w:rsidR="00F07870" w:rsidRDefault="00F07870" w:rsidP="00296A4A">
            <w:pPr>
              <w:pStyle w:val="TableParagraph"/>
              <w:spacing w:before="21" w:line="138" w:lineRule="exact"/>
              <w:ind w:left="35"/>
              <w:rPr>
                <w:sz w:val="12"/>
              </w:rPr>
            </w:pPr>
            <w:r>
              <w:rPr>
                <w:w w:val="105"/>
                <w:sz w:val="12"/>
              </w:rPr>
              <w:t>Reporting</w:t>
            </w:r>
          </w:p>
        </w:tc>
        <w:tc>
          <w:tcPr>
            <w:tcW w:w="2623" w:type="dxa"/>
            <w:tcBorders>
              <w:top w:val="single" w:sz="6" w:space="0" w:color="000000"/>
              <w:left w:val="single" w:sz="6" w:space="0" w:color="000000"/>
              <w:bottom w:val="single" w:sz="6" w:space="0" w:color="000000"/>
              <w:right w:val="single" w:sz="6" w:space="0" w:color="000000"/>
            </w:tcBorders>
          </w:tcPr>
          <w:p w14:paraId="2A48F24B" w14:textId="77777777" w:rsidR="00F07870" w:rsidRDefault="00F07870" w:rsidP="00296A4A">
            <w:pPr>
              <w:pStyle w:val="TableParagraph"/>
              <w:spacing w:line="168" w:lineRule="exact"/>
              <w:ind w:left="34" w:right="62"/>
              <w:rPr>
                <w:sz w:val="12"/>
              </w:rPr>
            </w:pPr>
            <w:r>
              <w:rPr>
                <w:w w:val="105"/>
                <w:sz w:val="12"/>
              </w:rPr>
              <w:t>IRRF Indicator 2.2.3.1 measures “Number of</w:t>
            </w:r>
            <w:r>
              <w:rPr>
                <w:spacing w:val="1"/>
                <w:w w:val="105"/>
                <w:sz w:val="12"/>
              </w:rPr>
              <w:t xml:space="preserve"> </w:t>
            </w:r>
            <w:r>
              <w:rPr>
                <w:w w:val="105"/>
                <w:sz w:val="12"/>
              </w:rPr>
              <w:t>additional</w:t>
            </w:r>
            <w:r>
              <w:rPr>
                <w:spacing w:val="-1"/>
                <w:w w:val="105"/>
                <w:sz w:val="12"/>
              </w:rPr>
              <w:t xml:space="preserve"> </w:t>
            </w:r>
            <w:r>
              <w:rPr>
                <w:w w:val="105"/>
                <w:sz w:val="12"/>
              </w:rPr>
              <w:t>contexts</w:t>
            </w:r>
            <w:r>
              <w:rPr>
                <w:spacing w:val="1"/>
                <w:w w:val="105"/>
                <w:sz w:val="12"/>
              </w:rPr>
              <w:t xml:space="preserve"> </w:t>
            </w:r>
            <w:r>
              <w:rPr>
                <w:w w:val="105"/>
                <w:sz w:val="12"/>
              </w:rPr>
              <w:t>with strengthened</w:t>
            </w:r>
            <w:r>
              <w:rPr>
                <w:spacing w:val="1"/>
                <w:w w:val="105"/>
                <w:sz w:val="12"/>
              </w:rPr>
              <w:t xml:space="preserve"> </w:t>
            </w:r>
            <w:r>
              <w:rPr>
                <w:w w:val="105"/>
                <w:sz w:val="12"/>
              </w:rPr>
              <w:t>institutions and systems</w:t>
            </w:r>
            <w:r>
              <w:rPr>
                <w:spacing w:val="1"/>
                <w:w w:val="105"/>
                <w:sz w:val="12"/>
              </w:rPr>
              <w:t xml:space="preserve"> </w:t>
            </w:r>
            <w:r>
              <w:rPr>
                <w:w w:val="105"/>
                <w:sz w:val="12"/>
              </w:rPr>
              <w:t>supporting fulfilment</w:t>
            </w:r>
            <w:r>
              <w:rPr>
                <w:spacing w:val="1"/>
                <w:w w:val="105"/>
                <w:sz w:val="12"/>
              </w:rPr>
              <w:t xml:space="preserve"> </w:t>
            </w:r>
            <w:r>
              <w:rPr>
                <w:w w:val="105"/>
                <w:sz w:val="12"/>
              </w:rPr>
              <w:t>of</w:t>
            </w:r>
            <w:r>
              <w:rPr>
                <w:spacing w:val="-26"/>
                <w:w w:val="105"/>
                <w:sz w:val="12"/>
              </w:rPr>
              <w:t xml:space="preserve"> </w:t>
            </w:r>
            <w:r>
              <w:rPr>
                <w:w w:val="105"/>
                <w:sz w:val="12"/>
              </w:rPr>
              <w:t>nationally and internationally ratified human</w:t>
            </w:r>
            <w:r>
              <w:rPr>
                <w:spacing w:val="1"/>
                <w:w w:val="105"/>
                <w:sz w:val="12"/>
              </w:rPr>
              <w:t xml:space="preserve"> </w:t>
            </w:r>
            <w:r>
              <w:rPr>
                <w:w w:val="105"/>
                <w:sz w:val="12"/>
              </w:rPr>
              <w:t>rights obligations: rule of law and justice, and</w:t>
            </w:r>
            <w:r>
              <w:rPr>
                <w:spacing w:val="1"/>
                <w:w w:val="105"/>
                <w:sz w:val="12"/>
              </w:rPr>
              <w:t xml:space="preserve"> </w:t>
            </w:r>
            <w:r>
              <w:rPr>
                <w:w w:val="105"/>
                <w:sz w:val="12"/>
              </w:rPr>
              <w:t>human</w:t>
            </w:r>
            <w:r>
              <w:rPr>
                <w:spacing w:val="-1"/>
                <w:w w:val="105"/>
                <w:sz w:val="12"/>
              </w:rPr>
              <w:t xml:space="preserve"> </w:t>
            </w:r>
            <w:r>
              <w:rPr>
                <w:w w:val="105"/>
                <w:sz w:val="12"/>
              </w:rPr>
              <w:t>rights”</w:t>
            </w:r>
          </w:p>
        </w:tc>
      </w:tr>
    </w:tbl>
    <w:p w14:paraId="45B4C33A" w14:textId="1FC35658" w:rsidR="00F07870" w:rsidRDefault="00F07870" w:rsidP="00F07870">
      <w:pPr>
        <w:rPr>
          <w:lang w:eastAsia="de-DE"/>
        </w:rPr>
      </w:pPr>
    </w:p>
    <w:p w14:paraId="0F6A4A93" w14:textId="2CDA6368" w:rsidR="00051257" w:rsidRDefault="00051257">
      <w:pPr>
        <w:rPr>
          <w:lang w:eastAsia="de-DE"/>
        </w:rPr>
      </w:pPr>
      <w:r>
        <w:rPr>
          <w:lang w:eastAsia="de-DE"/>
        </w:rPr>
        <w:br w:type="page"/>
      </w:r>
    </w:p>
    <w:p w14:paraId="7C6D9456" w14:textId="7B501169" w:rsidR="00051257" w:rsidRDefault="00051257" w:rsidP="00051257">
      <w:pPr>
        <w:pStyle w:val="Heading2"/>
        <w:rPr>
          <w:lang w:eastAsia="de-DE"/>
        </w:rPr>
      </w:pPr>
      <w:bookmarkStart w:id="47" w:name="_Ref70154474"/>
      <w:bookmarkStart w:id="48" w:name="_Toc71701905"/>
      <w:r>
        <w:rPr>
          <w:lang w:eastAsia="de-DE"/>
        </w:rPr>
        <w:t>Annex 5: Summary of ISSAT Evaluations</w:t>
      </w:r>
      <w:bookmarkEnd w:id="47"/>
      <w:bookmarkEnd w:id="48"/>
    </w:p>
    <w:p w14:paraId="5B5CFC05" w14:textId="77777777" w:rsidR="00051257" w:rsidRDefault="00051257" w:rsidP="00051257">
      <w:pPr>
        <w:autoSpaceDE w:val="0"/>
        <w:autoSpaceDN w:val="0"/>
        <w:adjustRightInd w:val="0"/>
        <w:spacing w:after="0" w:line="240" w:lineRule="auto"/>
        <w:rPr>
          <w:rFonts w:ascii="Arial" w:hAnsi="Arial" w:cs="Arial"/>
        </w:rPr>
      </w:pPr>
      <w:r w:rsidRPr="00CD7523">
        <w:rPr>
          <w:rFonts w:ascii="Arial" w:hAnsi="Arial" w:cs="Arial"/>
        </w:rPr>
        <w:t xml:space="preserve">ISSAT </w:t>
      </w:r>
      <w:r>
        <w:rPr>
          <w:rFonts w:ascii="Arial" w:hAnsi="Arial" w:cs="Arial"/>
        </w:rPr>
        <w:t xml:space="preserve">has </w:t>
      </w:r>
      <w:r w:rsidRPr="00CD7523">
        <w:rPr>
          <w:rFonts w:ascii="Arial" w:hAnsi="Arial" w:cs="Arial"/>
        </w:rPr>
        <w:t>support</w:t>
      </w:r>
      <w:r>
        <w:rPr>
          <w:rFonts w:ascii="Arial" w:hAnsi="Arial" w:cs="Arial"/>
        </w:rPr>
        <w:t>ed</w:t>
      </w:r>
      <w:r w:rsidRPr="00CD7523">
        <w:rPr>
          <w:rFonts w:ascii="Arial" w:hAnsi="Arial" w:cs="Arial"/>
        </w:rPr>
        <w:t xml:space="preserve"> the Global Programme to achieve its planned results by conducting a series of evaluations </w:t>
      </w:r>
      <w:r>
        <w:rPr>
          <w:rFonts w:ascii="Arial" w:hAnsi="Arial" w:cs="Arial"/>
        </w:rPr>
        <w:t>aimed at</w:t>
      </w:r>
      <w:r w:rsidRPr="00CD7523">
        <w:rPr>
          <w:rFonts w:ascii="Arial" w:hAnsi="Arial" w:cs="Arial"/>
        </w:rPr>
        <w:t xml:space="preserve"> build</w:t>
      </w:r>
      <w:r>
        <w:rPr>
          <w:rFonts w:ascii="Arial" w:hAnsi="Arial" w:cs="Arial"/>
        </w:rPr>
        <w:t>ing</w:t>
      </w:r>
      <w:r w:rsidRPr="00CD7523">
        <w:rPr>
          <w:rFonts w:ascii="Arial" w:hAnsi="Arial" w:cs="Arial"/>
        </w:rPr>
        <w:t xml:space="preserve"> an evidence base for the range of interventions conducted under the GP, tracking in</w:t>
      </w:r>
      <w:r>
        <w:rPr>
          <w:rFonts w:ascii="Arial" w:hAnsi="Arial" w:cs="Arial"/>
        </w:rPr>
        <w:t>-</w:t>
      </w:r>
      <w:r w:rsidRPr="00CD7523">
        <w:rPr>
          <w:rFonts w:ascii="Arial" w:hAnsi="Arial" w:cs="Arial"/>
        </w:rPr>
        <w:t>country progress and helping identify good practices from specific implementations which can then be disseminated and potentially enrich Country Programmes in different countries/ regions. The broad purpose of the evaluation</w:t>
      </w:r>
      <w:r w:rsidRPr="009315D1">
        <w:rPr>
          <w:rFonts w:ascii="Arial" w:hAnsi="Arial" w:cs="Arial"/>
        </w:rPr>
        <w:t>s</w:t>
      </w:r>
      <w:r w:rsidRPr="00CD7523">
        <w:rPr>
          <w:rFonts w:ascii="Arial" w:hAnsi="Arial" w:cs="Arial"/>
        </w:rPr>
        <w:t xml:space="preserve"> by ISSAT is to </w:t>
      </w:r>
      <w:r>
        <w:rPr>
          <w:rFonts w:ascii="Arial" w:hAnsi="Arial" w:cs="Arial"/>
        </w:rPr>
        <w:t>contribute to</w:t>
      </w:r>
      <w:r w:rsidRPr="00CD7523">
        <w:rPr>
          <w:rFonts w:ascii="Arial" w:hAnsi="Arial" w:cs="Arial"/>
        </w:rPr>
        <w:t xml:space="preserve"> UNDP guidelines for a system capable of a consistent approach to monitoring progress of the GP. </w:t>
      </w:r>
      <w:r w:rsidRPr="009315D1">
        <w:rPr>
          <w:rFonts w:ascii="Arial" w:hAnsi="Arial" w:cs="Arial"/>
        </w:rPr>
        <w:t>The evaluations strive to draw accumulated knowledge, good practice and identify lessons from the Rule of Law projects, identifying what has been achieved, what aspects could usefully be considered by other Country Programmes, and what types of evidence contribute to knowledge of Country Programme success.</w:t>
      </w:r>
    </w:p>
    <w:p w14:paraId="193D35B1" w14:textId="77777777" w:rsidR="00051257" w:rsidRPr="009315D1" w:rsidRDefault="00051257" w:rsidP="00051257">
      <w:pPr>
        <w:autoSpaceDE w:val="0"/>
        <w:autoSpaceDN w:val="0"/>
        <w:adjustRightInd w:val="0"/>
        <w:spacing w:after="0" w:line="240" w:lineRule="auto"/>
        <w:rPr>
          <w:rFonts w:ascii="Arial" w:hAnsi="Arial" w:cs="Arial"/>
          <w:color w:val="FF0000"/>
        </w:rPr>
      </w:pPr>
    </w:p>
    <w:p w14:paraId="5C419407" w14:textId="77777777" w:rsidR="00051257" w:rsidRDefault="00051257" w:rsidP="00051257">
      <w:pPr>
        <w:rPr>
          <w:rFonts w:ascii="Arial" w:hAnsi="Arial" w:cs="Arial"/>
        </w:rPr>
      </w:pPr>
      <w:r w:rsidRPr="00A0594B">
        <w:rPr>
          <w:rFonts w:ascii="Arial" w:hAnsi="Arial" w:cs="Arial"/>
        </w:rPr>
        <w:t>Th</w:t>
      </w:r>
      <w:r>
        <w:rPr>
          <w:rFonts w:ascii="Arial" w:hAnsi="Arial" w:cs="Arial"/>
        </w:rPr>
        <w:t>e</w:t>
      </w:r>
      <w:r w:rsidRPr="00A0594B">
        <w:rPr>
          <w:rFonts w:ascii="Arial" w:hAnsi="Arial" w:cs="Arial"/>
        </w:rPr>
        <w:t xml:space="preserve"> table </w:t>
      </w:r>
      <w:r>
        <w:rPr>
          <w:rFonts w:ascii="Arial" w:hAnsi="Arial" w:cs="Arial"/>
        </w:rPr>
        <w:t xml:space="preserve">below </w:t>
      </w:r>
      <w:r w:rsidRPr="00A0594B">
        <w:rPr>
          <w:rFonts w:ascii="Arial" w:hAnsi="Arial" w:cs="Arial"/>
        </w:rPr>
        <w:t xml:space="preserve">presents the GP3 interim evaluation team’s interpretation of the key findings and recommendations of the five evaluation reports completed by ISSAT by the time this evaluation. </w:t>
      </w:r>
      <w:r>
        <w:rPr>
          <w:rFonts w:ascii="Arial" w:hAnsi="Arial" w:cs="Arial"/>
        </w:rPr>
        <w:t>It should be noted that the GP contribution to the programmes evaluated by ISSAT was highly variable.</w:t>
      </w:r>
    </w:p>
    <w:p w14:paraId="5AD8AA61" w14:textId="77777777" w:rsidR="00051257" w:rsidRPr="009315D1" w:rsidRDefault="00051257" w:rsidP="00051257">
      <w:pPr>
        <w:rPr>
          <w:rFonts w:ascii="Arial" w:hAnsi="Arial" w:cs="Arial"/>
          <w:b/>
          <w:bCs/>
        </w:rPr>
      </w:pPr>
      <w:r w:rsidRPr="009315D1">
        <w:rPr>
          <w:rFonts w:ascii="Arial" w:hAnsi="Arial" w:cs="Arial"/>
          <w:b/>
          <w:bCs/>
        </w:rPr>
        <w:t>Cross-cutting findings related to GP</w:t>
      </w:r>
      <w:r>
        <w:rPr>
          <w:rFonts w:ascii="Arial" w:hAnsi="Arial" w:cs="Arial"/>
          <w:b/>
          <w:bCs/>
        </w:rPr>
        <w:t>, identified by GP3 evaluators</w:t>
      </w:r>
    </w:p>
    <w:p w14:paraId="450D4346" w14:textId="77777777" w:rsidR="00051257" w:rsidRPr="009315D1" w:rsidRDefault="00051257" w:rsidP="00567956">
      <w:pPr>
        <w:pStyle w:val="ListParagraph"/>
        <w:numPr>
          <w:ilvl w:val="0"/>
          <w:numId w:val="28"/>
        </w:numPr>
        <w:spacing w:after="160" w:line="259" w:lineRule="auto"/>
        <w:rPr>
          <w:rFonts w:ascii="Arial" w:hAnsi="Arial" w:cs="Arial"/>
        </w:rPr>
      </w:pPr>
      <w:r>
        <w:rPr>
          <w:rFonts w:ascii="Arial" w:hAnsi="Arial" w:cs="Arial"/>
        </w:rPr>
        <w:t>P</w:t>
      </w:r>
      <w:r w:rsidRPr="009315D1">
        <w:rPr>
          <w:rFonts w:ascii="Arial" w:hAnsi="Arial" w:cs="Arial"/>
        </w:rPr>
        <w:t xml:space="preserve">rogramming was relevant to needs in country, though </w:t>
      </w:r>
      <w:r>
        <w:rPr>
          <w:rFonts w:ascii="Arial" w:hAnsi="Arial" w:cs="Arial"/>
        </w:rPr>
        <w:t xml:space="preserve">the </w:t>
      </w:r>
      <w:r w:rsidRPr="009315D1">
        <w:rPr>
          <w:rFonts w:ascii="Arial" w:hAnsi="Arial" w:cs="Arial"/>
        </w:rPr>
        <w:t xml:space="preserve">GP role </w:t>
      </w:r>
      <w:r>
        <w:rPr>
          <w:rFonts w:ascii="Arial" w:hAnsi="Arial" w:cs="Arial"/>
        </w:rPr>
        <w:t xml:space="preserve">or contribution </w:t>
      </w:r>
      <w:r w:rsidRPr="009315D1">
        <w:rPr>
          <w:rFonts w:ascii="Arial" w:hAnsi="Arial" w:cs="Arial"/>
        </w:rPr>
        <w:t>was often not visible or not well understood by informants</w:t>
      </w:r>
      <w:r>
        <w:rPr>
          <w:rFonts w:ascii="Arial" w:hAnsi="Arial" w:cs="Arial"/>
        </w:rPr>
        <w:t>.</w:t>
      </w:r>
    </w:p>
    <w:p w14:paraId="28DAADD2" w14:textId="77777777" w:rsidR="00051257" w:rsidRPr="009315D1" w:rsidRDefault="00051257" w:rsidP="00567956">
      <w:pPr>
        <w:pStyle w:val="ListParagraph"/>
        <w:numPr>
          <w:ilvl w:val="0"/>
          <w:numId w:val="28"/>
        </w:numPr>
        <w:spacing w:after="160" w:line="259" w:lineRule="auto"/>
        <w:rPr>
          <w:rFonts w:ascii="Arial" w:hAnsi="Arial" w:cs="Arial"/>
        </w:rPr>
      </w:pPr>
      <w:r>
        <w:rPr>
          <w:rFonts w:ascii="Arial" w:hAnsi="Arial" w:cs="Arial"/>
        </w:rPr>
        <w:t>H</w:t>
      </w:r>
      <w:r w:rsidRPr="009315D1">
        <w:rPr>
          <w:rFonts w:ascii="Arial" w:hAnsi="Arial" w:cs="Arial"/>
        </w:rPr>
        <w:t xml:space="preserve">eavy focus </w:t>
      </w:r>
      <w:r>
        <w:rPr>
          <w:rFonts w:ascii="Arial" w:hAnsi="Arial" w:cs="Arial"/>
        </w:rPr>
        <w:t xml:space="preserve">was placed </w:t>
      </w:r>
      <w:r w:rsidRPr="009315D1">
        <w:rPr>
          <w:rFonts w:ascii="Arial" w:hAnsi="Arial" w:cs="Arial"/>
        </w:rPr>
        <w:t>by projects on activity implementation with less attention to strategy and sustainability</w:t>
      </w:r>
      <w:r>
        <w:rPr>
          <w:rFonts w:ascii="Arial" w:hAnsi="Arial" w:cs="Arial"/>
        </w:rPr>
        <w:t>.</w:t>
      </w:r>
    </w:p>
    <w:p w14:paraId="684B1F83" w14:textId="77777777" w:rsidR="00051257" w:rsidRPr="009315D1" w:rsidRDefault="00051257" w:rsidP="00567956">
      <w:pPr>
        <w:pStyle w:val="ListParagraph"/>
        <w:numPr>
          <w:ilvl w:val="0"/>
          <w:numId w:val="28"/>
        </w:numPr>
        <w:spacing w:after="160" w:line="259" w:lineRule="auto"/>
        <w:rPr>
          <w:rFonts w:ascii="Arial" w:hAnsi="Arial" w:cs="Arial"/>
        </w:rPr>
      </w:pPr>
      <w:r>
        <w:rPr>
          <w:rFonts w:ascii="Arial" w:hAnsi="Arial" w:cs="Arial"/>
        </w:rPr>
        <w:t>We</w:t>
      </w:r>
      <w:r w:rsidRPr="009315D1">
        <w:rPr>
          <w:rFonts w:ascii="Arial" w:hAnsi="Arial" w:cs="Arial"/>
        </w:rPr>
        <w:t xml:space="preserve">ak design and implementation of results monitoring </w:t>
      </w:r>
      <w:r>
        <w:rPr>
          <w:rFonts w:ascii="Arial" w:hAnsi="Arial" w:cs="Arial"/>
        </w:rPr>
        <w:t xml:space="preserve">was observed </w:t>
      </w:r>
      <w:r w:rsidRPr="009315D1">
        <w:rPr>
          <w:rFonts w:ascii="Arial" w:hAnsi="Arial" w:cs="Arial"/>
        </w:rPr>
        <w:t>in all cases except Palestine</w:t>
      </w:r>
      <w:r>
        <w:rPr>
          <w:rFonts w:ascii="Arial" w:hAnsi="Arial" w:cs="Arial"/>
        </w:rPr>
        <w:t>.</w:t>
      </w:r>
    </w:p>
    <w:p w14:paraId="2504D6B5" w14:textId="77777777" w:rsidR="00051257" w:rsidRPr="009315D1" w:rsidRDefault="00051257" w:rsidP="00567956">
      <w:pPr>
        <w:pStyle w:val="ListParagraph"/>
        <w:numPr>
          <w:ilvl w:val="0"/>
          <w:numId w:val="28"/>
        </w:numPr>
        <w:spacing w:after="160" w:line="259" w:lineRule="auto"/>
        <w:rPr>
          <w:rFonts w:ascii="Arial" w:hAnsi="Arial" w:cs="Arial"/>
        </w:rPr>
      </w:pPr>
      <w:r w:rsidRPr="009315D1">
        <w:rPr>
          <w:rFonts w:ascii="Arial" w:hAnsi="Arial" w:cs="Arial"/>
        </w:rPr>
        <w:t xml:space="preserve">UN partner coordination </w:t>
      </w:r>
      <w:r>
        <w:rPr>
          <w:rFonts w:ascii="Arial" w:hAnsi="Arial" w:cs="Arial"/>
        </w:rPr>
        <w:t xml:space="preserve">was </w:t>
      </w:r>
      <w:r w:rsidRPr="009315D1">
        <w:rPr>
          <w:rFonts w:ascii="Arial" w:hAnsi="Arial" w:cs="Arial"/>
        </w:rPr>
        <w:t>highly variable</w:t>
      </w:r>
      <w:r>
        <w:rPr>
          <w:rFonts w:ascii="Arial" w:hAnsi="Arial" w:cs="Arial"/>
        </w:rPr>
        <w:t xml:space="preserve">, including both </w:t>
      </w:r>
      <w:r w:rsidRPr="009315D1">
        <w:rPr>
          <w:rFonts w:ascii="Arial" w:hAnsi="Arial" w:cs="Arial"/>
        </w:rPr>
        <w:t>good and very bad examples</w:t>
      </w:r>
      <w:r>
        <w:rPr>
          <w:rFonts w:ascii="Arial" w:hAnsi="Arial" w:cs="Arial"/>
        </w:rPr>
        <w:t xml:space="preserve">. </w:t>
      </w:r>
    </w:p>
    <w:p w14:paraId="45ADA9BB" w14:textId="77777777" w:rsidR="00051257" w:rsidRPr="009315D1" w:rsidRDefault="00051257" w:rsidP="00567956">
      <w:pPr>
        <w:pStyle w:val="ListParagraph"/>
        <w:numPr>
          <w:ilvl w:val="0"/>
          <w:numId w:val="28"/>
        </w:numPr>
        <w:spacing w:after="160" w:line="259" w:lineRule="auto"/>
        <w:rPr>
          <w:rFonts w:ascii="Arial" w:hAnsi="Arial" w:cs="Arial"/>
        </w:rPr>
      </w:pPr>
      <w:r>
        <w:rPr>
          <w:rFonts w:ascii="Arial" w:hAnsi="Arial" w:cs="Arial"/>
        </w:rPr>
        <w:t>S</w:t>
      </w:r>
      <w:r w:rsidRPr="009315D1">
        <w:rPr>
          <w:rFonts w:ascii="Arial" w:hAnsi="Arial" w:cs="Arial"/>
        </w:rPr>
        <w:t xml:space="preserve">eed funding </w:t>
      </w:r>
      <w:r>
        <w:rPr>
          <w:rFonts w:ascii="Arial" w:hAnsi="Arial" w:cs="Arial"/>
        </w:rPr>
        <w:t xml:space="preserve">by GP </w:t>
      </w:r>
      <w:r w:rsidRPr="009315D1">
        <w:rPr>
          <w:rFonts w:ascii="Arial" w:hAnsi="Arial" w:cs="Arial"/>
        </w:rPr>
        <w:t>worked well as catalyst for one component in Jordan, appears to have helped lay foundation for major joint programme in Guinea Bissau after mission drawdown</w:t>
      </w:r>
      <w:r>
        <w:rPr>
          <w:rFonts w:ascii="Arial" w:hAnsi="Arial" w:cs="Arial"/>
        </w:rPr>
        <w:t>, and contributed to establishment of Special Criminal Court in CAR</w:t>
      </w:r>
      <w:r w:rsidRPr="009315D1">
        <w:rPr>
          <w:rFonts w:ascii="Arial" w:hAnsi="Arial" w:cs="Arial"/>
        </w:rPr>
        <w:t xml:space="preserve">. </w:t>
      </w:r>
      <w:r>
        <w:rPr>
          <w:rFonts w:ascii="Arial" w:hAnsi="Arial" w:cs="Arial"/>
        </w:rPr>
        <w:t>F</w:t>
      </w:r>
      <w:r w:rsidRPr="009315D1">
        <w:rPr>
          <w:rFonts w:ascii="Arial" w:hAnsi="Arial" w:cs="Arial"/>
        </w:rPr>
        <w:t xml:space="preserve">indings </w:t>
      </w:r>
      <w:r>
        <w:rPr>
          <w:rFonts w:ascii="Arial" w:hAnsi="Arial" w:cs="Arial"/>
        </w:rPr>
        <w:t>are u</w:t>
      </w:r>
      <w:r w:rsidRPr="009315D1">
        <w:rPr>
          <w:rFonts w:ascii="Arial" w:hAnsi="Arial" w:cs="Arial"/>
        </w:rPr>
        <w:t>nclear for other countries</w:t>
      </w:r>
      <w:r>
        <w:rPr>
          <w:rFonts w:ascii="Arial" w:hAnsi="Arial" w:cs="Arial"/>
        </w:rPr>
        <w:t xml:space="preserve">; </w:t>
      </w:r>
      <w:r w:rsidRPr="009315D1">
        <w:rPr>
          <w:rFonts w:ascii="Arial" w:hAnsi="Arial" w:cs="Arial"/>
        </w:rPr>
        <w:t>in Colombia</w:t>
      </w:r>
      <w:r>
        <w:rPr>
          <w:rFonts w:ascii="Arial" w:hAnsi="Arial" w:cs="Arial"/>
        </w:rPr>
        <w:t>,</w:t>
      </w:r>
      <w:r w:rsidRPr="009315D1">
        <w:rPr>
          <w:rFonts w:ascii="Arial" w:hAnsi="Arial" w:cs="Arial"/>
        </w:rPr>
        <w:t xml:space="preserve"> no specific project </w:t>
      </w:r>
      <w:r>
        <w:rPr>
          <w:rFonts w:ascii="Arial" w:hAnsi="Arial" w:cs="Arial"/>
        </w:rPr>
        <w:t xml:space="preserve">was </w:t>
      </w:r>
      <w:r w:rsidRPr="009315D1">
        <w:rPr>
          <w:rFonts w:ascii="Arial" w:hAnsi="Arial" w:cs="Arial"/>
        </w:rPr>
        <w:t>funded</w:t>
      </w:r>
      <w:r>
        <w:rPr>
          <w:rFonts w:ascii="Arial" w:hAnsi="Arial" w:cs="Arial"/>
        </w:rPr>
        <w:t xml:space="preserve"> by GP</w:t>
      </w:r>
      <w:r w:rsidRPr="009315D1">
        <w:rPr>
          <w:rFonts w:ascii="Arial" w:hAnsi="Arial" w:cs="Arial"/>
        </w:rPr>
        <w:t xml:space="preserve">, and in Palestine it appears that no direct GP funding was provided to the studied projects. </w:t>
      </w:r>
    </w:p>
    <w:p w14:paraId="32554BD1" w14:textId="77777777" w:rsidR="00051257" w:rsidRPr="009315D1" w:rsidRDefault="00051257" w:rsidP="00051257">
      <w:pPr>
        <w:rPr>
          <w:rFonts w:ascii="Arial" w:hAnsi="Arial" w:cs="Arial"/>
          <w:b/>
          <w:bCs/>
        </w:rPr>
      </w:pPr>
      <w:r w:rsidRPr="009315D1">
        <w:rPr>
          <w:rFonts w:ascii="Arial" w:hAnsi="Arial" w:cs="Arial"/>
          <w:b/>
          <w:bCs/>
        </w:rPr>
        <w:t>Cross-cutting recommendations</w:t>
      </w:r>
      <w:r>
        <w:rPr>
          <w:rFonts w:ascii="Arial" w:hAnsi="Arial" w:cs="Arial"/>
          <w:b/>
          <w:bCs/>
        </w:rPr>
        <w:t xml:space="preserve"> identified by GP3 evaluators</w:t>
      </w:r>
    </w:p>
    <w:p w14:paraId="0D4A6573" w14:textId="77777777" w:rsidR="00051257" w:rsidRPr="009315D1" w:rsidRDefault="00051257" w:rsidP="00567956">
      <w:pPr>
        <w:pStyle w:val="ListParagraph"/>
        <w:numPr>
          <w:ilvl w:val="0"/>
          <w:numId w:val="29"/>
        </w:numPr>
        <w:spacing w:after="160" w:line="259" w:lineRule="auto"/>
        <w:rPr>
          <w:rFonts w:ascii="Arial" w:hAnsi="Arial" w:cs="Arial"/>
        </w:rPr>
      </w:pPr>
      <w:r>
        <w:rPr>
          <w:rFonts w:ascii="Arial" w:hAnsi="Arial" w:cs="Arial"/>
        </w:rPr>
        <w:t>S</w:t>
      </w:r>
      <w:r w:rsidRPr="009315D1">
        <w:rPr>
          <w:rFonts w:ascii="Arial" w:hAnsi="Arial" w:cs="Arial"/>
        </w:rPr>
        <w:t>trengthen programme management capacity and enhance monitoring systems, especially considering the Palestine example</w:t>
      </w:r>
      <w:r>
        <w:rPr>
          <w:rFonts w:ascii="Arial" w:hAnsi="Arial" w:cs="Arial"/>
        </w:rPr>
        <w:t xml:space="preserve">; </w:t>
      </w:r>
    </w:p>
    <w:p w14:paraId="7A229C0E" w14:textId="77777777" w:rsidR="00051257" w:rsidRPr="009315D1" w:rsidRDefault="00051257" w:rsidP="00567956">
      <w:pPr>
        <w:pStyle w:val="ListParagraph"/>
        <w:numPr>
          <w:ilvl w:val="0"/>
          <w:numId w:val="29"/>
        </w:numPr>
        <w:spacing w:after="160" w:line="259" w:lineRule="auto"/>
        <w:rPr>
          <w:rFonts w:ascii="Arial" w:hAnsi="Arial" w:cs="Arial"/>
        </w:rPr>
      </w:pPr>
      <w:r>
        <w:rPr>
          <w:rFonts w:ascii="Arial" w:hAnsi="Arial" w:cs="Arial"/>
        </w:rPr>
        <w:t>E</w:t>
      </w:r>
      <w:r w:rsidRPr="009315D1">
        <w:rPr>
          <w:rFonts w:ascii="Arial" w:hAnsi="Arial" w:cs="Arial"/>
        </w:rPr>
        <w:t>nsure UN partner roles and procedures are clearly defined and agreed, especially in mission contexts</w:t>
      </w:r>
      <w:r>
        <w:rPr>
          <w:rFonts w:ascii="Arial" w:hAnsi="Arial" w:cs="Arial"/>
        </w:rPr>
        <w:t>;</w:t>
      </w:r>
    </w:p>
    <w:p w14:paraId="1CC9B688" w14:textId="77777777" w:rsidR="00051257" w:rsidRPr="00DF3B79" w:rsidRDefault="00051257" w:rsidP="00567956">
      <w:pPr>
        <w:pStyle w:val="ListParagraph"/>
        <w:numPr>
          <w:ilvl w:val="0"/>
          <w:numId w:val="29"/>
        </w:numPr>
        <w:spacing w:after="160" w:line="259" w:lineRule="auto"/>
        <w:rPr>
          <w:rFonts w:ascii="Arial" w:hAnsi="Arial" w:cs="Arial"/>
        </w:rPr>
      </w:pPr>
      <w:r>
        <w:rPr>
          <w:rFonts w:ascii="Arial" w:hAnsi="Arial" w:cs="Arial"/>
        </w:rPr>
        <w:t>W</w:t>
      </w:r>
      <w:r w:rsidRPr="009315D1">
        <w:rPr>
          <w:rFonts w:ascii="Arial" w:hAnsi="Arial" w:cs="Arial"/>
        </w:rPr>
        <w:t>ork with local entities to develop and complement their statistics collection role</w:t>
      </w:r>
      <w:r>
        <w:rPr>
          <w:rFonts w:ascii="Arial" w:hAnsi="Arial" w:cs="Arial"/>
        </w:rPr>
        <w:t xml:space="preserve">. </w:t>
      </w:r>
    </w:p>
    <w:p w14:paraId="016C3330" w14:textId="1A06535C" w:rsidR="00051257" w:rsidRPr="00051257" w:rsidRDefault="00051257" w:rsidP="00051257">
      <w:pPr>
        <w:rPr>
          <w:rFonts w:ascii="Arial" w:hAnsi="Arial" w:cs="Arial"/>
          <w:b/>
          <w:bCs/>
        </w:rPr>
      </w:pPr>
      <w:r w:rsidRPr="00CA62AB">
        <w:rPr>
          <w:rFonts w:ascii="Arial" w:hAnsi="Arial" w:cs="Arial"/>
          <w:b/>
          <w:bCs/>
        </w:rPr>
        <w:t xml:space="preserve">Table </w:t>
      </w:r>
      <w:r w:rsidR="00CA62AB" w:rsidRPr="00CA62AB">
        <w:rPr>
          <w:rFonts w:ascii="Arial" w:hAnsi="Arial" w:cs="Arial"/>
          <w:b/>
          <w:bCs/>
        </w:rPr>
        <w:t>3</w:t>
      </w:r>
      <w:r w:rsidRPr="00CA62AB">
        <w:rPr>
          <w:rFonts w:ascii="Arial" w:hAnsi="Arial" w:cs="Arial"/>
          <w:b/>
          <w:bCs/>
        </w:rPr>
        <w:t>. Key</w:t>
      </w:r>
      <w:r w:rsidRPr="00051257">
        <w:rPr>
          <w:rFonts w:ascii="Arial" w:hAnsi="Arial" w:cs="Arial"/>
          <w:b/>
          <w:bCs/>
        </w:rPr>
        <w:t xml:space="preserve"> Findings and Recommendations of ISSAT Evaluations </w:t>
      </w:r>
    </w:p>
    <w:tbl>
      <w:tblPr>
        <w:tblStyle w:val="TableGrid"/>
        <w:tblW w:w="13462" w:type="dxa"/>
        <w:tblLook w:val="04A0" w:firstRow="1" w:lastRow="0" w:firstColumn="1" w:lastColumn="0" w:noHBand="0" w:noVBand="1"/>
      </w:tblPr>
      <w:tblGrid>
        <w:gridCol w:w="1239"/>
        <w:gridCol w:w="2083"/>
        <w:gridCol w:w="4238"/>
        <w:gridCol w:w="3512"/>
        <w:gridCol w:w="2390"/>
      </w:tblGrid>
      <w:tr w:rsidR="00051257" w:rsidRPr="009315D1" w14:paraId="1DE0CCF4" w14:textId="77777777" w:rsidTr="00296A4A">
        <w:trPr>
          <w:tblHeader/>
        </w:trPr>
        <w:tc>
          <w:tcPr>
            <w:tcW w:w="1239" w:type="dxa"/>
            <w:shd w:val="clear" w:color="auto" w:fill="C4BCC6" w:themeFill="accent6" w:themeFillTint="99"/>
          </w:tcPr>
          <w:p w14:paraId="2EF45942" w14:textId="77777777" w:rsidR="00051257" w:rsidRPr="009315D1" w:rsidRDefault="00051257" w:rsidP="00296A4A">
            <w:pPr>
              <w:rPr>
                <w:rFonts w:ascii="Arial" w:hAnsi="Arial" w:cs="Arial"/>
                <w:b/>
                <w:bCs/>
              </w:rPr>
            </w:pPr>
            <w:r w:rsidRPr="009315D1">
              <w:rPr>
                <w:rFonts w:ascii="Arial" w:hAnsi="Arial" w:cs="Arial"/>
                <w:b/>
                <w:bCs/>
              </w:rPr>
              <w:t>Country, Year</w:t>
            </w:r>
          </w:p>
        </w:tc>
        <w:tc>
          <w:tcPr>
            <w:tcW w:w="2083" w:type="dxa"/>
            <w:shd w:val="clear" w:color="auto" w:fill="C4BCC6" w:themeFill="accent6" w:themeFillTint="99"/>
          </w:tcPr>
          <w:p w14:paraId="6F1101E1" w14:textId="77777777" w:rsidR="00051257" w:rsidRPr="009315D1" w:rsidRDefault="00051257" w:rsidP="00296A4A">
            <w:pPr>
              <w:rPr>
                <w:rFonts w:ascii="Arial" w:hAnsi="Arial" w:cs="Arial"/>
                <w:b/>
                <w:bCs/>
              </w:rPr>
            </w:pPr>
            <w:r w:rsidRPr="009315D1">
              <w:rPr>
                <w:rFonts w:ascii="Arial" w:hAnsi="Arial" w:cs="Arial"/>
                <w:b/>
                <w:bCs/>
              </w:rPr>
              <w:t>Evaluation Focus</w:t>
            </w:r>
          </w:p>
        </w:tc>
        <w:tc>
          <w:tcPr>
            <w:tcW w:w="4238" w:type="dxa"/>
            <w:shd w:val="clear" w:color="auto" w:fill="C4BCC6" w:themeFill="accent6" w:themeFillTint="99"/>
          </w:tcPr>
          <w:p w14:paraId="7A821653" w14:textId="77777777" w:rsidR="00051257" w:rsidRPr="009315D1" w:rsidRDefault="00051257" w:rsidP="00296A4A">
            <w:pPr>
              <w:rPr>
                <w:rFonts w:ascii="Arial" w:hAnsi="Arial" w:cs="Arial"/>
                <w:b/>
                <w:bCs/>
              </w:rPr>
            </w:pPr>
            <w:r w:rsidRPr="009315D1">
              <w:rPr>
                <w:rFonts w:ascii="Arial" w:hAnsi="Arial" w:cs="Arial"/>
                <w:b/>
                <w:bCs/>
              </w:rPr>
              <w:t>Key Findings (+/- or neutral/mixed *)</w:t>
            </w:r>
          </w:p>
        </w:tc>
        <w:tc>
          <w:tcPr>
            <w:tcW w:w="3512" w:type="dxa"/>
            <w:shd w:val="clear" w:color="auto" w:fill="C4BCC6" w:themeFill="accent6" w:themeFillTint="99"/>
          </w:tcPr>
          <w:p w14:paraId="6B9F60DD" w14:textId="77777777" w:rsidR="00051257" w:rsidRPr="009315D1" w:rsidRDefault="00051257" w:rsidP="00296A4A">
            <w:pPr>
              <w:rPr>
                <w:rFonts w:ascii="Arial" w:hAnsi="Arial" w:cs="Arial"/>
                <w:b/>
                <w:bCs/>
              </w:rPr>
            </w:pPr>
            <w:r w:rsidRPr="009315D1">
              <w:rPr>
                <w:rFonts w:ascii="Arial" w:hAnsi="Arial" w:cs="Arial"/>
                <w:b/>
                <w:bCs/>
              </w:rPr>
              <w:t>Key Recommendations</w:t>
            </w:r>
          </w:p>
        </w:tc>
        <w:tc>
          <w:tcPr>
            <w:tcW w:w="2390" w:type="dxa"/>
            <w:shd w:val="clear" w:color="auto" w:fill="C4BCC6" w:themeFill="accent6" w:themeFillTint="99"/>
          </w:tcPr>
          <w:p w14:paraId="5C540215" w14:textId="77777777" w:rsidR="00051257" w:rsidRPr="009315D1" w:rsidRDefault="00051257" w:rsidP="00296A4A">
            <w:pPr>
              <w:rPr>
                <w:rFonts w:ascii="Arial" w:hAnsi="Arial" w:cs="Arial"/>
                <w:b/>
                <w:bCs/>
              </w:rPr>
            </w:pPr>
            <w:r w:rsidRPr="009315D1">
              <w:rPr>
                <w:rFonts w:ascii="Arial" w:hAnsi="Arial" w:cs="Arial"/>
                <w:b/>
                <w:bCs/>
              </w:rPr>
              <w:t>Other comments relevant to 2020 GP evaluation</w:t>
            </w:r>
          </w:p>
        </w:tc>
      </w:tr>
      <w:tr w:rsidR="00051257" w:rsidRPr="009315D1" w14:paraId="6C3F4FAA" w14:textId="77777777" w:rsidTr="00296A4A">
        <w:trPr>
          <w:tblHeader/>
        </w:trPr>
        <w:tc>
          <w:tcPr>
            <w:tcW w:w="13462" w:type="dxa"/>
            <w:gridSpan w:val="5"/>
            <w:shd w:val="clear" w:color="auto" w:fill="C4BCC6" w:themeFill="accent6" w:themeFillTint="99"/>
          </w:tcPr>
          <w:p w14:paraId="542360A4" w14:textId="77777777" w:rsidR="00051257" w:rsidRPr="009315D1" w:rsidRDefault="00051257" w:rsidP="00296A4A">
            <w:pPr>
              <w:rPr>
                <w:rFonts w:ascii="Arial" w:hAnsi="Arial" w:cs="Arial"/>
                <w:b/>
                <w:bCs/>
              </w:rPr>
            </w:pPr>
            <w:r w:rsidRPr="009315D1">
              <w:rPr>
                <w:rFonts w:ascii="Arial" w:hAnsi="Arial" w:cs="Arial"/>
                <w:color w:val="FF0000"/>
              </w:rPr>
              <w:t xml:space="preserve">Red font </w:t>
            </w:r>
            <w:r>
              <w:rPr>
                <w:rFonts w:ascii="Arial" w:hAnsi="Arial" w:cs="Arial"/>
                <w:color w:val="FF0000"/>
              </w:rPr>
              <w:t xml:space="preserve">in this table </w:t>
            </w:r>
            <w:r w:rsidRPr="00A0594B">
              <w:rPr>
                <w:rFonts w:ascii="Arial" w:hAnsi="Arial" w:cs="Arial"/>
              </w:rPr>
              <w:t xml:space="preserve">denotes content specifically related to the </w:t>
            </w:r>
            <w:r>
              <w:rPr>
                <w:rFonts w:ascii="Arial" w:hAnsi="Arial" w:cs="Arial"/>
              </w:rPr>
              <w:t>GP</w:t>
            </w:r>
            <w:r w:rsidRPr="00A0594B">
              <w:rPr>
                <w:rFonts w:ascii="Arial" w:hAnsi="Arial" w:cs="Arial"/>
              </w:rPr>
              <w:t xml:space="preserve"> and/or </w:t>
            </w:r>
            <w:r>
              <w:rPr>
                <w:rFonts w:ascii="Arial" w:hAnsi="Arial" w:cs="Arial"/>
              </w:rPr>
              <w:t xml:space="preserve">the </w:t>
            </w:r>
            <w:r w:rsidRPr="00A0594B">
              <w:rPr>
                <w:rFonts w:ascii="Arial" w:hAnsi="Arial" w:cs="Arial"/>
              </w:rPr>
              <w:t>Global Focal Point.</w:t>
            </w:r>
          </w:p>
        </w:tc>
      </w:tr>
      <w:tr w:rsidR="00051257" w:rsidRPr="009315D1" w14:paraId="73769BCF" w14:textId="77777777" w:rsidTr="00296A4A">
        <w:tc>
          <w:tcPr>
            <w:tcW w:w="1239" w:type="dxa"/>
          </w:tcPr>
          <w:p w14:paraId="53E00FAA" w14:textId="77777777" w:rsidR="00051257" w:rsidRPr="009315D1" w:rsidRDefault="00051257" w:rsidP="00296A4A">
            <w:pPr>
              <w:rPr>
                <w:rFonts w:ascii="Arial" w:hAnsi="Arial" w:cs="Arial"/>
              </w:rPr>
            </w:pPr>
            <w:r w:rsidRPr="009315D1">
              <w:rPr>
                <w:rFonts w:ascii="Arial" w:hAnsi="Arial" w:cs="Arial"/>
              </w:rPr>
              <w:t>Guinea Bissau, pilot GP evaluation folded into wider UNDP final evaluation, 2017</w:t>
            </w:r>
          </w:p>
          <w:p w14:paraId="55C5BD9B" w14:textId="77777777" w:rsidR="00051257" w:rsidRPr="009315D1" w:rsidRDefault="00051257" w:rsidP="00296A4A">
            <w:pPr>
              <w:rPr>
                <w:rFonts w:ascii="Arial" w:hAnsi="Arial" w:cs="Arial"/>
              </w:rPr>
            </w:pPr>
          </w:p>
        </w:tc>
        <w:tc>
          <w:tcPr>
            <w:tcW w:w="2083" w:type="dxa"/>
          </w:tcPr>
          <w:p w14:paraId="1E07BCC6" w14:textId="77777777" w:rsidR="00051257" w:rsidRPr="009315D1" w:rsidRDefault="00051257" w:rsidP="00296A4A">
            <w:pPr>
              <w:rPr>
                <w:rFonts w:ascii="Arial" w:hAnsi="Arial" w:cs="Arial"/>
              </w:rPr>
            </w:pPr>
            <w:r w:rsidRPr="009315D1">
              <w:rPr>
                <w:rFonts w:ascii="Arial" w:hAnsi="Arial" w:cs="Arial"/>
              </w:rPr>
              <w:t xml:space="preserve">Rule of Law and Justice Project (2014-2016) – begun under GP Phase 2 </w:t>
            </w:r>
          </w:p>
          <w:p w14:paraId="29E1CD20" w14:textId="77777777" w:rsidR="00051257" w:rsidRPr="009315D1" w:rsidRDefault="00051257" w:rsidP="00296A4A">
            <w:pPr>
              <w:rPr>
                <w:rFonts w:ascii="Arial" w:hAnsi="Arial" w:cs="Arial"/>
              </w:rPr>
            </w:pPr>
            <w:r w:rsidRPr="009315D1">
              <w:rPr>
                <w:rFonts w:ascii="Arial" w:hAnsi="Arial" w:cs="Arial"/>
              </w:rPr>
              <w:t>1) National institutions play a role in creating a sustainable security environment, through effective and efficient justice and security provision; 2) The justice system provides better services and improves access for vulnerable groups.</w:t>
            </w:r>
          </w:p>
        </w:tc>
        <w:tc>
          <w:tcPr>
            <w:tcW w:w="4238" w:type="dxa"/>
          </w:tcPr>
          <w:p w14:paraId="56870C41" w14:textId="77777777" w:rsidR="00051257" w:rsidRPr="009315D1" w:rsidRDefault="00051257" w:rsidP="00296A4A">
            <w:pPr>
              <w:rPr>
                <w:rFonts w:ascii="Arial" w:hAnsi="Arial" w:cs="Arial"/>
              </w:rPr>
            </w:pPr>
            <w:r w:rsidRPr="009315D1">
              <w:rPr>
                <w:rFonts w:ascii="Arial" w:hAnsi="Arial" w:cs="Arial"/>
              </w:rPr>
              <w:t xml:space="preserve">+ highly relevant </w:t>
            </w:r>
          </w:p>
          <w:p w14:paraId="15EE0C55" w14:textId="77777777" w:rsidR="00051257" w:rsidRPr="009315D1" w:rsidRDefault="00051257" w:rsidP="00296A4A">
            <w:pPr>
              <w:rPr>
                <w:rFonts w:ascii="Arial" w:hAnsi="Arial" w:cs="Arial"/>
              </w:rPr>
            </w:pPr>
            <w:r w:rsidRPr="009315D1">
              <w:rPr>
                <w:rFonts w:ascii="Arial" w:hAnsi="Arial" w:cs="Arial"/>
              </w:rPr>
              <w:t>+ good results in justice actor capacity building, via local institution</w:t>
            </w:r>
          </w:p>
          <w:p w14:paraId="685BCFE0" w14:textId="77777777" w:rsidR="00051257" w:rsidRPr="009315D1" w:rsidRDefault="00051257" w:rsidP="00296A4A">
            <w:pPr>
              <w:rPr>
                <w:rFonts w:ascii="Arial" w:hAnsi="Arial" w:cs="Arial"/>
              </w:rPr>
            </w:pPr>
            <w:r w:rsidRPr="009315D1">
              <w:rPr>
                <w:rFonts w:ascii="Arial" w:hAnsi="Arial" w:cs="Arial"/>
              </w:rPr>
              <w:t>+ access to justice component – helped to expand offer of legal aid</w:t>
            </w:r>
          </w:p>
          <w:p w14:paraId="2542AAA7" w14:textId="77777777" w:rsidR="00051257" w:rsidRPr="009315D1" w:rsidRDefault="00051257" w:rsidP="00296A4A">
            <w:pPr>
              <w:rPr>
                <w:rFonts w:ascii="Arial" w:hAnsi="Arial" w:cs="Arial"/>
              </w:rPr>
            </w:pPr>
            <w:r w:rsidRPr="009315D1">
              <w:rPr>
                <w:rFonts w:ascii="Arial" w:hAnsi="Arial" w:cs="Arial"/>
              </w:rPr>
              <w:t>+ consistent efforts on sustainability, though stymied for the most part by context factors</w:t>
            </w:r>
          </w:p>
          <w:p w14:paraId="0999A030" w14:textId="77777777" w:rsidR="00051257" w:rsidRPr="009315D1" w:rsidRDefault="00051257" w:rsidP="00296A4A">
            <w:pPr>
              <w:rPr>
                <w:rFonts w:ascii="Arial" w:hAnsi="Arial" w:cs="Arial"/>
              </w:rPr>
            </w:pPr>
            <w:r w:rsidRPr="009315D1">
              <w:rPr>
                <w:rFonts w:ascii="Arial" w:hAnsi="Arial" w:cs="Arial"/>
              </w:rPr>
              <w:t xml:space="preserve">- overambitious considering time framework and challenging environment. </w:t>
            </w:r>
          </w:p>
          <w:p w14:paraId="65A30AE8" w14:textId="77777777" w:rsidR="00051257" w:rsidRPr="009315D1" w:rsidRDefault="00051257" w:rsidP="00296A4A">
            <w:pPr>
              <w:rPr>
                <w:rFonts w:ascii="Arial" w:hAnsi="Arial" w:cs="Arial"/>
              </w:rPr>
            </w:pPr>
            <w:r w:rsidRPr="009315D1">
              <w:rPr>
                <w:rFonts w:ascii="Arial" w:hAnsi="Arial" w:cs="Arial"/>
              </w:rPr>
              <w:t>- project lacked clear Theory of Change</w:t>
            </w:r>
          </w:p>
          <w:p w14:paraId="3AE64C56" w14:textId="77777777" w:rsidR="00051257" w:rsidRPr="009315D1" w:rsidRDefault="00051257" w:rsidP="00296A4A">
            <w:pPr>
              <w:rPr>
                <w:rFonts w:ascii="Arial" w:hAnsi="Arial" w:cs="Arial"/>
              </w:rPr>
            </w:pPr>
            <w:r w:rsidRPr="009315D1">
              <w:rPr>
                <w:rFonts w:ascii="Arial" w:hAnsi="Arial" w:cs="Arial"/>
              </w:rPr>
              <w:t>- low levels of execution, limited contribution to outcomes in project design.</w:t>
            </w:r>
          </w:p>
          <w:p w14:paraId="300B41DB" w14:textId="77777777" w:rsidR="00051257" w:rsidRPr="009315D1" w:rsidRDefault="00051257" w:rsidP="00296A4A">
            <w:pPr>
              <w:rPr>
                <w:rFonts w:ascii="Arial" w:hAnsi="Arial" w:cs="Arial"/>
              </w:rPr>
            </w:pPr>
            <w:r w:rsidRPr="009315D1">
              <w:rPr>
                <w:rFonts w:ascii="Arial" w:hAnsi="Arial" w:cs="Arial"/>
              </w:rPr>
              <w:t>- justice sector coordination component – little progress due to institutions and politics, this weakness on governance means weak accountability</w:t>
            </w:r>
          </w:p>
          <w:p w14:paraId="3AEA3464" w14:textId="77777777" w:rsidR="00051257" w:rsidRPr="009315D1" w:rsidRDefault="00051257" w:rsidP="00296A4A">
            <w:pPr>
              <w:rPr>
                <w:rFonts w:ascii="Arial" w:hAnsi="Arial" w:cs="Arial"/>
                <w:color w:val="FF0000"/>
              </w:rPr>
            </w:pPr>
            <w:r w:rsidRPr="009315D1">
              <w:rPr>
                <w:rFonts w:ascii="Arial" w:hAnsi="Arial" w:cs="Arial"/>
                <w:color w:val="FF0000"/>
              </w:rPr>
              <w:t>- expectations on joint programming not met, the dynamic with UNIOGBIS “did not lend itself to take full advantage of the significant support awarded by the GFP”</w:t>
            </w:r>
          </w:p>
          <w:p w14:paraId="45E8C542" w14:textId="77777777" w:rsidR="00051257" w:rsidRPr="009315D1" w:rsidRDefault="00051257" w:rsidP="00296A4A">
            <w:pPr>
              <w:rPr>
                <w:rFonts w:ascii="Arial" w:hAnsi="Arial" w:cs="Arial"/>
                <w:color w:val="FF0000"/>
              </w:rPr>
            </w:pPr>
            <w:r w:rsidRPr="009315D1">
              <w:rPr>
                <w:rFonts w:ascii="Arial" w:hAnsi="Arial" w:cs="Arial"/>
                <w:color w:val="FF0000"/>
              </w:rPr>
              <w:t>* of 3 GP2 goals, 1 met fully (quick response to country needs for ROL support), 1 not (UN coordination and integration role) and 1 unclear (policy and knowledge products related to country)</w:t>
            </w:r>
          </w:p>
          <w:p w14:paraId="0DE44228" w14:textId="77777777" w:rsidR="00051257" w:rsidRPr="009315D1" w:rsidRDefault="00051257" w:rsidP="00296A4A">
            <w:pPr>
              <w:rPr>
                <w:rFonts w:ascii="Arial" w:hAnsi="Arial" w:cs="Arial"/>
              </w:rPr>
            </w:pPr>
            <w:r w:rsidRPr="009315D1">
              <w:rPr>
                <w:rFonts w:ascii="Arial" w:hAnsi="Arial" w:cs="Arial"/>
              </w:rPr>
              <w:t>* M&amp;E design was good, but execution lacking, so results hard to assess. Measuring whether benefits are proportional to the efforts invested was problematic.</w:t>
            </w:r>
          </w:p>
        </w:tc>
        <w:tc>
          <w:tcPr>
            <w:tcW w:w="3512" w:type="dxa"/>
          </w:tcPr>
          <w:p w14:paraId="08CAAF75" w14:textId="0F097B35" w:rsidR="00051257" w:rsidRPr="009315D1" w:rsidRDefault="00051257" w:rsidP="00296A4A">
            <w:pPr>
              <w:rPr>
                <w:rFonts w:ascii="Arial" w:hAnsi="Arial" w:cs="Arial"/>
                <w:color w:val="FF0000"/>
              </w:rPr>
            </w:pPr>
            <w:r w:rsidRPr="009315D1">
              <w:rPr>
                <w:rFonts w:ascii="Arial" w:hAnsi="Arial" w:cs="Arial"/>
                <w:color w:val="FF0000"/>
              </w:rPr>
              <w:t>* RoL&amp;J could benefit from closer support and scrutiny provided by the GP/RoL on the M&amp;E front and overall programme implementation</w:t>
            </w:r>
          </w:p>
          <w:p w14:paraId="62B9D473" w14:textId="77777777" w:rsidR="00051257" w:rsidRPr="009315D1" w:rsidRDefault="00051257" w:rsidP="00296A4A">
            <w:pPr>
              <w:rPr>
                <w:rFonts w:ascii="Arial" w:hAnsi="Arial" w:cs="Arial"/>
              </w:rPr>
            </w:pPr>
            <w:r w:rsidRPr="009315D1">
              <w:rPr>
                <w:rFonts w:ascii="Arial" w:hAnsi="Arial" w:cs="Arial"/>
              </w:rPr>
              <w:t>* direct attention to political and structural factors that are key to ROL progress in long run</w:t>
            </w:r>
          </w:p>
          <w:p w14:paraId="0E181B6B" w14:textId="77777777" w:rsidR="00051257" w:rsidRPr="009315D1" w:rsidRDefault="00051257" w:rsidP="00296A4A">
            <w:pPr>
              <w:pStyle w:val="Default"/>
              <w:rPr>
                <w:rFonts w:ascii="Arial" w:hAnsi="Arial" w:cs="Arial"/>
                <w:color w:val="FF0000"/>
                <w:sz w:val="20"/>
                <w:szCs w:val="20"/>
              </w:rPr>
            </w:pPr>
            <w:r w:rsidRPr="009315D1">
              <w:rPr>
                <w:rFonts w:ascii="Arial" w:hAnsi="Arial" w:cs="Arial"/>
                <w:color w:val="FF0000"/>
                <w:sz w:val="20"/>
                <w:szCs w:val="20"/>
              </w:rPr>
              <w:t xml:space="preserve">* GP has to further assess, articulate and frame in policy, guidance, protocols and procedures the modalities of interaction within the context of Special Political Missions </w:t>
            </w:r>
          </w:p>
          <w:p w14:paraId="4DE090F7" w14:textId="77777777" w:rsidR="00051257" w:rsidRPr="009315D1" w:rsidRDefault="00051257" w:rsidP="00296A4A">
            <w:pPr>
              <w:pStyle w:val="Default"/>
              <w:rPr>
                <w:rFonts w:ascii="Arial" w:hAnsi="Arial" w:cs="Arial"/>
                <w:color w:val="FF0000"/>
                <w:sz w:val="20"/>
                <w:szCs w:val="20"/>
              </w:rPr>
            </w:pPr>
            <w:r w:rsidRPr="009315D1">
              <w:rPr>
                <w:rFonts w:ascii="Arial" w:hAnsi="Arial" w:cs="Arial"/>
                <w:sz w:val="20"/>
                <w:szCs w:val="20"/>
              </w:rPr>
              <w:t xml:space="preserve">* Commitment must remain unabated to the new Joint Programme (2017), </w:t>
            </w:r>
            <w:r w:rsidRPr="009315D1">
              <w:rPr>
                <w:rFonts w:ascii="Arial" w:hAnsi="Arial" w:cs="Arial"/>
                <w:color w:val="FF0000"/>
                <w:sz w:val="20"/>
                <w:szCs w:val="20"/>
              </w:rPr>
              <w:t xml:space="preserve">GP and GFP should remain closely involved in support and oversight during implementation </w:t>
            </w:r>
          </w:p>
          <w:p w14:paraId="3B263D4E" w14:textId="77777777" w:rsidR="00051257" w:rsidRPr="009315D1" w:rsidRDefault="00051257" w:rsidP="00296A4A">
            <w:pPr>
              <w:pStyle w:val="Default"/>
              <w:rPr>
                <w:rFonts w:ascii="Arial" w:hAnsi="Arial" w:cs="Arial"/>
                <w:color w:val="FF0000"/>
                <w:sz w:val="20"/>
                <w:szCs w:val="20"/>
              </w:rPr>
            </w:pPr>
            <w:r w:rsidRPr="009315D1">
              <w:rPr>
                <w:rFonts w:ascii="Arial" w:hAnsi="Arial" w:cs="Arial"/>
                <w:color w:val="FF0000"/>
                <w:sz w:val="20"/>
                <w:szCs w:val="20"/>
              </w:rPr>
              <w:t xml:space="preserve">* GFP and GP should assist to clarify the remit of UNDP by coordinating with relevant partners on how to clearly integrate police and corrections reform within holistic justice system reform </w:t>
            </w:r>
          </w:p>
          <w:p w14:paraId="450AB08D" w14:textId="77777777" w:rsidR="00051257" w:rsidRPr="009315D1" w:rsidRDefault="00051257" w:rsidP="00296A4A">
            <w:pPr>
              <w:pStyle w:val="Default"/>
              <w:rPr>
                <w:rFonts w:ascii="Arial" w:hAnsi="Arial" w:cs="Arial"/>
                <w:sz w:val="20"/>
                <w:szCs w:val="20"/>
              </w:rPr>
            </w:pPr>
            <w:r w:rsidRPr="009315D1">
              <w:rPr>
                <w:rFonts w:ascii="Arial" w:hAnsi="Arial" w:cs="Arial"/>
                <w:color w:val="FF0000"/>
                <w:sz w:val="20"/>
                <w:szCs w:val="20"/>
              </w:rPr>
              <w:t xml:space="preserve">* GP has to better understand how a refocus on mediation and prevention reflects on the inherently political dimension of justice reform. </w:t>
            </w:r>
          </w:p>
        </w:tc>
        <w:tc>
          <w:tcPr>
            <w:tcW w:w="2390" w:type="dxa"/>
          </w:tcPr>
          <w:p w14:paraId="4623FB8C" w14:textId="77777777" w:rsidR="00051257" w:rsidRPr="009315D1" w:rsidRDefault="00051257" w:rsidP="00296A4A">
            <w:pPr>
              <w:rPr>
                <w:rFonts w:ascii="Arial" w:hAnsi="Arial" w:cs="Arial"/>
              </w:rPr>
            </w:pPr>
            <w:r w:rsidRPr="009315D1">
              <w:rPr>
                <w:rFonts w:ascii="Arial" w:hAnsi="Arial" w:cs="Arial"/>
              </w:rPr>
              <w:t>Context: major gaps in collaboration and coordination between UNDP and UNIOGBIS.</w:t>
            </w:r>
          </w:p>
          <w:p w14:paraId="6D75FA08" w14:textId="77777777" w:rsidR="00051257" w:rsidRPr="009315D1" w:rsidRDefault="00051257" w:rsidP="00296A4A">
            <w:pPr>
              <w:rPr>
                <w:rFonts w:ascii="Arial" w:hAnsi="Arial" w:cs="Arial"/>
              </w:rPr>
            </w:pPr>
            <w:r w:rsidRPr="009315D1">
              <w:rPr>
                <w:rFonts w:ascii="Arial" w:hAnsi="Arial" w:cs="Arial"/>
              </w:rPr>
              <w:t xml:space="preserve">The </w:t>
            </w:r>
            <w:r w:rsidRPr="009315D1">
              <w:rPr>
                <w:rFonts w:ascii="Arial" w:hAnsi="Arial" w:cs="Arial"/>
                <w:color w:val="FF0000"/>
              </w:rPr>
              <w:t>RoL&amp;J project did not make use of the full potential of GFP</w:t>
            </w:r>
            <w:r w:rsidRPr="009315D1">
              <w:rPr>
                <w:rFonts w:ascii="Arial" w:hAnsi="Arial" w:cs="Arial"/>
              </w:rPr>
              <w:t xml:space="preserve">, </w:t>
            </w:r>
            <w:r w:rsidRPr="009315D1">
              <w:rPr>
                <w:rFonts w:ascii="Arial" w:hAnsi="Arial" w:cs="Arial"/>
                <w:color w:val="FF0000"/>
              </w:rPr>
              <w:t>which is both cause and consequence of the project being designed and implemented in a gap of joint ROL programming.</w:t>
            </w:r>
          </w:p>
          <w:p w14:paraId="6205EC61" w14:textId="77777777" w:rsidR="00051257" w:rsidRPr="009315D1" w:rsidRDefault="00051257" w:rsidP="00296A4A">
            <w:pPr>
              <w:rPr>
                <w:rFonts w:ascii="Arial" w:hAnsi="Arial" w:cs="Arial"/>
              </w:rPr>
            </w:pPr>
          </w:p>
          <w:p w14:paraId="184A3F99" w14:textId="77777777" w:rsidR="00051257" w:rsidRPr="009315D1" w:rsidRDefault="00051257" w:rsidP="00296A4A">
            <w:pPr>
              <w:rPr>
                <w:rFonts w:ascii="Arial" w:hAnsi="Arial" w:cs="Arial"/>
              </w:rPr>
            </w:pPr>
            <w:r w:rsidRPr="009315D1">
              <w:rPr>
                <w:rFonts w:ascii="Arial" w:hAnsi="Arial" w:cs="Arial"/>
              </w:rPr>
              <w:t>Ultimately, the RoL&amp;J, born of UNDP programmatic courage to keep continuity on access to justice and secure dividends on capacity building, helped to hold the ground for a robust, holistic intervention expected to start in 2017 under a joint UN programme</w:t>
            </w:r>
          </w:p>
        </w:tc>
      </w:tr>
      <w:tr w:rsidR="00051257" w:rsidRPr="009315D1" w14:paraId="1746D98D" w14:textId="77777777" w:rsidTr="00296A4A">
        <w:tc>
          <w:tcPr>
            <w:tcW w:w="1239" w:type="dxa"/>
          </w:tcPr>
          <w:p w14:paraId="28443C20" w14:textId="77777777" w:rsidR="00051257" w:rsidRPr="009315D1" w:rsidRDefault="00051257" w:rsidP="00296A4A">
            <w:pPr>
              <w:rPr>
                <w:rFonts w:ascii="Arial" w:hAnsi="Arial" w:cs="Arial"/>
              </w:rPr>
            </w:pPr>
            <w:r w:rsidRPr="009315D1">
              <w:rPr>
                <w:rFonts w:ascii="Arial" w:hAnsi="Arial" w:cs="Arial"/>
              </w:rPr>
              <w:t>Jordan, final project evaluation, 2017</w:t>
            </w:r>
          </w:p>
          <w:p w14:paraId="5CC36F11" w14:textId="77777777" w:rsidR="00051257" w:rsidRPr="009315D1" w:rsidRDefault="00051257" w:rsidP="00296A4A">
            <w:pPr>
              <w:rPr>
                <w:rFonts w:ascii="Arial" w:hAnsi="Arial" w:cs="Arial"/>
              </w:rPr>
            </w:pPr>
          </w:p>
        </w:tc>
        <w:tc>
          <w:tcPr>
            <w:tcW w:w="2083" w:type="dxa"/>
          </w:tcPr>
          <w:p w14:paraId="5088B80A" w14:textId="77777777" w:rsidR="00051257" w:rsidRPr="009315D1" w:rsidRDefault="00051257" w:rsidP="00296A4A">
            <w:pPr>
              <w:rPr>
                <w:rFonts w:ascii="Arial" w:hAnsi="Arial" w:cs="Arial"/>
              </w:rPr>
            </w:pPr>
            <w:r w:rsidRPr="009315D1">
              <w:rPr>
                <w:rFonts w:ascii="Arial" w:hAnsi="Arial" w:cs="Arial"/>
              </w:rPr>
              <w:t xml:space="preserve">Project on Enhancing community security and access to justice in host communities and other fragile areas 2015-18 - begun under GP Phase 2, </w:t>
            </w:r>
            <w:r w:rsidRPr="009315D1">
              <w:rPr>
                <w:rFonts w:ascii="Arial" w:hAnsi="Arial" w:cs="Arial"/>
                <w:color w:val="FF0000"/>
              </w:rPr>
              <w:t xml:space="preserve">developed and designed with support of GP, </w:t>
            </w:r>
            <w:r w:rsidRPr="009315D1">
              <w:rPr>
                <w:rFonts w:ascii="Arial" w:hAnsi="Arial" w:cs="Arial"/>
              </w:rPr>
              <w:t>seed fund $1M from BPPS</w:t>
            </w:r>
          </w:p>
        </w:tc>
        <w:tc>
          <w:tcPr>
            <w:tcW w:w="4238" w:type="dxa"/>
          </w:tcPr>
          <w:p w14:paraId="280941CF" w14:textId="77777777" w:rsidR="00051257" w:rsidRPr="009315D1" w:rsidRDefault="00051257" w:rsidP="00296A4A">
            <w:pPr>
              <w:rPr>
                <w:rFonts w:ascii="Arial" w:hAnsi="Arial" w:cs="Arial"/>
              </w:rPr>
            </w:pPr>
            <w:r w:rsidRPr="009315D1">
              <w:rPr>
                <w:rFonts w:ascii="Arial" w:hAnsi="Arial" w:cs="Arial"/>
              </w:rPr>
              <w:t>+ project has been flexible and politically aware</w:t>
            </w:r>
          </w:p>
          <w:p w14:paraId="062E6471" w14:textId="77777777" w:rsidR="00051257" w:rsidRPr="009315D1" w:rsidRDefault="00051257" w:rsidP="00296A4A">
            <w:pPr>
              <w:rPr>
                <w:rFonts w:ascii="Arial" w:hAnsi="Arial" w:cs="Arial"/>
              </w:rPr>
            </w:pPr>
            <w:r w:rsidRPr="009315D1">
              <w:rPr>
                <w:rFonts w:ascii="Arial" w:hAnsi="Arial" w:cs="Arial"/>
              </w:rPr>
              <w:t>+ some innovation observed</w:t>
            </w:r>
          </w:p>
          <w:p w14:paraId="3CCFE60B" w14:textId="77777777" w:rsidR="00051257" w:rsidRPr="009315D1" w:rsidRDefault="00051257" w:rsidP="00296A4A">
            <w:pPr>
              <w:rPr>
                <w:rFonts w:ascii="Arial" w:hAnsi="Arial" w:cs="Arial"/>
              </w:rPr>
            </w:pPr>
            <w:r w:rsidRPr="009315D1">
              <w:rPr>
                <w:rFonts w:ascii="Arial" w:hAnsi="Arial" w:cs="Arial"/>
              </w:rPr>
              <w:t>+ contributed to legal reform, vital role, and good results of direct service delivery, reduced barriers to women reporting abuse</w:t>
            </w:r>
          </w:p>
          <w:p w14:paraId="0EB9072B" w14:textId="120893E6" w:rsidR="00051257" w:rsidRPr="009315D1" w:rsidRDefault="00051257" w:rsidP="00296A4A">
            <w:pPr>
              <w:rPr>
                <w:rFonts w:ascii="Arial" w:hAnsi="Arial" w:cs="Arial"/>
              </w:rPr>
            </w:pPr>
            <w:r w:rsidRPr="009315D1">
              <w:rPr>
                <w:rFonts w:ascii="Arial" w:hAnsi="Arial" w:cs="Arial"/>
              </w:rPr>
              <w:t>+ security element has attracted new funding (</w:t>
            </w:r>
            <w:r w:rsidR="00571173">
              <w:rPr>
                <w:rFonts w:ascii="Arial" w:hAnsi="Arial" w:cs="Arial"/>
              </w:rPr>
              <w:t>$</w:t>
            </w:r>
            <w:r w:rsidRPr="009315D1">
              <w:rPr>
                <w:rFonts w:ascii="Arial" w:hAnsi="Arial" w:cs="Arial"/>
              </w:rPr>
              <w:t>15M, link to P</w:t>
            </w:r>
            <w:r w:rsidR="001A7F29">
              <w:rPr>
                <w:rFonts w:ascii="Arial" w:hAnsi="Arial" w:cs="Arial"/>
              </w:rPr>
              <w:t>-C</w:t>
            </w:r>
            <w:r w:rsidRPr="009315D1">
              <w:rPr>
                <w:rFonts w:ascii="Arial" w:hAnsi="Arial" w:cs="Arial"/>
              </w:rPr>
              <w:t>VE)</w:t>
            </w:r>
          </w:p>
          <w:p w14:paraId="6B54C7EC" w14:textId="77777777" w:rsidR="00051257" w:rsidRPr="009315D1" w:rsidRDefault="00051257" w:rsidP="00296A4A">
            <w:pPr>
              <w:rPr>
                <w:rFonts w:ascii="Arial" w:hAnsi="Arial" w:cs="Arial"/>
              </w:rPr>
            </w:pPr>
            <w:r w:rsidRPr="009315D1">
              <w:rPr>
                <w:rFonts w:ascii="Arial" w:hAnsi="Arial" w:cs="Arial"/>
              </w:rPr>
              <w:t>- limited programme management and oversight, components weakly linked, very scanty monitoring and reporting</w:t>
            </w:r>
          </w:p>
          <w:p w14:paraId="2E8697A1" w14:textId="77777777" w:rsidR="00051257" w:rsidRPr="009315D1" w:rsidRDefault="00051257" w:rsidP="00296A4A">
            <w:pPr>
              <w:rPr>
                <w:rFonts w:ascii="Arial" w:hAnsi="Arial" w:cs="Arial"/>
              </w:rPr>
            </w:pPr>
            <w:r w:rsidRPr="009315D1">
              <w:rPr>
                <w:rFonts w:ascii="Arial" w:hAnsi="Arial" w:cs="Arial"/>
              </w:rPr>
              <w:t>- A2J not well funded, had to scale back due to funding suspension, donors still focused on humanitarian side</w:t>
            </w:r>
          </w:p>
          <w:p w14:paraId="7C73CEBB" w14:textId="77777777" w:rsidR="00051257" w:rsidRPr="009315D1" w:rsidRDefault="00051257" w:rsidP="00296A4A">
            <w:pPr>
              <w:rPr>
                <w:rFonts w:ascii="Arial" w:hAnsi="Arial" w:cs="Arial"/>
              </w:rPr>
            </w:pPr>
            <w:r w:rsidRPr="009315D1">
              <w:rPr>
                <w:rFonts w:ascii="Arial" w:hAnsi="Arial" w:cs="Arial"/>
              </w:rPr>
              <w:t>* results on security hard to discern, as small player in big field, govt progress minimal but solid work with CSOs</w:t>
            </w:r>
          </w:p>
          <w:p w14:paraId="01CED493" w14:textId="77777777" w:rsidR="00051257" w:rsidRPr="009315D1" w:rsidRDefault="00051257" w:rsidP="00296A4A">
            <w:pPr>
              <w:rPr>
                <w:rFonts w:ascii="Arial" w:hAnsi="Arial" w:cs="Arial"/>
              </w:rPr>
            </w:pPr>
            <w:r w:rsidRPr="009315D1">
              <w:rPr>
                <w:rFonts w:ascii="Arial" w:hAnsi="Arial" w:cs="Arial"/>
              </w:rPr>
              <w:t>* coordination fine with UN Women and UNICEF, not good with UNODC, though also working on police</w:t>
            </w:r>
          </w:p>
        </w:tc>
        <w:tc>
          <w:tcPr>
            <w:tcW w:w="3512" w:type="dxa"/>
          </w:tcPr>
          <w:p w14:paraId="76BDA998" w14:textId="77777777" w:rsidR="00051257" w:rsidRPr="009315D1" w:rsidRDefault="00051257" w:rsidP="00296A4A">
            <w:pPr>
              <w:rPr>
                <w:rFonts w:ascii="Arial" w:hAnsi="Arial" w:cs="Arial"/>
              </w:rPr>
            </w:pPr>
            <w:r w:rsidRPr="009315D1">
              <w:rPr>
                <w:rFonts w:ascii="Arial" w:hAnsi="Arial" w:cs="Arial"/>
              </w:rPr>
              <w:t xml:space="preserve">* A2J needs more investment, to ensure progress is maintained </w:t>
            </w:r>
            <w:r w:rsidRPr="009315D1">
              <w:rPr>
                <w:rFonts w:ascii="Arial" w:hAnsi="Arial" w:cs="Arial"/>
                <w:color w:val="FF0000"/>
              </w:rPr>
              <w:t>(GP should fund since not priority for CO/donors)</w:t>
            </w:r>
          </w:p>
          <w:p w14:paraId="65203424" w14:textId="77777777" w:rsidR="00051257" w:rsidRPr="009315D1" w:rsidRDefault="00051257" w:rsidP="00296A4A">
            <w:pPr>
              <w:rPr>
                <w:rFonts w:ascii="Arial" w:hAnsi="Arial" w:cs="Arial"/>
              </w:rPr>
            </w:pPr>
            <w:r w:rsidRPr="009315D1">
              <w:rPr>
                <w:rFonts w:ascii="Arial" w:hAnsi="Arial" w:cs="Arial"/>
              </w:rPr>
              <w:t>* better stakeholder mapping</w:t>
            </w:r>
          </w:p>
          <w:p w14:paraId="1F7D26AA" w14:textId="77777777" w:rsidR="00051257" w:rsidRPr="009315D1" w:rsidRDefault="00051257" w:rsidP="00296A4A">
            <w:pPr>
              <w:rPr>
                <w:rFonts w:ascii="Arial" w:hAnsi="Arial" w:cs="Arial"/>
              </w:rPr>
            </w:pPr>
            <w:r w:rsidRPr="009315D1">
              <w:rPr>
                <w:rFonts w:ascii="Arial" w:hAnsi="Arial" w:cs="Arial"/>
              </w:rPr>
              <w:t>* link A2J and security components more strongly in design</w:t>
            </w:r>
          </w:p>
          <w:p w14:paraId="1F411C94" w14:textId="77777777" w:rsidR="00051257" w:rsidRPr="009315D1" w:rsidRDefault="00051257" w:rsidP="00296A4A">
            <w:pPr>
              <w:rPr>
                <w:rFonts w:ascii="Arial" w:hAnsi="Arial" w:cs="Arial"/>
              </w:rPr>
            </w:pPr>
            <w:r w:rsidRPr="009315D1">
              <w:rPr>
                <w:rFonts w:ascii="Arial" w:hAnsi="Arial" w:cs="Arial"/>
              </w:rPr>
              <w:t>* continue involvement in legal aid to mitigate ongoing risks and challenges on model</w:t>
            </w:r>
          </w:p>
          <w:p w14:paraId="1FF224EC" w14:textId="77777777" w:rsidR="00051257" w:rsidRPr="009315D1" w:rsidRDefault="00051257" w:rsidP="00296A4A">
            <w:pPr>
              <w:rPr>
                <w:rFonts w:ascii="Arial" w:hAnsi="Arial" w:cs="Arial"/>
              </w:rPr>
            </w:pPr>
            <w:r w:rsidRPr="009315D1">
              <w:rPr>
                <w:rFonts w:ascii="Arial" w:hAnsi="Arial" w:cs="Arial"/>
              </w:rPr>
              <w:t>* restrict size of future programming to be manageable by small team</w:t>
            </w:r>
          </w:p>
          <w:p w14:paraId="277F2C55" w14:textId="77777777" w:rsidR="00051257" w:rsidRPr="009315D1" w:rsidRDefault="00051257" w:rsidP="00296A4A">
            <w:pPr>
              <w:rPr>
                <w:rFonts w:ascii="Arial" w:hAnsi="Arial" w:cs="Arial"/>
              </w:rPr>
            </w:pPr>
            <w:r w:rsidRPr="009315D1">
              <w:rPr>
                <w:rFonts w:ascii="Arial" w:hAnsi="Arial" w:cs="Arial"/>
              </w:rPr>
              <w:t>* continue support to CBOs to develop capacity, be able to deliver ongoing services</w:t>
            </w:r>
          </w:p>
          <w:p w14:paraId="54D46E01" w14:textId="77777777" w:rsidR="00051257" w:rsidRPr="009315D1" w:rsidRDefault="00051257" w:rsidP="00296A4A">
            <w:pPr>
              <w:rPr>
                <w:rFonts w:ascii="Arial" w:hAnsi="Arial" w:cs="Arial"/>
                <w:color w:val="FF0000"/>
              </w:rPr>
            </w:pPr>
            <w:r w:rsidRPr="009315D1">
              <w:rPr>
                <w:rFonts w:ascii="Arial" w:hAnsi="Arial" w:cs="Arial"/>
                <w:color w:val="FF0000"/>
              </w:rPr>
              <w:t>* the area most in need of greater effort and investment is monitoring of project outcomes - GP requests for info were not met, led to funding cuts</w:t>
            </w:r>
          </w:p>
          <w:p w14:paraId="748CEDE2" w14:textId="77777777" w:rsidR="00051257" w:rsidRPr="009315D1" w:rsidRDefault="00051257" w:rsidP="00296A4A">
            <w:pPr>
              <w:rPr>
                <w:rFonts w:ascii="Arial" w:hAnsi="Arial" w:cs="Arial"/>
              </w:rPr>
            </w:pPr>
            <w:r w:rsidRPr="009315D1">
              <w:rPr>
                <w:rFonts w:ascii="Arial" w:hAnsi="Arial" w:cs="Arial"/>
                <w:i/>
                <w:iCs/>
                <w:color w:val="FF0000"/>
              </w:rPr>
              <w:t xml:space="preserve">* </w:t>
            </w:r>
            <w:r w:rsidRPr="009315D1">
              <w:rPr>
                <w:rFonts w:ascii="Arial" w:hAnsi="Arial" w:cs="Arial"/>
                <w:color w:val="FF0000"/>
              </w:rPr>
              <w:t>GP should consider strengthening its capability to provide programme management expertise to support country teams. GP provides clear capability to design and assessment phases, but has not consistently supported implementation as successfully.</w:t>
            </w:r>
          </w:p>
        </w:tc>
        <w:tc>
          <w:tcPr>
            <w:tcW w:w="2390" w:type="dxa"/>
          </w:tcPr>
          <w:p w14:paraId="5D8EE8EB" w14:textId="77777777" w:rsidR="00051257" w:rsidRPr="009315D1" w:rsidRDefault="00051257" w:rsidP="00296A4A">
            <w:pPr>
              <w:rPr>
                <w:rFonts w:ascii="Arial" w:hAnsi="Arial" w:cs="Arial"/>
              </w:rPr>
            </w:pPr>
            <w:r w:rsidRPr="009315D1">
              <w:rPr>
                <w:rFonts w:ascii="Arial" w:hAnsi="Arial" w:cs="Arial"/>
              </w:rPr>
              <w:t>ISSAT uses TOC approach – able to reconstruct, but not used by team to guide project, and reality did not match original TOC, not updated</w:t>
            </w:r>
          </w:p>
          <w:p w14:paraId="4E8A55EA" w14:textId="77777777" w:rsidR="00051257" w:rsidRPr="009315D1" w:rsidRDefault="00051257" w:rsidP="00296A4A">
            <w:pPr>
              <w:rPr>
                <w:rFonts w:ascii="Arial" w:hAnsi="Arial" w:cs="Arial"/>
              </w:rPr>
            </w:pPr>
          </w:p>
          <w:p w14:paraId="2C0EC3FB" w14:textId="77777777" w:rsidR="00051257" w:rsidRPr="009315D1" w:rsidRDefault="00051257" w:rsidP="00296A4A">
            <w:pPr>
              <w:rPr>
                <w:rFonts w:ascii="Arial" w:hAnsi="Arial" w:cs="Arial"/>
                <w:color w:val="FF0000"/>
              </w:rPr>
            </w:pPr>
            <w:r w:rsidRPr="009315D1">
              <w:rPr>
                <w:rFonts w:ascii="Arial" w:hAnsi="Arial" w:cs="Arial"/>
                <w:color w:val="FF0000"/>
              </w:rPr>
              <w:t xml:space="preserve">GP commended for supporting push for access to justice and assisting the CO in developing and implementing a programme beyond focus on humanitarian crisis. </w:t>
            </w:r>
          </w:p>
          <w:p w14:paraId="4D814315" w14:textId="77777777" w:rsidR="00051257" w:rsidRPr="009315D1" w:rsidRDefault="00051257" w:rsidP="00296A4A">
            <w:pPr>
              <w:rPr>
                <w:rFonts w:ascii="Arial" w:hAnsi="Arial" w:cs="Arial"/>
                <w:color w:val="FF0000"/>
              </w:rPr>
            </w:pPr>
          </w:p>
          <w:p w14:paraId="72F760BB" w14:textId="77777777" w:rsidR="00051257" w:rsidRPr="009315D1" w:rsidRDefault="00051257" w:rsidP="00296A4A">
            <w:pPr>
              <w:rPr>
                <w:rFonts w:ascii="Arial" w:hAnsi="Arial" w:cs="Arial"/>
              </w:rPr>
            </w:pPr>
            <w:r w:rsidRPr="009315D1">
              <w:rPr>
                <w:rFonts w:ascii="Arial" w:hAnsi="Arial" w:cs="Arial"/>
                <w:color w:val="FF0000"/>
              </w:rPr>
              <w:t>Seed funding from BPPS worked well as catalyst for security elements of project due to context, though A2J work was generally more effective</w:t>
            </w:r>
          </w:p>
        </w:tc>
      </w:tr>
      <w:tr w:rsidR="00051257" w:rsidRPr="009315D1" w14:paraId="73007BD7" w14:textId="77777777" w:rsidTr="00296A4A">
        <w:tc>
          <w:tcPr>
            <w:tcW w:w="1239" w:type="dxa"/>
          </w:tcPr>
          <w:p w14:paraId="1414B431" w14:textId="77777777" w:rsidR="00051257" w:rsidRPr="009315D1" w:rsidRDefault="00051257" w:rsidP="00296A4A">
            <w:pPr>
              <w:rPr>
                <w:rFonts w:ascii="Arial" w:hAnsi="Arial" w:cs="Arial"/>
              </w:rPr>
            </w:pPr>
            <w:r w:rsidRPr="009315D1">
              <w:rPr>
                <w:rFonts w:ascii="Arial" w:hAnsi="Arial" w:cs="Arial"/>
              </w:rPr>
              <w:t>CAR, mid- term project evaluation,</w:t>
            </w:r>
          </w:p>
          <w:p w14:paraId="79517797" w14:textId="77777777" w:rsidR="00051257" w:rsidRPr="009315D1" w:rsidRDefault="00051257" w:rsidP="00296A4A">
            <w:pPr>
              <w:rPr>
                <w:rFonts w:ascii="Arial" w:hAnsi="Arial" w:cs="Arial"/>
              </w:rPr>
            </w:pPr>
            <w:r w:rsidRPr="009315D1">
              <w:rPr>
                <w:rFonts w:ascii="Arial" w:hAnsi="Arial" w:cs="Arial"/>
              </w:rPr>
              <w:t>2018</w:t>
            </w:r>
          </w:p>
        </w:tc>
        <w:tc>
          <w:tcPr>
            <w:tcW w:w="2083" w:type="dxa"/>
          </w:tcPr>
          <w:p w14:paraId="4565DA1C" w14:textId="7A488444" w:rsidR="00051257" w:rsidRPr="009315D1" w:rsidRDefault="00051257" w:rsidP="00296A4A">
            <w:pPr>
              <w:rPr>
                <w:rFonts w:ascii="Arial" w:hAnsi="Arial" w:cs="Arial"/>
              </w:rPr>
            </w:pPr>
            <w:r w:rsidRPr="009315D1">
              <w:rPr>
                <w:rFonts w:ascii="Arial" w:hAnsi="Arial" w:cs="Arial"/>
              </w:rPr>
              <w:t>Joint Project of Support to Special Criminal Court (CPS) - UNDP, MINUSCA</w:t>
            </w:r>
            <w:r w:rsidR="00571173">
              <w:rPr>
                <w:rStyle w:val="FootnoteReference"/>
                <w:rFonts w:ascii="Arial" w:hAnsi="Arial" w:cs="Arial"/>
              </w:rPr>
              <w:footnoteReference w:id="24"/>
            </w:r>
            <w:r w:rsidRPr="009315D1">
              <w:rPr>
                <w:rFonts w:ascii="Arial" w:hAnsi="Arial" w:cs="Arial"/>
              </w:rPr>
              <w:t xml:space="preserve">, UN Women and </w:t>
            </w:r>
            <w:r w:rsidR="00571173">
              <w:rPr>
                <w:rFonts w:ascii="Arial" w:hAnsi="Arial" w:cs="Arial"/>
              </w:rPr>
              <w:t>UN Volunteers (</w:t>
            </w:r>
            <w:r w:rsidRPr="009315D1">
              <w:rPr>
                <w:rFonts w:ascii="Arial" w:hAnsi="Arial" w:cs="Arial"/>
              </w:rPr>
              <w:t>UNV</w:t>
            </w:r>
            <w:r w:rsidR="00571173">
              <w:rPr>
                <w:rFonts w:ascii="Arial" w:hAnsi="Arial" w:cs="Arial"/>
              </w:rPr>
              <w:t>)</w:t>
            </w:r>
            <w:r w:rsidRPr="009315D1">
              <w:rPr>
                <w:rFonts w:ascii="Arial" w:hAnsi="Arial" w:cs="Arial"/>
              </w:rPr>
              <w:t xml:space="preserve">, mid term evaluation mandated by UNDP CAR, focus on 2016-2018  </w:t>
            </w:r>
          </w:p>
        </w:tc>
        <w:tc>
          <w:tcPr>
            <w:tcW w:w="4238" w:type="dxa"/>
          </w:tcPr>
          <w:p w14:paraId="6F6D408E" w14:textId="77777777" w:rsidR="00051257" w:rsidRPr="009315D1" w:rsidRDefault="00051257" w:rsidP="00296A4A">
            <w:pPr>
              <w:rPr>
                <w:rFonts w:ascii="Arial" w:hAnsi="Arial" w:cs="Arial"/>
              </w:rPr>
            </w:pPr>
            <w:r w:rsidRPr="009315D1">
              <w:rPr>
                <w:rFonts w:ascii="Arial" w:hAnsi="Arial" w:cs="Arial"/>
              </w:rPr>
              <w:t>+ highly relevant objectives</w:t>
            </w:r>
          </w:p>
          <w:p w14:paraId="4D52865D" w14:textId="77777777" w:rsidR="00051257" w:rsidRPr="009315D1" w:rsidRDefault="00051257" w:rsidP="00296A4A">
            <w:pPr>
              <w:rPr>
                <w:rFonts w:ascii="Arial" w:hAnsi="Arial" w:cs="Arial"/>
              </w:rPr>
            </w:pPr>
            <w:r w:rsidRPr="009315D1">
              <w:rPr>
                <w:rFonts w:ascii="Arial" w:hAnsi="Arial" w:cs="Arial"/>
              </w:rPr>
              <w:t>+ activities have been completed or are underway</w:t>
            </w:r>
          </w:p>
          <w:p w14:paraId="71F98482" w14:textId="77777777" w:rsidR="00051257" w:rsidRPr="009315D1" w:rsidRDefault="00051257" w:rsidP="00296A4A">
            <w:pPr>
              <w:rPr>
                <w:rFonts w:ascii="Arial" w:hAnsi="Arial" w:cs="Arial"/>
              </w:rPr>
            </w:pPr>
            <w:r w:rsidRPr="009315D1">
              <w:rPr>
                <w:rFonts w:ascii="Arial" w:hAnsi="Arial" w:cs="Arial"/>
              </w:rPr>
              <w:t>+ good results considering the difficult operating conditions</w:t>
            </w:r>
          </w:p>
          <w:p w14:paraId="0C5D708E" w14:textId="77777777" w:rsidR="00051257" w:rsidRPr="009315D1" w:rsidRDefault="00051257" w:rsidP="00296A4A">
            <w:pPr>
              <w:rPr>
                <w:rFonts w:ascii="Arial" w:hAnsi="Arial" w:cs="Arial"/>
              </w:rPr>
            </w:pPr>
            <w:r w:rsidRPr="009315D1">
              <w:rPr>
                <w:rFonts w:ascii="Arial" w:hAnsi="Arial" w:cs="Arial"/>
              </w:rPr>
              <w:t>+ positive signs for sustainability, linked to civil society and capacity building of judges</w:t>
            </w:r>
          </w:p>
          <w:p w14:paraId="77B3BED7" w14:textId="77777777" w:rsidR="00051257" w:rsidRPr="009315D1" w:rsidRDefault="00051257" w:rsidP="00296A4A">
            <w:pPr>
              <w:rPr>
                <w:rFonts w:ascii="Arial" w:hAnsi="Arial" w:cs="Arial"/>
              </w:rPr>
            </w:pPr>
            <w:r w:rsidRPr="009315D1">
              <w:rPr>
                <w:rFonts w:ascii="Arial" w:hAnsi="Arial" w:cs="Arial"/>
              </w:rPr>
              <w:t>- lack of flexibility/adaptation could be obstacle for future functioning of court (first part of project focused on establishment)</w:t>
            </w:r>
          </w:p>
          <w:p w14:paraId="45AD3458" w14:textId="77777777" w:rsidR="00051257" w:rsidRPr="009315D1" w:rsidRDefault="00051257" w:rsidP="00296A4A">
            <w:pPr>
              <w:rPr>
                <w:rFonts w:ascii="Arial" w:hAnsi="Arial" w:cs="Arial"/>
              </w:rPr>
            </w:pPr>
            <w:r w:rsidRPr="009315D1">
              <w:rPr>
                <w:rFonts w:ascii="Arial" w:hAnsi="Arial" w:cs="Arial"/>
              </w:rPr>
              <w:t>- autonomy of court is questionable…</w:t>
            </w:r>
          </w:p>
          <w:p w14:paraId="20BDDFB9" w14:textId="77777777" w:rsidR="00051257" w:rsidRPr="009315D1" w:rsidRDefault="00051257" w:rsidP="00296A4A">
            <w:pPr>
              <w:rPr>
                <w:rFonts w:ascii="Arial" w:hAnsi="Arial" w:cs="Arial"/>
              </w:rPr>
            </w:pPr>
            <w:r w:rsidRPr="009315D1">
              <w:rPr>
                <w:rFonts w:ascii="Arial" w:hAnsi="Arial" w:cs="Arial"/>
              </w:rPr>
              <w:t xml:space="preserve">- management and monitoring are weak in generating knowledge for strategy </w:t>
            </w:r>
          </w:p>
          <w:p w14:paraId="2F3C8830" w14:textId="77777777" w:rsidR="00051257" w:rsidRPr="009315D1" w:rsidRDefault="00051257" w:rsidP="00296A4A">
            <w:pPr>
              <w:rPr>
                <w:rFonts w:ascii="Arial" w:hAnsi="Arial" w:cs="Arial"/>
              </w:rPr>
            </w:pPr>
            <w:r w:rsidRPr="009315D1">
              <w:rPr>
                <w:rFonts w:ascii="Arial" w:hAnsi="Arial" w:cs="Arial"/>
              </w:rPr>
              <w:t>- problems of staffing, delays</w:t>
            </w:r>
          </w:p>
          <w:p w14:paraId="404153F5" w14:textId="77777777" w:rsidR="00051257" w:rsidRPr="009315D1" w:rsidRDefault="00051257" w:rsidP="00296A4A">
            <w:pPr>
              <w:rPr>
                <w:rFonts w:ascii="Arial" w:hAnsi="Arial" w:cs="Arial"/>
              </w:rPr>
            </w:pPr>
            <w:r w:rsidRPr="009315D1">
              <w:rPr>
                <w:rFonts w:ascii="Arial" w:hAnsi="Arial" w:cs="Arial"/>
              </w:rPr>
              <w:t xml:space="preserve">- coordination very poor, no clear division of responsibilities, overlaps, some due to different visions of partners, lack of clear theory of change at MINUSCA and UNDP, gaps in info sharing, etc. </w:t>
            </w:r>
          </w:p>
          <w:p w14:paraId="253EB286" w14:textId="77777777" w:rsidR="00051257" w:rsidRPr="009315D1" w:rsidRDefault="00051257" w:rsidP="00296A4A">
            <w:pPr>
              <w:rPr>
                <w:rFonts w:ascii="Arial" w:hAnsi="Arial" w:cs="Arial"/>
                <w:color w:val="FF0000"/>
              </w:rPr>
            </w:pPr>
            <w:r w:rsidRPr="009315D1">
              <w:rPr>
                <w:rFonts w:ascii="Arial" w:hAnsi="Arial" w:cs="Arial"/>
                <w:color w:val="FF0000"/>
              </w:rPr>
              <w:t>+ Value added by GP is evident in the area of advocacy and mobilization of resources at international level</w:t>
            </w:r>
          </w:p>
          <w:p w14:paraId="71539452" w14:textId="77777777" w:rsidR="00051257" w:rsidRPr="009315D1" w:rsidRDefault="00051257" w:rsidP="00296A4A">
            <w:pPr>
              <w:rPr>
                <w:rFonts w:ascii="Arial" w:hAnsi="Arial" w:cs="Arial"/>
              </w:rPr>
            </w:pPr>
            <w:r w:rsidRPr="009315D1">
              <w:rPr>
                <w:rFonts w:ascii="Arial" w:hAnsi="Arial" w:cs="Arial"/>
                <w:color w:val="FF0000"/>
              </w:rPr>
              <w:t xml:space="preserve">* Support by GP is less clear at country level, as no activities were directly funded, and stakeholders were not able to mention any effect on coherence and knowledge management </w:t>
            </w:r>
          </w:p>
        </w:tc>
        <w:tc>
          <w:tcPr>
            <w:tcW w:w="3512" w:type="dxa"/>
          </w:tcPr>
          <w:p w14:paraId="2E6DFF3B" w14:textId="77777777" w:rsidR="00051257" w:rsidRPr="009315D1" w:rsidRDefault="00051257" w:rsidP="00296A4A">
            <w:pPr>
              <w:pStyle w:val="Default"/>
              <w:rPr>
                <w:rFonts w:ascii="Arial" w:hAnsi="Arial" w:cs="Arial"/>
                <w:sz w:val="20"/>
                <w:szCs w:val="20"/>
              </w:rPr>
            </w:pPr>
            <w:r w:rsidRPr="009315D1">
              <w:rPr>
                <w:rFonts w:ascii="Arial" w:hAnsi="Arial" w:cs="Arial"/>
                <w:sz w:val="20"/>
                <w:szCs w:val="20"/>
                <w:lang w:val="en"/>
              </w:rPr>
              <w:t>* Develop a common strategic approach - a joint annual UNDP-MINUSCA-UNV-UN Women-UNODC roadmap (with role allocation)</w:t>
            </w:r>
          </w:p>
          <w:p w14:paraId="4CE55492" w14:textId="77777777" w:rsidR="00051257" w:rsidRPr="009315D1" w:rsidRDefault="00051257" w:rsidP="00296A4A">
            <w:pPr>
              <w:pStyle w:val="Default"/>
              <w:rPr>
                <w:rFonts w:ascii="Arial" w:hAnsi="Arial" w:cs="Arial"/>
                <w:sz w:val="20"/>
                <w:szCs w:val="20"/>
              </w:rPr>
            </w:pPr>
            <w:r w:rsidRPr="009315D1">
              <w:rPr>
                <w:rFonts w:ascii="Arial" w:hAnsi="Arial" w:cs="Arial"/>
                <w:b/>
                <w:bCs/>
                <w:sz w:val="20"/>
                <w:szCs w:val="20"/>
              </w:rPr>
              <w:t xml:space="preserve">* </w:t>
            </w:r>
            <w:r w:rsidRPr="009315D1">
              <w:rPr>
                <w:rFonts w:ascii="Arial" w:hAnsi="Arial" w:cs="Arial"/>
                <w:sz w:val="20"/>
                <w:szCs w:val="20"/>
              </w:rPr>
              <w:t>Broaden governance structure of the special court beyond UN entities, engage local justice actors more actively, and develop handover strategy for longer term continuity</w:t>
            </w:r>
          </w:p>
          <w:p w14:paraId="14EA5296" w14:textId="77777777" w:rsidR="00051257" w:rsidRPr="009315D1" w:rsidRDefault="00051257" w:rsidP="00296A4A">
            <w:pPr>
              <w:pStyle w:val="Default"/>
              <w:rPr>
                <w:rFonts w:ascii="Arial" w:hAnsi="Arial" w:cs="Arial"/>
                <w:sz w:val="20"/>
                <w:szCs w:val="20"/>
              </w:rPr>
            </w:pPr>
            <w:r w:rsidRPr="009315D1">
              <w:rPr>
                <w:rFonts w:ascii="Arial" w:hAnsi="Arial" w:cs="Arial"/>
                <w:sz w:val="20"/>
                <w:szCs w:val="20"/>
              </w:rPr>
              <w:t>* Clarify the role and responsibilities of project partner</w:t>
            </w:r>
          </w:p>
          <w:p w14:paraId="7C6F0D65" w14:textId="77777777" w:rsidR="00051257" w:rsidRPr="009315D1" w:rsidRDefault="00051257" w:rsidP="00296A4A">
            <w:pPr>
              <w:pStyle w:val="Default"/>
              <w:rPr>
                <w:rFonts w:ascii="Arial" w:hAnsi="Arial" w:cs="Arial"/>
                <w:sz w:val="20"/>
                <w:szCs w:val="20"/>
              </w:rPr>
            </w:pPr>
            <w:r w:rsidRPr="009315D1">
              <w:rPr>
                <w:rFonts w:ascii="Arial" w:hAnsi="Arial" w:cs="Arial"/>
                <w:sz w:val="20"/>
                <w:szCs w:val="20"/>
              </w:rPr>
              <w:t>* Restore strategic role of the project's governance bodies</w:t>
            </w:r>
          </w:p>
          <w:p w14:paraId="4B61D1C7" w14:textId="77777777" w:rsidR="00051257" w:rsidRPr="009315D1" w:rsidRDefault="00051257" w:rsidP="00296A4A">
            <w:pPr>
              <w:pStyle w:val="Default"/>
              <w:rPr>
                <w:rFonts w:ascii="Arial" w:hAnsi="Arial" w:cs="Arial"/>
                <w:sz w:val="20"/>
                <w:szCs w:val="20"/>
              </w:rPr>
            </w:pPr>
            <w:r w:rsidRPr="009315D1">
              <w:rPr>
                <w:rFonts w:ascii="Arial" w:hAnsi="Arial" w:cs="Arial"/>
                <w:sz w:val="20"/>
                <w:szCs w:val="20"/>
              </w:rPr>
              <w:t>* Review and formalize planning, monitoring and reporting mechanisms - strengthening information sharing and indicators</w:t>
            </w:r>
          </w:p>
          <w:p w14:paraId="02B9A354" w14:textId="77777777" w:rsidR="00051257" w:rsidRPr="009315D1" w:rsidRDefault="00051257" w:rsidP="00296A4A">
            <w:pPr>
              <w:pStyle w:val="Default"/>
              <w:rPr>
                <w:rFonts w:ascii="Arial" w:hAnsi="Arial" w:cs="Arial"/>
                <w:sz w:val="20"/>
                <w:szCs w:val="20"/>
              </w:rPr>
            </w:pPr>
            <w:r w:rsidRPr="009315D1">
              <w:rPr>
                <w:rFonts w:ascii="Arial" w:hAnsi="Arial" w:cs="Arial"/>
                <w:sz w:val="20"/>
                <w:szCs w:val="20"/>
              </w:rPr>
              <w:t>* Develop a strategy to strengthen impact of the project on the wider justice system to prevent the court's isolation</w:t>
            </w:r>
          </w:p>
          <w:p w14:paraId="26BB6D70" w14:textId="77777777" w:rsidR="00051257" w:rsidRPr="009315D1" w:rsidRDefault="00051257" w:rsidP="00296A4A">
            <w:pPr>
              <w:pStyle w:val="Default"/>
              <w:rPr>
                <w:rFonts w:ascii="Arial" w:hAnsi="Arial" w:cs="Arial"/>
                <w:sz w:val="20"/>
                <w:szCs w:val="20"/>
              </w:rPr>
            </w:pPr>
            <w:r w:rsidRPr="009315D1">
              <w:rPr>
                <w:rFonts w:ascii="Arial" w:hAnsi="Arial" w:cs="Arial"/>
                <w:sz w:val="20"/>
                <w:szCs w:val="20"/>
              </w:rPr>
              <w:t>* Strengthen the role of the court itself in project, to become a full-fledged player rather than mere beneficiary</w:t>
            </w:r>
          </w:p>
        </w:tc>
        <w:tc>
          <w:tcPr>
            <w:tcW w:w="2390" w:type="dxa"/>
          </w:tcPr>
          <w:p w14:paraId="7F6223B3" w14:textId="77777777" w:rsidR="00051257" w:rsidRPr="009315D1" w:rsidRDefault="00051257" w:rsidP="00296A4A">
            <w:pPr>
              <w:pStyle w:val="Default"/>
              <w:rPr>
                <w:rFonts w:ascii="Arial" w:hAnsi="Arial" w:cs="Arial"/>
                <w:color w:val="FF0000"/>
                <w:sz w:val="20"/>
                <w:szCs w:val="20"/>
              </w:rPr>
            </w:pPr>
            <w:r w:rsidRPr="009315D1">
              <w:rPr>
                <w:rFonts w:ascii="Arial" w:hAnsi="Arial" w:cs="Arial"/>
                <w:color w:val="FF0000"/>
                <w:sz w:val="20"/>
                <w:szCs w:val="20"/>
                <w:lang w:val="en"/>
              </w:rPr>
              <w:t xml:space="preserve">Interviews showed difficulty for stakeholders to identify precisely what the GP is, its role and its added value. </w:t>
            </w:r>
          </w:p>
        </w:tc>
      </w:tr>
      <w:tr w:rsidR="00051257" w:rsidRPr="009315D1" w14:paraId="69A5A513" w14:textId="77777777" w:rsidTr="00296A4A">
        <w:tc>
          <w:tcPr>
            <w:tcW w:w="1239" w:type="dxa"/>
          </w:tcPr>
          <w:p w14:paraId="749BE402" w14:textId="77777777" w:rsidR="00051257" w:rsidRPr="009315D1" w:rsidRDefault="00051257" w:rsidP="00296A4A">
            <w:pPr>
              <w:rPr>
                <w:rFonts w:ascii="Arial" w:hAnsi="Arial" w:cs="Arial"/>
              </w:rPr>
            </w:pPr>
            <w:r w:rsidRPr="009315D1">
              <w:rPr>
                <w:rFonts w:ascii="Arial" w:hAnsi="Arial" w:cs="Arial"/>
              </w:rPr>
              <w:t>Colombia, meta-evaluation of portfolio, 2018</w:t>
            </w:r>
          </w:p>
        </w:tc>
        <w:tc>
          <w:tcPr>
            <w:tcW w:w="2083" w:type="dxa"/>
          </w:tcPr>
          <w:p w14:paraId="1B871924" w14:textId="77777777" w:rsidR="00051257" w:rsidRPr="009315D1" w:rsidRDefault="00051257" w:rsidP="00296A4A">
            <w:pPr>
              <w:pStyle w:val="Default"/>
              <w:rPr>
                <w:rFonts w:ascii="Arial" w:hAnsi="Arial" w:cs="Arial"/>
                <w:sz w:val="20"/>
                <w:szCs w:val="20"/>
              </w:rPr>
            </w:pPr>
            <w:r w:rsidRPr="009315D1">
              <w:rPr>
                <w:rFonts w:ascii="Arial" w:hAnsi="Arial" w:cs="Arial"/>
                <w:sz w:val="20"/>
                <w:szCs w:val="20"/>
              </w:rPr>
              <w:t xml:space="preserve">Rule of Law components of UNDP Country Programme (2015-19 cycle), on strategic level, considering 13 projects and programmes. Remit includes: </w:t>
            </w:r>
          </w:p>
          <w:p w14:paraId="28DC29A9" w14:textId="77777777" w:rsidR="00051257" w:rsidRPr="009315D1" w:rsidRDefault="00051257" w:rsidP="00296A4A">
            <w:pPr>
              <w:autoSpaceDE w:val="0"/>
              <w:autoSpaceDN w:val="0"/>
              <w:adjustRightInd w:val="0"/>
              <w:rPr>
                <w:rFonts w:ascii="Arial" w:hAnsi="Arial" w:cs="Arial"/>
                <w:color w:val="000000"/>
              </w:rPr>
            </w:pPr>
            <w:r w:rsidRPr="009315D1">
              <w:rPr>
                <w:rFonts w:ascii="Arial" w:hAnsi="Arial" w:cs="Arial"/>
                <w:color w:val="FF0000"/>
              </w:rPr>
              <w:t xml:space="preserve">“Analyse the extent to which GP efforts improved implementation of ROL projects” </w:t>
            </w:r>
          </w:p>
        </w:tc>
        <w:tc>
          <w:tcPr>
            <w:tcW w:w="4238" w:type="dxa"/>
          </w:tcPr>
          <w:p w14:paraId="2136F8FC" w14:textId="77777777" w:rsidR="00051257" w:rsidRPr="009315D1" w:rsidRDefault="00051257" w:rsidP="00296A4A">
            <w:pPr>
              <w:rPr>
                <w:rFonts w:ascii="Arial" w:hAnsi="Arial" w:cs="Arial"/>
              </w:rPr>
            </w:pPr>
            <w:r w:rsidRPr="009315D1">
              <w:rPr>
                <w:rFonts w:ascii="Arial" w:hAnsi="Arial" w:cs="Arial"/>
              </w:rPr>
              <w:t>+ Overall programme has achieved a remarkable amount within limited period. The design and steering of projects show awareness of political landscape</w:t>
            </w:r>
          </w:p>
          <w:p w14:paraId="54FAA50D" w14:textId="77777777" w:rsidR="00051257" w:rsidRPr="009315D1" w:rsidRDefault="00051257" w:rsidP="00296A4A">
            <w:pPr>
              <w:rPr>
                <w:rFonts w:ascii="Arial" w:hAnsi="Arial" w:cs="Arial"/>
              </w:rPr>
            </w:pPr>
            <w:r w:rsidRPr="009315D1">
              <w:rPr>
                <w:rFonts w:ascii="Arial" w:hAnsi="Arial" w:cs="Arial"/>
              </w:rPr>
              <w:t>+ UNDP support to changes in policy and legislation or to development of normative and institutional frameworks</w:t>
            </w:r>
          </w:p>
          <w:p w14:paraId="2E9AC4D5" w14:textId="77777777" w:rsidR="00051257" w:rsidRPr="009315D1" w:rsidRDefault="00051257" w:rsidP="00296A4A">
            <w:pPr>
              <w:rPr>
                <w:rFonts w:ascii="Arial" w:hAnsi="Arial" w:cs="Arial"/>
              </w:rPr>
            </w:pPr>
            <w:r w:rsidRPr="009315D1">
              <w:rPr>
                <w:rFonts w:ascii="Arial" w:hAnsi="Arial" w:cs="Arial"/>
              </w:rPr>
              <w:t>+ coherent holistic approach, relevant to context and adaptable</w:t>
            </w:r>
          </w:p>
          <w:p w14:paraId="027DE272" w14:textId="77777777" w:rsidR="00051257" w:rsidRPr="009315D1" w:rsidRDefault="00051257" w:rsidP="00296A4A">
            <w:pPr>
              <w:rPr>
                <w:rFonts w:ascii="Arial" w:hAnsi="Arial" w:cs="Arial"/>
              </w:rPr>
            </w:pPr>
            <w:r w:rsidRPr="009315D1">
              <w:rPr>
                <w:rFonts w:ascii="Arial" w:hAnsi="Arial" w:cs="Arial"/>
              </w:rPr>
              <w:t>+ intervention contributed to linkages across peacebuilding initiatives at local level, mainly involving civil society and local government, and national level</w:t>
            </w:r>
          </w:p>
          <w:p w14:paraId="3264D255" w14:textId="77777777" w:rsidR="00051257" w:rsidRPr="009315D1" w:rsidRDefault="00051257" w:rsidP="00296A4A">
            <w:pPr>
              <w:rPr>
                <w:rFonts w:ascii="Arial" w:hAnsi="Arial" w:cs="Arial"/>
              </w:rPr>
            </w:pPr>
            <w:r w:rsidRPr="009315D1">
              <w:rPr>
                <w:rFonts w:ascii="Arial" w:hAnsi="Arial" w:cs="Arial"/>
              </w:rPr>
              <w:t>- lack of overarching strategy for complex reasons, affected learning processes</w:t>
            </w:r>
          </w:p>
          <w:p w14:paraId="60E5D315" w14:textId="77777777" w:rsidR="00051257" w:rsidRPr="009315D1" w:rsidRDefault="00051257" w:rsidP="00296A4A">
            <w:pPr>
              <w:rPr>
                <w:rFonts w:ascii="Arial" w:hAnsi="Arial" w:cs="Arial"/>
              </w:rPr>
            </w:pPr>
            <w:r w:rsidRPr="009315D1">
              <w:rPr>
                <w:rFonts w:ascii="Arial" w:hAnsi="Arial" w:cs="Arial"/>
                <w:color w:val="000000" w:themeColor="text1"/>
              </w:rPr>
              <w:t>- unclear whether the current set of activities can be scaled up into a coherent new system of restorative justice</w:t>
            </w:r>
          </w:p>
          <w:p w14:paraId="6BDFB30E" w14:textId="77777777" w:rsidR="00051257" w:rsidRPr="009315D1" w:rsidRDefault="00051257" w:rsidP="00296A4A">
            <w:pPr>
              <w:rPr>
                <w:rFonts w:ascii="Arial" w:hAnsi="Arial" w:cs="Arial"/>
              </w:rPr>
            </w:pPr>
            <w:r w:rsidRPr="009315D1">
              <w:rPr>
                <w:rFonts w:ascii="Arial" w:hAnsi="Arial" w:cs="Arial"/>
              </w:rPr>
              <w:t>- weak linkages among various projects in portfolio, operating in siloes</w:t>
            </w:r>
          </w:p>
          <w:p w14:paraId="7FE50589" w14:textId="77777777" w:rsidR="00051257" w:rsidRPr="009315D1" w:rsidRDefault="00051257" w:rsidP="00296A4A">
            <w:pPr>
              <w:rPr>
                <w:rFonts w:ascii="Arial" w:hAnsi="Arial" w:cs="Arial"/>
              </w:rPr>
            </w:pPr>
            <w:r w:rsidRPr="009315D1">
              <w:rPr>
                <w:rFonts w:ascii="Arial" w:hAnsi="Arial" w:cs="Arial"/>
              </w:rPr>
              <w:t xml:space="preserve">- M&amp;E system focused on outputs and limited when generating learning. Outcome indicators not measured in most cases. </w:t>
            </w:r>
          </w:p>
          <w:p w14:paraId="101256E1" w14:textId="77777777" w:rsidR="00051257" w:rsidRPr="009315D1" w:rsidRDefault="00051257" w:rsidP="00296A4A">
            <w:pPr>
              <w:rPr>
                <w:rFonts w:ascii="Arial" w:hAnsi="Arial" w:cs="Arial"/>
              </w:rPr>
            </w:pPr>
            <w:r w:rsidRPr="009315D1">
              <w:rPr>
                <w:rFonts w:ascii="Arial" w:hAnsi="Arial" w:cs="Arial"/>
              </w:rPr>
              <w:t>- monitoring was largel limited to tracking projects and use of resources.</w:t>
            </w:r>
          </w:p>
          <w:p w14:paraId="2A9B9DD4" w14:textId="77777777" w:rsidR="00051257" w:rsidRPr="009315D1" w:rsidRDefault="00051257" w:rsidP="00296A4A">
            <w:pPr>
              <w:rPr>
                <w:rFonts w:ascii="Arial" w:hAnsi="Arial" w:cs="Arial"/>
              </w:rPr>
            </w:pPr>
            <w:r w:rsidRPr="009315D1">
              <w:rPr>
                <w:rFonts w:ascii="Arial" w:hAnsi="Arial" w:cs="Arial"/>
              </w:rPr>
              <w:t>- inconsistencies between indicators in CPD and in projects, results cannot be aggregated to inform CPD indicators</w:t>
            </w:r>
          </w:p>
          <w:p w14:paraId="2F028850" w14:textId="77777777" w:rsidR="00051257" w:rsidRPr="009315D1" w:rsidRDefault="00051257" w:rsidP="00296A4A">
            <w:pPr>
              <w:rPr>
                <w:rFonts w:ascii="Arial" w:hAnsi="Arial" w:cs="Arial"/>
                <w:color w:val="FF0000"/>
              </w:rPr>
            </w:pPr>
            <w:r w:rsidRPr="009315D1">
              <w:rPr>
                <w:rFonts w:ascii="Arial" w:hAnsi="Arial" w:cs="Arial"/>
                <w:color w:val="FF0000"/>
              </w:rPr>
              <w:t>+ GP support has initiated an internal restructuring that will be key to supporting transition to peace in a coherent integrated manner</w:t>
            </w:r>
          </w:p>
          <w:p w14:paraId="0F3424AE" w14:textId="77777777" w:rsidR="00051257" w:rsidRPr="009315D1" w:rsidRDefault="00051257" w:rsidP="00296A4A">
            <w:pPr>
              <w:rPr>
                <w:rFonts w:ascii="Arial" w:hAnsi="Arial" w:cs="Arial"/>
                <w:color w:val="FF0000"/>
              </w:rPr>
            </w:pPr>
            <w:r w:rsidRPr="009315D1">
              <w:rPr>
                <w:rFonts w:ascii="Arial" w:hAnsi="Arial" w:cs="Arial"/>
                <w:color w:val="FF0000"/>
              </w:rPr>
              <w:t>* not much activity yet under Initiation Plan funded by GP, due to delays in implementation, so little to evaluate</w:t>
            </w:r>
          </w:p>
          <w:p w14:paraId="5E6FE2DA" w14:textId="77777777" w:rsidR="00051257" w:rsidRPr="009315D1" w:rsidRDefault="00051257" w:rsidP="00296A4A">
            <w:pPr>
              <w:rPr>
                <w:rFonts w:ascii="Arial" w:hAnsi="Arial" w:cs="Arial"/>
                <w:color w:val="FF0000"/>
              </w:rPr>
            </w:pPr>
            <w:r w:rsidRPr="009315D1">
              <w:rPr>
                <w:rFonts w:ascii="Arial" w:hAnsi="Arial" w:cs="Arial"/>
                <w:color w:val="FF0000"/>
              </w:rPr>
              <w:t>* local informants not able to comment on GP contributions or distinguish them from other elements of programme</w:t>
            </w:r>
          </w:p>
        </w:tc>
        <w:tc>
          <w:tcPr>
            <w:tcW w:w="3512" w:type="dxa"/>
          </w:tcPr>
          <w:p w14:paraId="055EB584" w14:textId="77777777" w:rsidR="00051257" w:rsidRPr="009315D1" w:rsidRDefault="00051257" w:rsidP="00296A4A">
            <w:pPr>
              <w:rPr>
                <w:rFonts w:ascii="Arial" w:hAnsi="Arial" w:cs="Arial"/>
              </w:rPr>
            </w:pPr>
            <w:r w:rsidRPr="009315D1">
              <w:rPr>
                <w:rFonts w:ascii="Arial" w:hAnsi="Arial" w:cs="Arial"/>
              </w:rPr>
              <w:t xml:space="preserve">* UNDP should build structures and processes for internal monitoring and coordination to ensure that the Strategy for Peace is effectively implemented; </w:t>
            </w:r>
          </w:p>
          <w:p w14:paraId="1D664725" w14:textId="77777777" w:rsidR="00051257" w:rsidRPr="009315D1" w:rsidRDefault="00051257" w:rsidP="00296A4A">
            <w:pPr>
              <w:pStyle w:val="Default"/>
              <w:rPr>
                <w:rFonts w:ascii="Arial" w:hAnsi="Arial" w:cs="Arial"/>
                <w:sz w:val="20"/>
                <w:szCs w:val="20"/>
              </w:rPr>
            </w:pPr>
            <w:r w:rsidRPr="009315D1">
              <w:rPr>
                <w:rFonts w:ascii="Arial" w:hAnsi="Arial" w:cs="Arial"/>
                <w:sz w:val="20"/>
                <w:szCs w:val="20"/>
              </w:rPr>
              <w:t xml:space="preserve">* UNDP needs to improve outcome monitoring processes to enable adaptation through implementation and guarantee strategic coherence </w:t>
            </w:r>
          </w:p>
          <w:p w14:paraId="77C42723" w14:textId="77777777" w:rsidR="00051257" w:rsidRPr="009315D1" w:rsidRDefault="00051257" w:rsidP="00296A4A">
            <w:pPr>
              <w:rPr>
                <w:rFonts w:ascii="Arial" w:hAnsi="Arial" w:cs="Arial"/>
              </w:rPr>
            </w:pPr>
            <w:r w:rsidRPr="009315D1">
              <w:rPr>
                <w:rFonts w:ascii="Arial" w:hAnsi="Arial" w:cs="Arial"/>
              </w:rPr>
              <w:t>* The evaluation confirmed the importance and relevance of activities under Initiation Plan. However, UNDP should conduct a review aimed at refocusing activities on basic building blocks to support the outcome to be achieved, and prepare transition from direct implementation to national implementation</w:t>
            </w:r>
          </w:p>
          <w:p w14:paraId="3B1E5B9B" w14:textId="77777777" w:rsidR="00051257" w:rsidRDefault="00051257" w:rsidP="00296A4A">
            <w:pPr>
              <w:rPr>
                <w:rFonts w:ascii="Arial" w:hAnsi="Arial" w:cs="Arial"/>
              </w:rPr>
            </w:pPr>
            <w:r w:rsidRPr="009315D1">
              <w:rPr>
                <w:rFonts w:ascii="Arial" w:hAnsi="Arial" w:cs="Arial"/>
              </w:rPr>
              <w:t xml:space="preserve">* Implement the recommendations and build on good practices identified in recent Review of the Gender Equality Portfolio. </w:t>
            </w:r>
          </w:p>
          <w:p w14:paraId="16AD26BF" w14:textId="77777777" w:rsidR="00051257" w:rsidRPr="009315D1" w:rsidRDefault="00051257" w:rsidP="00296A4A">
            <w:pPr>
              <w:rPr>
                <w:rFonts w:ascii="Arial" w:hAnsi="Arial" w:cs="Arial"/>
              </w:rPr>
            </w:pPr>
          </w:p>
          <w:p w14:paraId="0BB43446" w14:textId="77777777" w:rsidR="00051257" w:rsidRPr="009315D1" w:rsidRDefault="00051257" w:rsidP="00296A4A">
            <w:pPr>
              <w:pStyle w:val="Default"/>
              <w:rPr>
                <w:rFonts w:ascii="Arial" w:hAnsi="Arial" w:cs="Arial"/>
                <w:color w:val="FF0000"/>
                <w:sz w:val="20"/>
                <w:szCs w:val="20"/>
              </w:rPr>
            </w:pPr>
            <w:r w:rsidRPr="009315D1">
              <w:rPr>
                <w:rFonts w:ascii="Arial" w:hAnsi="Arial" w:cs="Arial"/>
                <w:color w:val="FF0000"/>
                <w:sz w:val="20"/>
                <w:szCs w:val="20"/>
              </w:rPr>
              <w:t>No recommendations specific to GP</w:t>
            </w:r>
          </w:p>
        </w:tc>
        <w:tc>
          <w:tcPr>
            <w:tcW w:w="2390" w:type="dxa"/>
          </w:tcPr>
          <w:p w14:paraId="1B460E77" w14:textId="77777777" w:rsidR="00051257" w:rsidRPr="009315D1" w:rsidRDefault="00051257" w:rsidP="00296A4A">
            <w:pPr>
              <w:rPr>
                <w:rFonts w:ascii="Arial" w:hAnsi="Arial" w:cs="Arial"/>
              </w:rPr>
            </w:pPr>
            <w:r w:rsidRPr="009315D1">
              <w:rPr>
                <w:rFonts w:ascii="Arial" w:hAnsi="Arial" w:cs="Arial"/>
                <w:color w:val="FF0000"/>
              </w:rPr>
              <w:t>Thanks to GP support, a Program Officer- Rule of Law could be recruited to oversee the portfolio and reinforce coordination between clusters. In addition, a UNDP democratic dialogue unit has been established, under leadership of the Democratic Governance cluster with participation of staff from the Sustainable Peace area.</w:t>
            </w:r>
          </w:p>
        </w:tc>
      </w:tr>
      <w:tr w:rsidR="00051257" w:rsidRPr="009315D1" w14:paraId="2B2D6220" w14:textId="77777777" w:rsidTr="00296A4A">
        <w:tc>
          <w:tcPr>
            <w:tcW w:w="1239" w:type="dxa"/>
            <w:shd w:val="clear" w:color="auto" w:fill="auto"/>
          </w:tcPr>
          <w:p w14:paraId="12BAAC70" w14:textId="77777777" w:rsidR="00051257" w:rsidRPr="009315D1" w:rsidRDefault="00051257" w:rsidP="00296A4A">
            <w:pPr>
              <w:rPr>
                <w:rFonts w:ascii="Arial" w:hAnsi="Arial" w:cs="Arial"/>
              </w:rPr>
            </w:pPr>
            <w:r w:rsidRPr="009315D1">
              <w:rPr>
                <w:rFonts w:ascii="Arial" w:hAnsi="Arial" w:cs="Arial"/>
              </w:rPr>
              <w:t xml:space="preserve">Palestine </w:t>
            </w:r>
            <w:r w:rsidRPr="009315D1">
              <w:rPr>
                <w:rFonts w:ascii="Arial" w:hAnsi="Arial" w:cs="Arial"/>
                <w:lang w:val="en-GB"/>
              </w:rPr>
              <w:t xml:space="preserve">mid-term programme evaluation, </w:t>
            </w:r>
            <w:r w:rsidRPr="009315D1">
              <w:rPr>
                <w:rFonts w:ascii="Arial" w:hAnsi="Arial" w:cs="Arial"/>
              </w:rPr>
              <w:t>2020</w:t>
            </w:r>
          </w:p>
        </w:tc>
        <w:tc>
          <w:tcPr>
            <w:tcW w:w="2083" w:type="dxa"/>
            <w:shd w:val="clear" w:color="auto" w:fill="auto"/>
          </w:tcPr>
          <w:p w14:paraId="1E75F2B2" w14:textId="77777777" w:rsidR="00051257" w:rsidRPr="009315D1" w:rsidRDefault="00051257" w:rsidP="00296A4A">
            <w:pPr>
              <w:rPr>
                <w:rFonts w:ascii="Arial" w:hAnsi="Arial" w:cs="Arial"/>
              </w:rPr>
            </w:pPr>
            <w:r w:rsidRPr="009315D1">
              <w:rPr>
                <w:rFonts w:ascii="Arial" w:hAnsi="Arial" w:cs="Arial"/>
                <w:lang w:val="en-GB"/>
              </w:rPr>
              <w:t xml:space="preserve">Sawasya II programme “Promoting the Rule of Law in Palestine”, second phase of a joint national level programme that now integrates UNDP, UN Women and UNICEF, with various donors. </w:t>
            </w:r>
            <w:r w:rsidRPr="009315D1">
              <w:rPr>
                <w:rFonts w:ascii="Arial" w:hAnsi="Arial" w:cs="Arial"/>
                <w:color w:val="FF0000"/>
                <w:lang w:val="en-GB"/>
              </w:rPr>
              <w:t>Secondary purpose to provide evidence to GP of monitoring good practices at country level to inform strategic monitoring guidance for UNDP RoL programmes</w:t>
            </w:r>
          </w:p>
        </w:tc>
        <w:tc>
          <w:tcPr>
            <w:tcW w:w="4238" w:type="dxa"/>
            <w:shd w:val="clear" w:color="auto" w:fill="auto"/>
          </w:tcPr>
          <w:p w14:paraId="2DEC5E5F" w14:textId="77777777" w:rsidR="00051257" w:rsidRPr="009315D1" w:rsidRDefault="00051257" w:rsidP="00296A4A">
            <w:pPr>
              <w:rPr>
                <w:rFonts w:ascii="Arial" w:hAnsi="Arial" w:cs="Arial"/>
                <w:lang w:val="en-GB"/>
              </w:rPr>
            </w:pPr>
            <w:r w:rsidRPr="009315D1">
              <w:rPr>
                <w:rFonts w:ascii="Arial" w:hAnsi="Arial" w:cs="Arial"/>
                <w:lang w:val="en-GB"/>
              </w:rPr>
              <w:t>+ Programme is a critical element of support to improving the access and delivery of justice to the Palestinian community.</w:t>
            </w:r>
          </w:p>
          <w:p w14:paraId="5FED35D5" w14:textId="77777777" w:rsidR="00051257" w:rsidRPr="009315D1" w:rsidRDefault="00051257" w:rsidP="00296A4A">
            <w:pPr>
              <w:rPr>
                <w:rFonts w:ascii="Arial" w:hAnsi="Arial" w:cs="Arial"/>
                <w:lang w:val="en-GB"/>
              </w:rPr>
            </w:pPr>
            <w:r w:rsidRPr="009315D1">
              <w:rPr>
                <w:rFonts w:ascii="Arial" w:hAnsi="Arial" w:cs="Arial"/>
                <w:lang w:val="en-GB"/>
              </w:rPr>
              <w:t>+ Programme efforts have resulted greater coordination and cooperation between Palestinian justice system organisations</w:t>
            </w:r>
          </w:p>
          <w:p w14:paraId="2A37059F" w14:textId="77777777" w:rsidR="00051257" w:rsidRPr="009315D1" w:rsidRDefault="00051257" w:rsidP="00296A4A">
            <w:pPr>
              <w:rPr>
                <w:rFonts w:ascii="Arial" w:hAnsi="Arial" w:cs="Arial"/>
                <w:lang w:val="en-GB"/>
              </w:rPr>
            </w:pPr>
            <w:r w:rsidRPr="009315D1">
              <w:rPr>
                <w:rFonts w:ascii="Arial" w:hAnsi="Arial" w:cs="Arial"/>
                <w:lang w:val="en-GB"/>
              </w:rPr>
              <w:t>+ improvements in efficiency and effectiveness of the Palestinian formal justice system</w:t>
            </w:r>
          </w:p>
          <w:p w14:paraId="1BDF650D" w14:textId="77777777" w:rsidR="00051257" w:rsidRPr="009315D1" w:rsidRDefault="00051257" w:rsidP="00296A4A">
            <w:pPr>
              <w:rPr>
                <w:rFonts w:ascii="Arial" w:hAnsi="Arial" w:cs="Arial"/>
                <w:lang w:val="en-GB"/>
              </w:rPr>
            </w:pPr>
            <w:r w:rsidRPr="009315D1">
              <w:rPr>
                <w:rFonts w:ascii="Arial" w:hAnsi="Arial" w:cs="Arial"/>
                <w:lang w:val="en-GB"/>
              </w:rPr>
              <w:t xml:space="preserve">+ programme’s central role in donor community, strength in developing evidence base for justice needs and performance, has positioned it well to influence overall direction of justice reform </w:t>
            </w:r>
          </w:p>
          <w:p w14:paraId="643477B7" w14:textId="77777777" w:rsidR="00051257" w:rsidRPr="009315D1" w:rsidRDefault="00051257" w:rsidP="00296A4A">
            <w:pPr>
              <w:rPr>
                <w:rFonts w:ascii="Arial" w:hAnsi="Arial" w:cs="Arial"/>
                <w:lang w:val="en-GB"/>
              </w:rPr>
            </w:pPr>
            <w:r w:rsidRPr="009315D1">
              <w:rPr>
                <w:rFonts w:ascii="Arial" w:hAnsi="Arial" w:cs="Arial"/>
              </w:rPr>
              <w:t>+</w:t>
            </w:r>
            <w:r w:rsidRPr="009315D1">
              <w:rPr>
                <w:rFonts w:ascii="Arial" w:hAnsi="Arial" w:cs="Arial"/>
                <w:lang w:val="en-GB"/>
              </w:rPr>
              <w:t xml:space="preserve"> improvements in functioning of courts, prosecutors and police to provide adequate services to women and girls</w:t>
            </w:r>
          </w:p>
          <w:p w14:paraId="4BE19912" w14:textId="77777777" w:rsidR="00051257" w:rsidRPr="009315D1" w:rsidRDefault="00051257" w:rsidP="00296A4A">
            <w:pPr>
              <w:rPr>
                <w:rFonts w:ascii="Arial" w:hAnsi="Arial" w:cs="Arial"/>
                <w:lang w:val="en-GB"/>
              </w:rPr>
            </w:pPr>
            <w:r w:rsidRPr="009315D1">
              <w:rPr>
                <w:rFonts w:ascii="Arial" w:hAnsi="Arial" w:cs="Arial"/>
              </w:rPr>
              <w:t>+</w:t>
            </w:r>
            <w:r w:rsidRPr="009315D1">
              <w:rPr>
                <w:rFonts w:ascii="Arial" w:hAnsi="Arial" w:cs="Arial"/>
                <w:lang w:val="en-GB"/>
              </w:rPr>
              <w:t xml:space="preserve"> strong efforts to provide better access to justice by strengthening civil society’s provision of legal aid and advice</w:t>
            </w:r>
          </w:p>
          <w:p w14:paraId="28BA2F77" w14:textId="77777777" w:rsidR="00051257" w:rsidRPr="009315D1" w:rsidRDefault="00051257" w:rsidP="00296A4A">
            <w:pPr>
              <w:rPr>
                <w:rFonts w:ascii="Arial" w:hAnsi="Arial" w:cs="Arial"/>
              </w:rPr>
            </w:pPr>
            <w:r w:rsidRPr="009315D1">
              <w:rPr>
                <w:rFonts w:ascii="Arial" w:hAnsi="Arial" w:cs="Arial"/>
              </w:rPr>
              <w:t>-</w:t>
            </w:r>
            <w:r w:rsidRPr="009315D1">
              <w:rPr>
                <w:rFonts w:ascii="Arial" w:hAnsi="Arial" w:cs="Arial"/>
                <w:lang w:val="en-GB"/>
              </w:rPr>
              <w:t xml:space="preserve"> fundamental contextual issues - political will to reform has been variable, and financial hardship has left the state unable to adequately fund the justice system</w:t>
            </w:r>
          </w:p>
        </w:tc>
        <w:tc>
          <w:tcPr>
            <w:tcW w:w="3512" w:type="dxa"/>
            <w:shd w:val="clear" w:color="auto" w:fill="auto"/>
          </w:tcPr>
          <w:p w14:paraId="09BBBF9A" w14:textId="77777777" w:rsidR="00051257" w:rsidRPr="009315D1" w:rsidRDefault="00051257" w:rsidP="00296A4A">
            <w:pPr>
              <w:rPr>
                <w:rFonts w:ascii="Arial" w:hAnsi="Arial" w:cs="Arial"/>
                <w:lang w:val="en-GB"/>
              </w:rPr>
            </w:pPr>
            <w:r w:rsidRPr="009315D1">
              <w:rPr>
                <w:rFonts w:ascii="Arial" w:hAnsi="Arial" w:cs="Arial"/>
                <w:lang w:val="en-GB"/>
              </w:rPr>
              <w:t>* Palestinian state capacity to provide adequate justice remains limited, cannot be improved rapidly, and requires ongoing support. Thus, programme efforts should continue.</w:t>
            </w:r>
          </w:p>
          <w:p w14:paraId="02B2227C" w14:textId="77777777" w:rsidR="00051257" w:rsidRPr="009315D1" w:rsidRDefault="00051257" w:rsidP="00296A4A">
            <w:pPr>
              <w:rPr>
                <w:rFonts w:ascii="Arial" w:hAnsi="Arial" w:cs="Arial"/>
                <w:lang w:val="en-GB"/>
              </w:rPr>
            </w:pPr>
            <w:r w:rsidRPr="009315D1">
              <w:rPr>
                <w:rFonts w:ascii="Arial" w:hAnsi="Arial" w:cs="Arial"/>
                <w:lang w:val="en-GB"/>
              </w:rPr>
              <w:t>* Explore options to integrate UNODC and UNFPA into programme, to holistically reflect UN work in sector and include remaining major UN actors with extant justice sector programmes</w:t>
            </w:r>
          </w:p>
          <w:p w14:paraId="06E1909E" w14:textId="77777777" w:rsidR="00051257" w:rsidRPr="009315D1" w:rsidRDefault="00051257" w:rsidP="00296A4A">
            <w:pPr>
              <w:rPr>
                <w:rFonts w:ascii="Arial" w:hAnsi="Arial" w:cs="Arial"/>
                <w:lang w:val="en-GB"/>
              </w:rPr>
            </w:pPr>
            <w:r w:rsidRPr="009315D1">
              <w:rPr>
                <w:rFonts w:ascii="Arial" w:hAnsi="Arial" w:cs="Arial"/>
              </w:rPr>
              <w:t>*</w:t>
            </w:r>
            <w:r w:rsidRPr="009315D1">
              <w:rPr>
                <w:rFonts w:ascii="Arial" w:hAnsi="Arial" w:cs="Arial"/>
                <w:lang w:val="en-GB"/>
              </w:rPr>
              <w:t xml:space="preserve"> Maintain and develop current processes for internal project learning.</w:t>
            </w:r>
          </w:p>
          <w:p w14:paraId="1675BF44" w14:textId="77777777" w:rsidR="00051257" w:rsidRPr="009315D1" w:rsidRDefault="00051257" w:rsidP="00296A4A">
            <w:pPr>
              <w:rPr>
                <w:rFonts w:ascii="Arial" w:hAnsi="Arial" w:cs="Arial"/>
                <w:lang w:val="en-GB"/>
              </w:rPr>
            </w:pPr>
            <w:r w:rsidRPr="009315D1">
              <w:rPr>
                <w:rFonts w:ascii="Arial" w:hAnsi="Arial" w:cs="Arial"/>
              </w:rPr>
              <w:t xml:space="preserve">* </w:t>
            </w:r>
            <w:r w:rsidRPr="009315D1">
              <w:rPr>
                <w:rFonts w:ascii="Arial" w:hAnsi="Arial" w:cs="Arial"/>
                <w:lang w:val="en-GB"/>
              </w:rPr>
              <w:t xml:space="preserve">Sawasya II has successfully implemented its monitoring framework, and is collecting data suitable for demonstrating outcomes and guiding implementation. </w:t>
            </w:r>
            <w:r w:rsidRPr="009315D1">
              <w:rPr>
                <w:rFonts w:ascii="Arial" w:hAnsi="Arial" w:cs="Arial"/>
                <w:color w:val="FF0000"/>
                <w:lang w:val="en-GB"/>
              </w:rPr>
              <w:t>The resourcing aspects around monitoring and the integration of monitoring focused activities into project work are both worthy of greater analysis by the GP, as they suggest potential pathways to improve monitoring in other country contexts.</w:t>
            </w:r>
          </w:p>
        </w:tc>
        <w:tc>
          <w:tcPr>
            <w:tcW w:w="2390" w:type="dxa"/>
            <w:shd w:val="clear" w:color="auto" w:fill="auto"/>
          </w:tcPr>
          <w:p w14:paraId="3E375136" w14:textId="77777777" w:rsidR="00051257" w:rsidRPr="009315D1" w:rsidRDefault="00051257" w:rsidP="00296A4A">
            <w:pPr>
              <w:rPr>
                <w:rFonts w:ascii="Arial" w:hAnsi="Arial" w:cs="Arial"/>
                <w:color w:val="FF0000"/>
                <w:lang w:val="en-GB"/>
              </w:rPr>
            </w:pPr>
            <w:r w:rsidRPr="009315D1">
              <w:rPr>
                <w:rFonts w:ascii="Arial" w:hAnsi="Arial" w:cs="Arial"/>
                <w:lang w:val="en-GB"/>
              </w:rPr>
              <w:t xml:space="preserve">Sawasya II has a solid level of programme staffing, and is </w:t>
            </w:r>
            <w:r w:rsidRPr="009315D1">
              <w:rPr>
                <w:rFonts w:ascii="Arial" w:hAnsi="Arial" w:cs="Arial"/>
                <w:color w:val="FF0000"/>
                <w:lang w:val="en-GB"/>
              </w:rPr>
              <w:t>better resourced than many comparable GP efforts.</w:t>
            </w:r>
          </w:p>
          <w:p w14:paraId="6B335414" w14:textId="77777777" w:rsidR="00051257" w:rsidRPr="009315D1" w:rsidRDefault="00051257" w:rsidP="00296A4A">
            <w:pPr>
              <w:rPr>
                <w:rFonts w:ascii="Arial" w:hAnsi="Arial" w:cs="Arial"/>
                <w:lang w:val="en-GB"/>
              </w:rPr>
            </w:pPr>
            <w:r w:rsidRPr="009315D1">
              <w:rPr>
                <w:rFonts w:ascii="Arial" w:hAnsi="Arial" w:cs="Arial"/>
                <w:lang w:val="en-GB"/>
              </w:rPr>
              <w:t xml:space="preserve">The programme has consistently implemented the </w:t>
            </w:r>
            <w:r w:rsidRPr="009315D1">
              <w:rPr>
                <w:rFonts w:ascii="Arial" w:hAnsi="Arial" w:cs="Arial"/>
                <w:color w:val="FF0000"/>
                <w:lang w:val="en-GB"/>
              </w:rPr>
              <w:t xml:space="preserve">most developed and effective monitoring system that the evaluators have encountered in programmes supported by the GP, addressing a fundamental data issue that has constrained most of these programmes. </w:t>
            </w:r>
            <w:r w:rsidRPr="009315D1">
              <w:rPr>
                <w:rFonts w:ascii="Arial" w:hAnsi="Arial" w:cs="Arial"/>
                <w:lang w:val="en-GB"/>
              </w:rPr>
              <w:t>While partly due to the strength of Palestinian systems, much credit should accrue to the programme management and staff.</w:t>
            </w:r>
          </w:p>
        </w:tc>
      </w:tr>
    </w:tbl>
    <w:p w14:paraId="071A3DF8" w14:textId="77777777" w:rsidR="00051257" w:rsidRDefault="00051257" w:rsidP="00051257"/>
    <w:p w14:paraId="679DD3FC" w14:textId="77777777" w:rsidR="00051257" w:rsidRDefault="00051257" w:rsidP="00F07870">
      <w:pPr>
        <w:rPr>
          <w:lang w:eastAsia="de-DE"/>
        </w:rPr>
      </w:pPr>
    </w:p>
    <w:p w14:paraId="16D502B2" w14:textId="7BBB9DB3" w:rsidR="00051257" w:rsidRDefault="00051257" w:rsidP="00F07870">
      <w:pPr>
        <w:rPr>
          <w:lang w:eastAsia="de-DE"/>
        </w:rPr>
        <w:sectPr w:rsidR="00051257" w:rsidSect="00F07870">
          <w:headerReference w:type="default" r:id="rId16"/>
          <w:pgSz w:w="15840" w:h="12240" w:orient="landscape"/>
          <w:pgMar w:top="1440" w:right="1440" w:bottom="1440" w:left="1440" w:header="708" w:footer="708" w:gutter="0"/>
          <w:cols w:space="708"/>
          <w:docGrid w:linePitch="360"/>
        </w:sectPr>
      </w:pPr>
    </w:p>
    <w:p w14:paraId="23D4208C" w14:textId="06811F82" w:rsidR="00F07870" w:rsidRDefault="00F07870" w:rsidP="00F07870">
      <w:pPr>
        <w:pStyle w:val="Heading2"/>
        <w:rPr>
          <w:lang w:eastAsia="de-DE"/>
        </w:rPr>
      </w:pPr>
      <w:bookmarkStart w:id="49" w:name="_Ref70154565"/>
      <w:bookmarkStart w:id="50" w:name="_Toc71701906"/>
      <w:r w:rsidRPr="7FB3149D">
        <w:rPr>
          <w:lang w:eastAsia="de-DE"/>
        </w:rPr>
        <w:t xml:space="preserve">Annex </w:t>
      </w:r>
      <w:r w:rsidR="00051257" w:rsidRPr="7FB3149D">
        <w:rPr>
          <w:lang w:eastAsia="de-DE"/>
        </w:rPr>
        <w:t>6</w:t>
      </w:r>
      <w:r w:rsidRPr="7FB3149D">
        <w:rPr>
          <w:lang w:eastAsia="de-DE"/>
        </w:rPr>
        <w:t xml:space="preserve">: </w:t>
      </w:r>
      <w:r w:rsidR="00BC3FF6" w:rsidRPr="7FB3149D">
        <w:rPr>
          <w:lang w:eastAsia="de-DE"/>
        </w:rPr>
        <w:t xml:space="preserve">List of GP Pipeline </w:t>
      </w:r>
      <w:r w:rsidR="00051257" w:rsidRPr="7FB3149D">
        <w:rPr>
          <w:lang w:eastAsia="de-DE"/>
        </w:rPr>
        <w:t>Funding Allocations</w:t>
      </w:r>
      <w:bookmarkEnd w:id="49"/>
      <w:r w:rsidR="00051257" w:rsidRPr="7FB3149D">
        <w:rPr>
          <w:lang w:eastAsia="de-DE"/>
        </w:rPr>
        <w:t xml:space="preserve"> </w:t>
      </w:r>
      <w:bookmarkEnd w:id="50"/>
    </w:p>
    <w:p w14:paraId="6D6C5AAD" w14:textId="70DF9754" w:rsidR="00051257" w:rsidRDefault="00051257" w:rsidP="00051257">
      <w:pPr>
        <w:rPr>
          <w:lang w:eastAsia="de-DE"/>
        </w:rPr>
      </w:pPr>
    </w:p>
    <w:p w14:paraId="319CCAA5" w14:textId="69CE8511" w:rsidR="00D45F35" w:rsidRPr="00D45F35" w:rsidRDefault="00BC3FF6" w:rsidP="00051257">
      <w:pPr>
        <w:rPr>
          <w:rFonts w:ascii="Arial" w:hAnsi="Arial" w:cs="Arial"/>
          <w:b/>
          <w:bCs/>
          <w:sz w:val="22"/>
          <w:szCs w:val="22"/>
        </w:rPr>
      </w:pPr>
      <w:r w:rsidRPr="00837023">
        <w:rPr>
          <w:rFonts w:ascii="Arial" w:hAnsi="Arial" w:cs="Arial"/>
          <w:b/>
          <w:bCs/>
          <w:sz w:val="22"/>
          <w:szCs w:val="22"/>
          <w:lang w:eastAsia="de-DE"/>
        </w:rPr>
        <w:t xml:space="preserve">Table </w:t>
      </w:r>
      <w:r w:rsidR="004D592A" w:rsidRPr="00837023">
        <w:rPr>
          <w:rFonts w:ascii="Arial" w:hAnsi="Arial" w:cs="Arial"/>
          <w:b/>
          <w:bCs/>
          <w:sz w:val="22"/>
          <w:szCs w:val="22"/>
          <w:lang w:eastAsia="de-DE"/>
        </w:rPr>
        <w:t>4</w:t>
      </w:r>
      <w:r w:rsidRPr="00837023">
        <w:rPr>
          <w:rFonts w:ascii="Arial" w:hAnsi="Arial" w:cs="Arial"/>
          <w:b/>
          <w:bCs/>
          <w:sz w:val="22"/>
          <w:szCs w:val="22"/>
          <w:lang w:eastAsia="de-DE"/>
        </w:rPr>
        <w:t>. GP Allocations of Funds to Individual Countries, 2017-19</w:t>
      </w:r>
      <w:r w:rsidRPr="00BC3FF6">
        <w:rPr>
          <w:rFonts w:ascii="Arial" w:hAnsi="Arial" w:cs="Arial"/>
          <w:b/>
          <w:bCs/>
          <w:color w:val="2B579A"/>
          <w:sz w:val="22"/>
          <w:szCs w:val="22"/>
          <w:shd w:val="clear" w:color="auto" w:fill="E6E6E6"/>
          <w:lang w:eastAsia="de-DE"/>
        </w:rPr>
        <w:fldChar w:fldCharType="begin"/>
      </w:r>
      <w:r w:rsidRPr="00837023">
        <w:rPr>
          <w:rFonts w:ascii="Arial" w:hAnsi="Arial" w:cs="Arial"/>
          <w:b/>
          <w:bCs/>
          <w:sz w:val="22"/>
          <w:szCs w:val="22"/>
          <w:lang w:eastAsia="de-DE"/>
        </w:rPr>
        <w:instrText xml:space="preserve"> LINK </w:instrText>
      </w:r>
      <w:r w:rsidR="00111F3B">
        <w:rPr>
          <w:rFonts w:ascii="Arial" w:hAnsi="Arial" w:cs="Arial"/>
          <w:b/>
          <w:bCs/>
          <w:sz w:val="22"/>
          <w:szCs w:val="22"/>
          <w:lang w:eastAsia="de-DE"/>
        </w:rPr>
        <w:instrText xml:space="preserve">Excel.Sheet.12 "C:\\Users\\Melanie Reimer\\Desktop\\UNDP ROLSHR evaluation 2020\\analysis and report\\annexes\\Pipeline Allocations 2017-19.xlsx" "Overall Phase III Pipeline!R2C1:R71C5" </w:instrText>
      </w:r>
      <w:r w:rsidRPr="00837023">
        <w:rPr>
          <w:rFonts w:ascii="Arial" w:hAnsi="Arial" w:cs="Arial"/>
          <w:b/>
          <w:bCs/>
          <w:sz w:val="22"/>
          <w:szCs w:val="22"/>
          <w:lang w:eastAsia="de-DE"/>
        </w:rPr>
        <w:instrText xml:space="preserve">\a \f 5 \h  \* MERGEFORMAT </w:instrText>
      </w:r>
      <w:r w:rsidRPr="00BC3FF6">
        <w:rPr>
          <w:rFonts w:ascii="Arial" w:hAnsi="Arial" w:cs="Arial"/>
          <w:b/>
          <w:bCs/>
          <w:color w:val="2B579A"/>
          <w:sz w:val="22"/>
          <w:szCs w:val="22"/>
          <w:shd w:val="clear" w:color="auto" w:fill="E6E6E6"/>
          <w:lang w:eastAsia="de-DE"/>
        </w:rPr>
        <w:fldChar w:fldCharType="separate"/>
      </w:r>
    </w:p>
    <w:tbl>
      <w:tblPr>
        <w:tblStyle w:val="TableGrid"/>
        <w:tblW w:w="9776" w:type="dxa"/>
        <w:tblLook w:val="04A0" w:firstRow="1" w:lastRow="0" w:firstColumn="1" w:lastColumn="0" w:noHBand="0" w:noVBand="1"/>
      </w:tblPr>
      <w:tblGrid>
        <w:gridCol w:w="1360"/>
        <w:gridCol w:w="1360"/>
        <w:gridCol w:w="2237"/>
        <w:gridCol w:w="2835"/>
        <w:gridCol w:w="1984"/>
      </w:tblGrid>
      <w:tr w:rsidR="00D45F35" w:rsidRPr="00D45F35" w14:paraId="2F78CAC1" w14:textId="77777777" w:rsidTr="00D45F35">
        <w:trPr>
          <w:divId w:val="268591603"/>
          <w:trHeight w:val="519"/>
        </w:trPr>
        <w:tc>
          <w:tcPr>
            <w:tcW w:w="1360" w:type="dxa"/>
            <w:shd w:val="clear" w:color="auto" w:fill="FFFFFF" w:themeFill="background1"/>
            <w:hideMark/>
          </w:tcPr>
          <w:p w14:paraId="44B36925" w14:textId="6FBFF166" w:rsidR="00D45F35" w:rsidRPr="00921FB5" w:rsidRDefault="00D45F35" w:rsidP="00D45F35">
            <w:pPr>
              <w:rPr>
                <w:b/>
                <w:bCs/>
                <w:u w:val="single"/>
                <w:lang w:eastAsia="de-DE"/>
              </w:rPr>
            </w:pPr>
            <w:r w:rsidRPr="00921FB5">
              <w:rPr>
                <w:b/>
                <w:bCs/>
                <w:u w:val="single"/>
                <w:lang w:eastAsia="de-DE"/>
              </w:rPr>
              <w:t>Region</w:t>
            </w:r>
          </w:p>
        </w:tc>
        <w:tc>
          <w:tcPr>
            <w:tcW w:w="1360" w:type="dxa"/>
            <w:shd w:val="clear" w:color="auto" w:fill="FFFFFF" w:themeFill="background1"/>
            <w:hideMark/>
          </w:tcPr>
          <w:p w14:paraId="31D59991" w14:textId="77777777" w:rsidR="00D45F35" w:rsidRPr="00921FB5" w:rsidRDefault="00D45F35" w:rsidP="00D45F35">
            <w:pPr>
              <w:rPr>
                <w:b/>
                <w:bCs/>
                <w:u w:val="single"/>
                <w:lang w:eastAsia="de-DE"/>
              </w:rPr>
            </w:pPr>
            <w:r w:rsidRPr="00921FB5">
              <w:rPr>
                <w:b/>
                <w:bCs/>
                <w:u w:val="single"/>
                <w:lang w:eastAsia="de-DE"/>
              </w:rPr>
              <w:t>GFP</w:t>
            </w:r>
          </w:p>
        </w:tc>
        <w:tc>
          <w:tcPr>
            <w:tcW w:w="2237" w:type="dxa"/>
            <w:shd w:val="clear" w:color="auto" w:fill="FFFFFF" w:themeFill="background1"/>
            <w:hideMark/>
          </w:tcPr>
          <w:p w14:paraId="6A712371" w14:textId="77777777" w:rsidR="00D45F35" w:rsidRPr="00921FB5" w:rsidRDefault="00D45F35" w:rsidP="00D45F35">
            <w:pPr>
              <w:rPr>
                <w:b/>
                <w:bCs/>
                <w:u w:val="single"/>
                <w:lang w:eastAsia="de-DE"/>
              </w:rPr>
            </w:pPr>
            <w:r w:rsidRPr="00921FB5">
              <w:rPr>
                <w:b/>
                <w:bCs/>
                <w:u w:val="single"/>
                <w:lang w:eastAsia="de-DE"/>
              </w:rPr>
              <w:t>Pipeline Round</w:t>
            </w:r>
          </w:p>
        </w:tc>
        <w:tc>
          <w:tcPr>
            <w:tcW w:w="2835" w:type="dxa"/>
            <w:shd w:val="clear" w:color="auto" w:fill="FFFFFF" w:themeFill="background1"/>
            <w:hideMark/>
          </w:tcPr>
          <w:p w14:paraId="1169A91B" w14:textId="0F144601" w:rsidR="00D45F35" w:rsidRPr="00921FB5" w:rsidRDefault="00D45F35" w:rsidP="00D45F35">
            <w:pPr>
              <w:rPr>
                <w:b/>
                <w:bCs/>
                <w:u w:val="single"/>
                <w:lang w:eastAsia="de-DE"/>
              </w:rPr>
            </w:pPr>
            <w:r w:rsidRPr="00921FB5">
              <w:rPr>
                <w:b/>
                <w:bCs/>
                <w:u w:val="single"/>
                <w:lang w:eastAsia="de-DE"/>
              </w:rPr>
              <w:t>Country</w:t>
            </w:r>
            <w:r w:rsidR="00921FB5" w:rsidRPr="00921FB5">
              <w:rPr>
                <w:b/>
                <w:bCs/>
                <w:u w:val="single"/>
                <w:lang w:eastAsia="de-DE"/>
              </w:rPr>
              <w:t xml:space="preserve"> </w:t>
            </w:r>
            <w:r w:rsidR="00921FB5" w:rsidRPr="00921FB5">
              <w:rPr>
                <w:u w:val="single"/>
                <w:lang w:eastAsia="de-DE"/>
              </w:rPr>
              <w:t>(</w:t>
            </w:r>
            <w:r w:rsidR="00921FB5" w:rsidRPr="00921FB5">
              <w:rPr>
                <w:highlight w:val="yellow"/>
                <w:u w:val="single"/>
                <w:lang w:eastAsia="de-DE"/>
              </w:rPr>
              <w:t>yellow</w:t>
            </w:r>
            <w:r w:rsidR="00921FB5" w:rsidRPr="00921FB5">
              <w:rPr>
                <w:u w:val="single"/>
                <w:lang w:eastAsia="de-DE"/>
              </w:rPr>
              <w:t xml:space="preserve"> indicates GP priority countries)</w:t>
            </w:r>
          </w:p>
        </w:tc>
        <w:tc>
          <w:tcPr>
            <w:tcW w:w="1984" w:type="dxa"/>
            <w:shd w:val="clear" w:color="auto" w:fill="FFFFFF" w:themeFill="background1"/>
            <w:hideMark/>
          </w:tcPr>
          <w:p w14:paraId="1D891860" w14:textId="77777777" w:rsidR="00D45F35" w:rsidRPr="00921FB5" w:rsidRDefault="00D45F35" w:rsidP="00D45F35">
            <w:pPr>
              <w:rPr>
                <w:b/>
                <w:bCs/>
                <w:u w:val="single"/>
                <w:lang w:eastAsia="de-DE"/>
              </w:rPr>
            </w:pPr>
            <w:r w:rsidRPr="00921FB5">
              <w:rPr>
                <w:b/>
                <w:bCs/>
                <w:u w:val="single"/>
                <w:lang w:eastAsia="de-DE"/>
              </w:rPr>
              <w:t>Allocated amount</w:t>
            </w:r>
          </w:p>
        </w:tc>
      </w:tr>
      <w:tr w:rsidR="00D45F35" w:rsidRPr="00D45F35" w14:paraId="4F26479F" w14:textId="77777777" w:rsidTr="00D45F35">
        <w:trPr>
          <w:divId w:val="268591603"/>
          <w:trHeight w:val="370"/>
        </w:trPr>
        <w:tc>
          <w:tcPr>
            <w:tcW w:w="1360" w:type="dxa"/>
            <w:shd w:val="clear" w:color="auto" w:fill="FFFFFF" w:themeFill="background1"/>
            <w:noWrap/>
            <w:hideMark/>
          </w:tcPr>
          <w:p w14:paraId="48072A93"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55F928C9"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529E89A0" w14:textId="77777777" w:rsidR="00D45F35" w:rsidRPr="00D45F35" w:rsidRDefault="00D45F35" w:rsidP="00D45F35">
            <w:pPr>
              <w:rPr>
                <w:lang w:eastAsia="de-DE"/>
              </w:rPr>
            </w:pPr>
            <w:r w:rsidRPr="00D45F35">
              <w:rPr>
                <w:lang w:eastAsia="de-DE"/>
              </w:rPr>
              <w:t>Round 1, 2017</w:t>
            </w:r>
          </w:p>
        </w:tc>
        <w:tc>
          <w:tcPr>
            <w:tcW w:w="2835" w:type="dxa"/>
            <w:shd w:val="clear" w:color="auto" w:fill="FFFFFF" w:themeFill="background1"/>
            <w:noWrap/>
            <w:hideMark/>
          </w:tcPr>
          <w:p w14:paraId="27129A77" w14:textId="77777777" w:rsidR="00D45F35" w:rsidRPr="00D45F35" w:rsidRDefault="00D45F35" w:rsidP="00D45F35">
            <w:pPr>
              <w:rPr>
                <w:lang w:eastAsia="de-DE"/>
              </w:rPr>
            </w:pPr>
            <w:r w:rsidRPr="00D45F35">
              <w:rPr>
                <w:lang w:eastAsia="de-DE"/>
              </w:rPr>
              <w:t>Burkina Faso</w:t>
            </w:r>
          </w:p>
        </w:tc>
        <w:tc>
          <w:tcPr>
            <w:tcW w:w="1984" w:type="dxa"/>
            <w:shd w:val="clear" w:color="auto" w:fill="FFFFFF" w:themeFill="background1"/>
            <w:noWrap/>
            <w:hideMark/>
          </w:tcPr>
          <w:p w14:paraId="0FBC8AD2" w14:textId="77777777" w:rsidR="00D45F35" w:rsidRPr="00D45F35" w:rsidRDefault="00D45F35" w:rsidP="00D45F35">
            <w:pPr>
              <w:rPr>
                <w:lang w:eastAsia="de-DE"/>
              </w:rPr>
            </w:pPr>
            <w:r w:rsidRPr="00D45F35">
              <w:rPr>
                <w:lang w:eastAsia="de-DE"/>
              </w:rPr>
              <w:t xml:space="preserve">               250,000 </w:t>
            </w:r>
          </w:p>
        </w:tc>
      </w:tr>
      <w:tr w:rsidR="00D45F35" w:rsidRPr="00D45F35" w14:paraId="2FEE53B9" w14:textId="77777777" w:rsidTr="00D45F35">
        <w:trPr>
          <w:divId w:val="268591603"/>
          <w:trHeight w:val="450"/>
        </w:trPr>
        <w:tc>
          <w:tcPr>
            <w:tcW w:w="1360" w:type="dxa"/>
            <w:shd w:val="clear" w:color="auto" w:fill="FFFFFF" w:themeFill="background1"/>
            <w:noWrap/>
            <w:hideMark/>
          </w:tcPr>
          <w:p w14:paraId="0A96747C"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48FF64BB"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08C82FCE" w14:textId="77777777" w:rsidR="00D45F35" w:rsidRPr="00D45F35" w:rsidRDefault="00D45F35" w:rsidP="00D45F35">
            <w:pPr>
              <w:rPr>
                <w:lang w:eastAsia="de-DE"/>
              </w:rPr>
            </w:pPr>
            <w:r w:rsidRPr="00D45F35">
              <w:rPr>
                <w:lang w:eastAsia="de-DE"/>
              </w:rPr>
              <w:t>Round 1, 2017</w:t>
            </w:r>
          </w:p>
        </w:tc>
        <w:tc>
          <w:tcPr>
            <w:tcW w:w="2835" w:type="dxa"/>
            <w:shd w:val="clear" w:color="auto" w:fill="FFFFFF" w:themeFill="background1"/>
            <w:noWrap/>
            <w:hideMark/>
          </w:tcPr>
          <w:p w14:paraId="02DEAB76" w14:textId="77777777" w:rsidR="00D45F35" w:rsidRPr="00D45F35" w:rsidRDefault="00D45F35" w:rsidP="00D45F35">
            <w:pPr>
              <w:rPr>
                <w:lang w:eastAsia="de-DE"/>
              </w:rPr>
            </w:pPr>
            <w:r w:rsidRPr="00D45F35">
              <w:rPr>
                <w:highlight w:val="yellow"/>
                <w:lang w:eastAsia="de-DE"/>
              </w:rPr>
              <w:t>Burundi</w:t>
            </w:r>
          </w:p>
        </w:tc>
        <w:tc>
          <w:tcPr>
            <w:tcW w:w="1984" w:type="dxa"/>
            <w:shd w:val="clear" w:color="auto" w:fill="FFFFFF" w:themeFill="background1"/>
            <w:noWrap/>
            <w:hideMark/>
          </w:tcPr>
          <w:p w14:paraId="33647521" w14:textId="77777777" w:rsidR="00D45F35" w:rsidRPr="00D45F35" w:rsidRDefault="00D45F35" w:rsidP="00D45F35">
            <w:pPr>
              <w:rPr>
                <w:lang w:eastAsia="de-DE"/>
              </w:rPr>
            </w:pPr>
            <w:r w:rsidRPr="00D45F35">
              <w:rPr>
                <w:lang w:eastAsia="de-DE"/>
              </w:rPr>
              <w:t xml:space="preserve">               300,000 </w:t>
            </w:r>
          </w:p>
        </w:tc>
      </w:tr>
      <w:tr w:rsidR="00D45F35" w:rsidRPr="00D45F35" w14:paraId="62794F9F" w14:textId="77777777" w:rsidTr="00D45F35">
        <w:trPr>
          <w:divId w:val="268591603"/>
          <w:trHeight w:val="370"/>
        </w:trPr>
        <w:tc>
          <w:tcPr>
            <w:tcW w:w="1360" w:type="dxa"/>
            <w:shd w:val="clear" w:color="auto" w:fill="FFFFFF" w:themeFill="background1"/>
            <w:noWrap/>
            <w:hideMark/>
          </w:tcPr>
          <w:p w14:paraId="650EBDCA"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0193E992"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22742AD5" w14:textId="77777777" w:rsidR="00D45F35" w:rsidRPr="00D45F35" w:rsidRDefault="00D45F35" w:rsidP="00D45F35">
            <w:pPr>
              <w:rPr>
                <w:lang w:eastAsia="de-DE"/>
              </w:rPr>
            </w:pPr>
            <w:r w:rsidRPr="00D45F35">
              <w:rPr>
                <w:lang w:eastAsia="de-DE"/>
              </w:rPr>
              <w:t>Round 1, 2017</w:t>
            </w:r>
          </w:p>
        </w:tc>
        <w:tc>
          <w:tcPr>
            <w:tcW w:w="2835" w:type="dxa"/>
            <w:shd w:val="clear" w:color="auto" w:fill="FFFFFF" w:themeFill="background1"/>
            <w:noWrap/>
            <w:hideMark/>
          </w:tcPr>
          <w:p w14:paraId="5D9BE7F9" w14:textId="77777777" w:rsidR="00D45F35" w:rsidRPr="00D45F35" w:rsidRDefault="00D45F35" w:rsidP="00D45F35">
            <w:pPr>
              <w:rPr>
                <w:lang w:eastAsia="de-DE"/>
              </w:rPr>
            </w:pPr>
            <w:r w:rsidRPr="00D45F35">
              <w:rPr>
                <w:lang w:eastAsia="de-DE"/>
              </w:rPr>
              <w:t>Cote d'Ivoire</w:t>
            </w:r>
          </w:p>
        </w:tc>
        <w:tc>
          <w:tcPr>
            <w:tcW w:w="1984" w:type="dxa"/>
            <w:shd w:val="clear" w:color="auto" w:fill="FFFFFF" w:themeFill="background1"/>
            <w:noWrap/>
            <w:hideMark/>
          </w:tcPr>
          <w:p w14:paraId="411F2272" w14:textId="77777777" w:rsidR="00D45F35" w:rsidRPr="00D45F35" w:rsidRDefault="00D45F35" w:rsidP="00D45F35">
            <w:pPr>
              <w:rPr>
                <w:lang w:eastAsia="de-DE"/>
              </w:rPr>
            </w:pPr>
            <w:r w:rsidRPr="00D45F35">
              <w:rPr>
                <w:lang w:eastAsia="de-DE"/>
              </w:rPr>
              <w:t xml:space="preserve">               250,000 </w:t>
            </w:r>
          </w:p>
        </w:tc>
      </w:tr>
      <w:tr w:rsidR="00D45F35" w:rsidRPr="00D45F35" w14:paraId="0DD8CCBA" w14:textId="77777777" w:rsidTr="00D45F35">
        <w:trPr>
          <w:divId w:val="268591603"/>
          <w:trHeight w:val="370"/>
        </w:trPr>
        <w:tc>
          <w:tcPr>
            <w:tcW w:w="1360" w:type="dxa"/>
            <w:shd w:val="clear" w:color="auto" w:fill="FFFFFF" w:themeFill="background1"/>
            <w:noWrap/>
            <w:hideMark/>
          </w:tcPr>
          <w:p w14:paraId="62F0694A" w14:textId="77777777" w:rsidR="00D45F35" w:rsidRPr="00D45F35" w:rsidRDefault="00D45F35" w:rsidP="00D45F35">
            <w:pPr>
              <w:rPr>
                <w:lang w:eastAsia="de-DE"/>
              </w:rPr>
            </w:pPr>
            <w:r w:rsidRPr="00D45F35">
              <w:rPr>
                <w:lang w:eastAsia="de-DE"/>
              </w:rPr>
              <w:t>LAC</w:t>
            </w:r>
          </w:p>
        </w:tc>
        <w:tc>
          <w:tcPr>
            <w:tcW w:w="1360" w:type="dxa"/>
            <w:shd w:val="clear" w:color="auto" w:fill="FFFFFF" w:themeFill="background1"/>
            <w:noWrap/>
            <w:hideMark/>
          </w:tcPr>
          <w:p w14:paraId="3C04369E"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08B0131C" w14:textId="77777777" w:rsidR="00D45F35" w:rsidRPr="00D45F35" w:rsidRDefault="00D45F35" w:rsidP="00D45F35">
            <w:pPr>
              <w:rPr>
                <w:lang w:eastAsia="de-DE"/>
              </w:rPr>
            </w:pPr>
            <w:r w:rsidRPr="00D45F35">
              <w:rPr>
                <w:lang w:eastAsia="de-DE"/>
              </w:rPr>
              <w:t>Round 1, 2017</w:t>
            </w:r>
          </w:p>
        </w:tc>
        <w:tc>
          <w:tcPr>
            <w:tcW w:w="2835" w:type="dxa"/>
            <w:shd w:val="clear" w:color="auto" w:fill="FFFFFF" w:themeFill="background1"/>
            <w:noWrap/>
            <w:hideMark/>
          </w:tcPr>
          <w:p w14:paraId="65D9C620" w14:textId="77777777" w:rsidR="00D45F35" w:rsidRPr="00D45F35" w:rsidRDefault="00D45F35" w:rsidP="00D45F35">
            <w:pPr>
              <w:rPr>
                <w:lang w:eastAsia="de-DE"/>
              </w:rPr>
            </w:pPr>
            <w:r w:rsidRPr="00D45F35">
              <w:rPr>
                <w:lang w:eastAsia="de-DE"/>
              </w:rPr>
              <w:t>El Salvador</w:t>
            </w:r>
          </w:p>
        </w:tc>
        <w:tc>
          <w:tcPr>
            <w:tcW w:w="1984" w:type="dxa"/>
            <w:shd w:val="clear" w:color="auto" w:fill="FFFFFF" w:themeFill="background1"/>
            <w:noWrap/>
            <w:hideMark/>
          </w:tcPr>
          <w:p w14:paraId="6E92B93A" w14:textId="77777777" w:rsidR="00D45F35" w:rsidRPr="00D45F35" w:rsidRDefault="00D45F35" w:rsidP="00D45F35">
            <w:pPr>
              <w:rPr>
                <w:lang w:eastAsia="de-DE"/>
              </w:rPr>
            </w:pPr>
            <w:r w:rsidRPr="00D45F35">
              <w:rPr>
                <w:lang w:eastAsia="de-DE"/>
              </w:rPr>
              <w:t xml:space="preserve">               283,000 </w:t>
            </w:r>
          </w:p>
        </w:tc>
      </w:tr>
      <w:tr w:rsidR="00D45F35" w:rsidRPr="00D45F35" w14:paraId="49A0F639" w14:textId="77777777" w:rsidTr="00D45F35">
        <w:trPr>
          <w:divId w:val="268591603"/>
          <w:trHeight w:val="370"/>
        </w:trPr>
        <w:tc>
          <w:tcPr>
            <w:tcW w:w="1360" w:type="dxa"/>
            <w:shd w:val="clear" w:color="auto" w:fill="FFFFFF" w:themeFill="background1"/>
            <w:noWrap/>
            <w:hideMark/>
          </w:tcPr>
          <w:p w14:paraId="5132A95A"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1F97BADD"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1AE8699C" w14:textId="77777777" w:rsidR="00D45F35" w:rsidRPr="00D45F35" w:rsidRDefault="00D45F35" w:rsidP="00D45F35">
            <w:pPr>
              <w:rPr>
                <w:lang w:eastAsia="de-DE"/>
              </w:rPr>
            </w:pPr>
            <w:r w:rsidRPr="00D45F35">
              <w:rPr>
                <w:lang w:eastAsia="de-DE"/>
              </w:rPr>
              <w:t>Round 1, 2017</w:t>
            </w:r>
          </w:p>
        </w:tc>
        <w:tc>
          <w:tcPr>
            <w:tcW w:w="2835" w:type="dxa"/>
            <w:shd w:val="clear" w:color="auto" w:fill="FFFFFF" w:themeFill="background1"/>
            <w:noWrap/>
            <w:hideMark/>
          </w:tcPr>
          <w:p w14:paraId="6128376C" w14:textId="77777777" w:rsidR="00D45F35" w:rsidRPr="00D45F35" w:rsidRDefault="00D45F35" w:rsidP="00D45F35">
            <w:pPr>
              <w:rPr>
                <w:lang w:eastAsia="de-DE"/>
              </w:rPr>
            </w:pPr>
            <w:r w:rsidRPr="00D45F35">
              <w:rPr>
                <w:highlight w:val="yellow"/>
                <w:lang w:eastAsia="de-DE"/>
              </w:rPr>
              <w:t>Guinea (Conakry)</w:t>
            </w:r>
          </w:p>
        </w:tc>
        <w:tc>
          <w:tcPr>
            <w:tcW w:w="1984" w:type="dxa"/>
            <w:shd w:val="clear" w:color="auto" w:fill="FFFFFF" w:themeFill="background1"/>
            <w:noWrap/>
            <w:hideMark/>
          </w:tcPr>
          <w:p w14:paraId="5EE31B73" w14:textId="77777777" w:rsidR="00D45F35" w:rsidRPr="00D45F35" w:rsidRDefault="00D45F35" w:rsidP="00D45F35">
            <w:pPr>
              <w:rPr>
                <w:lang w:eastAsia="de-DE"/>
              </w:rPr>
            </w:pPr>
            <w:r w:rsidRPr="00D45F35">
              <w:rPr>
                <w:lang w:eastAsia="de-DE"/>
              </w:rPr>
              <w:t xml:space="preserve">               350,000 </w:t>
            </w:r>
          </w:p>
        </w:tc>
      </w:tr>
      <w:tr w:rsidR="00D45F35" w:rsidRPr="00D45F35" w14:paraId="406C1FF9" w14:textId="77777777" w:rsidTr="00D45F35">
        <w:trPr>
          <w:divId w:val="268591603"/>
          <w:trHeight w:val="370"/>
        </w:trPr>
        <w:tc>
          <w:tcPr>
            <w:tcW w:w="1360" w:type="dxa"/>
            <w:shd w:val="clear" w:color="auto" w:fill="FFFFFF" w:themeFill="background1"/>
            <w:noWrap/>
            <w:hideMark/>
          </w:tcPr>
          <w:p w14:paraId="3F12D4AE"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5075E73C"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634C256" w14:textId="77777777" w:rsidR="00D45F35" w:rsidRPr="00D45F35" w:rsidRDefault="00D45F35" w:rsidP="00D45F35">
            <w:pPr>
              <w:rPr>
                <w:lang w:eastAsia="de-DE"/>
              </w:rPr>
            </w:pPr>
            <w:r w:rsidRPr="00D45F35">
              <w:rPr>
                <w:lang w:eastAsia="de-DE"/>
              </w:rPr>
              <w:t>Round 1, 2017</w:t>
            </w:r>
          </w:p>
        </w:tc>
        <w:tc>
          <w:tcPr>
            <w:tcW w:w="2835" w:type="dxa"/>
            <w:shd w:val="clear" w:color="auto" w:fill="FFFFFF" w:themeFill="background1"/>
            <w:noWrap/>
            <w:hideMark/>
          </w:tcPr>
          <w:p w14:paraId="41103967" w14:textId="77777777" w:rsidR="00D45F35" w:rsidRPr="00D45F35" w:rsidRDefault="00D45F35" w:rsidP="00D45F35">
            <w:pPr>
              <w:rPr>
                <w:lang w:eastAsia="de-DE"/>
              </w:rPr>
            </w:pPr>
            <w:r w:rsidRPr="00D45F35">
              <w:rPr>
                <w:highlight w:val="yellow"/>
                <w:lang w:eastAsia="de-DE"/>
              </w:rPr>
              <w:t>Kosovo</w:t>
            </w:r>
          </w:p>
        </w:tc>
        <w:tc>
          <w:tcPr>
            <w:tcW w:w="1984" w:type="dxa"/>
            <w:shd w:val="clear" w:color="auto" w:fill="FFFFFF" w:themeFill="background1"/>
            <w:noWrap/>
            <w:hideMark/>
          </w:tcPr>
          <w:p w14:paraId="26770E4B" w14:textId="77777777" w:rsidR="00D45F35" w:rsidRPr="00D45F35" w:rsidRDefault="00D45F35" w:rsidP="00D45F35">
            <w:pPr>
              <w:rPr>
                <w:lang w:eastAsia="de-DE"/>
              </w:rPr>
            </w:pPr>
            <w:r w:rsidRPr="00D45F35">
              <w:rPr>
                <w:lang w:eastAsia="de-DE"/>
              </w:rPr>
              <w:t xml:space="preserve">               200,000 </w:t>
            </w:r>
          </w:p>
        </w:tc>
      </w:tr>
      <w:tr w:rsidR="00D45F35" w:rsidRPr="00D45F35" w14:paraId="1A8A5E42" w14:textId="77777777" w:rsidTr="00D45F35">
        <w:trPr>
          <w:divId w:val="268591603"/>
          <w:trHeight w:val="370"/>
        </w:trPr>
        <w:tc>
          <w:tcPr>
            <w:tcW w:w="1360" w:type="dxa"/>
            <w:shd w:val="clear" w:color="auto" w:fill="FFFFFF" w:themeFill="background1"/>
            <w:noWrap/>
            <w:hideMark/>
          </w:tcPr>
          <w:p w14:paraId="0F136D4D"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7754CE47" w14:textId="77777777" w:rsidR="00D45F35" w:rsidRPr="00D45F35" w:rsidRDefault="00D45F35" w:rsidP="00D45F35">
            <w:pPr>
              <w:rPr>
                <w:rFonts w:cs="Arial"/>
              </w:rPr>
            </w:pPr>
            <w:r w:rsidRPr="00D45F35">
              <w:rPr>
                <w:lang w:eastAsia="de-DE"/>
              </w:rPr>
              <w:t>GFP</w:t>
            </w:r>
          </w:p>
        </w:tc>
        <w:tc>
          <w:tcPr>
            <w:tcW w:w="2237" w:type="dxa"/>
            <w:shd w:val="clear" w:color="auto" w:fill="FFFFFF" w:themeFill="background1"/>
            <w:noWrap/>
            <w:hideMark/>
          </w:tcPr>
          <w:p w14:paraId="0B7A798D" w14:textId="77777777" w:rsidR="00D45F35" w:rsidRPr="00D45F35" w:rsidRDefault="00D45F35" w:rsidP="00D45F35">
            <w:pPr>
              <w:rPr>
                <w:lang w:eastAsia="de-DE"/>
              </w:rPr>
            </w:pPr>
            <w:r w:rsidRPr="00D45F35">
              <w:rPr>
                <w:lang w:eastAsia="de-DE"/>
              </w:rPr>
              <w:t>Round 1, 2017</w:t>
            </w:r>
          </w:p>
        </w:tc>
        <w:tc>
          <w:tcPr>
            <w:tcW w:w="2835" w:type="dxa"/>
            <w:shd w:val="clear" w:color="auto" w:fill="FFFFFF" w:themeFill="background1"/>
            <w:noWrap/>
            <w:hideMark/>
          </w:tcPr>
          <w:p w14:paraId="7495BE28" w14:textId="77777777" w:rsidR="00D45F35" w:rsidRPr="00D45F35" w:rsidRDefault="00D45F35" w:rsidP="00D45F35">
            <w:pPr>
              <w:rPr>
                <w:lang w:eastAsia="de-DE"/>
              </w:rPr>
            </w:pPr>
            <w:r w:rsidRPr="00D45F35">
              <w:rPr>
                <w:lang w:eastAsia="de-DE"/>
              </w:rPr>
              <w:t>Sudan</w:t>
            </w:r>
          </w:p>
        </w:tc>
        <w:tc>
          <w:tcPr>
            <w:tcW w:w="1984" w:type="dxa"/>
            <w:shd w:val="clear" w:color="auto" w:fill="FFFFFF" w:themeFill="background1"/>
            <w:noWrap/>
            <w:hideMark/>
          </w:tcPr>
          <w:p w14:paraId="2FACFD9E" w14:textId="77777777" w:rsidR="00D45F35" w:rsidRPr="00D45F35" w:rsidRDefault="00D45F35" w:rsidP="00D45F35">
            <w:pPr>
              <w:rPr>
                <w:rFonts w:cs="Arial"/>
              </w:rPr>
            </w:pPr>
            <w:r w:rsidRPr="00D45F35">
              <w:rPr>
                <w:lang w:eastAsia="de-DE"/>
              </w:rPr>
              <w:t xml:space="preserve">               300,000</w:t>
            </w:r>
            <w:r w:rsidRPr="00D45F35">
              <w:rPr>
                <w:rFonts w:cs="Arial"/>
              </w:rPr>
              <w:t xml:space="preserve"> </w:t>
            </w:r>
          </w:p>
        </w:tc>
      </w:tr>
      <w:tr w:rsidR="00D45F35" w:rsidRPr="00D45F35" w14:paraId="46C66922" w14:textId="77777777" w:rsidTr="00D45F35">
        <w:trPr>
          <w:divId w:val="268591603"/>
          <w:trHeight w:val="370"/>
        </w:trPr>
        <w:tc>
          <w:tcPr>
            <w:tcW w:w="1360" w:type="dxa"/>
            <w:shd w:val="clear" w:color="auto" w:fill="FFFFFF" w:themeFill="background1"/>
            <w:noWrap/>
            <w:hideMark/>
          </w:tcPr>
          <w:p w14:paraId="494EC4DF" w14:textId="77777777" w:rsidR="00D45F35" w:rsidRPr="00D45F35" w:rsidRDefault="00D45F35" w:rsidP="00D45F35">
            <w:pPr>
              <w:rPr>
                <w:lang w:eastAsia="de-DE"/>
              </w:rPr>
            </w:pPr>
            <w:r w:rsidRPr="00D45F35">
              <w:rPr>
                <w:lang w:eastAsia="de-DE"/>
              </w:rPr>
              <w:t>Arab States</w:t>
            </w:r>
          </w:p>
        </w:tc>
        <w:tc>
          <w:tcPr>
            <w:tcW w:w="1360" w:type="dxa"/>
            <w:shd w:val="clear" w:color="auto" w:fill="FFFFFF" w:themeFill="background1"/>
            <w:noWrap/>
            <w:hideMark/>
          </w:tcPr>
          <w:p w14:paraId="6DE37002"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494CE421" w14:textId="77777777" w:rsidR="00D45F35" w:rsidRPr="00D45F35" w:rsidRDefault="00D45F35" w:rsidP="00D45F35">
            <w:pPr>
              <w:rPr>
                <w:rFonts w:cs="Arial"/>
              </w:rPr>
            </w:pPr>
            <w:r w:rsidRPr="00D45F35">
              <w:rPr>
                <w:lang w:eastAsia="de-DE"/>
              </w:rPr>
              <w:t xml:space="preserve">Ad-hoc/Round 2, </w:t>
            </w:r>
            <w:r w:rsidRPr="00D45F35">
              <w:rPr>
                <w:rFonts w:cs="Arial"/>
              </w:rPr>
              <w:t>2017</w:t>
            </w:r>
          </w:p>
        </w:tc>
        <w:tc>
          <w:tcPr>
            <w:tcW w:w="2835" w:type="dxa"/>
            <w:shd w:val="clear" w:color="auto" w:fill="FFFFFF" w:themeFill="background1"/>
            <w:noWrap/>
            <w:hideMark/>
          </w:tcPr>
          <w:p w14:paraId="25D892F1" w14:textId="77777777" w:rsidR="00D45F35" w:rsidRPr="00D45F35" w:rsidRDefault="00D45F35" w:rsidP="00D45F35">
            <w:pPr>
              <w:rPr>
                <w:lang w:eastAsia="de-DE"/>
              </w:rPr>
            </w:pPr>
            <w:r w:rsidRPr="00D45F35">
              <w:rPr>
                <w:highlight w:val="yellow"/>
                <w:lang w:eastAsia="de-DE"/>
              </w:rPr>
              <w:t>Syria</w:t>
            </w:r>
          </w:p>
        </w:tc>
        <w:tc>
          <w:tcPr>
            <w:tcW w:w="1984" w:type="dxa"/>
            <w:shd w:val="clear" w:color="auto" w:fill="FFFFFF" w:themeFill="background1"/>
            <w:noWrap/>
            <w:hideMark/>
          </w:tcPr>
          <w:p w14:paraId="0089EFF0" w14:textId="77777777" w:rsidR="00D45F35" w:rsidRPr="00D45F35" w:rsidRDefault="00D45F35" w:rsidP="00D45F35">
            <w:pPr>
              <w:rPr>
                <w:lang w:eastAsia="de-DE"/>
              </w:rPr>
            </w:pPr>
            <w:r w:rsidRPr="00D45F35">
              <w:rPr>
                <w:lang w:eastAsia="de-DE"/>
              </w:rPr>
              <w:t xml:space="preserve">               200,000 </w:t>
            </w:r>
          </w:p>
        </w:tc>
      </w:tr>
      <w:tr w:rsidR="00D45F35" w:rsidRPr="00D45F35" w14:paraId="44D2E4DF" w14:textId="77777777" w:rsidTr="00D45F35">
        <w:trPr>
          <w:divId w:val="268591603"/>
          <w:trHeight w:val="370"/>
        </w:trPr>
        <w:tc>
          <w:tcPr>
            <w:tcW w:w="1360" w:type="dxa"/>
            <w:shd w:val="clear" w:color="auto" w:fill="FFFFFF" w:themeFill="background1"/>
            <w:noWrap/>
            <w:hideMark/>
          </w:tcPr>
          <w:p w14:paraId="44BC17DE" w14:textId="77777777" w:rsidR="00D45F35" w:rsidRPr="00D45F35" w:rsidRDefault="00D45F35" w:rsidP="00D45F35">
            <w:pPr>
              <w:rPr>
                <w:lang w:eastAsia="de-DE"/>
              </w:rPr>
            </w:pPr>
            <w:r w:rsidRPr="00D45F35">
              <w:rPr>
                <w:lang w:eastAsia="de-DE"/>
              </w:rPr>
              <w:t>Asia Pacific</w:t>
            </w:r>
          </w:p>
        </w:tc>
        <w:tc>
          <w:tcPr>
            <w:tcW w:w="1360" w:type="dxa"/>
            <w:shd w:val="clear" w:color="auto" w:fill="FFFFFF" w:themeFill="background1"/>
            <w:noWrap/>
            <w:hideMark/>
          </w:tcPr>
          <w:p w14:paraId="7EEC6EC5"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4F627493"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0F1F12BB" w14:textId="77777777" w:rsidR="00D45F35" w:rsidRPr="00D45F35" w:rsidRDefault="00D45F35" w:rsidP="00D45F35">
            <w:pPr>
              <w:rPr>
                <w:lang w:eastAsia="de-DE"/>
              </w:rPr>
            </w:pPr>
            <w:r w:rsidRPr="00D45F35">
              <w:rPr>
                <w:highlight w:val="yellow"/>
                <w:lang w:eastAsia="de-DE"/>
              </w:rPr>
              <w:t>Afghanistan</w:t>
            </w:r>
          </w:p>
        </w:tc>
        <w:tc>
          <w:tcPr>
            <w:tcW w:w="1984" w:type="dxa"/>
            <w:shd w:val="clear" w:color="auto" w:fill="FFFFFF" w:themeFill="background1"/>
            <w:noWrap/>
            <w:hideMark/>
          </w:tcPr>
          <w:p w14:paraId="361E55EB" w14:textId="77777777" w:rsidR="00D45F35" w:rsidRPr="00D45F35" w:rsidRDefault="00D45F35" w:rsidP="00D45F35">
            <w:pPr>
              <w:rPr>
                <w:lang w:eastAsia="de-DE"/>
              </w:rPr>
            </w:pPr>
            <w:r w:rsidRPr="00D45F35">
              <w:rPr>
                <w:lang w:eastAsia="de-DE"/>
              </w:rPr>
              <w:t xml:space="preserve">               350,000 </w:t>
            </w:r>
          </w:p>
        </w:tc>
      </w:tr>
      <w:tr w:rsidR="00D45F35" w:rsidRPr="00D45F35" w14:paraId="12D8F407" w14:textId="77777777" w:rsidTr="00D45F35">
        <w:trPr>
          <w:divId w:val="268591603"/>
          <w:trHeight w:val="370"/>
        </w:trPr>
        <w:tc>
          <w:tcPr>
            <w:tcW w:w="1360" w:type="dxa"/>
            <w:shd w:val="clear" w:color="auto" w:fill="FFFFFF" w:themeFill="background1"/>
            <w:noWrap/>
            <w:hideMark/>
          </w:tcPr>
          <w:p w14:paraId="69A32A4F"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339AF6BC"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5AF86290"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05EA071B" w14:textId="77777777" w:rsidR="00D45F35" w:rsidRPr="00D45F35" w:rsidRDefault="00D45F35" w:rsidP="00D45F35">
            <w:pPr>
              <w:rPr>
                <w:rFonts w:cs="Arial"/>
              </w:rPr>
            </w:pPr>
            <w:r w:rsidRPr="00D45F35">
              <w:rPr>
                <w:highlight w:val="yellow"/>
                <w:lang w:eastAsia="de-DE"/>
              </w:rPr>
              <w:t>Burkina</w:t>
            </w:r>
            <w:r w:rsidRPr="00D45F35">
              <w:rPr>
                <w:lang w:eastAsia="de-DE"/>
              </w:rPr>
              <w:t xml:space="preserve"> </w:t>
            </w:r>
            <w:r w:rsidRPr="00D45F35">
              <w:rPr>
                <w:rFonts w:cs="Arial"/>
                <w:highlight w:val="yellow"/>
              </w:rPr>
              <w:t>Faso</w:t>
            </w:r>
          </w:p>
        </w:tc>
        <w:tc>
          <w:tcPr>
            <w:tcW w:w="1984" w:type="dxa"/>
            <w:shd w:val="clear" w:color="auto" w:fill="FFFFFF" w:themeFill="background1"/>
            <w:noWrap/>
            <w:hideMark/>
          </w:tcPr>
          <w:p w14:paraId="7E1F53A6" w14:textId="77777777" w:rsidR="00D45F35" w:rsidRPr="00D45F35" w:rsidRDefault="00D45F35" w:rsidP="00D45F35">
            <w:pPr>
              <w:rPr>
                <w:lang w:eastAsia="de-DE"/>
              </w:rPr>
            </w:pPr>
            <w:r w:rsidRPr="00D45F35">
              <w:rPr>
                <w:lang w:eastAsia="de-DE"/>
              </w:rPr>
              <w:t xml:space="preserve">               250,000 </w:t>
            </w:r>
          </w:p>
        </w:tc>
      </w:tr>
      <w:tr w:rsidR="00D45F35" w:rsidRPr="00D45F35" w14:paraId="20B4BAF4" w14:textId="77777777" w:rsidTr="00D45F35">
        <w:trPr>
          <w:divId w:val="268591603"/>
          <w:trHeight w:val="370"/>
        </w:trPr>
        <w:tc>
          <w:tcPr>
            <w:tcW w:w="1360" w:type="dxa"/>
            <w:shd w:val="clear" w:color="auto" w:fill="FFFFFF" w:themeFill="background1"/>
            <w:noWrap/>
            <w:hideMark/>
          </w:tcPr>
          <w:p w14:paraId="2816799A" w14:textId="77777777" w:rsidR="00D45F35" w:rsidRPr="00D45F35" w:rsidRDefault="00D45F35" w:rsidP="00D45F35">
            <w:pPr>
              <w:rPr>
                <w:lang w:eastAsia="de-DE"/>
              </w:rPr>
            </w:pPr>
            <w:r w:rsidRPr="00D45F35">
              <w:rPr>
                <w:lang w:eastAsia="de-DE"/>
              </w:rPr>
              <w:t>LAC</w:t>
            </w:r>
          </w:p>
        </w:tc>
        <w:tc>
          <w:tcPr>
            <w:tcW w:w="1360" w:type="dxa"/>
            <w:shd w:val="clear" w:color="auto" w:fill="FFFFFF" w:themeFill="background1"/>
            <w:noWrap/>
            <w:hideMark/>
          </w:tcPr>
          <w:p w14:paraId="0143C03F"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1F32E650"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7EBA5218" w14:textId="77777777" w:rsidR="00D45F35" w:rsidRPr="00D45F35" w:rsidRDefault="00D45F35" w:rsidP="00D45F35">
            <w:pPr>
              <w:rPr>
                <w:lang w:eastAsia="de-DE"/>
              </w:rPr>
            </w:pPr>
            <w:r w:rsidRPr="00D45F35">
              <w:rPr>
                <w:lang w:eastAsia="de-DE"/>
              </w:rPr>
              <w:t>Colombia</w:t>
            </w:r>
          </w:p>
        </w:tc>
        <w:tc>
          <w:tcPr>
            <w:tcW w:w="1984" w:type="dxa"/>
            <w:shd w:val="clear" w:color="auto" w:fill="FFFFFF" w:themeFill="background1"/>
            <w:noWrap/>
            <w:hideMark/>
          </w:tcPr>
          <w:p w14:paraId="4CEC4F8D" w14:textId="77777777" w:rsidR="00D45F35" w:rsidRPr="00D45F35" w:rsidRDefault="00D45F35" w:rsidP="00D45F35">
            <w:pPr>
              <w:rPr>
                <w:lang w:eastAsia="de-DE"/>
              </w:rPr>
            </w:pPr>
            <w:r w:rsidRPr="00D45F35">
              <w:rPr>
                <w:lang w:eastAsia="de-DE"/>
              </w:rPr>
              <w:t xml:space="preserve">               100,000 </w:t>
            </w:r>
          </w:p>
        </w:tc>
      </w:tr>
      <w:tr w:rsidR="00D45F35" w:rsidRPr="00D45F35" w14:paraId="0B262261" w14:textId="77777777" w:rsidTr="00D45F35">
        <w:trPr>
          <w:divId w:val="268591603"/>
          <w:trHeight w:val="370"/>
        </w:trPr>
        <w:tc>
          <w:tcPr>
            <w:tcW w:w="1360" w:type="dxa"/>
            <w:shd w:val="clear" w:color="auto" w:fill="FFFFFF" w:themeFill="background1"/>
            <w:noWrap/>
            <w:hideMark/>
          </w:tcPr>
          <w:p w14:paraId="5074D73D"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2D722CA2"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102704CB"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43EF8D3A" w14:textId="77777777" w:rsidR="00D45F35" w:rsidRPr="00D45F35" w:rsidRDefault="00D45F35" w:rsidP="00D45F35">
            <w:pPr>
              <w:rPr>
                <w:lang w:eastAsia="de-DE"/>
              </w:rPr>
            </w:pPr>
            <w:r w:rsidRPr="00D45F35">
              <w:rPr>
                <w:highlight w:val="yellow"/>
                <w:lang w:eastAsia="de-DE"/>
              </w:rPr>
              <w:t>DRC</w:t>
            </w:r>
          </w:p>
        </w:tc>
        <w:tc>
          <w:tcPr>
            <w:tcW w:w="1984" w:type="dxa"/>
            <w:shd w:val="clear" w:color="auto" w:fill="FFFFFF" w:themeFill="background1"/>
            <w:noWrap/>
            <w:hideMark/>
          </w:tcPr>
          <w:p w14:paraId="5809CDB9" w14:textId="77777777" w:rsidR="00D45F35" w:rsidRPr="00D45F35" w:rsidRDefault="00D45F35" w:rsidP="00D45F35">
            <w:pPr>
              <w:rPr>
                <w:lang w:eastAsia="de-DE"/>
              </w:rPr>
            </w:pPr>
            <w:r w:rsidRPr="00D45F35">
              <w:rPr>
                <w:lang w:eastAsia="de-DE"/>
              </w:rPr>
              <w:t xml:space="preserve">               300,000 </w:t>
            </w:r>
          </w:p>
        </w:tc>
      </w:tr>
      <w:tr w:rsidR="00D45F35" w:rsidRPr="00D45F35" w14:paraId="44B7A372" w14:textId="77777777" w:rsidTr="00D45F35">
        <w:trPr>
          <w:divId w:val="268591603"/>
          <w:trHeight w:val="370"/>
        </w:trPr>
        <w:tc>
          <w:tcPr>
            <w:tcW w:w="1360" w:type="dxa"/>
            <w:shd w:val="clear" w:color="auto" w:fill="FFFFFF" w:themeFill="background1"/>
            <w:noWrap/>
            <w:hideMark/>
          </w:tcPr>
          <w:p w14:paraId="5101937E"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448421B7"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1C0E3443"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67F7AC74" w14:textId="77777777" w:rsidR="00D45F35" w:rsidRPr="00D45F35" w:rsidRDefault="00D45F35" w:rsidP="00D45F35">
            <w:pPr>
              <w:rPr>
                <w:rFonts w:cs="Arial"/>
              </w:rPr>
            </w:pPr>
            <w:r w:rsidRPr="00D45F35">
              <w:rPr>
                <w:highlight w:val="yellow"/>
                <w:lang w:eastAsia="de-DE"/>
              </w:rPr>
              <w:t>The</w:t>
            </w:r>
            <w:r w:rsidRPr="00D45F35">
              <w:rPr>
                <w:lang w:eastAsia="de-DE"/>
              </w:rPr>
              <w:t xml:space="preserve"> </w:t>
            </w:r>
            <w:r w:rsidRPr="00D45F35">
              <w:rPr>
                <w:rFonts w:cs="Arial"/>
              </w:rPr>
              <w:t>Gambia</w:t>
            </w:r>
          </w:p>
        </w:tc>
        <w:tc>
          <w:tcPr>
            <w:tcW w:w="1984" w:type="dxa"/>
            <w:shd w:val="clear" w:color="auto" w:fill="FFFFFF" w:themeFill="background1"/>
            <w:noWrap/>
            <w:hideMark/>
          </w:tcPr>
          <w:p w14:paraId="239FCE3C" w14:textId="77777777" w:rsidR="00D45F35" w:rsidRPr="00D45F35" w:rsidRDefault="00D45F35" w:rsidP="00D45F35">
            <w:pPr>
              <w:rPr>
                <w:lang w:eastAsia="de-DE"/>
              </w:rPr>
            </w:pPr>
            <w:r w:rsidRPr="00D45F35">
              <w:rPr>
                <w:lang w:eastAsia="de-DE"/>
              </w:rPr>
              <w:t xml:space="preserve">               250,000 </w:t>
            </w:r>
          </w:p>
        </w:tc>
      </w:tr>
      <w:tr w:rsidR="00D45F35" w:rsidRPr="00D45F35" w14:paraId="55805828" w14:textId="77777777" w:rsidTr="00D45F35">
        <w:trPr>
          <w:divId w:val="268591603"/>
          <w:trHeight w:val="370"/>
        </w:trPr>
        <w:tc>
          <w:tcPr>
            <w:tcW w:w="1360" w:type="dxa"/>
            <w:shd w:val="clear" w:color="auto" w:fill="FFFFFF" w:themeFill="background1"/>
            <w:noWrap/>
            <w:hideMark/>
          </w:tcPr>
          <w:p w14:paraId="54062979"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0B71F7BA"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2E395C35"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69933B96" w14:textId="77777777" w:rsidR="00D45F35" w:rsidRPr="00D45F35" w:rsidRDefault="00D45F35" w:rsidP="00D45F35">
            <w:pPr>
              <w:rPr>
                <w:lang w:eastAsia="de-DE"/>
              </w:rPr>
            </w:pPr>
            <w:r w:rsidRPr="00D45F35">
              <w:rPr>
                <w:lang w:eastAsia="de-DE"/>
              </w:rPr>
              <w:t>Iraq</w:t>
            </w:r>
          </w:p>
        </w:tc>
        <w:tc>
          <w:tcPr>
            <w:tcW w:w="1984" w:type="dxa"/>
            <w:shd w:val="clear" w:color="auto" w:fill="FFFFFF" w:themeFill="background1"/>
            <w:noWrap/>
            <w:hideMark/>
          </w:tcPr>
          <w:p w14:paraId="5061DDA1" w14:textId="77777777" w:rsidR="00D45F35" w:rsidRPr="00D45F35" w:rsidRDefault="00D45F35" w:rsidP="00D45F35">
            <w:pPr>
              <w:rPr>
                <w:lang w:eastAsia="de-DE"/>
              </w:rPr>
            </w:pPr>
            <w:r w:rsidRPr="00D45F35">
              <w:rPr>
                <w:lang w:eastAsia="de-DE"/>
              </w:rPr>
              <w:t xml:space="preserve">               300,000 </w:t>
            </w:r>
          </w:p>
        </w:tc>
      </w:tr>
      <w:tr w:rsidR="00D45F35" w:rsidRPr="00D45F35" w14:paraId="4F3A8663" w14:textId="77777777" w:rsidTr="00D45F35">
        <w:trPr>
          <w:divId w:val="268591603"/>
          <w:trHeight w:val="370"/>
        </w:trPr>
        <w:tc>
          <w:tcPr>
            <w:tcW w:w="1360" w:type="dxa"/>
            <w:shd w:val="clear" w:color="auto" w:fill="FFFFFF" w:themeFill="background1"/>
            <w:noWrap/>
            <w:hideMark/>
          </w:tcPr>
          <w:p w14:paraId="37C2DB3C" w14:textId="77777777" w:rsidR="00D45F35" w:rsidRPr="00D45F35" w:rsidRDefault="00D45F35" w:rsidP="00D45F35">
            <w:pPr>
              <w:rPr>
                <w:lang w:eastAsia="de-DE"/>
              </w:rPr>
            </w:pPr>
            <w:r w:rsidRPr="00D45F35">
              <w:rPr>
                <w:lang w:eastAsia="de-DE"/>
              </w:rPr>
              <w:t>Arab States</w:t>
            </w:r>
          </w:p>
        </w:tc>
        <w:tc>
          <w:tcPr>
            <w:tcW w:w="1360" w:type="dxa"/>
            <w:shd w:val="clear" w:color="auto" w:fill="FFFFFF" w:themeFill="background1"/>
            <w:noWrap/>
            <w:hideMark/>
          </w:tcPr>
          <w:p w14:paraId="49616B6E"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3963449C"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304BF2DC" w14:textId="77777777" w:rsidR="00D45F35" w:rsidRPr="00D45F35" w:rsidRDefault="00D45F35" w:rsidP="00D45F35">
            <w:pPr>
              <w:rPr>
                <w:lang w:eastAsia="de-DE"/>
              </w:rPr>
            </w:pPr>
            <w:r w:rsidRPr="00D45F35">
              <w:rPr>
                <w:highlight w:val="yellow"/>
                <w:lang w:eastAsia="de-DE"/>
              </w:rPr>
              <w:t>Libya</w:t>
            </w:r>
          </w:p>
        </w:tc>
        <w:tc>
          <w:tcPr>
            <w:tcW w:w="1984" w:type="dxa"/>
            <w:shd w:val="clear" w:color="auto" w:fill="FFFFFF" w:themeFill="background1"/>
            <w:noWrap/>
            <w:hideMark/>
          </w:tcPr>
          <w:p w14:paraId="6CB0A1C2" w14:textId="77777777" w:rsidR="00D45F35" w:rsidRPr="00D45F35" w:rsidRDefault="00D45F35" w:rsidP="00D45F35">
            <w:pPr>
              <w:rPr>
                <w:lang w:eastAsia="de-DE"/>
              </w:rPr>
            </w:pPr>
            <w:r w:rsidRPr="00D45F35">
              <w:rPr>
                <w:lang w:eastAsia="de-DE"/>
              </w:rPr>
              <w:t xml:space="preserve">               500,000 </w:t>
            </w:r>
          </w:p>
        </w:tc>
      </w:tr>
      <w:tr w:rsidR="00D45F35" w:rsidRPr="00D45F35" w14:paraId="634E09E1" w14:textId="77777777" w:rsidTr="00D45F35">
        <w:trPr>
          <w:divId w:val="268591603"/>
          <w:trHeight w:val="370"/>
        </w:trPr>
        <w:tc>
          <w:tcPr>
            <w:tcW w:w="1360" w:type="dxa"/>
            <w:shd w:val="clear" w:color="auto" w:fill="FFFFFF" w:themeFill="background1"/>
            <w:noWrap/>
            <w:hideMark/>
          </w:tcPr>
          <w:p w14:paraId="134267FF" w14:textId="77777777" w:rsidR="00D45F35" w:rsidRPr="00D45F35" w:rsidRDefault="00D45F35" w:rsidP="00D45F35">
            <w:pPr>
              <w:rPr>
                <w:lang w:eastAsia="de-DE"/>
              </w:rPr>
            </w:pPr>
            <w:r w:rsidRPr="00D45F35">
              <w:rPr>
                <w:lang w:eastAsia="de-DE"/>
              </w:rPr>
              <w:t>Asia Pacific</w:t>
            </w:r>
          </w:p>
        </w:tc>
        <w:tc>
          <w:tcPr>
            <w:tcW w:w="1360" w:type="dxa"/>
            <w:shd w:val="clear" w:color="auto" w:fill="FFFFFF" w:themeFill="background1"/>
            <w:noWrap/>
            <w:hideMark/>
          </w:tcPr>
          <w:p w14:paraId="759C67EB"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0C4B8AC0"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49169C46" w14:textId="77777777" w:rsidR="00D45F35" w:rsidRPr="00D45F35" w:rsidRDefault="00D45F35" w:rsidP="00D45F35">
            <w:pPr>
              <w:rPr>
                <w:lang w:eastAsia="de-DE"/>
              </w:rPr>
            </w:pPr>
            <w:r w:rsidRPr="00D45F35">
              <w:rPr>
                <w:highlight w:val="yellow"/>
                <w:lang w:eastAsia="de-DE"/>
              </w:rPr>
              <w:t>Myanmar</w:t>
            </w:r>
          </w:p>
        </w:tc>
        <w:tc>
          <w:tcPr>
            <w:tcW w:w="1984" w:type="dxa"/>
            <w:shd w:val="clear" w:color="auto" w:fill="FFFFFF" w:themeFill="background1"/>
            <w:noWrap/>
            <w:hideMark/>
          </w:tcPr>
          <w:p w14:paraId="03760FF0" w14:textId="77777777" w:rsidR="00D45F35" w:rsidRPr="00D45F35" w:rsidRDefault="00D45F35" w:rsidP="00D45F35">
            <w:pPr>
              <w:rPr>
                <w:lang w:eastAsia="de-DE"/>
              </w:rPr>
            </w:pPr>
            <w:r w:rsidRPr="00D45F35">
              <w:rPr>
                <w:lang w:eastAsia="de-DE"/>
              </w:rPr>
              <w:t xml:space="preserve">               107,456 </w:t>
            </w:r>
          </w:p>
        </w:tc>
      </w:tr>
      <w:tr w:rsidR="00D45F35" w:rsidRPr="00D45F35" w14:paraId="4A79E512" w14:textId="77777777" w:rsidTr="00D45F35">
        <w:trPr>
          <w:divId w:val="268591603"/>
          <w:trHeight w:val="370"/>
        </w:trPr>
        <w:tc>
          <w:tcPr>
            <w:tcW w:w="1360" w:type="dxa"/>
            <w:shd w:val="clear" w:color="auto" w:fill="FFFFFF" w:themeFill="background1"/>
            <w:noWrap/>
            <w:hideMark/>
          </w:tcPr>
          <w:p w14:paraId="43DDF692"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35492637"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24BEA64"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456BD312" w14:textId="77777777" w:rsidR="00D45F35" w:rsidRPr="00D45F35" w:rsidRDefault="00D45F35" w:rsidP="00D45F35">
            <w:pPr>
              <w:rPr>
                <w:lang w:eastAsia="de-DE"/>
              </w:rPr>
            </w:pPr>
            <w:r w:rsidRPr="00D45F35">
              <w:rPr>
                <w:highlight w:val="yellow"/>
                <w:lang w:eastAsia="de-DE"/>
              </w:rPr>
              <w:t>Nigeria</w:t>
            </w:r>
          </w:p>
        </w:tc>
        <w:tc>
          <w:tcPr>
            <w:tcW w:w="1984" w:type="dxa"/>
            <w:shd w:val="clear" w:color="auto" w:fill="FFFFFF" w:themeFill="background1"/>
            <w:noWrap/>
            <w:hideMark/>
          </w:tcPr>
          <w:p w14:paraId="548D4416" w14:textId="77777777" w:rsidR="00D45F35" w:rsidRPr="00D45F35" w:rsidRDefault="00D45F35" w:rsidP="00D45F35">
            <w:pPr>
              <w:rPr>
                <w:lang w:eastAsia="de-DE"/>
              </w:rPr>
            </w:pPr>
            <w:r w:rsidRPr="00D45F35">
              <w:rPr>
                <w:lang w:eastAsia="de-DE"/>
              </w:rPr>
              <w:t xml:space="preserve">               400,000 </w:t>
            </w:r>
          </w:p>
        </w:tc>
      </w:tr>
      <w:tr w:rsidR="00D45F35" w:rsidRPr="00D45F35" w14:paraId="788AD528" w14:textId="77777777" w:rsidTr="00D45F35">
        <w:trPr>
          <w:divId w:val="268591603"/>
          <w:trHeight w:val="370"/>
        </w:trPr>
        <w:tc>
          <w:tcPr>
            <w:tcW w:w="1360" w:type="dxa"/>
            <w:shd w:val="clear" w:color="auto" w:fill="FFFFFF" w:themeFill="background1"/>
            <w:noWrap/>
            <w:hideMark/>
          </w:tcPr>
          <w:p w14:paraId="4155BEA7"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117FE1B7"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7202E32C" w14:textId="77777777" w:rsidR="00D45F35" w:rsidRPr="00D45F35" w:rsidRDefault="00D45F35" w:rsidP="00D45F35">
            <w:pPr>
              <w:rPr>
                <w:lang w:eastAsia="de-DE"/>
              </w:rPr>
            </w:pPr>
            <w:r w:rsidRPr="00D45F35">
              <w:rPr>
                <w:lang w:eastAsia="de-DE"/>
              </w:rPr>
              <w:t>Round 2, 2017</w:t>
            </w:r>
          </w:p>
        </w:tc>
        <w:tc>
          <w:tcPr>
            <w:tcW w:w="2835" w:type="dxa"/>
            <w:shd w:val="clear" w:color="auto" w:fill="FFFFFF" w:themeFill="background1"/>
            <w:noWrap/>
            <w:hideMark/>
          </w:tcPr>
          <w:p w14:paraId="73D209F0" w14:textId="77777777" w:rsidR="00D45F35" w:rsidRPr="00D45F35" w:rsidRDefault="00D45F35" w:rsidP="00D45F35">
            <w:pPr>
              <w:rPr>
                <w:lang w:eastAsia="de-DE"/>
              </w:rPr>
            </w:pPr>
            <w:r w:rsidRPr="00D45F35">
              <w:rPr>
                <w:lang w:eastAsia="de-DE"/>
              </w:rPr>
              <w:t>Tunisia</w:t>
            </w:r>
          </w:p>
        </w:tc>
        <w:tc>
          <w:tcPr>
            <w:tcW w:w="1984" w:type="dxa"/>
            <w:shd w:val="clear" w:color="auto" w:fill="FFFFFF" w:themeFill="background1"/>
            <w:noWrap/>
            <w:hideMark/>
          </w:tcPr>
          <w:p w14:paraId="5BD43F3C" w14:textId="77777777" w:rsidR="00D45F35" w:rsidRPr="00D45F35" w:rsidRDefault="00D45F35" w:rsidP="00D45F35">
            <w:pPr>
              <w:rPr>
                <w:lang w:eastAsia="de-DE"/>
              </w:rPr>
            </w:pPr>
            <w:r w:rsidRPr="00D45F35">
              <w:rPr>
                <w:lang w:eastAsia="de-DE"/>
              </w:rPr>
              <w:t xml:space="preserve">               150,000 </w:t>
            </w:r>
          </w:p>
        </w:tc>
      </w:tr>
      <w:tr w:rsidR="00D45F35" w:rsidRPr="00D45F35" w14:paraId="1E79B231" w14:textId="77777777" w:rsidTr="00D45F35">
        <w:trPr>
          <w:divId w:val="268591603"/>
          <w:trHeight w:val="370"/>
        </w:trPr>
        <w:tc>
          <w:tcPr>
            <w:tcW w:w="1360" w:type="dxa"/>
            <w:shd w:val="clear" w:color="auto" w:fill="FFFFFF" w:themeFill="background1"/>
            <w:noWrap/>
            <w:hideMark/>
          </w:tcPr>
          <w:p w14:paraId="0120631C" w14:textId="77777777" w:rsidR="00D45F35" w:rsidRPr="00D45F35" w:rsidRDefault="00D45F35" w:rsidP="00D45F35">
            <w:pPr>
              <w:rPr>
                <w:lang w:eastAsia="de-DE"/>
              </w:rPr>
            </w:pPr>
            <w:r w:rsidRPr="00D45F35">
              <w:rPr>
                <w:lang w:eastAsia="de-DE"/>
              </w:rPr>
              <w:t>Arab States</w:t>
            </w:r>
          </w:p>
        </w:tc>
        <w:tc>
          <w:tcPr>
            <w:tcW w:w="1360" w:type="dxa"/>
            <w:shd w:val="clear" w:color="auto" w:fill="FFFFFF" w:themeFill="background1"/>
            <w:noWrap/>
            <w:hideMark/>
          </w:tcPr>
          <w:p w14:paraId="5286DB26"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1A922091" w14:textId="77777777" w:rsidR="00D45F35" w:rsidRPr="00D45F35" w:rsidRDefault="00D45F35" w:rsidP="00D45F35">
            <w:pPr>
              <w:rPr>
                <w:lang w:eastAsia="de-DE"/>
              </w:rPr>
            </w:pPr>
            <w:r w:rsidRPr="00D45F35">
              <w:rPr>
                <w:lang w:eastAsia="de-DE"/>
              </w:rPr>
              <w:t>Round 3, 2017</w:t>
            </w:r>
          </w:p>
        </w:tc>
        <w:tc>
          <w:tcPr>
            <w:tcW w:w="2835" w:type="dxa"/>
            <w:shd w:val="clear" w:color="auto" w:fill="FFFFFF" w:themeFill="background1"/>
            <w:noWrap/>
            <w:hideMark/>
          </w:tcPr>
          <w:p w14:paraId="72F81EDC" w14:textId="77777777" w:rsidR="00D45F35" w:rsidRPr="00D45F35" w:rsidRDefault="00D45F35" w:rsidP="00D45F35">
            <w:pPr>
              <w:rPr>
                <w:rFonts w:cs="Arial"/>
              </w:rPr>
            </w:pPr>
            <w:r w:rsidRPr="00D45F35">
              <w:rPr>
                <w:highlight w:val="yellow"/>
                <w:lang w:eastAsia="de-DE"/>
              </w:rPr>
              <w:t>Tunisia</w:t>
            </w:r>
            <w:r w:rsidRPr="00D45F35">
              <w:rPr>
                <w:lang w:eastAsia="de-DE"/>
              </w:rPr>
              <w:t xml:space="preserve"> </w:t>
            </w:r>
          </w:p>
        </w:tc>
        <w:tc>
          <w:tcPr>
            <w:tcW w:w="1984" w:type="dxa"/>
            <w:shd w:val="clear" w:color="auto" w:fill="FFFFFF" w:themeFill="background1"/>
            <w:noWrap/>
            <w:hideMark/>
          </w:tcPr>
          <w:p w14:paraId="33C4C300" w14:textId="77777777" w:rsidR="00D45F35" w:rsidRPr="00D45F35" w:rsidRDefault="00D45F35" w:rsidP="00D45F35">
            <w:pPr>
              <w:rPr>
                <w:lang w:eastAsia="de-DE"/>
              </w:rPr>
            </w:pPr>
            <w:r w:rsidRPr="00D45F35">
              <w:rPr>
                <w:lang w:eastAsia="de-DE"/>
              </w:rPr>
              <w:t xml:space="preserve">               200,000 </w:t>
            </w:r>
          </w:p>
        </w:tc>
      </w:tr>
      <w:tr w:rsidR="00D45F35" w:rsidRPr="00D45F35" w14:paraId="3D1953CE" w14:textId="77777777" w:rsidTr="00D45F35">
        <w:trPr>
          <w:divId w:val="268591603"/>
          <w:trHeight w:val="370"/>
        </w:trPr>
        <w:tc>
          <w:tcPr>
            <w:tcW w:w="1360" w:type="dxa"/>
            <w:shd w:val="clear" w:color="auto" w:fill="FFFFFF" w:themeFill="background1"/>
            <w:noWrap/>
            <w:hideMark/>
          </w:tcPr>
          <w:p w14:paraId="3DB5B773"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7F4B92B6"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11484B74" w14:textId="77777777" w:rsidR="00D45F35" w:rsidRPr="00D45F35" w:rsidRDefault="00D45F35" w:rsidP="00D45F35">
            <w:pPr>
              <w:rPr>
                <w:lang w:eastAsia="de-DE"/>
              </w:rPr>
            </w:pPr>
            <w:r w:rsidRPr="00D45F35">
              <w:rPr>
                <w:lang w:eastAsia="de-DE"/>
              </w:rPr>
              <w:t>Round 3, 2017</w:t>
            </w:r>
          </w:p>
        </w:tc>
        <w:tc>
          <w:tcPr>
            <w:tcW w:w="2835" w:type="dxa"/>
            <w:shd w:val="clear" w:color="auto" w:fill="FFFFFF" w:themeFill="background1"/>
            <w:noWrap/>
            <w:hideMark/>
          </w:tcPr>
          <w:p w14:paraId="1D835405" w14:textId="77777777" w:rsidR="00D45F35" w:rsidRPr="00D45F35" w:rsidRDefault="00D45F35" w:rsidP="00D45F35">
            <w:pPr>
              <w:rPr>
                <w:lang w:eastAsia="de-DE"/>
              </w:rPr>
            </w:pPr>
            <w:r w:rsidRPr="00D45F35">
              <w:rPr>
                <w:highlight w:val="yellow"/>
                <w:lang w:eastAsia="de-DE"/>
              </w:rPr>
              <w:t>Somalia</w:t>
            </w:r>
          </w:p>
        </w:tc>
        <w:tc>
          <w:tcPr>
            <w:tcW w:w="1984" w:type="dxa"/>
            <w:shd w:val="clear" w:color="auto" w:fill="FFFFFF" w:themeFill="background1"/>
            <w:noWrap/>
            <w:hideMark/>
          </w:tcPr>
          <w:p w14:paraId="523B041B" w14:textId="77777777" w:rsidR="00D45F35" w:rsidRPr="00D45F35" w:rsidRDefault="00D45F35" w:rsidP="00D45F35">
            <w:pPr>
              <w:rPr>
                <w:lang w:eastAsia="de-DE"/>
              </w:rPr>
            </w:pPr>
            <w:r w:rsidRPr="00D45F35">
              <w:rPr>
                <w:lang w:eastAsia="de-DE"/>
              </w:rPr>
              <w:t xml:space="preserve">               368,000 </w:t>
            </w:r>
          </w:p>
        </w:tc>
      </w:tr>
      <w:tr w:rsidR="00D45F35" w:rsidRPr="00D45F35" w14:paraId="170F2BCC" w14:textId="77777777" w:rsidTr="00D45F35">
        <w:trPr>
          <w:divId w:val="268591603"/>
          <w:trHeight w:val="370"/>
        </w:trPr>
        <w:tc>
          <w:tcPr>
            <w:tcW w:w="1360" w:type="dxa"/>
            <w:shd w:val="clear" w:color="auto" w:fill="FFFFFF" w:themeFill="background1"/>
            <w:noWrap/>
            <w:hideMark/>
          </w:tcPr>
          <w:p w14:paraId="0FB0D111"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0D513ABE"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00473C08" w14:textId="77777777" w:rsidR="00D45F35" w:rsidRPr="00D45F35" w:rsidRDefault="00D45F35" w:rsidP="00D45F35">
            <w:pPr>
              <w:rPr>
                <w:lang w:eastAsia="de-DE"/>
              </w:rPr>
            </w:pPr>
            <w:r w:rsidRPr="00D45F35">
              <w:rPr>
                <w:lang w:eastAsia="de-DE"/>
              </w:rPr>
              <w:t>Round 3, 2017</w:t>
            </w:r>
          </w:p>
        </w:tc>
        <w:tc>
          <w:tcPr>
            <w:tcW w:w="2835" w:type="dxa"/>
            <w:shd w:val="clear" w:color="auto" w:fill="FFFFFF" w:themeFill="background1"/>
            <w:noWrap/>
            <w:hideMark/>
          </w:tcPr>
          <w:p w14:paraId="47D6AA70" w14:textId="77777777" w:rsidR="00D45F35" w:rsidRPr="00D45F35" w:rsidRDefault="00D45F35" w:rsidP="00D45F35">
            <w:pPr>
              <w:rPr>
                <w:lang w:eastAsia="de-DE"/>
              </w:rPr>
            </w:pPr>
            <w:r w:rsidRPr="00D45F35">
              <w:rPr>
                <w:highlight w:val="yellow"/>
                <w:lang w:eastAsia="de-DE"/>
              </w:rPr>
              <w:t>Palestine</w:t>
            </w:r>
          </w:p>
        </w:tc>
        <w:tc>
          <w:tcPr>
            <w:tcW w:w="1984" w:type="dxa"/>
            <w:shd w:val="clear" w:color="auto" w:fill="FFFFFF" w:themeFill="background1"/>
            <w:noWrap/>
            <w:hideMark/>
          </w:tcPr>
          <w:p w14:paraId="115578FD" w14:textId="77777777" w:rsidR="00D45F35" w:rsidRPr="00D45F35" w:rsidRDefault="00D45F35" w:rsidP="00D45F35">
            <w:pPr>
              <w:rPr>
                <w:lang w:eastAsia="de-DE"/>
              </w:rPr>
            </w:pPr>
            <w:r w:rsidRPr="00D45F35">
              <w:rPr>
                <w:lang w:eastAsia="de-DE"/>
              </w:rPr>
              <w:t xml:space="preserve">               500,000 </w:t>
            </w:r>
          </w:p>
        </w:tc>
      </w:tr>
      <w:tr w:rsidR="00D45F35" w:rsidRPr="00D45F35" w14:paraId="5DBE9B24" w14:textId="77777777" w:rsidTr="00D45F35">
        <w:trPr>
          <w:divId w:val="268591603"/>
          <w:trHeight w:val="370"/>
        </w:trPr>
        <w:tc>
          <w:tcPr>
            <w:tcW w:w="1360" w:type="dxa"/>
            <w:shd w:val="clear" w:color="auto" w:fill="FFFFFF" w:themeFill="background1"/>
            <w:noWrap/>
            <w:hideMark/>
          </w:tcPr>
          <w:p w14:paraId="3C0FF931" w14:textId="77777777" w:rsidR="00D45F35" w:rsidRPr="00D45F35" w:rsidRDefault="00D45F35" w:rsidP="00D45F35">
            <w:pPr>
              <w:rPr>
                <w:lang w:eastAsia="de-DE"/>
              </w:rPr>
            </w:pPr>
            <w:r w:rsidRPr="00D45F35">
              <w:rPr>
                <w:lang w:eastAsia="de-DE"/>
              </w:rPr>
              <w:t>LAC</w:t>
            </w:r>
          </w:p>
        </w:tc>
        <w:tc>
          <w:tcPr>
            <w:tcW w:w="1360" w:type="dxa"/>
            <w:shd w:val="clear" w:color="auto" w:fill="FFFFFF" w:themeFill="background1"/>
            <w:noWrap/>
            <w:hideMark/>
          </w:tcPr>
          <w:p w14:paraId="4BD79C99"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299F8495" w14:textId="77777777" w:rsidR="00D45F35" w:rsidRPr="00D45F35" w:rsidRDefault="00D45F35" w:rsidP="00D45F35">
            <w:pPr>
              <w:rPr>
                <w:lang w:eastAsia="de-DE"/>
              </w:rPr>
            </w:pPr>
            <w:r w:rsidRPr="00D45F35">
              <w:rPr>
                <w:lang w:eastAsia="de-DE"/>
              </w:rPr>
              <w:t>Round 3, 2017</w:t>
            </w:r>
          </w:p>
        </w:tc>
        <w:tc>
          <w:tcPr>
            <w:tcW w:w="2835" w:type="dxa"/>
            <w:shd w:val="clear" w:color="auto" w:fill="FFFFFF" w:themeFill="background1"/>
            <w:noWrap/>
            <w:hideMark/>
          </w:tcPr>
          <w:p w14:paraId="67AE0A4A" w14:textId="77777777" w:rsidR="00D45F35" w:rsidRPr="00D45F35" w:rsidRDefault="00D45F35" w:rsidP="00D45F35">
            <w:pPr>
              <w:rPr>
                <w:lang w:eastAsia="de-DE"/>
              </w:rPr>
            </w:pPr>
            <w:r w:rsidRPr="00D45F35">
              <w:rPr>
                <w:highlight w:val="yellow"/>
                <w:lang w:eastAsia="de-DE"/>
              </w:rPr>
              <w:t>Colombia</w:t>
            </w:r>
          </w:p>
        </w:tc>
        <w:tc>
          <w:tcPr>
            <w:tcW w:w="1984" w:type="dxa"/>
            <w:shd w:val="clear" w:color="auto" w:fill="FFFFFF" w:themeFill="background1"/>
            <w:noWrap/>
            <w:hideMark/>
          </w:tcPr>
          <w:p w14:paraId="1ACDA1A3" w14:textId="77777777" w:rsidR="00D45F35" w:rsidRPr="00D45F35" w:rsidRDefault="00D45F35" w:rsidP="00D45F35">
            <w:pPr>
              <w:rPr>
                <w:lang w:eastAsia="de-DE"/>
              </w:rPr>
            </w:pPr>
            <w:r w:rsidRPr="00D45F35">
              <w:rPr>
                <w:lang w:eastAsia="de-DE"/>
              </w:rPr>
              <w:t xml:space="preserve">               200,000 </w:t>
            </w:r>
          </w:p>
        </w:tc>
      </w:tr>
      <w:tr w:rsidR="00D45F35" w:rsidRPr="00D45F35" w14:paraId="5715C939" w14:textId="77777777" w:rsidTr="00D45F35">
        <w:trPr>
          <w:divId w:val="268591603"/>
          <w:trHeight w:val="370"/>
        </w:trPr>
        <w:tc>
          <w:tcPr>
            <w:tcW w:w="1360" w:type="dxa"/>
            <w:shd w:val="clear" w:color="auto" w:fill="FFFFFF" w:themeFill="background1"/>
            <w:noWrap/>
            <w:hideMark/>
          </w:tcPr>
          <w:p w14:paraId="7452A55E" w14:textId="77777777" w:rsidR="00D45F35" w:rsidRPr="00D45F35" w:rsidRDefault="00D45F35" w:rsidP="00D45F35">
            <w:pPr>
              <w:rPr>
                <w:rFonts w:cs="Arial"/>
              </w:rPr>
            </w:pPr>
            <w:r w:rsidRPr="00D45F35">
              <w:rPr>
                <w:lang w:eastAsia="de-DE"/>
              </w:rPr>
              <w:t xml:space="preserve">Asia </w:t>
            </w:r>
            <w:r w:rsidRPr="00D45F35">
              <w:rPr>
                <w:rFonts w:cs="Arial"/>
              </w:rPr>
              <w:t>Pacific</w:t>
            </w:r>
          </w:p>
        </w:tc>
        <w:tc>
          <w:tcPr>
            <w:tcW w:w="1360" w:type="dxa"/>
            <w:shd w:val="clear" w:color="auto" w:fill="FFFFFF" w:themeFill="background1"/>
            <w:noWrap/>
            <w:hideMark/>
          </w:tcPr>
          <w:p w14:paraId="219EF991"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6AD8F13C" w14:textId="77777777" w:rsidR="00D45F35" w:rsidRPr="00D45F35" w:rsidRDefault="00D45F35" w:rsidP="00D45F35">
            <w:pPr>
              <w:rPr>
                <w:lang w:eastAsia="de-DE"/>
              </w:rPr>
            </w:pPr>
            <w:r w:rsidRPr="00D45F35">
              <w:rPr>
                <w:lang w:eastAsia="de-DE"/>
              </w:rPr>
              <w:t>Round 1, 2018</w:t>
            </w:r>
          </w:p>
        </w:tc>
        <w:tc>
          <w:tcPr>
            <w:tcW w:w="2835" w:type="dxa"/>
            <w:shd w:val="clear" w:color="auto" w:fill="FFFFFF" w:themeFill="background1"/>
            <w:noWrap/>
            <w:hideMark/>
          </w:tcPr>
          <w:p w14:paraId="1FAB8887" w14:textId="77777777" w:rsidR="00D45F35" w:rsidRPr="00D45F35" w:rsidRDefault="00D45F35" w:rsidP="00D45F35">
            <w:pPr>
              <w:rPr>
                <w:lang w:eastAsia="de-DE"/>
              </w:rPr>
            </w:pPr>
            <w:r w:rsidRPr="00D45F35">
              <w:rPr>
                <w:highlight w:val="yellow"/>
                <w:lang w:eastAsia="de-DE"/>
              </w:rPr>
              <w:t>Bangladesh</w:t>
            </w:r>
          </w:p>
        </w:tc>
        <w:tc>
          <w:tcPr>
            <w:tcW w:w="1984" w:type="dxa"/>
            <w:shd w:val="clear" w:color="auto" w:fill="FFFFFF" w:themeFill="background1"/>
            <w:noWrap/>
            <w:hideMark/>
          </w:tcPr>
          <w:p w14:paraId="12A17518" w14:textId="77777777" w:rsidR="00D45F35" w:rsidRPr="00D45F35" w:rsidRDefault="00D45F35" w:rsidP="00D45F35">
            <w:pPr>
              <w:rPr>
                <w:lang w:eastAsia="de-DE"/>
              </w:rPr>
            </w:pPr>
            <w:r w:rsidRPr="00D45F35">
              <w:rPr>
                <w:lang w:eastAsia="de-DE"/>
              </w:rPr>
              <w:t xml:space="preserve">               400,000 </w:t>
            </w:r>
          </w:p>
        </w:tc>
      </w:tr>
      <w:tr w:rsidR="00D45F35" w:rsidRPr="00D45F35" w14:paraId="5B5AE9F1" w14:textId="77777777" w:rsidTr="00D45F35">
        <w:trPr>
          <w:divId w:val="268591603"/>
          <w:trHeight w:val="370"/>
        </w:trPr>
        <w:tc>
          <w:tcPr>
            <w:tcW w:w="1360" w:type="dxa"/>
            <w:shd w:val="clear" w:color="auto" w:fill="FFFFFF" w:themeFill="background1"/>
            <w:noWrap/>
            <w:hideMark/>
          </w:tcPr>
          <w:p w14:paraId="79D56FB0"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0C2AA6EE"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5B52B2D4" w14:textId="77777777" w:rsidR="00D45F35" w:rsidRPr="00D45F35" w:rsidRDefault="00D45F35" w:rsidP="00D45F35">
            <w:pPr>
              <w:rPr>
                <w:lang w:eastAsia="de-DE"/>
              </w:rPr>
            </w:pPr>
            <w:r w:rsidRPr="00D45F35">
              <w:rPr>
                <w:lang w:eastAsia="de-DE"/>
              </w:rPr>
              <w:t>Round 1, 2018</w:t>
            </w:r>
          </w:p>
        </w:tc>
        <w:tc>
          <w:tcPr>
            <w:tcW w:w="2835" w:type="dxa"/>
            <w:shd w:val="clear" w:color="auto" w:fill="FFFFFF" w:themeFill="background1"/>
            <w:noWrap/>
            <w:hideMark/>
          </w:tcPr>
          <w:p w14:paraId="0EA35BF7" w14:textId="77777777" w:rsidR="00D45F35" w:rsidRPr="00D45F35" w:rsidRDefault="00D45F35" w:rsidP="00D45F35">
            <w:pPr>
              <w:rPr>
                <w:lang w:eastAsia="de-DE"/>
              </w:rPr>
            </w:pPr>
            <w:r w:rsidRPr="00D45F35">
              <w:rPr>
                <w:lang w:eastAsia="de-DE"/>
              </w:rPr>
              <w:t>CAR</w:t>
            </w:r>
          </w:p>
        </w:tc>
        <w:tc>
          <w:tcPr>
            <w:tcW w:w="1984" w:type="dxa"/>
            <w:shd w:val="clear" w:color="auto" w:fill="FFFFFF" w:themeFill="background1"/>
            <w:noWrap/>
            <w:hideMark/>
          </w:tcPr>
          <w:p w14:paraId="2C0BCA41" w14:textId="77777777" w:rsidR="00D45F35" w:rsidRPr="00D45F35" w:rsidRDefault="00D45F35" w:rsidP="00D45F35">
            <w:pPr>
              <w:rPr>
                <w:lang w:eastAsia="de-DE"/>
              </w:rPr>
            </w:pPr>
            <w:r w:rsidRPr="00D45F35">
              <w:rPr>
                <w:lang w:eastAsia="de-DE"/>
              </w:rPr>
              <w:t xml:space="preserve">               100,000 </w:t>
            </w:r>
          </w:p>
        </w:tc>
      </w:tr>
      <w:tr w:rsidR="00D45F35" w:rsidRPr="00D45F35" w14:paraId="7426AE7D" w14:textId="77777777" w:rsidTr="00D45F35">
        <w:trPr>
          <w:divId w:val="268591603"/>
          <w:trHeight w:val="370"/>
        </w:trPr>
        <w:tc>
          <w:tcPr>
            <w:tcW w:w="1360" w:type="dxa"/>
            <w:shd w:val="clear" w:color="auto" w:fill="FFFFFF" w:themeFill="background1"/>
            <w:noWrap/>
            <w:hideMark/>
          </w:tcPr>
          <w:p w14:paraId="49CDA395"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71096D95"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11BDE0E5" w14:textId="77777777" w:rsidR="00D45F35" w:rsidRPr="00D45F35" w:rsidRDefault="00D45F35" w:rsidP="00D45F35">
            <w:pPr>
              <w:rPr>
                <w:lang w:eastAsia="de-DE"/>
              </w:rPr>
            </w:pPr>
            <w:r w:rsidRPr="00D45F35">
              <w:rPr>
                <w:lang w:eastAsia="de-DE"/>
              </w:rPr>
              <w:t>Round 1, 2018</w:t>
            </w:r>
          </w:p>
        </w:tc>
        <w:tc>
          <w:tcPr>
            <w:tcW w:w="2835" w:type="dxa"/>
            <w:shd w:val="clear" w:color="auto" w:fill="FFFFFF" w:themeFill="background1"/>
            <w:noWrap/>
            <w:hideMark/>
          </w:tcPr>
          <w:p w14:paraId="3C697D18" w14:textId="77777777" w:rsidR="00D45F35" w:rsidRPr="00D45F35" w:rsidRDefault="00D45F35" w:rsidP="00D45F35">
            <w:pPr>
              <w:rPr>
                <w:lang w:eastAsia="de-DE"/>
              </w:rPr>
            </w:pPr>
            <w:r w:rsidRPr="00D45F35">
              <w:rPr>
                <w:highlight w:val="yellow"/>
                <w:lang w:eastAsia="de-DE"/>
              </w:rPr>
              <w:t>Somalia</w:t>
            </w:r>
          </w:p>
        </w:tc>
        <w:tc>
          <w:tcPr>
            <w:tcW w:w="1984" w:type="dxa"/>
            <w:shd w:val="clear" w:color="auto" w:fill="FFFFFF" w:themeFill="background1"/>
            <w:noWrap/>
            <w:hideMark/>
          </w:tcPr>
          <w:p w14:paraId="35F0DBA2" w14:textId="77777777" w:rsidR="00D45F35" w:rsidRPr="00D45F35" w:rsidRDefault="00D45F35" w:rsidP="00D45F35">
            <w:pPr>
              <w:rPr>
                <w:lang w:eastAsia="de-DE"/>
              </w:rPr>
            </w:pPr>
            <w:r w:rsidRPr="00D45F35">
              <w:rPr>
                <w:lang w:eastAsia="de-DE"/>
              </w:rPr>
              <w:t xml:space="preserve">               239,160 </w:t>
            </w:r>
          </w:p>
        </w:tc>
      </w:tr>
      <w:tr w:rsidR="00D45F35" w:rsidRPr="00D45F35" w14:paraId="2144ACCD" w14:textId="77777777" w:rsidTr="00D45F35">
        <w:trPr>
          <w:divId w:val="268591603"/>
          <w:trHeight w:val="370"/>
        </w:trPr>
        <w:tc>
          <w:tcPr>
            <w:tcW w:w="1360" w:type="dxa"/>
            <w:shd w:val="clear" w:color="auto" w:fill="FFFFFF" w:themeFill="background1"/>
            <w:noWrap/>
            <w:hideMark/>
          </w:tcPr>
          <w:p w14:paraId="0B00ED0C"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3D928DBF"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3A54AE8E" w14:textId="77777777" w:rsidR="00D45F35" w:rsidRPr="00D45F35" w:rsidRDefault="00D45F35" w:rsidP="00D45F35">
            <w:pPr>
              <w:rPr>
                <w:lang w:eastAsia="de-DE"/>
              </w:rPr>
            </w:pPr>
            <w:r w:rsidRPr="00D45F35">
              <w:rPr>
                <w:lang w:eastAsia="de-DE"/>
              </w:rPr>
              <w:t>Round 1, 2018</w:t>
            </w:r>
          </w:p>
        </w:tc>
        <w:tc>
          <w:tcPr>
            <w:tcW w:w="2835" w:type="dxa"/>
            <w:shd w:val="clear" w:color="auto" w:fill="FFFFFF" w:themeFill="background1"/>
            <w:noWrap/>
            <w:hideMark/>
          </w:tcPr>
          <w:p w14:paraId="5DB95314" w14:textId="77777777" w:rsidR="00D45F35" w:rsidRPr="00D45F35" w:rsidRDefault="00D45F35" w:rsidP="00D45F35">
            <w:pPr>
              <w:rPr>
                <w:lang w:eastAsia="de-DE"/>
              </w:rPr>
            </w:pPr>
            <w:r w:rsidRPr="00D45F35">
              <w:rPr>
                <w:highlight w:val="yellow"/>
                <w:lang w:eastAsia="de-DE"/>
              </w:rPr>
              <w:t>Uganda</w:t>
            </w:r>
          </w:p>
        </w:tc>
        <w:tc>
          <w:tcPr>
            <w:tcW w:w="1984" w:type="dxa"/>
            <w:shd w:val="clear" w:color="auto" w:fill="FFFFFF" w:themeFill="background1"/>
            <w:noWrap/>
            <w:hideMark/>
          </w:tcPr>
          <w:p w14:paraId="29B509C6" w14:textId="77777777" w:rsidR="00D45F35" w:rsidRPr="00D45F35" w:rsidRDefault="00D45F35" w:rsidP="00D45F35">
            <w:pPr>
              <w:rPr>
                <w:lang w:eastAsia="de-DE"/>
              </w:rPr>
            </w:pPr>
            <w:r w:rsidRPr="00D45F35">
              <w:rPr>
                <w:lang w:eastAsia="de-DE"/>
              </w:rPr>
              <w:t xml:space="preserve">               150,000 </w:t>
            </w:r>
          </w:p>
        </w:tc>
      </w:tr>
      <w:tr w:rsidR="00D45F35" w:rsidRPr="00D45F35" w14:paraId="543A8792" w14:textId="77777777" w:rsidTr="00D45F35">
        <w:trPr>
          <w:divId w:val="268591603"/>
          <w:trHeight w:val="370"/>
        </w:trPr>
        <w:tc>
          <w:tcPr>
            <w:tcW w:w="1360" w:type="dxa"/>
            <w:shd w:val="clear" w:color="auto" w:fill="FFFFFF" w:themeFill="background1"/>
            <w:noWrap/>
            <w:hideMark/>
          </w:tcPr>
          <w:p w14:paraId="62A5ECF8" w14:textId="77777777" w:rsidR="00D45F35" w:rsidRPr="00D45F35" w:rsidRDefault="00D45F35" w:rsidP="00D45F35">
            <w:pPr>
              <w:rPr>
                <w:lang w:eastAsia="de-DE"/>
              </w:rPr>
            </w:pPr>
            <w:r w:rsidRPr="00D45F35">
              <w:rPr>
                <w:lang w:eastAsia="de-DE"/>
              </w:rPr>
              <w:t>LAC</w:t>
            </w:r>
          </w:p>
        </w:tc>
        <w:tc>
          <w:tcPr>
            <w:tcW w:w="1360" w:type="dxa"/>
            <w:shd w:val="clear" w:color="auto" w:fill="FFFFFF" w:themeFill="background1"/>
            <w:noWrap/>
            <w:hideMark/>
          </w:tcPr>
          <w:p w14:paraId="1280BE4A"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7010C857" w14:textId="77777777" w:rsidR="00D45F35" w:rsidRPr="00D45F35" w:rsidRDefault="00D45F35" w:rsidP="00D45F35">
            <w:pPr>
              <w:rPr>
                <w:lang w:eastAsia="de-DE"/>
              </w:rPr>
            </w:pPr>
            <w:r w:rsidRPr="00D45F35">
              <w:rPr>
                <w:lang w:eastAsia="de-DE"/>
              </w:rPr>
              <w:t>Round 1, 2018</w:t>
            </w:r>
          </w:p>
        </w:tc>
        <w:tc>
          <w:tcPr>
            <w:tcW w:w="2835" w:type="dxa"/>
            <w:shd w:val="clear" w:color="auto" w:fill="FFFFFF" w:themeFill="background1"/>
            <w:noWrap/>
            <w:hideMark/>
          </w:tcPr>
          <w:p w14:paraId="4EE298EE" w14:textId="77777777" w:rsidR="00D45F35" w:rsidRPr="00D45F35" w:rsidRDefault="00D45F35" w:rsidP="00D45F35">
            <w:pPr>
              <w:rPr>
                <w:lang w:eastAsia="de-DE"/>
              </w:rPr>
            </w:pPr>
            <w:r w:rsidRPr="00D45F35">
              <w:rPr>
                <w:lang w:eastAsia="de-DE"/>
              </w:rPr>
              <w:t>Venezuela</w:t>
            </w:r>
          </w:p>
        </w:tc>
        <w:tc>
          <w:tcPr>
            <w:tcW w:w="1984" w:type="dxa"/>
            <w:shd w:val="clear" w:color="auto" w:fill="FFFFFF" w:themeFill="background1"/>
            <w:noWrap/>
            <w:hideMark/>
          </w:tcPr>
          <w:p w14:paraId="6611CEE1" w14:textId="77777777" w:rsidR="00D45F35" w:rsidRPr="00D45F35" w:rsidRDefault="00D45F35" w:rsidP="00D45F35">
            <w:pPr>
              <w:rPr>
                <w:lang w:eastAsia="de-DE"/>
              </w:rPr>
            </w:pPr>
            <w:r w:rsidRPr="00D45F35">
              <w:rPr>
                <w:lang w:eastAsia="de-DE"/>
              </w:rPr>
              <w:t xml:space="preserve">               275,000 </w:t>
            </w:r>
          </w:p>
        </w:tc>
      </w:tr>
      <w:tr w:rsidR="00D45F35" w:rsidRPr="00D45F35" w14:paraId="6535A764" w14:textId="77777777" w:rsidTr="00D45F35">
        <w:trPr>
          <w:divId w:val="268591603"/>
          <w:trHeight w:val="370"/>
        </w:trPr>
        <w:tc>
          <w:tcPr>
            <w:tcW w:w="1360" w:type="dxa"/>
            <w:shd w:val="clear" w:color="auto" w:fill="FFFFFF" w:themeFill="background1"/>
            <w:noWrap/>
            <w:hideMark/>
          </w:tcPr>
          <w:p w14:paraId="646FD337"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3106C364"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6B82A812" w14:textId="77777777" w:rsidR="00D45F35" w:rsidRPr="00D45F35" w:rsidRDefault="00D45F35" w:rsidP="00D45F35">
            <w:pPr>
              <w:rPr>
                <w:lang w:eastAsia="de-DE"/>
              </w:rPr>
            </w:pPr>
            <w:r w:rsidRPr="00D45F35">
              <w:rPr>
                <w:lang w:eastAsia="de-DE"/>
              </w:rPr>
              <w:t>Round 1, 2018</w:t>
            </w:r>
          </w:p>
        </w:tc>
        <w:tc>
          <w:tcPr>
            <w:tcW w:w="2835" w:type="dxa"/>
            <w:shd w:val="clear" w:color="auto" w:fill="FFFFFF" w:themeFill="background1"/>
            <w:noWrap/>
            <w:hideMark/>
          </w:tcPr>
          <w:p w14:paraId="0E76A517" w14:textId="77777777" w:rsidR="00D45F35" w:rsidRPr="00D45F35" w:rsidRDefault="00D45F35" w:rsidP="00D45F35">
            <w:pPr>
              <w:rPr>
                <w:lang w:eastAsia="de-DE"/>
              </w:rPr>
            </w:pPr>
            <w:r w:rsidRPr="00D45F35">
              <w:rPr>
                <w:lang w:eastAsia="de-DE"/>
              </w:rPr>
              <w:t>Zimbabwe</w:t>
            </w:r>
          </w:p>
        </w:tc>
        <w:tc>
          <w:tcPr>
            <w:tcW w:w="1984" w:type="dxa"/>
            <w:shd w:val="clear" w:color="auto" w:fill="FFFFFF" w:themeFill="background1"/>
            <w:noWrap/>
            <w:hideMark/>
          </w:tcPr>
          <w:p w14:paraId="78A82238" w14:textId="77777777" w:rsidR="00D45F35" w:rsidRPr="00D45F35" w:rsidRDefault="00D45F35" w:rsidP="00D45F35">
            <w:pPr>
              <w:rPr>
                <w:lang w:eastAsia="de-DE"/>
              </w:rPr>
            </w:pPr>
            <w:r w:rsidRPr="00D45F35">
              <w:rPr>
                <w:lang w:eastAsia="de-DE"/>
              </w:rPr>
              <w:t xml:space="preserve">               150,000 </w:t>
            </w:r>
          </w:p>
        </w:tc>
      </w:tr>
      <w:tr w:rsidR="00D45F35" w:rsidRPr="00D45F35" w14:paraId="4860FA01" w14:textId="77777777" w:rsidTr="00D45F35">
        <w:trPr>
          <w:divId w:val="268591603"/>
          <w:trHeight w:val="370"/>
        </w:trPr>
        <w:tc>
          <w:tcPr>
            <w:tcW w:w="1360" w:type="dxa"/>
            <w:shd w:val="clear" w:color="auto" w:fill="FFFFFF" w:themeFill="background1"/>
            <w:noWrap/>
            <w:hideMark/>
          </w:tcPr>
          <w:p w14:paraId="56639AA4"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46307452"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4BEB5976" w14:textId="77777777" w:rsidR="00D45F35" w:rsidRPr="00D45F35" w:rsidRDefault="00D45F35" w:rsidP="00D45F35">
            <w:pPr>
              <w:rPr>
                <w:rFonts w:cs="Arial"/>
              </w:rPr>
            </w:pPr>
            <w:r w:rsidRPr="00D45F35">
              <w:rPr>
                <w:lang w:eastAsia="de-DE"/>
              </w:rPr>
              <w:t xml:space="preserve">Ad-hoc/Round 1, </w:t>
            </w:r>
            <w:r w:rsidRPr="00D45F35">
              <w:rPr>
                <w:rFonts w:cs="Arial"/>
              </w:rPr>
              <w:t>2018</w:t>
            </w:r>
          </w:p>
        </w:tc>
        <w:tc>
          <w:tcPr>
            <w:tcW w:w="2835" w:type="dxa"/>
            <w:shd w:val="clear" w:color="auto" w:fill="FFFFFF" w:themeFill="background1"/>
            <w:noWrap/>
            <w:hideMark/>
          </w:tcPr>
          <w:p w14:paraId="1ED3DE62" w14:textId="77777777" w:rsidR="00D45F35" w:rsidRPr="00D45F35" w:rsidRDefault="00D45F35" w:rsidP="00D45F35">
            <w:pPr>
              <w:rPr>
                <w:lang w:eastAsia="de-DE"/>
              </w:rPr>
            </w:pPr>
            <w:r w:rsidRPr="00D45F35">
              <w:rPr>
                <w:lang w:eastAsia="de-DE"/>
              </w:rPr>
              <w:t>Mali</w:t>
            </w:r>
          </w:p>
        </w:tc>
        <w:tc>
          <w:tcPr>
            <w:tcW w:w="1984" w:type="dxa"/>
            <w:shd w:val="clear" w:color="auto" w:fill="FFFFFF" w:themeFill="background1"/>
            <w:noWrap/>
            <w:hideMark/>
          </w:tcPr>
          <w:p w14:paraId="41071943" w14:textId="77777777" w:rsidR="00D45F35" w:rsidRPr="00D45F35" w:rsidRDefault="00D45F35" w:rsidP="00D45F35">
            <w:pPr>
              <w:rPr>
                <w:lang w:eastAsia="de-DE"/>
              </w:rPr>
            </w:pPr>
            <w:r w:rsidRPr="00D45F35">
              <w:rPr>
                <w:lang w:eastAsia="de-DE"/>
              </w:rPr>
              <w:t xml:space="preserve">               302,112 </w:t>
            </w:r>
          </w:p>
        </w:tc>
      </w:tr>
      <w:tr w:rsidR="00D45F35" w:rsidRPr="00D45F35" w14:paraId="6E8AFF6F" w14:textId="77777777" w:rsidTr="00D45F35">
        <w:trPr>
          <w:divId w:val="268591603"/>
          <w:trHeight w:val="370"/>
        </w:trPr>
        <w:tc>
          <w:tcPr>
            <w:tcW w:w="1360" w:type="dxa"/>
            <w:shd w:val="clear" w:color="auto" w:fill="FFFFFF" w:themeFill="background1"/>
            <w:noWrap/>
            <w:hideMark/>
          </w:tcPr>
          <w:p w14:paraId="4B63C9F6" w14:textId="77777777" w:rsidR="00D45F35" w:rsidRPr="00D45F35" w:rsidRDefault="00D45F35" w:rsidP="00D45F35">
            <w:pPr>
              <w:rPr>
                <w:lang w:eastAsia="de-DE"/>
              </w:rPr>
            </w:pPr>
            <w:r w:rsidRPr="00D45F35">
              <w:rPr>
                <w:lang w:eastAsia="de-DE"/>
              </w:rPr>
              <w:t>LAC</w:t>
            </w:r>
          </w:p>
        </w:tc>
        <w:tc>
          <w:tcPr>
            <w:tcW w:w="1360" w:type="dxa"/>
            <w:shd w:val="clear" w:color="auto" w:fill="FFFFFF" w:themeFill="background1"/>
            <w:noWrap/>
            <w:hideMark/>
          </w:tcPr>
          <w:p w14:paraId="4E47B4CA"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2FEF7BBB" w14:textId="77777777" w:rsidR="00D45F35" w:rsidRPr="00D45F35" w:rsidRDefault="00D45F35" w:rsidP="00D45F35">
            <w:pPr>
              <w:rPr>
                <w:lang w:eastAsia="de-DE"/>
              </w:rPr>
            </w:pPr>
            <w:r w:rsidRPr="00D45F35">
              <w:rPr>
                <w:lang w:eastAsia="de-DE"/>
              </w:rPr>
              <w:t>Round 2, 2018</w:t>
            </w:r>
          </w:p>
        </w:tc>
        <w:tc>
          <w:tcPr>
            <w:tcW w:w="2835" w:type="dxa"/>
            <w:shd w:val="clear" w:color="auto" w:fill="FFFFFF" w:themeFill="background1"/>
            <w:noWrap/>
            <w:hideMark/>
          </w:tcPr>
          <w:p w14:paraId="116A8051" w14:textId="77777777" w:rsidR="00D45F35" w:rsidRPr="00D45F35" w:rsidRDefault="00D45F35" w:rsidP="00D45F35">
            <w:pPr>
              <w:rPr>
                <w:lang w:eastAsia="de-DE"/>
              </w:rPr>
            </w:pPr>
            <w:r w:rsidRPr="00D45F35">
              <w:rPr>
                <w:highlight w:val="yellow"/>
                <w:lang w:eastAsia="de-DE"/>
              </w:rPr>
              <w:t>Colombia</w:t>
            </w:r>
          </w:p>
        </w:tc>
        <w:tc>
          <w:tcPr>
            <w:tcW w:w="1984" w:type="dxa"/>
            <w:shd w:val="clear" w:color="auto" w:fill="FFFFFF" w:themeFill="background1"/>
            <w:noWrap/>
            <w:hideMark/>
          </w:tcPr>
          <w:p w14:paraId="3DC94C90" w14:textId="77777777" w:rsidR="00D45F35" w:rsidRPr="00D45F35" w:rsidRDefault="00D45F35" w:rsidP="00D45F35">
            <w:pPr>
              <w:rPr>
                <w:lang w:eastAsia="de-DE"/>
              </w:rPr>
            </w:pPr>
            <w:r w:rsidRPr="00D45F35">
              <w:rPr>
                <w:lang w:eastAsia="de-DE"/>
              </w:rPr>
              <w:t xml:space="preserve">               300,000 </w:t>
            </w:r>
          </w:p>
        </w:tc>
      </w:tr>
      <w:tr w:rsidR="00D45F35" w:rsidRPr="00D45F35" w14:paraId="0FF61736" w14:textId="77777777" w:rsidTr="00D45F35">
        <w:trPr>
          <w:divId w:val="268591603"/>
          <w:trHeight w:val="370"/>
        </w:trPr>
        <w:tc>
          <w:tcPr>
            <w:tcW w:w="1360" w:type="dxa"/>
            <w:shd w:val="clear" w:color="auto" w:fill="FFFFFF" w:themeFill="background1"/>
            <w:noWrap/>
            <w:hideMark/>
          </w:tcPr>
          <w:p w14:paraId="65763E55"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04422A36"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7959F93C" w14:textId="77777777" w:rsidR="00D45F35" w:rsidRPr="00D45F35" w:rsidRDefault="00D45F35" w:rsidP="00D45F35">
            <w:pPr>
              <w:rPr>
                <w:lang w:eastAsia="de-DE"/>
              </w:rPr>
            </w:pPr>
            <w:r w:rsidRPr="00D45F35">
              <w:rPr>
                <w:lang w:eastAsia="de-DE"/>
              </w:rPr>
              <w:t>Round 2, 2018</w:t>
            </w:r>
          </w:p>
        </w:tc>
        <w:tc>
          <w:tcPr>
            <w:tcW w:w="2835" w:type="dxa"/>
            <w:shd w:val="clear" w:color="auto" w:fill="FFFFFF" w:themeFill="background1"/>
            <w:noWrap/>
            <w:hideMark/>
          </w:tcPr>
          <w:p w14:paraId="0BBB65AA" w14:textId="77777777" w:rsidR="00D45F35" w:rsidRPr="00D45F35" w:rsidRDefault="00D45F35" w:rsidP="00D45F35">
            <w:pPr>
              <w:rPr>
                <w:lang w:eastAsia="de-DE"/>
              </w:rPr>
            </w:pPr>
            <w:r w:rsidRPr="00D45F35">
              <w:rPr>
                <w:highlight w:val="yellow"/>
                <w:lang w:eastAsia="de-DE"/>
              </w:rPr>
              <w:t>Kosovo</w:t>
            </w:r>
          </w:p>
        </w:tc>
        <w:tc>
          <w:tcPr>
            <w:tcW w:w="1984" w:type="dxa"/>
            <w:shd w:val="clear" w:color="auto" w:fill="FFFFFF" w:themeFill="background1"/>
            <w:noWrap/>
            <w:hideMark/>
          </w:tcPr>
          <w:p w14:paraId="2F37EFC5" w14:textId="77777777" w:rsidR="00D45F35" w:rsidRPr="00D45F35" w:rsidRDefault="00D45F35" w:rsidP="00D45F35">
            <w:pPr>
              <w:rPr>
                <w:lang w:eastAsia="de-DE"/>
              </w:rPr>
            </w:pPr>
            <w:r w:rsidRPr="00D45F35">
              <w:rPr>
                <w:lang w:eastAsia="de-DE"/>
              </w:rPr>
              <w:t xml:space="preserve">               230,104 </w:t>
            </w:r>
          </w:p>
        </w:tc>
      </w:tr>
      <w:tr w:rsidR="00D45F35" w:rsidRPr="00D45F35" w14:paraId="54069CBD" w14:textId="77777777" w:rsidTr="00D45F35">
        <w:trPr>
          <w:divId w:val="268591603"/>
          <w:trHeight w:val="370"/>
        </w:trPr>
        <w:tc>
          <w:tcPr>
            <w:tcW w:w="1360" w:type="dxa"/>
            <w:shd w:val="clear" w:color="auto" w:fill="FFFFFF" w:themeFill="background1"/>
            <w:noWrap/>
            <w:hideMark/>
          </w:tcPr>
          <w:p w14:paraId="6EE52065"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6718C238"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3BDFBE2D" w14:textId="77777777" w:rsidR="00D45F35" w:rsidRPr="00D45F35" w:rsidRDefault="00D45F35" w:rsidP="00D45F35">
            <w:pPr>
              <w:rPr>
                <w:lang w:eastAsia="de-DE"/>
              </w:rPr>
            </w:pPr>
            <w:r w:rsidRPr="00D45F35">
              <w:rPr>
                <w:lang w:eastAsia="de-DE"/>
              </w:rPr>
              <w:t>Round 2, 2018</w:t>
            </w:r>
          </w:p>
        </w:tc>
        <w:tc>
          <w:tcPr>
            <w:tcW w:w="2835" w:type="dxa"/>
            <w:shd w:val="clear" w:color="auto" w:fill="FFFFFF" w:themeFill="background1"/>
            <w:noWrap/>
            <w:hideMark/>
          </w:tcPr>
          <w:p w14:paraId="118FAA67" w14:textId="77777777" w:rsidR="00D45F35" w:rsidRPr="00D45F35" w:rsidRDefault="00D45F35" w:rsidP="00D45F35">
            <w:pPr>
              <w:rPr>
                <w:lang w:eastAsia="de-DE"/>
              </w:rPr>
            </w:pPr>
            <w:r w:rsidRPr="00D45F35">
              <w:rPr>
                <w:highlight w:val="yellow"/>
                <w:lang w:eastAsia="de-DE"/>
              </w:rPr>
              <w:t>Ethiopia</w:t>
            </w:r>
          </w:p>
        </w:tc>
        <w:tc>
          <w:tcPr>
            <w:tcW w:w="1984" w:type="dxa"/>
            <w:shd w:val="clear" w:color="auto" w:fill="FFFFFF" w:themeFill="background1"/>
            <w:noWrap/>
            <w:hideMark/>
          </w:tcPr>
          <w:p w14:paraId="4F88F407" w14:textId="77777777" w:rsidR="00D45F35" w:rsidRPr="00D45F35" w:rsidRDefault="00D45F35" w:rsidP="00D45F35">
            <w:pPr>
              <w:rPr>
                <w:lang w:eastAsia="de-DE"/>
              </w:rPr>
            </w:pPr>
            <w:r w:rsidRPr="00D45F35">
              <w:rPr>
                <w:lang w:eastAsia="de-DE"/>
              </w:rPr>
              <w:t xml:space="preserve">               350,000 </w:t>
            </w:r>
          </w:p>
        </w:tc>
      </w:tr>
      <w:tr w:rsidR="00D45F35" w:rsidRPr="00D45F35" w14:paraId="78AC11A8" w14:textId="77777777" w:rsidTr="00D45F35">
        <w:trPr>
          <w:divId w:val="268591603"/>
          <w:trHeight w:val="370"/>
        </w:trPr>
        <w:tc>
          <w:tcPr>
            <w:tcW w:w="1360" w:type="dxa"/>
            <w:shd w:val="clear" w:color="auto" w:fill="FFFFFF" w:themeFill="background1"/>
            <w:noWrap/>
            <w:hideMark/>
          </w:tcPr>
          <w:p w14:paraId="1CB7E397"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55A2E508"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65394131" w14:textId="77777777" w:rsidR="00D45F35" w:rsidRPr="00D45F35" w:rsidRDefault="00D45F35" w:rsidP="00D45F35">
            <w:pPr>
              <w:rPr>
                <w:lang w:eastAsia="de-DE"/>
              </w:rPr>
            </w:pPr>
            <w:r w:rsidRPr="00D45F35">
              <w:rPr>
                <w:lang w:eastAsia="de-DE"/>
              </w:rPr>
              <w:t>Round 2, 2018</w:t>
            </w:r>
          </w:p>
        </w:tc>
        <w:tc>
          <w:tcPr>
            <w:tcW w:w="2835" w:type="dxa"/>
            <w:shd w:val="clear" w:color="auto" w:fill="FFFFFF" w:themeFill="background1"/>
            <w:noWrap/>
            <w:hideMark/>
          </w:tcPr>
          <w:p w14:paraId="6086D41C" w14:textId="77777777" w:rsidR="00D45F35" w:rsidRPr="00D45F35" w:rsidRDefault="00D45F35" w:rsidP="00D45F35">
            <w:pPr>
              <w:rPr>
                <w:lang w:eastAsia="de-DE"/>
              </w:rPr>
            </w:pPr>
            <w:r w:rsidRPr="00D45F35">
              <w:rPr>
                <w:lang w:eastAsia="de-DE"/>
              </w:rPr>
              <w:t>Nigeria</w:t>
            </w:r>
          </w:p>
        </w:tc>
        <w:tc>
          <w:tcPr>
            <w:tcW w:w="1984" w:type="dxa"/>
            <w:shd w:val="clear" w:color="auto" w:fill="FFFFFF" w:themeFill="background1"/>
            <w:noWrap/>
            <w:hideMark/>
          </w:tcPr>
          <w:p w14:paraId="2F8411CF" w14:textId="77777777" w:rsidR="00D45F35" w:rsidRPr="00D45F35" w:rsidRDefault="00D45F35" w:rsidP="00D45F35">
            <w:pPr>
              <w:rPr>
                <w:lang w:eastAsia="de-DE"/>
              </w:rPr>
            </w:pPr>
            <w:r w:rsidRPr="00D45F35">
              <w:rPr>
                <w:lang w:eastAsia="de-DE"/>
              </w:rPr>
              <w:t xml:space="preserve">               400,000 </w:t>
            </w:r>
          </w:p>
        </w:tc>
      </w:tr>
      <w:tr w:rsidR="00D45F35" w:rsidRPr="00D45F35" w14:paraId="109BC862" w14:textId="77777777" w:rsidTr="00D45F35">
        <w:trPr>
          <w:divId w:val="268591603"/>
          <w:trHeight w:val="370"/>
        </w:trPr>
        <w:tc>
          <w:tcPr>
            <w:tcW w:w="1360" w:type="dxa"/>
            <w:shd w:val="clear" w:color="auto" w:fill="FFFFFF" w:themeFill="background1"/>
            <w:noWrap/>
            <w:hideMark/>
          </w:tcPr>
          <w:p w14:paraId="7C2E439A" w14:textId="77777777" w:rsidR="00D45F35" w:rsidRPr="00D45F35" w:rsidRDefault="00D45F35" w:rsidP="00D45F35">
            <w:pPr>
              <w:rPr>
                <w:rFonts w:cs="Arial"/>
              </w:rPr>
            </w:pPr>
            <w:r w:rsidRPr="00D45F35">
              <w:rPr>
                <w:lang w:eastAsia="de-DE"/>
              </w:rPr>
              <w:t xml:space="preserve">Asia </w:t>
            </w:r>
            <w:r w:rsidRPr="00D45F35">
              <w:rPr>
                <w:rFonts w:cs="Arial"/>
              </w:rPr>
              <w:t>Pacific</w:t>
            </w:r>
          </w:p>
        </w:tc>
        <w:tc>
          <w:tcPr>
            <w:tcW w:w="1360" w:type="dxa"/>
            <w:shd w:val="clear" w:color="auto" w:fill="FFFFFF" w:themeFill="background1"/>
            <w:noWrap/>
            <w:hideMark/>
          </w:tcPr>
          <w:p w14:paraId="15E4689A"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768DA6F2" w14:textId="77777777" w:rsidR="00D45F35" w:rsidRPr="00D45F35" w:rsidRDefault="00D45F35" w:rsidP="00D45F35">
            <w:pPr>
              <w:rPr>
                <w:lang w:eastAsia="de-DE"/>
              </w:rPr>
            </w:pPr>
            <w:r w:rsidRPr="00D45F35">
              <w:rPr>
                <w:lang w:eastAsia="de-DE"/>
              </w:rPr>
              <w:t>Round 2, 2018</w:t>
            </w:r>
          </w:p>
        </w:tc>
        <w:tc>
          <w:tcPr>
            <w:tcW w:w="2835" w:type="dxa"/>
            <w:shd w:val="clear" w:color="auto" w:fill="FFFFFF" w:themeFill="background1"/>
            <w:noWrap/>
            <w:hideMark/>
          </w:tcPr>
          <w:p w14:paraId="334A8B4D" w14:textId="77777777" w:rsidR="00D45F35" w:rsidRPr="00D45F35" w:rsidRDefault="00D45F35" w:rsidP="00D45F35">
            <w:pPr>
              <w:rPr>
                <w:rFonts w:cs="Arial"/>
              </w:rPr>
            </w:pPr>
            <w:r w:rsidRPr="00D45F35">
              <w:rPr>
                <w:lang w:eastAsia="de-DE"/>
              </w:rPr>
              <w:t xml:space="preserve">Pakistan </w:t>
            </w:r>
            <w:r w:rsidRPr="00D45F35">
              <w:rPr>
                <w:rFonts w:cs="Arial"/>
              </w:rPr>
              <w:t>(2 projects)</w:t>
            </w:r>
          </w:p>
        </w:tc>
        <w:tc>
          <w:tcPr>
            <w:tcW w:w="1984" w:type="dxa"/>
            <w:shd w:val="clear" w:color="auto" w:fill="FFFFFF" w:themeFill="background1"/>
            <w:noWrap/>
            <w:hideMark/>
          </w:tcPr>
          <w:p w14:paraId="4DCEC657" w14:textId="77777777" w:rsidR="00D45F35" w:rsidRPr="00D45F35" w:rsidRDefault="00D45F35" w:rsidP="00D45F35">
            <w:pPr>
              <w:rPr>
                <w:lang w:eastAsia="de-DE"/>
              </w:rPr>
            </w:pPr>
            <w:r w:rsidRPr="00D45F35">
              <w:rPr>
                <w:lang w:eastAsia="de-DE"/>
              </w:rPr>
              <w:t xml:space="preserve">               283,000 </w:t>
            </w:r>
          </w:p>
        </w:tc>
      </w:tr>
      <w:tr w:rsidR="00D45F35" w:rsidRPr="00D45F35" w14:paraId="60A249B0" w14:textId="77777777" w:rsidTr="00D45F35">
        <w:trPr>
          <w:divId w:val="268591603"/>
          <w:trHeight w:val="370"/>
        </w:trPr>
        <w:tc>
          <w:tcPr>
            <w:tcW w:w="1360" w:type="dxa"/>
            <w:shd w:val="clear" w:color="auto" w:fill="FFFFFF" w:themeFill="background1"/>
            <w:noWrap/>
            <w:hideMark/>
          </w:tcPr>
          <w:p w14:paraId="436303BC"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48931C9C"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4EBD7A4B" w14:textId="77777777" w:rsidR="00D45F35" w:rsidRPr="00D45F35" w:rsidRDefault="00D45F35" w:rsidP="00D45F35">
            <w:pPr>
              <w:rPr>
                <w:lang w:eastAsia="de-DE"/>
              </w:rPr>
            </w:pPr>
            <w:r w:rsidRPr="00D45F35">
              <w:rPr>
                <w:lang w:eastAsia="de-DE"/>
              </w:rPr>
              <w:t>Round 2, 2018</w:t>
            </w:r>
          </w:p>
        </w:tc>
        <w:tc>
          <w:tcPr>
            <w:tcW w:w="2835" w:type="dxa"/>
            <w:shd w:val="clear" w:color="auto" w:fill="FFFFFF" w:themeFill="background1"/>
            <w:noWrap/>
            <w:hideMark/>
          </w:tcPr>
          <w:p w14:paraId="56095F1E" w14:textId="77777777" w:rsidR="00D45F35" w:rsidRPr="00D45F35" w:rsidRDefault="00D45F35" w:rsidP="00D45F35">
            <w:pPr>
              <w:rPr>
                <w:lang w:eastAsia="de-DE"/>
              </w:rPr>
            </w:pPr>
            <w:r w:rsidRPr="00D45F35">
              <w:rPr>
                <w:highlight w:val="yellow"/>
                <w:lang w:eastAsia="de-DE"/>
              </w:rPr>
              <w:t>South</w:t>
            </w:r>
            <w:r w:rsidRPr="00D45F35">
              <w:rPr>
                <w:lang w:eastAsia="de-DE"/>
              </w:rPr>
              <w:t xml:space="preserve"> Sudan</w:t>
            </w:r>
          </w:p>
        </w:tc>
        <w:tc>
          <w:tcPr>
            <w:tcW w:w="1984" w:type="dxa"/>
            <w:shd w:val="clear" w:color="auto" w:fill="FFFFFF" w:themeFill="background1"/>
            <w:noWrap/>
            <w:hideMark/>
          </w:tcPr>
          <w:p w14:paraId="4092F3DD" w14:textId="77777777" w:rsidR="00D45F35" w:rsidRPr="00D45F35" w:rsidRDefault="00D45F35" w:rsidP="00D45F35">
            <w:pPr>
              <w:rPr>
                <w:lang w:eastAsia="de-DE"/>
              </w:rPr>
            </w:pPr>
            <w:r w:rsidRPr="00D45F35">
              <w:rPr>
                <w:lang w:eastAsia="de-DE"/>
              </w:rPr>
              <w:t xml:space="preserve">               500,000 </w:t>
            </w:r>
          </w:p>
        </w:tc>
      </w:tr>
      <w:tr w:rsidR="00D45F35" w:rsidRPr="00D45F35" w14:paraId="73497209" w14:textId="77777777" w:rsidTr="00D45F35">
        <w:trPr>
          <w:divId w:val="268591603"/>
          <w:trHeight w:val="370"/>
        </w:trPr>
        <w:tc>
          <w:tcPr>
            <w:tcW w:w="1360" w:type="dxa"/>
            <w:shd w:val="clear" w:color="auto" w:fill="FFFFFF" w:themeFill="background1"/>
            <w:noWrap/>
            <w:hideMark/>
          </w:tcPr>
          <w:p w14:paraId="4CF1CE10"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737B0F94"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311A3D0" w14:textId="77777777" w:rsidR="00D45F35" w:rsidRPr="00D45F35" w:rsidRDefault="00D45F35" w:rsidP="00D45F35">
            <w:pPr>
              <w:rPr>
                <w:lang w:eastAsia="de-DE"/>
              </w:rPr>
            </w:pPr>
            <w:r w:rsidRPr="00D45F35">
              <w:rPr>
                <w:lang w:eastAsia="de-DE"/>
              </w:rPr>
              <w:t>Round 2, 2018</w:t>
            </w:r>
          </w:p>
        </w:tc>
        <w:tc>
          <w:tcPr>
            <w:tcW w:w="2835" w:type="dxa"/>
            <w:shd w:val="clear" w:color="auto" w:fill="FFFFFF" w:themeFill="background1"/>
            <w:noWrap/>
            <w:hideMark/>
          </w:tcPr>
          <w:p w14:paraId="66C656ED" w14:textId="77777777" w:rsidR="00D45F35" w:rsidRPr="00D45F35" w:rsidRDefault="00D45F35" w:rsidP="00D45F35">
            <w:pPr>
              <w:rPr>
                <w:highlight w:val="yellow"/>
                <w:lang w:eastAsia="de-DE"/>
              </w:rPr>
            </w:pPr>
            <w:r w:rsidRPr="00D45F35">
              <w:rPr>
                <w:highlight w:val="yellow"/>
                <w:lang w:eastAsia="de-DE"/>
              </w:rPr>
              <w:t>Turkey</w:t>
            </w:r>
          </w:p>
        </w:tc>
        <w:tc>
          <w:tcPr>
            <w:tcW w:w="1984" w:type="dxa"/>
            <w:shd w:val="clear" w:color="auto" w:fill="FFFFFF" w:themeFill="background1"/>
            <w:noWrap/>
            <w:hideMark/>
          </w:tcPr>
          <w:p w14:paraId="62019F4F" w14:textId="77777777" w:rsidR="00D45F35" w:rsidRPr="00D45F35" w:rsidRDefault="00D45F35" w:rsidP="00D45F35">
            <w:pPr>
              <w:rPr>
                <w:lang w:eastAsia="de-DE"/>
              </w:rPr>
            </w:pPr>
            <w:r w:rsidRPr="00D45F35">
              <w:rPr>
                <w:lang w:eastAsia="de-DE"/>
              </w:rPr>
              <w:t xml:space="preserve">               300,000 </w:t>
            </w:r>
          </w:p>
        </w:tc>
      </w:tr>
      <w:tr w:rsidR="00D45F35" w:rsidRPr="00D45F35" w14:paraId="0A341C60" w14:textId="77777777" w:rsidTr="00D45F35">
        <w:trPr>
          <w:divId w:val="268591603"/>
          <w:trHeight w:val="370"/>
        </w:trPr>
        <w:tc>
          <w:tcPr>
            <w:tcW w:w="1360" w:type="dxa"/>
            <w:shd w:val="clear" w:color="auto" w:fill="FFFFFF" w:themeFill="background1"/>
            <w:noWrap/>
            <w:hideMark/>
          </w:tcPr>
          <w:p w14:paraId="63A8C964"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5D42E08F"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69ADC8FB" w14:textId="77777777" w:rsidR="00D45F35" w:rsidRPr="00D45F35" w:rsidRDefault="00D45F35" w:rsidP="00D45F35">
            <w:pPr>
              <w:rPr>
                <w:lang w:eastAsia="de-DE"/>
              </w:rPr>
            </w:pPr>
            <w:r w:rsidRPr="00D45F35">
              <w:rPr>
                <w:lang w:eastAsia="de-DE"/>
              </w:rPr>
              <w:t>Round 3, 2018</w:t>
            </w:r>
          </w:p>
        </w:tc>
        <w:tc>
          <w:tcPr>
            <w:tcW w:w="2835" w:type="dxa"/>
            <w:shd w:val="clear" w:color="auto" w:fill="FFFFFF" w:themeFill="background1"/>
            <w:noWrap/>
            <w:hideMark/>
          </w:tcPr>
          <w:p w14:paraId="4B0428C3" w14:textId="77777777" w:rsidR="00D45F35" w:rsidRPr="00D45F35" w:rsidRDefault="00D45F35" w:rsidP="00D45F35">
            <w:pPr>
              <w:rPr>
                <w:rFonts w:cs="Arial"/>
              </w:rPr>
            </w:pPr>
            <w:r w:rsidRPr="00D45F35">
              <w:rPr>
                <w:lang w:eastAsia="de-DE"/>
              </w:rPr>
              <w:t xml:space="preserve">Côte </w:t>
            </w:r>
            <w:r w:rsidRPr="00D45F35">
              <w:rPr>
                <w:rFonts w:cs="Arial"/>
              </w:rPr>
              <w:t>d’Ivoire</w:t>
            </w:r>
          </w:p>
        </w:tc>
        <w:tc>
          <w:tcPr>
            <w:tcW w:w="1984" w:type="dxa"/>
            <w:shd w:val="clear" w:color="auto" w:fill="FFFFFF" w:themeFill="background1"/>
            <w:noWrap/>
            <w:hideMark/>
          </w:tcPr>
          <w:p w14:paraId="799CAA09" w14:textId="77777777" w:rsidR="00D45F35" w:rsidRPr="00D45F35" w:rsidRDefault="00D45F35" w:rsidP="00D45F35">
            <w:pPr>
              <w:rPr>
                <w:lang w:eastAsia="de-DE"/>
              </w:rPr>
            </w:pPr>
            <w:r w:rsidRPr="00D45F35">
              <w:rPr>
                <w:lang w:eastAsia="de-DE"/>
              </w:rPr>
              <w:t xml:space="preserve">               200,000 </w:t>
            </w:r>
          </w:p>
        </w:tc>
      </w:tr>
      <w:tr w:rsidR="00D45F35" w:rsidRPr="00D45F35" w14:paraId="40784BD2" w14:textId="77777777" w:rsidTr="00D45F35">
        <w:trPr>
          <w:divId w:val="268591603"/>
          <w:trHeight w:val="370"/>
        </w:trPr>
        <w:tc>
          <w:tcPr>
            <w:tcW w:w="1360" w:type="dxa"/>
            <w:shd w:val="clear" w:color="auto" w:fill="FFFFFF" w:themeFill="background1"/>
            <w:noWrap/>
            <w:hideMark/>
          </w:tcPr>
          <w:p w14:paraId="0C314128"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589D4A6F"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253D794A" w14:textId="77777777" w:rsidR="00D45F35" w:rsidRPr="00D45F35" w:rsidRDefault="00D45F35" w:rsidP="00D45F35">
            <w:pPr>
              <w:rPr>
                <w:lang w:eastAsia="de-DE"/>
              </w:rPr>
            </w:pPr>
            <w:r w:rsidRPr="00D45F35">
              <w:rPr>
                <w:lang w:eastAsia="de-DE"/>
              </w:rPr>
              <w:t>Round 3, 2018</w:t>
            </w:r>
          </w:p>
        </w:tc>
        <w:tc>
          <w:tcPr>
            <w:tcW w:w="2835" w:type="dxa"/>
            <w:shd w:val="clear" w:color="auto" w:fill="FFFFFF" w:themeFill="background1"/>
            <w:noWrap/>
            <w:hideMark/>
          </w:tcPr>
          <w:p w14:paraId="4262D41D" w14:textId="77777777" w:rsidR="00D45F35" w:rsidRPr="00D45F35" w:rsidRDefault="00D45F35" w:rsidP="00D45F35">
            <w:pPr>
              <w:rPr>
                <w:lang w:eastAsia="de-DE"/>
              </w:rPr>
            </w:pPr>
            <w:r w:rsidRPr="00D45F35">
              <w:rPr>
                <w:lang w:eastAsia="de-DE"/>
              </w:rPr>
              <w:t>DRC</w:t>
            </w:r>
          </w:p>
        </w:tc>
        <w:tc>
          <w:tcPr>
            <w:tcW w:w="1984" w:type="dxa"/>
            <w:shd w:val="clear" w:color="auto" w:fill="FFFFFF" w:themeFill="background1"/>
            <w:noWrap/>
            <w:hideMark/>
          </w:tcPr>
          <w:p w14:paraId="64703A45" w14:textId="77777777" w:rsidR="00D45F35" w:rsidRPr="00D45F35" w:rsidRDefault="00D45F35" w:rsidP="00D45F35">
            <w:pPr>
              <w:rPr>
                <w:lang w:eastAsia="de-DE"/>
              </w:rPr>
            </w:pPr>
            <w:r w:rsidRPr="00D45F35">
              <w:rPr>
                <w:lang w:eastAsia="de-DE"/>
              </w:rPr>
              <w:t xml:space="preserve">               450,000 </w:t>
            </w:r>
          </w:p>
        </w:tc>
      </w:tr>
      <w:tr w:rsidR="00D45F35" w:rsidRPr="00D45F35" w14:paraId="7561CD2C" w14:textId="77777777" w:rsidTr="00D45F35">
        <w:trPr>
          <w:divId w:val="268591603"/>
          <w:trHeight w:val="370"/>
        </w:trPr>
        <w:tc>
          <w:tcPr>
            <w:tcW w:w="1360" w:type="dxa"/>
            <w:shd w:val="clear" w:color="auto" w:fill="FFFFFF" w:themeFill="background1"/>
            <w:noWrap/>
            <w:hideMark/>
          </w:tcPr>
          <w:p w14:paraId="6201A090" w14:textId="77777777" w:rsidR="00D45F35" w:rsidRPr="00D45F35" w:rsidRDefault="00D45F35" w:rsidP="00D45F35">
            <w:pPr>
              <w:rPr>
                <w:lang w:eastAsia="de-DE"/>
              </w:rPr>
            </w:pPr>
            <w:r w:rsidRPr="00D45F35">
              <w:rPr>
                <w:lang w:eastAsia="de-DE"/>
              </w:rPr>
              <w:t>LAC</w:t>
            </w:r>
          </w:p>
        </w:tc>
        <w:tc>
          <w:tcPr>
            <w:tcW w:w="1360" w:type="dxa"/>
            <w:shd w:val="clear" w:color="auto" w:fill="FFFFFF" w:themeFill="background1"/>
            <w:noWrap/>
            <w:hideMark/>
          </w:tcPr>
          <w:p w14:paraId="73799604"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1A7D1243" w14:textId="77777777" w:rsidR="00D45F35" w:rsidRPr="00D45F35" w:rsidRDefault="00D45F35" w:rsidP="00D45F35">
            <w:pPr>
              <w:rPr>
                <w:lang w:eastAsia="de-DE"/>
              </w:rPr>
            </w:pPr>
            <w:r w:rsidRPr="00D45F35">
              <w:rPr>
                <w:lang w:eastAsia="de-DE"/>
              </w:rPr>
              <w:t>Round 3, 2018</w:t>
            </w:r>
          </w:p>
        </w:tc>
        <w:tc>
          <w:tcPr>
            <w:tcW w:w="2835" w:type="dxa"/>
            <w:shd w:val="clear" w:color="auto" w:fill="FFFFFF" w:themeFill="background1"/>
            <w:noWrap/>
            <w:hideMark/>
          </w:tcPr>
          <w:p w14:paraId="4B326317" w14:textId="77777777" w:rsidR="00D45F35" w:rsidRPr="00D45F35" w:rsidRDefault="00D45F35" w:rsidP="00D45F35">
            <w:pPr>
              <w:rPr>
                <w:lang w:eastAsia="de-DE"/>
              </w:rPr>
            </w:pPr>
            <w:r w:rsidRPr="00D45F35">
              <w:rPr>
                <w:highlight w:val="yellow"/>
                <w:lang w:eastAsia="de-DE"/>
              </w:rPr>
              <w:t>Guatemala</w:t>
            </w:r>
          </w:p>
        </w:tc>
        <w:tc>
          <w:tcPr>
            <w:tcW w:w="1984" w:type="dxa"/>
            <w:shd w:val="clear" w:color="auto" w:fill="FFFFFF" w:themeFill="background1"/>
            <w:noWrap/>
            <w:hideMark/>
          </w:tcPr>
          <w:p w14:paraId="67103F85" w14:textId="77777777" w:rsidR="00D45F35" w:rsidRPr="00D45F35" w:rsidRDefault="00D45F35" w:rsidP="00D45F35">
            <w:pPr>
              <w:rPr>
                <w:lang w:eastAsia="de-DE"/>
              </w:rPr>
            </w:pPr>
            <w:r w:rsidRPr="00D45F35">
              <w:rPr>
                <w:lang w:eastAsia="de-DE"/>
              </w:rPr>
              <w:t xml:space="preserve">               300,000 </w:t>
            </w:r>
          </w:p>
        </w:tc>
      </w:tr>
      <w:tr w:rsidR="00D45F35" w:rsidRPr="00D45F35" w14:paraId="10020547" w14:textId="77777777" w:rsidTr="00D45F35">
        <w:trPr>
          <w:divId w:val="268591603"/>
          <w:trHeight w:val="370"/>
        </w:trPr>
        <w:tc>
          <w:tcPr>
            <w:tcW w:w="1360" w:type="dxa"/>
            <w:shd w:val="clear" w:color="auto" w:fill="FFFFFF" w:themeFill="background1"/>
            <w:noWrap/>
            <w:hideMark/>
          </w:tcPr>
          <w:p w14:paraId="4408F47D"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269841A5"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3A1B0F70" w14:textId="77777777" w:rsidR="00D45F35" w:rsidRPr="00D45F35" w:rsidRDefault="00D45F35" w:rsidP="00D45F35">
            <w:pPr>
              <w:rPr>
                <w:lang w:eastAsia="de-DE"/>
              </w:rPr>
            </w:pPr>
            <w:r w:rsidRPr="00D45F35">
              <w:rPr>
                <w:lang w:eastAsia="de-DE"/>
              </w:rPr>
              <w:t>Round 3, 2018</w:t>
            </w:r>
          </w:p>
        </w:tc>
        <w:tc>
          <w:tcPr>
            <w:tcW w:w="2835" w:type="dxa"/>
            <w:shd w:val="clear" w:color="auto" w:fill="FFFFFF" w:themeFill="background1"/>
            <w:noWrap/>
            <w:hideMark/>
          </w:tcPr>
          <w:p w14:paraId="3B2C13E1" w14:textId="77777777" w:rsidR="00D45F35" w:rsidRPr="00D45F35" w:rsidRDefault="00D45F35" w:rsidP="00D45F35">
            <w:pPr>
              <w:rPr>
                <w:lang w:eastAsia="de-DE"/>
              </w:rPr>
            </w:pPr>
            <w:r w:rsidRPr="00D45F35">
              <w:rPr>
                <w:highlight w:val="yellow"/>
                <w:lang w:eastAsia="de-DE"/>
              </w:rPr>
              <w:t>Jordan</w:t>
            </w:r>
          </w:p>
        </w:tc>
        <w:tc>
          <w:tcPr>
            <w:tcW w:w="1984" w:type="dxa"/>
            <w:shd w:val="clear" w:color="auto" w:fill="FFFFFF" w:themeFill="background1"/>
            <w:noWrap/>
            <w:hideMark/>
          </w:tcPr>
          <w:p w14:paraId="25037090" w14:textId="77777777" w:rsidR="00D45F35" w:rsidRPr="00D45F35" w:rsidRDefault="00D45F35" w:rsidP="00D45F35">
            <w:pPr>
              <w:rPr>
                <w:lang w:eastAsia="de-DE"/>
              </w:rPr>
            </w:pPr>
            <w:r w:rsidRPr="00D45F35">
              <w:rPr>
                <w:lang w:eastAsia="de-DE"/>
              </w:rPr>
              <w:t xml:space="preserve">                 85,000 </w:t>
            </w:r>
          </w:p>
        </w:tc>
      </w:tr>
      <w:tr w:rsidR="00D45F35" w:rsidRPr="00D45F35" w14:paraId="13E176ED" w14:textId="77777777" w:rsidTr="00D45F35">
        <w:trPr>
          <w:divId w:val="268591603"/>
          <w:trHeight w:val="370"/>
        </w:trPr>
        <w:tc>
          <w:tcPr>
            <w:tcW w:w="1360" w:type="dxa"/>
            <w:shd w:val="clear" w:color="auto" w:fill="FFFFFF" w:themeFill="background1"/>
            <w:noWrap/>
            <w:hideMark/>
          </w:tcPr>
          <w:p w14:paraId="38913AC7" w14:textId="77777777" w:rsidR="00D45F35" w:rsidRPr="00D45F35" w:rsidRDefault="00D45F35" w:rsidP="00D45F35">
            <w:pPr>
              <w:rPr>
                <w:lang w:eastAsia="de-DE"/>
              </w:rPr>
            </w:pPr>
            <w:r w:rsidRPr="00D45F35">
              <w:rPr>
                <w:lang w:eastAsia="de-DE"/>
              </w:rPr>
              <w:t>Asia Pacific</w:t>
            </w:r>
          </w:p>
        </w:tc>
        <w:tc>
          <w:tcPr>
            <w:tcW w:w="1360" w:type="dxa"/>
            <w:shd w:val="clear" w:color="auto" w:fill="FFFFFF" w:themeFill="background1"/>
            <w:noWrap/>
            <w:hideMark/>
          </w:tcPr>
          <w:p w14:paraId="3688B0CC"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34F3470B" w14:textId="77777777" w:rsidR="00D45F35" w:rsidRPr="00D45F35" w:rsidRDefault="00D45F35" w:rsidP="00D45F35">
            <w:pPr>
              <w:rPr>
                <w:lang w:eastAsia="de-DE"/>
              </w:rPr>
            </w:pPr>
            <w:r w:rsidRPr="00D45F35">
              <w:rPr>
                <w:lang w:eastAsia="de-DE"/>
              </w:rPr>
              <w:t>Round 3, 2018</w:t>
            </w:r>
          </w:p>
        </w:tc>
        <w:tc>
          <w:tcPr>
            <w:tcW w:w="2835" w:type="dxa"/>
            <w:shd w:val="clear" w:color="auto" w:fill="FFFFFF" w:themeFill="background1"/>
            <w:noWrap/>
            <w:hideMark/>
          </w:tcPr>
          <w:p w14:paraId="73F94F07" w14:textId="77777777" w:rsidR="00D45F35" w:rsidRPr="00D45F35" w:rsidRDefault="00D45F35" w:rsidP="00D45F35">
            <w:pPr>
              <w:rPr>
                <w:lang w:eastAsia="de-DE"/>
              </w:rPr>
            </w:pPr>
            <w:r w:rsidRPr="00D45F35">
              <w:rPr>
                <w:highlight w:val="yellow"/>
                <w:lang w:eastAsia="de-DE"/>
              </w:rPr>
              <w:t>Maldives</w:t>
            </w:r>
          </w:p>
        </w:tc>
        <w:tc>
          <w:tcPr>
            <w:tcW w:w="1984" w:type="dxa"/>
            <w:shd w:val="clear" w:color="auto" w:fill="FFFFFF" w:themeFill="background1"/>
            <w:noWrap/>
            <w:hideMark/>
          </w:tcPr>
          <w:p w14:paraId="3E59BE2C" w14:textId="77777777" w:rsidR="00D45F35" w:rsidRPr="00D45F35" w:rsidRDefault="00D45F35" w:rsidP="00D45F35">
            <w:pPr>
              <w:rPr>
                <w:lang w:eastAsia="de-DE"/>
              </w:rPr>
            </w:pPr>
            <w:r w:rsidRPr="00D45F35">
              <w:rPr>
                <w:lang w:eastAsia="de-DE"/>
              </w:rPr>
              <w:t xml:space="preserve">               200,000 </w:t>
            </w:r>
          </w:p>
        </w:tc>
      </w:tr>
      <w:tr w:rsidR="00D45F35" w:rsidRPr="00D45F35" w14:paraId="6DD92A25" w14:textId="77777777" w:rsidTr="00D45F35">
        <w:trPr>
          <w:divId w:val="268591603"/>
          <w:trHeight w:val="370"/>
        </w:trPr>
        <w:tc>
          <w:tcPr>
            <w:tcW w:w="1360" w:type="dxa"/>
            <w:shd w:val="clear" w:color="auto" w:fill="FFFFFF" w:themeFill="background1"/>
            <w:noWrap/>
            <w:hideMark/>
          </w:tcPr>
          <w:p w14:paraId="4B9C2CE0"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417271DB"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E86A849" w14:textId="77777777" w:rsidR="00D45F35" w:rsidRPr="00D45F35" w:rsidRDefault="00D45F35" w:rsidP="00D45F35">
            <w:pPr>
              <w:rPr>
                <w:lang w:eastAsia="de-DE"/>
              </w:rPr>
            </w:pPr>
            <w:r w:rsidRPr="00D45F35">
              <w:rPr>
                <w:lang w:eastAsia="de-DE"/>
              </w:rPr>
              <w:t>Round 3, 2018</w:t>
            </w:r>
          </w:p>
        </w:tc>
        <w:tc>
          <w:tcPr>
            <w:tcW w:w="2835" w:type="dxa"/>
            <w:shd w:val="clear" w:color="auto" w:fill="FFFFFF" w:themeFill="background1"/>
            <w:noWrap/>
            <w:hideMark/>
          </w:tcPr>
          <w:p w14:paraId="6EF2EE87" w14:textId="77777777" w:rsidR="00D45F35" w:rsidRPr="00D45F35" w:rsidRDefault="00D45F35" w:rsidP="00D45F35">
            <w:pPr>
              <w:rPr>
                <w:rFonts w:cs="Arial"/>
              </w:rPr>
            </w:pPr>
            <w:r w:rsidRPr="00D45F35">
              <w:rPr>
                <w:lang w:eastAsia="de-DE"/>
              </w:rPr>
              <w:t xml:space="preserve">Sierra </w:t>
            </w:r>
            <w:r w:rsidRPr="00D45F35">
              <w:rPr>
                <w:rFonts w:cs="Arial"/>
              </w:rPr>
              <w:t>Leone</w:t>
            </w:r>
          </w:p>
        </w:tc>
        <w:tc>
          <w:tcPr>
            <w:tcW w:w="1984" w:type="dxa"/>
            <w:shd w:val="clear" w:color="auto" w:fill="FFFFFF" w:themeFill="background1"/>
            <w:noWrap/>
            <w:hideMark/>
          </w:tcPr>
          <w:p w14:paraId="78B5B477" w14:textId="77777777" w:rsidR="00D45F35" w:rsidRPr="00D45F35" w:rsidRDefault="00D45F35" w:rsidP="00D45F35">
            <w:pPr>
              <w:rPr>
                <w:lang w:eastAsia="de-DE"/>
              </w:rPr>
            </w:pPr>
            <w:r w:rsidRPr="00D45F35">
              <w:rPr>
                <w:lang w:eastAsia="de-DE"/>
              </w:rPr>
              <w:t xml:space="preserve">               400,000 </w:t>
            </w:r>
          </w:p>
        </w:tc>
      </w:tr>
      <w:tr w:rsidR="00D45F35" w:rsidRPr="00D45F35" w14:paraId="69DCCED9" w14:textId="77777777" w:rsidTr="00D45F35">
        <w:trPr>
          <w:divId w:val="268591603"/>
          <w:trHeight w:val="370"/>
        </w:trPr>
        <w:tc>
          <w:tcPr>
            <w:tcW w:w="1360" w:type="dxa"/>
            <w:shd w:val="clear" w:color="auto" w:fill="FFFFFF" w:themeFill="background1"/>
            <w:noWrap/>
            <w:hideMark/>
          </w:tcPr>
          <w:p w14:paraId="3F32C374"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19811647"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0840732B" w14:textId="77777777" w:rsidR="00D45F35" w:rsidRPr="00D45F35" w:rsidRDefault="00D45F35" w:rsidP="00D45F35">
            <w:pPr>
              <w:rPr>
                <w:lang w:eastAsia="de-DE"/>
              </w:rPr>
            </w:pPr>
            <w:r w:rsidRPr="00D45F35">
              <w:rPr>
                <w:lang w:eastAsia="de-DE"/>
              </w:rPr>
              <w:t>Round 3, 2018</w:t>
            </w:r>
          </w:p>
        </w:tc>
        <w:tc>
          <w:tcPr>
            <w:tcW w:w="2835" w:type="dxa"/>
            <w:shd w:val="clear" w:color="auto" w:fill="FFFFFF" w:themeFill="background1"/>
            <w:noWrap/>
            <w:hideMark/>
          </w:tcPr>
          <w:p w14:paraId="2B8EF624" w14:textId="77777777" w:rsidR="00D45F35" w:rsidRPr="00D45F35" w:rsidRDefault="00D45F35" w:rsidP="00D45F35">
            <w:pPr>
              <w:rPr>
                <w:lang w:eastAsia="de-DE"/>
              </w:rPr>
            </w:pPr>
            <w:r w:rsidRPr="00D45F35">
              <w:rPr>
                <w:highlight w:val="yellow"/>
                <w:lang w:eastAsia="de-DE"/>
              </w:rPr>
              <w:t>Syria/ARB</w:t>
            </w:r>
          </w:p>
        </w:tc>
        <w:tc>
          <w:tcPr>
            <w:tcW w:w="1984" w:type="dxa"/>
            <w:shd w:val="clear" w:color="auto" w:fill="FFFFFF" w:themeFill="background1"/>
            <w:noWrap/>
            <w:hideMark/>
          </w:tcPr>
          <w:p w14:paraId="26857B6D" w14:textId="77777777" w:rsidR="00D45F35" w:rsidRPr="00D45F35" w:rsidRDefault="00D45F35" w:rsidP="00D45F35">
            <w:pPr>
              <w:rPr>
                <w:lang w:eastAsia="de-DE"/>
              </w:rPr>
            </w:pPr>
            <w:r w:rsidRPr="00D45F35">
              <w:rPr>
                <w:lang w:eastAsia="de-DE"/>
              </w:rPr>
              <w:t xml:space="preserve">               300,000 </w:t>
            </w:r>
          </w:p>
        </w:tc>
      </w:tr>
      <w:tr w:rsidR="00D45F35" w:rsidRPr="00D45F35" w14:paraId="4673A10E" w14:textId="77777777" w:rsidTr="00D45F35">
        <w:trPr>
          <w:divId w:val="268591603"/>
          <w:trHeight w:val="370"/>
        </w:trPr>
        <w:tc>
          <w:tcPr>
            <w:tcW w:w="1360" w:type="dxa"/>
            <w:shd w:val="clear" w:color="auto" w:fill="FFFFFF" w:themeFill="background1"/>
            <w:noWrap/>
            <w:hideMark/>
          </w:tcPr>
          <w:p w14:paraId="56F85B42"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10D1D98E"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D93E99C" w14:textId="77777777" w:rsidR="00D45F35" w:rsidRPr="00D45F35" w:rsidRDefault="00D45F35" w:rsidP="00D45F35">
            <w:pPr>
              <w:rPr>
                <w:lang w:eastAsia="de-DE"/>
              </w:rPr>
            </w:pPr>
            <w:r w:rsidRPr="00D45F35">
              <w:rPr>
                <w:lang w:eastAsia="de-DE"/>
              </w:rPr>
              <w:t>Round 3, 2018</w:t>
            </w:r>
          </w:p>
        </w:tc>
        <w:tc>
          <w:tcPr>
            <w:tcW w:w="2835" w:type="dxa"/>
            <w:shd w:val="clear" w:color="auto" w:fill="FFFFFF" w:themeFill="background1"/>
            <w:noWrap/>
            <w:hideMark/>
          </w:tcPr>
          <w:p w14:paraId="0E75FB63" w14:textId="77777777" w:rsidR="00D45F35" w:rsidRPr="00D45F35" w:rsidRDefault="00D45F35" w:rsidP="00D45F35">
            <w:pPr>
              <w:rPr>
                <w:highlight w:val="yellow"/>
                <w:lang w:eastAsia="de-DE"/>
              </w:rPr>
            </w:pPr>
            <w:r w:rsidRPr="00D45F35">
              <w:rPr>
                <w:highlight w:val="yellow"/>
                <w:lang w:eastAsia="de-DE"/>
              </w:rPr>
              <w:t>Tajikistan</w:t>
            </w:r>
          </w:p>
        </w:tc>
        <w:tc>
          <w:tcPr>
            <w:tcW w:w="1984" w:type="dxa"/>
            <w:shd w:val="clear" w:color="auto" w:fill="FFFFFF" w:themeFill="background1"/>
            <w:noWrap/>
            <w:hideMark/>
          </w:tcPr>
          <w:p w14:paraId="5F39C627" w14:textId="77777777" w:rsidR="00D45F35" w:rsidRPr="00D45F35" w:rsidRDefault="00D45F35" w:rsidP="00D45F35">
            <w:pPr>
              <w:rPr>
                <w:lang w:eastAsia="de-DE"/>
              </w:rPr>
            </w:pPr>
            <w:r w:rsidRPr="00D45F35">
              <w:rPr>
                <w:lang w:eastAsia="de-DE"/>
              </w:rPr>
              <w:t xml:space="preserve">               450,000 </w:t>
            </w:r>
          </w:p>
        </w:tc>
      </w:tr>
      <w:tr w:rsidR="00D45F35" w:rsidRPr="00D45F35" w14:paraId="4FD89E62" w14:textId="77777777" w:rsidTr="00D45F35">
        <w:trPr>
          <w:divId w:val="268591603"/>
          <w:trHeight w:val="370"/>
        </w:trPr>
        <w:tc>
          <w:tcPr>
            <w:tcW w:w="1360" w:type="dxa"/>
            <w:shd w:val="clear" w:color="auto" w:fill="FFFFFF" w:themeFill="background1"/>
            <w:noWrap/>
            <w:hideMark/>
          </w:tcPr>
          <w:p w14:paraId="5CF67C96"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771672E9"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33434E7B"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382685A6" w14:textId="77777777" w:rsidR="00D45F35" w:rsidRPr="00D45F35" w:rsidRDefault="00D45F35" w:rsidP="00D45F35">
            <w:pPr>
              <w:rPr>
                <w:lang w:eastAsia="de-DE"/>
              </w:rPr>
            </w:pPr>
            <w:r w:rsidRPr="00D45F35">
              <w:rPr>
                <w:lang w:eastAsia="de-DE"/>
              </w:rPr>
              <w:t>DRC</w:t>
            </w:r>
          </w:p>
        </w:tc>
        <w:tc>
          <w:tcPr>
            <w:tcW w:w="1984" w:type="dxa"/>
            <w:shd w:val="clear" w:color="auto" w:fill="FFFFFF" w:themeFill="background1"/>
            <w:noWrap/>
            <w:hideMark/>
          </w:tcPr>
          <w:p w14:paraId="38E1F74A" w14:textId="77777777" w:rsidR="00D45F35" w:rsidRPr="00D45F35" w:rsidRDefault="00D45F35" w:rsidP="00D45F35">
            <w:pPr>
              <w:rPr>
                <w:lang w:eastAsia="de-DE"/>
              </w:rPr>
            </w:pPr>
            <w:r w:rsidRPr="00D45F35">
              <w:rPr>
                <w:lang w:eastAsia="de-DE"/>
              </w:rPr>
              <w:t xml:space="preserve">               250,000 </w:t>
            </w:r>
          </w:p>
        </w:tc>
      </w:tr>
      <w:tr w:rsidR="00D45F35" w:rsidRPr="00D45F35" w14:paraId="123181D2" w14:textId="77777777" w:rsidTr="00D45F35">
        <w:trPr>
          <w:divId w:val="268591603"/>
          <w:trHeight w:val="370"/>
        </w:trPr>
        <w:tc>
          <w:tcPr>
            <w:tcW w:w="1360" w:type="dxa"/>
            <w:shd w:val="clear" w:color="auto" w:fill="FFFFFF" w:themeFill="background1"/>
            <w:noWrap/>
            <w:hideMark/>
          </w:tcPr>
          <w:p w14:paraId="444100E6"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0CCC5598"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15FC5A20"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0D1A300E" w14:textId="77777777" w:rsidR="00D45F35" w:rsidRPr="00D45F35" w:rsidRDefault="00D45F35" w:rsidP="00D45F35">
            <w:pPr>
              <w:rPr>
                <w:lang w:eastAsia="de-DE"/>
              </w:rPr>
            </w:pPr>
            <w:r w:rsidRPr="00D45F35">
              <w:rPr>
                <w:highlight w:val="yellow"/>
                <w:lang w:eastAsia="de-DE"/>
              </w:rPr>
              <w:t>Ethiopia</w:t>
            </w:r>
          </w:p>
        </w:tc>
        <w:tc>
          <w:tcPr>
            <w:tcW w:w="1984" w:type="dxa"/>
            <w:shd w:val="clear" w:color="auto" w:fill="FFFFFF" w:themeFill="background1"/>
            <w:noWrap/>
            <w:hideMark/>
          </w:tcPr>
          <w:p w14:paraId="40B245EE" w14:textId="77777777" w:rsidR="00D45F35" w:rsidRPr="00D45F35" w:rsidRDefault="00D45F35" w:rsidP="00D45F35">
            <w:pPr>
              <w:rPr>
                <w:lang w:eastAsia="de-DE"/>
              </w:rPr>
            </w:pPr>
            <w:r w:rsidRPr="00D45F35">
              <w:rPr>
                <w:lang w:eastAsia="de-DE"/>
              </w:rPr>
              <w:t xml:space="preserve">               212,500 </w:t>
            </w:r>
          </w:p>
        </w:tc>
      </w:tr>
      <w:tr w:rsidR="00D45F35" w:rsidRPr="00D45F35" w14:paraId="27E7049C" w14:textId="77777777" w:rsidTr="00D45F35">
        <w:trPr>
          <w:divId w:val="268591603"/>
          <w:trHeight w:val="370"/>
        </w:trPr>
        <w:tc>
          <w:tcPr>
            <w:tcW w:w="1360" w:type="dxa"/>
            <w:shd w:val="clear" w:color="auto" w:fill="FFFFFF" w:themeFill="background1"/>
            <w:noWrap/>
            <w:hideMark/>
          </w:tcPr>
          <w:p w14:paraId="104E1E46"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1FEC13C3"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3EBED963"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3AA6719F" w14:textId="77777777" w:rsidR="00D45F35" w:rsidRPr="00D45F35" w:rsidRDefault="00D45F35" w:rsidP="00D45F35">
            <w:pPr>
              <w:rPr>
                <w:rFonts w:cs="Arial"/>
              </w:rPr>
            </w:pPr>
            <w:r w:rsidRPr="00D45F35">
              <w:rPr>
                <w:lang w:eastAsia="de-DE"/>
              </w:rPr>
              <w:t xml:space="preserve">Guinea </w:t>
            </w:r>
            <w:r w:rsidRPr="00D45F35">
              <w:rPr>
                <w:rFonts w:cs="Arial"/>
              </w:rPr>
              <w:t>(Conakry)</w:t>
            </w:r>
          </w:p>
        </w:tc>
        <w:tc>
          <w:tcPr>
            <w:tcW w:w="1984" w:type="dxa"/>
            <w:shd w:val="clear" w:color="auto" w:fill="FFFFFF" w:themeFill="background1"/>
            <w:noWrap/>
            <w:hideMark/>
          </w:tcPr>
          <w:p w14:paraId="1E61C59E" w14:textId="77777777" w:rsidR="00D45F35" w:rsidRPr="00D45F35" w:rsidRDefault="00D45F35" w:rsidP="00D45F35">
            <w:pPr>
              <w:rPr>
                <w:lang w:eastAsia="de-DE"/>
              </w:rPr>
            </w:pPr>
            <w:r w:rsidRPr="00D45F35">
              <w:rPr>
                <w:lang w:eastAsia="de-DE"/>
              </w:rPr>
              <w:t xml:space="preserve">               300,000 </w:t>
            </w:r>
          </w:p>
        </w:tc>
      </w:tr>
      <w:tr w:rsidR="00D45F35" w:rsidRPr="00D45F35" w14:paraId="118A4DBD" w14:textId="77777777" w:rsidTr="00D45F35">
        <w:trPr>
          <w:divId w:val="268591603"/>
          <w:trHeight w:val="370"/>
        </w:trPr>
        <w:tc>
          <w:tcPr>
            <w:tcW w:w="1360" w:type="dxa"/>
            <w:shd w:val="clear" w:color="auto" w:fill="FFFFFF" w:themeFill="background1"/>
            <w:noWrap/>
            <w:hideMark/>
          </w:tcPr>
          <w:p w14:paraId="64A88FB7"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319E3E6A"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1ECD47AB"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444338D2" w14:textId="77777777" w:rsidR="00D45F35" w:rsidRPr="00D45F35" w:rsidRDefault="00D45F35" w:rsidP="00D45F35">
            <w:pPr>
              <w:rPr>
                <w:highlight w:val="yellow"/>
                <w:lang w:eastAsia="de-DE"/>
              </w:rPr>
            </w:pPr>
            <w:r w:rsidRPr="00D45F35">
              <w:rPr>
                <w:highlight w:val="yellow"/>
                <w:lang w:eastAsia="de-DE"/>
              </w:rPr>
              <w:t>Kyrgyz Republic</w:t>
            </w:r>
          </w:p>
        </w:tc>
        <w:tc>
          <w:tcPr>
            <w:tcW w:w="1984" w:type="dxa"/>
            <w:shd w:val="clear" w:color="auto" w:fill="FFFFFF" w:themeFill="background1"/>
            <w:noWrap/>
            <w:hideMark/>
          </w:tcPr>
          <w:p w14:paraId="61E7B7FD" w14:textId="77777777" w:rsidR="00D45F35" w:rsidRPr="00D45F35" w:rsidRDefault="00D45F35" w:rsidP="00D45F35">
            <w:pPr>
              <w:rPr>
                <w:lang w:eastAsia="de-DE"/>
              </w:rPr>
            </w:pPr>
            <w:r w:rsidRPr="00D45F35">
              <w:rPr>
                <w:lang w:eastAsia="de-DE"/>
              </w:rPr>
              <w:t xml:space="preserve">               300,000 </w:t>
            </w:r>
          </w:p>
        </w:tc>
      </w:tr>
      <w:tr w:rsidR="00D45F35" w:rsidRPr="00D45F35" w14:paraId="35BC0423" w14:textId="77777777" w:rsidTr="00D45F35">
        <w:trPr>
          <w:divId w:val="268591603"/>
          <w:trHeight w:val="370"/>
        </w:trPr>
        <w:tc>
          <w:tcPr>
            <w:tcW w:w="1360" w:type="dxa"/>
            <w:shd w:val="clear" w:color="auto" w:fill="FFFFFF" w:themeFill="background1"/>
            <w:noWrap/>
            <w:hideMark/>
          </w:tcPr>
          <w:p w14:paraId="01D50390"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63F64BC1"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7AC51DE7"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7719223F" w14:textId="77777777" w:rsidR="00D45F35" w:rsidRPr="00D45F35" w:rsidRDefault="00D45F35" w:rsidP="00D45F35">
            <w:pPr>
              <w:rPr>
                <w:highlight w:val="yellow"/>
                <w:lang w:eastAsia="de-DE"/>
              </w:rPr>
            </w:pPr>
            <w:r w:rsidRPr="00D45F35">
              <w:rPr>
                <w:highlight w:val="yellow"/>
                <w:lang w:eastAsia="de-DE"/>
              </w:rPr>
              <w:t>Lebanon</w:t>
            </w:r>
          </w:p>
        </w:tc>
        <w:tc>
          <w:tcPr>
            <w:tcW w:w="1984" w:type="dxa"/>
            <w:shd w:val="clear" w:color="auto" w:fill="FFFFFF" w:themeFill="background1"/>
            <w:noWrap/>
            <w:hideMark/>
          </w:tcPr>
          <w:p w14:paraId="1A43CA7E" w14:textId="77777777" w:rsidR="00D45F35" w:rsidRPr="00D45F35" w:rsidRDefault="00D45F35" w:rsidP="00D45F35">
            <w:pPr>
              <w:rPr>
                <w:lang w:eastAsia="de-DE"/>
              </w:rPr>
            </w:pPr>
            <w:r w:rsidRPr="00D45F35">
              <w:rPr>
                <w:lang w:eastAsia="de-DE"/>
              </w:rPr>
              <w:t xml:space="preserve">               175,000 </w:t>
            </w:r>
          </w:p>
        </w:tc>
      </w:tr>
      <w:tr w:rsidR="00D45F35" w:rsidRPr="00D45F35" w14:paraId="4A434810" w14:textId="77777777" w:rsidTr="00D45F35">
        <w:trPr>
          <w:divId w:val="268591603"/>
          <w:trHeight w:val="370"/>
        </w:trPr>
        <w:tc>
          <w:tcPr>
            <w:tcW w:w="1360" w:type="dxa"/>
            <w:shd w:val="clear" w:color="auto" w:fill="FFFFFF" w:themeFill="background1"/>
            <w:noWrap/>
            <w:hideMark/>
          </w:tcPr>
          <w:p w14:paraId="08F78DAE" w14:textId="77777777" w:rsidR="00D45F35" w:rsidRPr="00D45F35" w:rsidRDefault="00D45F35" w:rsidP="00D45F35">
            <w:pPr>
              <w:rPr>
                <w:lang w:eastAsia="de-DE"/>
              </w:rPr>
            </w:pPr>
            <w:r w:rsidRPr="00D45F35">
              <w:rPr>
                <w:lang w:eastAsia="de-DE"/>
              </w:rPr>
              <w:t>Arab States</w:t>
            </w:r>
          </w:p>
        </w:tc>
        <w:tc>
          <w:tcPr>
            <w:tcW w:w="1360" w:type="dxa"/>
            <w:shd w:val="clear" w:color="auto" w:fill="FFFFFF" w:themeFill="background1"/>
            <w:noWrap/>
            <w:hideMark/>
          </w:tcPr>
          <w:p w14:paraId="1C031352"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3D08F2BA"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1B549D6B" w14:textId="77777777" w:rsidR="00D45F35" w:rsidRPr="00D45F35" w:rsidRDefault="00D45F35" w:rsidP="00D45F35">
            <w:pPr>
              <w:rPr>
                <w:lang w:eastAsia="de-DE"/>
              </w:rPr>
            </w:pPr>
            <w:r w:rsidRPr="00D45F35">
              <w:rPr>
                <w:highlight w:val="yellow"/>
                <w:lang w:eastAsia="de-DE"/>
              </w:rPr>
              <w:t>Libya</w:t>
            </w:r>
          </w:p>
        </w:tc>
        <w:tc>
          <w:tcPr>
            <w:tcW w:w="1984" w:type="dxa"/>
            <w:shd w:val="clear" w:color="auto" w:fill="FFFFFF" w:themeFill="background1"/>
            <w:noWrap/>
            <w:hideMark/>
          </w:tcPr>
          <w:p w14:paraId="1827CF2A" w14:textId="77777777" w:rsidR="00D45F35" w:rsidRPr="00D45F35" w:rsidRDefault="00D45F35" w:rsidP="00D45F35">
            <w:pPr>
              <w:rPr>
                <w:lang w:eastAsia="de-DE"/>
              </w:rPr>
            </w:pPr>
            <w:r w:rsidRPr="00D45F35">
              <w:rPr>
                <w:lang w:eastAsia="de-DE"/>
              </w:rPr>
              <w:t xml:space="preserve">               500,000 </w:t>
            </w:r>
          </w:p>
        </w:tc>
      </w:tr>
      <w:tr w:rsidR="00D45F35" w:rsidRPr="00D45F35" w14:paraId="71A23180" w14:textId="77777777" w:rsidTr="00D45F35">
        <w:trPr>
          <w:divId w:val="268591603"/>
          <w:trHeight w:val="370"/>
        </w:trPr>
        <w:tc>
          <w:tcPr>
            <w:tcW w:w="1360" w:type="dxa"/>
            <w:shd w:val="clear" w:color="auto" w:fill="FFFFFF" w:themeFill="background1"/>
            <w:noWrap/>
            <w:hideMark/>
          </w:tcPr>
          <w:p w14:paraId="1230646F" w14:textId="77777777" w:rsidR="00D45F35" w:rsidRPr="00D45F35" w:rsidRDefault="00D45F35" w:rsidP="00D45F35">
            <w:pPr>
              <w:rPr>
                <w:lang w:eastAsia="de-DE"/>
              </w:rPr>
            </w:pPr>
            <w:r w:rsidRPr="00D45F35">
              <w:rPr>
                <w:lang w:eastAsia="de-DE"/>
              </w:rPr>
              <w:t>Asia Pacific</w:t>
            </w:r>
          </w:p>
        </w:tc>
        <w:tc>
          <w:tcPr>
            <w:tcW w:w="1360" w:type="dxa"/>
            <w:shd w:val="clear" w:color="auto" w:fill="FFFFFF" w:themeFill="background1"/>
            <w:noWrap/>
            <w:hideMark/>
          </w:tcPr>
          <w:p w14:paraId="6589A8E6"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6D2170B2"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36ED4125" w14:textId="77777777" w:rsidR="00D45F35" w:rsidRPr="00D45F35" w:rsidRDefault="00D45F35" w:rsidP="00D45F35">
            <w:pPr>
              <w:rPr>
                <w:lang w:eastAsia="de-DE"/>
              </w:rPr>
            </w:pPr>
            <w:r w:rsidRPr="00D45F35">
              <w:rPr>
                <w:highlight w:val="yellow"/>
                <w:lang w:eastAsia="de-DE"/>
              </w:rPr>
              <w:t>Myanmar</w:t>
            </w:r>
          </w:p>
        </w:tc>
        <w:tc>
          <w:tcPr>
            <w:tcW w:w="1984" w:type="dxa"/>
            <w:shd w:val="clear" w:color="auto" w:fill="FFFFFF" w:themeFill="background1"/>
            <w:noWrap/>
            <w:hideMark/>
          </w:tcPr>
          <w:p w14:paraId="46E8F23F" w14:textId="77777777" w:rsidR="00D45F35" w:rsidRPr="00D45F35" w:rsidRDefault="00D45F35" w:rsidP="00D45F35">
            <w:pPr>
              <w:rPr>
                <w:lang w:eastAsia="de-DE"/>
              </w:rPr>
            </w:pPr>
            <w:r w:rsidRPr="00D45F35">
              <w:rPr>
                <w:lang w:eastAsia="de-DE"/>
              </w:rPr>
              <w:t xml:space="preserve">               400,000 </w:t>
            </w:r>
          </w:p>
        </w:tc>
      </w:tr>
      <w:tr w:rsidR="00D45F35" w:rsidRPr="00D45F35" w14:paraId="09942F58" w14:textId="77777777" w:rsidTr="00D45F35">
        <w:trPr>
          <w:divId w:val="268591603"/>
          <w:trHeight w:val="370"/>
        </w:trPr>
        <w:tc>
          <w:tcPr>
            <w:tcW w:w="1360" w:type="dxa"/>
            <w:shd w:val="clear" w:color="auto" w:fill="FFFFFF" w:themeFill="background1"/>
            <w:noWrap/>
            <w:hideMark/>
          </w:tcPr>
          <w:p w14:paraId="7651FACD" w14:textId="77777777" w:rsidR="00D45F35" w:rsidRPr="00D45F35" w:rsidRDefault="00D45F35" w:rsidP="00D45F35">
            <w:pPr>
              <w:rPr>
                <w:lang w:eastAsia="de-DE"/>
              </w:rPr>
            </w:pPr>
            <w:r w:rsidRPr="00D45F35">
              <w:rPr>
                <w:lang w:eastAsia="de-DE"/>
              </w:rPr>
              <w:t>Asia Pacific</w:t>
            </w:r>
          </w:p>
        </w:tc>
        <w:tc>
          <w:tcPr>
            <w:tcW w:w="1360" w:type="dxa"/>
            <w:shd w:val="clear" w:color="auto" w:fill="FFFFFF" w:themeFill="background1"/>
            <w:noWrap/>
            <w:hideMark/>
          </w:tcPr>
          <w:p w14:paraId="420F7BB1"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6708FA75"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5E7D4D71" w14:textId="77777777" w:rsidR="00D45F35" w:rsidRPr="00D45F35" w:rsidRDefault="00D45F35" w:rsidP="00D45F35">
            <w:pPr>
              <w:rPr>
                <w:lang w:eastAsia="de-DE"/>
              </w:rPr>
            </w:pPr>
            <w:r w:rsidRPr="00D45F35">
              <w:rPr>
                <w:highlight w:val="yellow"/>
                <w:lang w:eastAsia="de-DE"/>
              </w:rPr>
              <w:t>Nepal</w:t>
            </w:r>
          </w:p>
        </w:tc>
        <w:tc>
          <w:tcPr>
            <w:tcW w:w="1984" w:type="dxa"/>
            <w:shd w:val="clear" w:color="auto" w:fill="FFFFFF" w:themeFill="background1"/>
            <w:noWrap/>
            <w:hideMark/>
          </w:tcPr>
          <w:p w14:paraId="0810DA52" w14:textId="77777777" w:rsidR="00D45F35" w:rsidRPr="00D45F35" w:rsidRDefault="00D45F35" w:rsidP="00D45F35">
            <w:pPr>
              <w:rPr>
                <w:lang w:eastAsia="de-DE"/>
              </w:rPr>
            </w:pPr>
            <w:r w:rsidRPr="00D45F35">
              <w:rPr>
                <w:lang w:eastAsia="de-DE"/>
              </w:rPr>
              <w:t xml:space="preserve">               300,000 </w:t>
            </w:r>
          </w:p>
        </w:tc>
      </w:tr>
      <w:tr w:rsidR="00D45F35" w:rsidRPr="00D45F35" w14:paraId="3B1BA60B" w14:textId="77777777" w:rsidTr="00D45F35">
        <w:trPr>
          <w:divId w:val="268591603"/>
          <w:trHeight w:val="370"/>
        </w:trPr>
        <w:tc>
          <w:tcPr>
            <w:tcW w:w="1360" w:type="dxa"/>
            <w:shd w:val="clear" w:color="auto" w:fill="FFFFFF" w:themeFill="background1"/>
            <w:noWrap/>
            <w:hideMark/>
          </w:tcPr>
          <w:p w14:paraId="14E8F540" w14:textId="77777777" w:rsidR="00D45F35" w:rsidRPr="00D45F35" w:rsidRDefault="00D45F35" w:rsidP="00D45F35">
            <w:pPr>
              <w:rPr>
                <w:lang w:eastAsia="de-DE"/>
              </w:rPr>
            </w:pPr>
            <w:r w:rsidRPr="00D45F35">
              <w:rPr>
                <w:lang w:eastAsia="de-DE"/>
              </w:rPr>
              <w:t>Asia Pacific</w:t>
            </w:r>
          </w:p>
        </w:tc>
        <w:tc>
          <w:tcPr>
            <w:tcW w:w="1360" w:type="dxa"/>
            <w:shd w:val="clear" w:color="auto" w:fill="FFFFFF" w:themeFill="background1"/>
            <w:noWrap/>
            <w:hideMark/>
          </w:tcPr>
          <w:p w14:paraId="48154728"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73579821"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02741896" w14:textId="77777777" w:rsidR="00D45F35" w:rsidRPr="00D45F35" w:rsidRDefault="00D45F35" w:rsidP="00D45F35">
            <w:pPr>
              <w:rPr>
                <w:rFonts w:cs="Arial"/>
              </w:rPr>
            </w:pPr>
            <w:r w:rsidRPr="00D45F35">
              <w:rPr>
                <w:highlight w:val="yellow"/>
                <w:lang w:eastAsia="de-DE"/>
              </w:rPr>
              <w:t>Sri</w:t>
            </w:r>
            <w:r w:rsidRPr="00D45F35">
              <w:rPr>
                <w:lang w:eastAsia="de-DE"/>
              </w:rPr>
              <w:t xml:space="preserve"> </w:t>
            </w:r>
            <w:r w:rsidRPr="00D45F35">
              <w:rPr>
                <w:rFonts w:cs="Arial"/>
                <w:highlight w:val="yellow"/>
              </w:rPr>
              <w:t>Lanka</w:t>
            </w:r>
          </w:p>
        </w:tc>
        <w:tc>
          <w:tcPr>
            <w:tcW w:w="1984" w:type="dxa"/>
            <w:shd w:val="clear" w:color="auto" w:fill="FFFFFF" w:themeFill="background1"/>
            <w:noWrap/>
            <w:hideMark/>
          </w:tcPr>
          <w:p w14:paraId="3ADFE9DD" w14:textId="77777777" w:rsidR="00D45F35" w:rsidRPr="00D45F35" w:rsidRDefault="00D45F35" w:rsidP="00D45F35">
            <w:pPr>
              <w:rPr>
                <w:lang w:eastAsia="de-DE"/>
              </w:rPr>
            </w:pPr>
            <w:r w:rsidRPr="00D45F35">
              <w:rPr>
                <w:lang w:eastAsia="de-DE"/>
              </w:rPr>
              <w:t xml:space="preserve">               300,000 </w:t>
            </w:r>
          </w:p>
        </w:tc>
      </w:tr>
      <w:tr w:rsidR="00D45F35" w:rsidRPr="00D45F35" w14:paraId="0C16EF08" w14:textId="77777777" w:rsidTr="00D45F35">
        <w:trPr>
          <w:divId w:val="268591603"/>
          <w:trHeight w:val="370"/>
        </w:trPr>
        <w:tc>
          <w:tcPr>
            <w:tcW w:w="1360" w:type="dxa"/>
            <w:shd w:val="clear" w:color="auto" w:fill="FFFFFF" w:themeFill="background1"/>
            <w:noWrap/>
            <w:hideMark/>
          </w:tcPr>
          <w:p w14:paraId="2EBDCDE9"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42913C49"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8C291C9"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3B5FC0FC" w14:textId="77777777" w:rsidR="00D45F35" w:rsidRPr="00D45F35" w:rsidRDefault="00D45F35" w:rsidP="00D45F35">
            <w:pPr>
              <w:rPr>
                <w:highlight w:val="yellow"/>
                <w:lang w:eastAsia="de-DE"/>
              </w:rPr>
            </w:pPr>
            <w:r w:rsidRPr="00D45F35">
              <w:rPr>
                <w:highlight w:val="yellow"/>
                <w:lang w:eastAsia="de-DE"/>
              </w:rPr>
              <w:t>Uzbekistan</w:t>
            </w:r>
          </w:p>
        </w:tc>
        <w:tc>
          <w:tcPr>
            <w:tcW w:w="1984" w:type="dxa"/>
            <w:shd w:val="clear" w:color="auto" w:fill="FFFFFF" w:themeFill="background1"/>
            <w:noWrap/>
            <w:hideMark/>
          </w:tcPr>
          <w:p w14:paraId="637B4BC7" w14:textId="77777777" w:rsidR="00D45F35" w:rsidRPr="00D45F35" w:rsidRDefault="00D45F35" w:rsidP="00D45F35">
            <w:pPr>
              <w:rPr>
                <w:lang w:eastAsia="de-DE"/>
              </w:rPr>
            </w:pPr>
            <w:r w:rsidRPr="00D45F35">
              <w:rPr>
                <w:lang w:eastAsia="de-DE"/>
              </w:rPr>
              <w:t xml:space="preserve">               250,000 </w:t>
            </w:r>
          </w:p>
        </w:tc>
      </w:tr>
      <w:tr w:rsidR="00D45F35" w:rsidRPr="00D45F35" w14:paraId="39FCA699" w14:textId="77777777" w:rsidTr="00D45F35">
        <w:trPr>
          <w:divId w:val="268591603"/>
          <w:trHeight w:val="370"/>
        </w:trPr>
        <w:tc>
          <w:tcPr>
            <w:tcW w:w="1360" w:type="dxa"/>
            <w:shd w:val="clear" w:color="auto" w:fill="FFFFFF" w:themeFill="background1"/>
            <w:noWrap/>
            <w:hideMark/>
          </w:tcPr>
          <w:p w14:paraId="66DCC24C"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3E16C6E2"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0AD8ADD0" w14:textId="77777777" w:rsidR="00D45F35" w:rsidRPr="00D45F35" w:rsidRDefault="00D45F35" w:rsidP="00D45F35">
            <w:pPr>
              <w:rPr>
                <w:lang w:eastAsia="de-DE"/>
              </w:rPr>
            </w:pPr>
            <w:r w:rsidRPr="00D45F35">
              <w:rPr>
                <w:lang w:eastAsia="de-DE"/>
              </w:rPr>
              <w:t>Round 1, 2019</w:t>
            </w:r>
          </w:p>
        </w:tc>
        <w:tc>
          <w:tcPr>
            <w:tcW w:w="2835" w:type="dxa"/>
            <w:shd w:val="clear" w:color="auto" w:fill="FFFFFF" w:themeFill="background1"/>
            <w:noWrap/>
            <w:hideMark/>
          </w:tcPr>
          <w:p w14:paraId="3590B2A5" w14:textId="77777777" w:rsidR="00D45F35" w:rsidRPr="00D45F35" w:rsidRDefault="00D45F35" w:rsidP="00D45F35">
            <w:pPr>
              <w:rPr>
                <w:lang w:eastAsia="de-DE"/>
              </w:rPr>
            </w:pPr>
            <w:r w:rsidRPr="00D45F35">
              <w:rPr>
                <w:lang w:eastAsia="de-DE"/>
              </w:rPr>
              <w:t>Zimbabwe</w:t>
            </w:r>
          </w:p>
        </w:tc>
        <w:tc>
          <w:tcPr>
            <w:tcW w:w="1984" w:type="dxa"/>
            <w:shd w:val="clear" w:color="auto" w:fill="FFFFFF" w:themeFill="background1"/>
            <w:noWrap/>
            <w:hideMark/>
          </w:tcPr>
          <w:p w14:paraId="0B22329F" w14:textId="77777777" w:rsidR="00D45F35" w:rsidRPr="00D45F35" w:rsidRDefault="00D45F35" w:rsidP="00D45F35">
            <w:pPr>
              <w:rPr>
                <w:lang w:eastAsia="de-DE"/>
              </w:rPr>
            </w:pPr>
            <w:r w:rsidRPr="00D45F35">
              <w:rPr>
                <w:lang w:eastAsia="de-DE"/>
              </w:rPr>
              <w:t xml:space="preserve">               250,000 </w:t>
            </w:r>
          </w:p>
        </w:tc>
      </w:tr>
      <w:tr w:rsidR="00D45F35" w:rsidRPr="00D45F35" w14:paraId="10B33138" w14:textId="77777777" w:rsidTr="00D45F35">
        <w:trPr>
          <w:divId w:val="268591603"/>
          <w:trHeight w:val="370"/>
        </w:trPr>
        <w:tc>
          <w:tcPr>
            <w:tcW w:w="1360" w:type="dxa"/>
            <w:shd w:val="clear" w:color="auto" w:fill="FFFFFF" w:themeFill="background1"/>
            <w:noWrap/>
            <w:hideMark/>
          </w:tcPr>
          <w:p w14:paraId="2C901533"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2E8A024C"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7F86DCFF" w14:textId="77777777" w:rsidR="00D45F35" w:rsidRPr="00D45F35" w:rsidRDefault="00D45F35" w:rsidP="00D45F35">
            <w:pPr>
              <w:rPr>
                <w:lang w:eastAsia="de-DE"/>
              </w:rPr>
            </w:pPr>
            <w:r w:rsidRPr="00D45F35">
              <w:rPr>
                <w:lang w:eastAsia="de-DE"/>
              </w:rPr>
              <w:t>NHRI ad hoc</w:t>
            </w:r>
          </w:p>
        </w:tc>
        <w:tc>
          <w:tcPr>
            <w:tcW w:w="2835" w:type="dxa"/>
            <w:shd w:val="clear" w:color="auto" w:fill="FFFFFF" w:themeFill="background1"/>
            <w:noWrap/>
            <w:hideMark/>
          </w:tcPr>
          <w:p w14:paraId="73D91619" w14:textId="77777777" w:rsidR="00D45F35" w:rsidRPr="00D45F35" w:rsidRDefault="00D45F35" w:rsidP="00D45F35">
            <w:pPr>
              <w:rPr>
                <w:lang w:eastAsia="de-DE"/>
              </w:rPr>
            </w:pPr>
            <w:r w:rsidRPr="00D45F35">
              <w:rPr>
                <w:lang w:eastAsia="de-DE"/>
              </w:rPr>
              <w:t>Gambia</w:t>
            </w:r>
          </w:p>
        </w:tc>
        <w:tc>
          <w:tcPr>
            <w:tcW w:w="1984" w:type="dxa"/>
            <w:shd w:val="clear" w:color="auto" w:fill="FFFFFF" w:themeFill="background1"/>
            <w:noWrap/>
            <w:hideMark/>
          </w:tcPr>
          <w:p w14:paraId="6A31B9D6" w14:textId="77777777" w:rsidR="00D45F35" w:rsidRPr="00D45F35" w:rsidRDefault="00D45F35" w:rsidP="00D45F35">
            <w:pPr>
              <w:rPr>
                <w:lang w:eastAsia="de-DE"/>
              </w:rPr>
            </w:pPr>
            <w:r w:rsidRPr="00D45F35">
              <w:rPr>
                <w:lang w:eastAsia="de-DE"/>
              </w:rPr>
              <w:t xml:space="preserve">               100,000 </w:t>
            </w:r>
          </w:p>
        </w:tc>
      </w:tr>
      <w:tr w:rsidR="00D45F35" w:rsidRPr="00D45F35" w14:paraId="3D31E916" w14:textId="77777777" w:rsidTr="00D45F35">
        <w:trPr>
          <w:divId w:val="268591603"/>
          <w:trHeight w:val="370"/>
        </w:trPr>
        <w:tc>
          <w:tcPr>
            <w:tcW w:w="1360" w:type="dxa"/>
            <w:shd w:val="clear" w:color="auto" w:fill="FFFFFF" w:themeFill="background1"/>
            <w:noWrap/>
            <w:hideMark/>
          </w:tcPr>
          <w:p w14:paraId="4573E917"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0AC1F698"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4E1DD386" w14:textId="77777777" w:rsidR="00D45F35" w:rsidRPr="00D45F35" w:rsidRDefault="00D45F35" w:rsidP="00D45F35">
            <w:pPr>
              <w:rPr>
                <w:rFonts w:cs="Arial"/>
              </w:rPr>
            </w:pPr>
            <w:r w:rsidRPr="00D45F35">
              <w:rPr>
                <w:lang w:eastAsia="de-DE"/>
              </w:rPr>
              <w:t xml:space="preserve">Round 2, 2019 </w:t>
            </w:r>
            <w:r w:rsidRPr="00D45F35">
              <w:rPr>
                <w:rFonts w:cs="Arial"/>
              </w:rPr>
              <w:t>ad hoc</w:t>
            </w:r>
          </w:p>
        </w:tc>
        <w:tc>
          <w:tcPr>
            <w:tcW w:w="2835" w:type="dxa"/>
            <w:shd w:val="clear" w:color="auto" w:fill="FFFFFF" w:themeFill="background1"/>
            <w:noWrap/>
            <w:hideMark/>
          </w:tcPr>
          <w:p w14:paraId="69489F42" w14:textId="77777777" w:rsidR="00D45F35" w:rsidRPr="00D45F35" w:rsidRDefault="00D45F35" w:rsidP="00D45F35">
            <w:pPr>
              <w:rPr>
                <w:lang w:eastAsia="de-DE"/>
              </w:rPr>
            </w:pPr>
            <w:r w:rsidRPr="00D45F35">
              <w:rPr>
                <w:lang w:eastAsia="de-DE"/>
              </w:rPr>
              <w:t>Nigeria</w:t>
            </w:r>
          </w:p>
        </w:tc>
        <w:tc>
          <w:tcPr>
            <w:tcW w:w="1984" w:type="dxa"/>
            <w:shd w:val="clear" w:color="auto" w:fill="FFFFFF" w:themeFill="background1"/>
            <w:noWrap/>
            <w:hideMark/>
          </w:tcPr>
          <w:p w14:paraId="2212902E" w14:textId="77777777" w:rsidR="00D45F35" w:rsidRPr="00D45F35" w:rsidRDefault="00D45F35" w:rsidP="00D45F35">
            <w:pPr>
              <w:rPr>
                <w:lang w:eastAsia="de-DE"/>
              </w:rPr>
            </w:pPr>
            <w:r w:rsidRPr="00D45F35">
              <w:rPr>
                <w:lang w:eastAsia="de-DE"/>
              </w:rPr>
              <w:t xml:space="preserve">               300,000 </w:t>
            </w:r>
          </w:p>
        </w:tc>
      </w:tr>
      <w:tr w:rsidR="00D45F35" w:rsidRPr="00D45F35" w14:paraId="5842B6C9" w14:textId="77777777" w:rsidTr="00D45F35">
        <w:trPr>
          <w:divId w:val="268591603"/>
          <w:trHeight w:val="370"/>
        </w:trPr>
        <w:tc>
          <w:tcPr>
            <w:tcW w:w="1360" w:type="dxa"/>
            <w:shd w:val="clear" w:color="auto" w:fill="FFFFFF" w:themeFill="background1"/>
            <w:noWrap/>
            <w:hideMark/>
          </w:tcPr>
          <w:p w14:paraId="3EC7C98F"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118C4141"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4CB006F8"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18084651" w14:textId="77777777" w:rsidR="00D45F35" w:rsidRPr="00D45F35" w:rsidRDefault="00D45F35" w:rsidP="00D45F35">
            <w:pPr>
              <w:rPr>
                <w:lang w:eastAsia="de-DE"/>
              </w:rPr>
            </w:pPr>
            <w:r w:rsidRPr="00D45F35">
              <w:rPr>
                <w:lang w:eastAsia="de-DE"/>
              </w:rPr>
              <w:t>Armenia</w:t>
            </w:r>
          </w:p>
        </w:tc>
        <w:tc>
          <w:tcPr>
            <w:tcW w:w="1984" w:type="dxa"/>
            <w:shd w:val="clear" w:color="auto" w:fill="FFFFFF" w:themeFill="background1"/>
            <w:noWrap/>
            <w:hideMark/>
          </w:tcPr>
          <w:p w14:paraId="107E4C53" w14:textId="77777777" w:rsidR="00D45F35" w:rsidRPr="00D45F35" w:rsidRDefault="00D45F35" w:rsidP="00D45F35">
            <w:pPr>
              <w:rPr>
                <w:lang w:eastAsia="de-DE"/>
              </w:rPr>
            </w:pPr>
            <w:r w:rsidRPr="00D45F35">
              <w:rPr>
                <w:lang w:eastAsia="de-DE"/>
              </w:rPr>
              <w:t xml:space="preserve">               100,000 </w:t>
            </w:r>
          </w:p>
        </w:tc>
      </w:tr>
      <w:tr w:rsidR="00D45F35" w:rsidRPr="00D45F35" w14:paraId="251EFCBF" w14:textId="77777777" w:rsidTr="00D45F35">
        <w:trPr>
          <w:divId w:val="268591603"/>
          <w:trHeight w:val="370"/>
        </w:trPr>
        <w:tc>
          <w:tcPr>
            <w:tcW w:w="1360" w:type="dxa"/>
            <w:shd w:val="clear" w:color="auto" w:fill="FFFFFF" w:themeFill="background1"/>
            <w:noWrap/>
            <w:hideMark/>
          </w:tcPr>
          <w:p w14:paraId="126B246C"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33611030"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2DB6C9D2"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58694299" w14:textId="77777777" w:rsidR="00D45F35" w:rsidRPr="00D45F35" w:rsidRDefault="00D45F35" w:rsidP="00D45F35">
            <w:pPr>
              <w:rPr>
                <w:lang w:eastAsia="de-DE"/>
              </w:rPr>
            </w:pPr>
            <w:r w:rsidRPr="00D45F35">
              <w:rPr>
                <w:lang w:eastAsia="de-DE"/>
              </w:rPr>
              <w:t>Cameroon</w:t>
            </w:r>
          </w:p>
        </w:tc>
        <w:tc>
          <w:tcPr>
            <w:tcW w:w="1984" w:type="dxa"/>
            <w:shd w:val="clear" w:color="auto" w:fill="FFFFFF" w:themeFill="background1"/>
            <w:noWrap/>
            <w:hideMark/>
          </w:tcPr>
          <w:p w14:paraId="592CC218" w14:textId="77777777" w:rsidR="00D45F35" w:rsidRPr="00D45F35" w:rsidRDefault="00D45F35" w:rsidP="00D45F35">
            <w:pPr>
              <w:rPr>
                <w:lang w:eastAsia="de-DE"/>
              </w:rPr>
            </w:pPr>
            <w:r w:rsidRPr="00D45F35">
              <w:rPr>
                <w:lang w:eastAsia="de-DE"/>
              </w:rPr>
              <w:t xml:space="preserve">               250,000 </w:t>
            </w:r>
          </w:p>
        </w:tc>
      </w:tr>
      <w:tr w:rsidR="00D45F35" w:rsidRPr="00D45F35" w14:paraId="1FD97393" w14:textId="77777777" w:rsidTr="00D45F35">
        <w:trPr>
          <w:divId w:val="268591603"/>
          <w:trHeight w:val="375"/>
        </w:trPr>
        <w:tc>
          <w:tcPr>
            <w:tcW w:w="1360" w:type="dxa"/>
            <w:shd w:val="clear" w:color="auto" w:fill="FFFFFF" w:themeFill="background1"/>
            <w:noWrap/>
            <w:hideMark/>
          </w:tcPr>
          <w:p w14:paraId="30D2DFB0" w14:textId="77777777" w:rsidR="00D45F35" w:rsidRPr="00D45F35" w:rsidRDefault="00D45F35" w:rsidP="00D45F35">
            <w:pPr>
              <w:rPr>
                <w:lang w:eastAsia="de-DE"/>
              </w:rPr>
            </w:pPr>
            <w:r w:rsidRPr="00D45F35">
              <w:rPr>
                <w:lang w:eastAsia="de-DE"/>
              </w:rPr>
              <w:t>LAC</w:t>
            </w:r>
          </w:p>
        </w:tc>
        <w:tc>
          <w:tcPr>
            <w:tcW w:w="1360" w:type="dxa"/>
            <w:shd w:val="clear" w:color="auto" w:fill="FFFFFF" w:themeFill="background1"/>
            <w:noWrap/>
            <w:hideMark/>
          </w:tcPr>
          <w:p w14:paraId="24DC3489"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2ED83E31"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38D6B026" w14:textId="77777777" w:rsidR="00D45F35" w:rsidRPr="00D45F35" w:rsidRDefault="00D45F35" w:rsidP="00D45F35">
            <w:pPr>
              <w:rPr>
                <w:lang w:eastAsia="de-DE"/>
              </w:rPr>
            </w:pPr>
            <w:r w:rsidRPr="00D45F35">
              <w:rPr>
                <w:lang w:eastAsia="de-DE"/>
              </w:rPr>
              <w:t>Haiti</w:t>
            </w:r>
          </w:p>
        </w:tc>
        <w:tc>
          <w:tcPr>
            <w:tcW w:w="1984" w:type="dxa"/>
            <w:shd w:val="clear" w:color="auto" w:fill="FFFFFF" w:themeFill="background1"/>
            <w:noWrap/>
            <w:hideMark/>
          </w:tcPr>
          <w:p w14:paraId="1F306D2F" w14:textId="77777777" w:rsidR="00D45F35" w:rsidRPr="00D45F35" w:rsidRDefault="00D45F35" w:rsidP="00D45F35">
            <w:pPr>
              <w:rPr>
                <w:lang w:eastAsia="de-DE"/>
              </w:rPr>
            </w:pPr>
            <w:r w:rsidRPr="00D45F35">
              <w:rPr>
                <w:lang w:eastAsia="de-DE"/>
              </w:rPr>
              <w:t xml:space="preserve">               190,000 </w:t>
            </w:r>
          </w:p>
        </w:tc>
      </w:tr>
      <w:tr w:rsidR="00D45F35" w:rsidRPr="00D45F35" w14:paraId="795398DF" w14:textId="77777777" w:rsidTr="00D45F35">
        <w:trPr>
          <w:divId w:val="268591603"/>
          <w:trHeight w:val="375"/>
        </w:trPr>
        <w:tc>
          <w:tcPr>
            <w:tcW w:w="1360" w:type="dxa"/>
            <w:shd w:val="clear" w:color="auto" w:fill="FFFFFF" w:themeFill="background1"/>
            <w:noWrap/>
            <w:hideMark/>
          </w:tcPr>
          <w:p w14:paraId="74339D86" w14:textId="77777777" w:rsidR="00D45F35" w:rsidRPr="00D45F35" w:rsidRDefault="00D45F35" w:rsidP="00D45F35">
            <w:pPr>
              <w:rPr>
                <w:lang w:eastAsia="de-DE"/>
              </w:rPr>
            </w:pPr>
            <w:r w:rsidRPr="00D45F35">
              <w:rPr>
                <w:lang w:eastAsia="de-DE"/>
              </w:rPr>
              <w:t>LAC</w:t>
            </w:r>
          </w:p>
        </w:tc>
        <w:tc>
          <w:tcPr>
            <w:tcW w:w="1360" w:type="dxa"/>
            <w:shd w:val="clear" w:color="auto" w:fill="FFFFFF" w:themeFill="background1"/>
            <w:noWrap/>
            <w:hideMark/>
          </w:tcPr>
          <w:p w14:paraId="7B2F16B0" w14:textId="77777777" w:rsidR="00D45F35" w:rsidRPr="00D45F35" w:rsidRDefault="00D45F35" w:rsidP="00D45F35">
            <w:pPr>
              <w:rPr>
                <w:rFonts w:ascii="Arial" w:hAnsi="Arial" w:cs="Arial"/>
                <w:b/>
                <w:bCs/>
                <w:sz w:val="22"/>
                <w:szCs w:val="22"/>
              </w:rPr>
            </w:pPr>
            <w:r w:rsidRPr="00D45F35">
              <w:rPr>
                <w:lang w:eastAsia="de-DE"/>
              </w:rPr>
              <w:t> </w:t>
            </w:r>
          </w:p>
        </w:tc>
        <w:tc>
          <w:tcPr>
            <w:tcW w:w="2237" w:type="dxa"/>
            <w:shd w:val="clear" w:color="auto" w:fill="FFFFFF" w:themeFill="background1"/>
            <w:noWrap/>
            <w:hideMark/>
          </w:tcPr>
          <w:p w14:paraId="58864543"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321C07C3" w14:textId="77777777" w:rsidR="00D45F35" w:rsidRPr="00D45F35" w:rsidRDefault="00D45F35" w:rsidP="00D45F35">
            <w:pPr>
              <w:rPr>
                <w:highlight w:val="yellow"/>
                <w:lang w:eastAsia="de-DE"/>
              </w:rPr>
            </w:pPr>
            <w:r w:rsidRPr="00D45F35">
              <w:rPr>
                <w:lang w:eastAsia="de-DE"/>
              </w:rPr>
              <w:t>Honduras</w:t>
            </w:r>
          </w:p>
        </w:tc>
        <w:tc>
          <w:tcPr>
            <w:tcW w:w="1984" w:type="dxa"/>
            <w:shd w:val="clear" w:color="auto" w:fill="FFFFFF" w:themeFill="background1"/>
            <w:noWrap/>
            <w:hideMark/>
          </w:tcPr>
          <w:p w14:paraId="7862974F" w14:textId="77777777" w:rsidR="00D45F35" w:rsidRPr="00D45F35" w:rsidRDefault="00D45F35" w:rsidP="00D45F35">
            <w:pPr>
              <w:rPr>
                <w:lang w:eastAsia="de-DE"/>
              </w:rPr>
            </w:pPr>
            <w:r w:rsidRPr="00D45F35">
              <w:rPr>
                <w:lang w:eastAsia="de-DE"/>
              </w:rPr>
              <w:t xml:space="preserve">               250,000 </w:t>
            </w:r>
          </w:p>
        </w:tc>
      </w:tr>
      <w:tr w:rsidR="00D45F35" w:rsidRPr="00D45F35" w14:paraId="40827EA4" w14:textId="77777777" w:rsidTr="00D45F35">
        <w:trPr>
          <w:divId w:val="268591603"/>
          <w:trHeight w:val="375"/>
        </w:trPr>
        <w:tc>
          <w:tcPr>
            <w:tcW w:w="1360" w:type="dxa"/>
            <w:shd w:val="clear" w:color="auto" w:fill="FFFFFF" w:themeFill="background1"/>
            <w:noWrap/>
            <w:hideMark/>
          </w:tcPr>
          <w:p w14:paraId="171CA7DD"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41607EB6"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2DE9D327"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7E563A22" w14:textId="77777777" w:rsidR="00D45F35" w:rsidRPr="00D45F35" w:rsidRDefault="00D45F35" w:rsidP="00D45F35">
            <w:pPr>
              <w:rPr>
                <w:lang w:eastAsia="de-DE"/>
              </w:rPr>
            </w:pPr>
            <w:r w:rsidRPr="00D45F35">
              <w:rPr>
                <w:highlight w:val="yellow"/>
                <w:lang w:eastAsia="de-DE"/>
              </w:rPr>
              <w:t>Kosovo</w:t>
            </w:r>
          </w:p>
        </w:tc>
        <w:tc>
          <w:tcPr>
            <w:tcW w:w="1984" w:type="dxa"/>
            <w:shd w:val="clear" w:color="auto" w:fill="FFFFFF" w:themeFill="background1"/>
            <w:noWrap/>
            <w:hideMark/>
          </w:tcPr>
          <w:p w14:paraId="4D0128AE" w14:textId="77777777" w:rsidR="00D45F35" w:rsidRPr="00D45F35" w:rsidRDefault="00D45F35" w:rsidP="00D45F35">
            <w:pPr>
              <w:rPr>
                <w:lang w:eastAsia="de-DE"/>
              </w:rPr>
            </w:pPr>
            <w:r w:rsidRPr="00D45F35">
              <w:rPr>
                <w:lang w:eastAsia="de-DE"/>
              </w:rPr>
              <w:t xml:space="preserve">               150,000 </w:t>
            </w:r>
          </w:p>
        </w:tc>
      </w:tr>
      <w:tr w:rsidR="00D45F35" w:rsidRPr="00D45F35" w14:paraId="2DCC1A70" w14:textId="77777777" w:rsidTr="00D45F35">
        <w:trPr>
          <w:divId w:val="268591603"/>
          <w:trHeight w:val="370"/>
        </w:trPr>
        <w:tc>
          <w:tcPr>
            <w:tcW w:w="1360" w:type="dxa"/>
            <w:shd w:val="clear" w:color="auto" w:fill="FFFFFF" w:themeFill="background1"/>
            <w:noWrap/>
            <w:hideMark/>
          </w:tcPr>
          <w:p w14:paraId="694134D7" w14:textId="77777777" w:rsidR="00D45F35" w:rsidRPr="00D45F35" w:rsidRDefault="00D45F35" w:rsidP="00D45F35">
            <w:pPr>
              <w:rPr>
                <w:lang w:eastAsia="de-DE"/>
              </w:rPr>
            </w:pPr>
            <w:r w:rsidRPr="00D45F35">
              <w:rPr>
                <w:lang w:eastAsia="de-DE"/>
              </w:rPr>
              <w:t>Africa</w:t>
            </w:r>
          </w:p>
        </w:tc>
        <w:tc>
          <w:tcPr>
            <w:tcW w:w="1360" w:type="dxa"/>
            <w:shd w:val="clear" w:color="auto" w:fill="FFFFFF" w:themeFill="background1"/>
            <w:noWrap/>
            <w:hideMark/>
          </w:tcPr>
          <w:p w14:paraId="0594FF17" w14:textId="77777777" w:rsidR="00D45F35" w:rsidRPr="00D45F35" w:rsidRDefault="00D45F35" w:rsidP="00D45F35">
            <w:pPr>
              <w:rPr>
                <w:lang w:eastAsia="de-DE"/>
              </w:rPr>
            </w:pPr>
            <w:r w:rsidRPr="00D45F35">
              <w:rPr>
                <w:lang w:eastAsia="de-DE"/>
              </w:rPr>
              <w:t>GFP</w:t>
            </w:r>
          </w:p>
        </w:tc>
        <w:tc>
          <w:tcPr>
            <w:tcW w:w="2237" w:type="dxa"/>
            <w:shd w:val="clear" w:color="auto" w:fill="FFFFFF" w:themeFill="background1"/>
            <w:noWrap/>
            <w:hideMark/>
          </w:tcPr>
          <w:p w14:paraId="400AC6CF"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7879C88A" w14:textId="77777777" w:rsidR="00D45F35" w:rsidRPr="00D45F35" w:rsidRDefault="00D45F35" w:rsidP="00D45F35">
            <w:pPr>
              <w:rPr>
                <w:lang w:eastAsia="de-DE"/>
              </w:rPr>
            </w:pPr>
            <w:r w:rsidRPr="00D45F35">
              <w:rPr>
                <w:lang w:eastAsia="de-DE"/>
              </w:rPr>
              <w:t>Mali</w:t>
            </w:r>
          </w:p>
        </w:tc>
        <w:tc>
          <w:tcPr>
            <w:tcW w:w="1984" w:type="dxa"/>
            <w:shd w:val="clear" w:color="auto" w:fill="FFFFFF" w:themeFill="background1"/>
            <w:noWrap/>
            <w:hideMark/>
          </w:tcPr>
          <w:p w14:paraId="730F5210" w14:textId="77777777" w:rsidR="00D45F35" w:rsidRPr="00D45F35" w:rsidRDefault="00D45F35" w:rsidP="00D45F35">
            <w:pPr>
              <w:rPr>
                <w:lang w:eastAsia="de-DE"/>
              </w:rPr>
            </w:pPr>
            <w:r w:rsidRPr="00D45F35">
              <w:rPr>
                <w:lang w:eastAsia="de-DE"/>
              </w:rPr>
              <w:t xml:space="preserve">               300,000 </w:t>
            </w:r>
          </w:p>
        </w:tc>
      </w:tr>
      <w:tr w:rsidR="00D45F35" w:rsidRPr="00D45F35" w14:paraId="7EE90F0E" w14:textId="77777777" w:rsidTr="00D45F35">
        <w:trPr>
          <w:divId w:val="268591603"/>
          <w:trHeight w:val="370"/>
        </w:trPr>
        <w:tc>
          <w:tcPr>
            <w:tcW w:w="1360" w:type="dxa"/>
            <w:shd w:val="clear" w:color="auto" w:fill="FFFFFF" w:themeFill="background1"/>
            <w:noWrap/>
            <w:hideMark/>
          </w:tcPr>
          <w:p w14:paraId="0A1F0073" w14:textId="77777777" w:rsidR="00D45F35" w:rsidRPr="00D45F35" w:rsidRDefault="00D45F35" w:rsidP="00D45F35">
            <w:pPr>
              <w:rPr>
                <w:rFonts w:cs="Arial"/>
              </w:rPr>
            </w:pPr>
            <w:r w:rsidRPr="00D45F35">
              <w:rPr>
                <w:lang w:eastAsia="de-DE"/>
              </w:rPr>
              <w:t xml:space="preserve">Asia </w:t>
            </w:r>
            <w:r w:rsidRPr="00D45F35">
              <w:rPr>
                <w:rFonts w:cs="Arial"/>
              </w:rPr>
              <w:t>Pacific</w:t>
            </w:r>
          </w:p>
        </w:tc>
        <w:tc>
          <w:tcPr>
            <w:tcW w:w="1360" w:type="dxa"/>
            <w:shd w:val="clear" w:color="auto" w:fill="FFFFFF" w:themeFill="background1"/>
            <w:noWrap/>
            <w:hideMark/>
          </w:tcPr>
          <w:p w14:paraId="6260F35F"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3C657B2C"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1C3323E6" w14:textId="77777777" w:rsidR="00D45F35" w:rsidRPr="00D45F35" w:rsidRDefault="00D45F35" w:rsidP="00D45F35">
            <w:pPr>
              <w:rPr>
                <w:lang w:eastAsia="de-DE"/>
              </w:rPr>
            </w:pPr>
            <w:r w:rsidRPr="00D45F35">
              <w:rPr>
                <w:lang w:eastAsia="de-DE"/>
              </w:rPr>
              <w:t>Pakistan</w:t>
            </w:r>
          </w:p>
        </w:tc>
        <w:tc>
          <w:tcPr>
            <w:tcW w:w="1984" w:type="dxa"/>
            <w:shd w:val="clear" w:color="auto" w:fill="FFFFFF" w:themeFill="background1"/>
            <w:noWrap/>
            <w:hideMark/>
          </w:tcPr>
          <w:p w14:paraId="70F4EB05" w14:textId="77777777" w:rsidR="00D45F35" w:rsidRPr="00D45F35" w:rsidRDefault="00D45F35" w:rsidP="00D45F35">
            <w:pPr>
              <w:rPr>
                <w:lang w:eastAsia="de-DE"/>
              </w:rPr>
            </w:pPr>
            <w:r w:rsidRPr="00D45F35">
              <w:rPr>
                <w:lang w:eastAsia="de-DE"/>
              </w:rPr>
              <w:t xml:space="preserve">               300,000 </w:t>
            </w:r>
          </w:p>
        </w:tc>
      </w:tr>
      <w:tr w:rsidR="00D45F35" w:rsidRPr="00D45F35" w14:paraId="428D9C04" w14:textId="77777777" w:rsidTr="00D45F35">
        <w:trPr>
          <w:divId w:val="268591603"/>
          <w:trHeight w:val="370"/>
        </w:trPr>
        <w:tc>
          <w:tcPr>
            <w:tcW w:w="1360" w:type="dxa"/>
            <w:shd w:val="clear" w:color="auto" w:fill="FFFFFF" w:themeFill="background1"/>
            <w:noWrap/>
            <w:hideMark/>
          </w:tcPr>
          <w:p w14:paraId="4DF3902F"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13EF3DE8"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C26B729"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544D7D7B" w14:textId="77777777" w:rsidR="00D45F35" w:rsidRPr="00D45F35" w:rsidRDefault="00D45F35" w:rsidP="00D45F35">
            <w:pPr>
              <w:rPr>
                <w:lang w:eastAsia="de-DE"/>
              </w:rPr>
            </w:pPr>
            <w:r w:rsidRPr="00D45F35">
              <w:rPr>
                <w:highlight w:val="yellow"/>
                <w:lang w:eastAsia="de-DE"/>
              </w:rPr>
              <w:t>Palestine</w:t>
            </w:r>
          </w:p>
        </w:tc>
        <w:tc>
          <w:tcPr>
            <w:tcW w:w="1984" w:type="dxa"/>
            <w:shd w:val="clear" w:color="auto" w:fill="FFFFFF" w:themeFill="background1"/>
            <w:noWrap/>
            <w:hideMark/>
          </w:tcPr>
          <w:p w14:paraId="3BD3AC81" w14:textId="77777777" w:rsidR="00D45F35" w:rsidRPr="00D45F35" w:rsidRDefault="00D45F35" w:rsidP="00D45F35">
            <w:pPr>
              <w:rPr>
                <w:lang w:eastAsia="de-DE"/>
              </w:rPr>
            </w:pPr>
            <w:r w:rsidRPr="00D45F35">
              <w:rPr>
                <w:lang w:eastAsia="de-DE"/>
              </w:rPr>
              <w:t xml:space="preserve">               350,000 </w:t>
            </w:r>
          </w:p>
        </w:tc>
      </w:tr>
      <w:tr w:rsidR="00D45F35" w:rsidRPr="00D45F35" w14:paraId="29FEB57F" w14:textId="77777777" w:rsidTr="00D45F35">
        <w:trPr>
          <w:divId w:val="268591603"/>
          <w:trHeight w:val="370"/>
        </w:trPr>
        <w:tc>
          <w:tcPr>
            <w:tcW w:w="1360" w:type="dxa"/>
            <w:shd w:val="clear" w:color="auto" w:fill="FFFFFF" w:themeFill="background1"/>
            <w:noWrap/>
            <w:hideMark/>
          </w:tcPr>
          <w:p w14:paraId="4DA72669" w14:textId="77777777" w:rsidR="00D45F35" w:rsidRPr="00D45F35" w:rsidRDefault="00D45F35" w:rsidP="00D45F35">
            <w:pPr>
              <w:rPr>
                <w:rFonts w:cs="Arial"/>
              </w:rPr>
            </w:pPr>
            <w:r w:rsidRPr="00D45F35">
              <w:rPr>
                <w:lang w:eastAsia="de-DE"/>
              </w:rPr>
              <w:t xml:space="preserve">Asia </w:t>
            </w:r>
            <w:r w:rsidRPr="00D45F35">
              <w:rPr>
                <w:rFonts w:cs="Arial"/>
              </w:rPr>
              <w:t>Pacific</w:t>
            </w:r>
          </w:p>
        </w:tc>
        <w:tc>
          <w:tcPr>
            <w:tcW w:w="1360" w:type="dxa"/>
            <w:shd w:val="clear" w:color="auto" w:fill="FFFFFF" w:themeFill="background1"/>
            <w:noWrap/>
            <w:hideMark/>
          </w:tcPr>
          <w:p w14:paraId="207965A2" w14:textId="77777777" w:rsidR="00D45F35" w:rsidRPr="00D45F35" w:rsidRDefault="00D45F35" w:rsidP="00D45F35">
            <w:pPr>
              <w:rPr>
                <w:rFonts w:ascii="Arial" w:hAnsi="Arial" w:cs="Arial"/>
                <w:b/>
                <w:bCs/>
                <w:sz w:val="22"/>
                <w:szCs w:val="22"/>
              </w:rPr>
            </w:pPr>
            <w:r w:rsidRPr="00D45F35">
              <w:rPr>
                <w:lang w:eastAsia="de-DE"/>
              </w:rPr>
              <w:t> </w:t>
            </w:r>
          </w:p>
        </w:tc>
        <w:tc>
          <w:tcPr>
            <w:tcW w:w="2237" w:type="dxa"/>
            <w:shd w:val="clear" w:color="auto" w:fill="FFFFFF" w:themeFill="background1"/>
            <w:noWrap/>
            <w:hideMark/>
          </w:tcPr>
          <w:p w14:paraId="6C3CC95F"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73063353" w14:textId="77777777" w:rsidR="00D45F35" w:rsidRPr="00D45F35" w:rsidRDefault="00D45F35" w:rsidP="00D45F35">
            <w:pPr>
              <w:rPr>
                <w:lang w:eastAsia="de-DE"/>
              </w:rPr>
            </w:pPr>
            <w:r w:rsidRPr="00D45F35">
              <w:rPr>
                <w:lang w:eastAsia="de-DE"/>
              </w:rPr>
              <w:t>Timor-Leste</w:t>
            </w:r>
          </w:p>
        </w:tc>
        <w:tc>
          <w:tcPr>
            <w:tcW w:w="1984" w:type="dxa"/>
            <w:shd w:val="clear" w:color="auto" w:fill="FFFFFF" w:themeFill="background1"/>
            <w:noWrap/>
            <w:hideMark/>
          </w:tcPr>
          <w:p w14:paraId="4FEBF40F" w14:textId="77777777" w:rsidR="00D45F35" w:rsidRPr="00D45F35" w:rsidRDefault="00D45F35" w:rsidP="00D45F35">
            <w:pPr>
              <w:rPr>
                <w:lang w:eastAsia="de-DE"/>
              </w:rPr>
            </w:pPr>
            <w:r w:rsidRPr="00D45F35">
              <w:rPr>
                <w:lang w:eastAsia="de-DE"/>
              </w:rPr>
              <w:t xml:space="preserve">               100,000 </w:t>
            </w:r>
          </w:p>
        </w:tc>
      </w:tr>
      <w:tr w:rsidR="00D45F35" w:rsidRPr="00D45F35" w14:paraId="0E839490" w14:textId="77777777" w:rsidTr="00D45F35">
        <w:trPr>
          <w:divId w:val="268591603"/>
          <w:trHeight w:val="370"/>
        </w:trPr>
        <w:tc>
          <w:tcPr>
            <w:tcW w:w="1360" w:type="dxa"/>
            <w:shd w:val="clear" w:color="auto" w:fill="FFFFFF" w:themeFill="background1"/>
            <w:noWrap/>
            <w:hideMark/>
          </w:tcPr>
          <w:p w14:paraId="2B859F02" w14:textId="77777777" w:rsidR="00D45F35" w:rsidRPr="00D45F35" w:rsidRDefault="00D45F35" w:rsidP="00D45F35">
            <w:pPr>
              <w:rPr>
                <w:rFonts w:cs="Arial"/>
              </w:rPr>
            </w:pPr>
            <w:r w:rsidRPr="00D45F35">
              <w:rPr>
                <w:lang w:eastAsia="de-DE"/>
              </w:rPr>
              <w:t xml:space="preserve">Arab </w:t>
            </w:r>
            <w:r w:rsidRPr="00D45F35">
              <w:rPr>
                <w:rFonts w:cs="Arial"/>
              </w:rPr>
              <w:t>States</w:t>
            </w:r>
          </w:p>
        </w:tc>
        <w:tc>
          <w:tcPr>
            <w:tcW w:w="1360" w:type="dxa"/>
            <w:shd w:val="clear" w:color="auto" w:fill="FFFFFF" w:themeFill="background1"/>
            <w:noWrap/>
            <w:hideMark/>
          </w:tcPr>
          <w:p w14:paraId="4031C959"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10628F5"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745E1FBC" w14:textId="77777777" w:rsidR="00D45F35" w:rsidRPr="00D45F35" w:rsidRDefault="00D45F35" w:rsidP="00D45F35">
            <w:pPr>
              <w:rPr>
                <w:lang w:eastAsia="de-DE"/>
              </w:rPr>
            </w:pPr>
            <w:r w:rsidRPr="00D45F35">
              <w:rPr>
                <w:highlight w:val="yellow"/>
                <w:lang w:eastAsia="de-DE"/>
              </w:rPr>
              <w:t>Tunisia</w:t>
            </w:r>
          </w:p>
        </w:tc>
        <w:tc>
          <w:tcPr>
            <w:tcW w:w="1984" w:type="dxa"/>
            <w:shd w:val="clear" w:color="auto" w:fill="FFFFFF" w:themeFill="background1"/>
            <w:noWrap/>
            <w:hideMark/>
          </w:tcPr>
          <w:p w14:paraId="59F45C3E" w14:textId="77777777" w:rsidR="00D45F35" w:rsidRPr="00D45F35" w:rsidRDefault="00D45F35" w:rsidP="00D45F35">
            <w:pPr>
              <w:rPr>
                <w:lang w:eastAsia="de-DE"/>
              </w:rPr>
            </w:pPr>
            <w:r w:rsidRPr="00D45F35">
              <w:rPr>
                <w:lang w:eastAsia="de-DE"/>
              </w:rPr>
              <w:t xml:space="preserve">               250,000 </w:t>
            </w:r>
          </w:p>
        </w:tc>
      </w:tr>
      <w:tr w:rsidR="00D45F35" w:rsidRPr="00D45F35" w14:paraId="08453247" w14:textId="77777777" w:rsidTr="00D45F35">
        <w:trPr>
          <w:divId w:val="268591603"/>
          <w:trHeight w:val="370"/>
        </w:trPr>
        <w:tc>
          <w:tcPr>
            <w:tcW w:w="1360" w:type="dxa"/>
            <w:shd w:val="clear" w:color="auto" w:fill="FFFFFF" w:themeFill="background1"/>
            <w:noWrap/>
            <w:hideMark/>
          </w:tcPr>
          <w:p w14:paraId="68E70A36" w14:textId="77777777" w:rsidR="00D45F35" w:rsidRPr="00D45F35" w:rsidRDefault="00D45F35" w:rsidP="00D45F35">
            <w:pPr>
              <w:rPr>
                <w:lang w:eastAsia="de-DE"/>
              </w:rPr>
            </w:pPr>
            <w:r w:rsidRPr="00D45F35">
              <w:rPr>
                <w:lang w:eastAsia="de-DE"/>
              </w:rPr>
              <w:t>ECIS</w:t>
            </w:r>
          </w:p>
        </w:tc>
        <w:tc>
          <w:tcPr>
            <w:tcW w:w="1360" w:type="dxa"/>
            <w:shd w:val="clear" w:color="auto" w:fill="FFFFFF" w:themeFill="background1"/>
            <w:noWrap/>
            <w:hideMark/>
          </w:tcPr>
          <w:p w14:paraId="027FB8C6"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78E040C5" w14:textId="77777777" w:rsidR="00D45F35" w:rsidRPr="00D45F35" w:rsidRDefault="00D45F35" w:rsidP="00D45F35">
            <w:pPr>
              <w:rPr>
                <w:lang w:eastAsia="de-DE"/>
              </w:rPr>
            </w:pPr>
            <w:r w:rsidRPr="00D45F35">
              <w:rPr>
                <w:lang w:eastAsia="de-DE"/>
              </w:rPr>
              <w:t xml:space="preserve">Round 2, 2019 </w:t>
            </w:r>
          </w:p>
        </w:tc>
        <w:tc>
          <w:tcPr>
            <w:tcW w:w="2835" w:type="dxa"/>
            <w:shd w:val="clear" w:color="auto" w:fill="FFFFFF" w:themeFill="background1"/>
            <w:noWrap/>
            <w:hideMark/>
          </w:tcPr>
          <w:p w14:paraId="4E21B24A" w14:textId="77777777" w:rsidR="00D45F35" w:rsidRPr="00D45F35" w:rsidRDefault="00D45F35" w:rsidP="00D45F35">
            <w:pPr>
              <w:rPr>
                <w:lang w:eastAsia="de-DE"/>
              </w:rPr>
            </w:pPr>
            <w:r w:rsidRPr="00D45F35">
              <w:rPr>
                <w:highlight w:val="yellow"/>
                <w:lang w:eastAsia="de-DE"/>
              </w:rPr>
              <w:t>Ukraine</w:t>
            </w:r>
          </w:p>
        </w:tc>
        <w:tc>
          <w:tcPr>
            <w:tcW w:w="1984" w:type="dxa"/>
            <w:shd w:val="clear" w:color="auto" w:fill="FFFFFF" w:themeFill="background1"/>
            <w:noWrap/>
            <w:hideMark/>
          </w:tcPr>
          <w:p w14:paraId="7DC1A0DD" w14:textId="77777777" w:rsidR="00D45F35" w:rsidRPr="00D45F35" w:rsidRDefault="00D45F35" w:rsidP="00D45F35">
            <w:pPr>
              <w:rPr>
                <w:lang w:eastAsia="de-DE"/>
              </w:rPr>
            </w:pPr>
            <w:r w:rsidRPr="00D45F35">
              <w:rPr>
                <w:lang w:eastAsia="de-DE"/>
              </w:rPr>
              <w:t xml:space="preserve">               100,000 </w:t>
            </w:r>
          </w:p>
        </w:tc>
      </w:tr>
      <w:tr w:rsidR="00D45F35" w:rsidRPr="00D45F35" w14:paraId="72165946" w14:textId="77777777" w:rsidTr="00D45F35">
        <w:trPr>
          <w:divId w:val="268591603"/>
          <w:trHeight w:val="370"/>
        </w:trPr>
        <w:tc>
          <w:tcPr>
            <w:tcW w:w="1360" w:type="dxa"/>
            <w:shd w:val="clear" w:color="auto" w:fill="FFFFFF" w:themeFill="background1"/>
            <w:noWrap/>
            <w:hideMark/>
          </w:tcPr>
          <w:p w14:paraId="61A68829" w14:textId="77777777" w:rsidR="00D45F35" w:rsidRPr="00D45F35" w:rsidRDefault="00D45F35" w:rsidP="00D45F35">
            <w:pPr>
              <w:rPr>
                <w:lang w:eastAsia="de-DE"/>
              </w:rPr>
            </w:pPr>
            <w:r w:rsidRPr="00D45F35">
              <w:rPr>
                <w:lang w:eastAsia="de-DE"/>
              </w:rPr>
              <w:t> </w:t>
            </w:r>
          </w:p>
        </w:tc>
        <w:tc>
          <w:tcPr>
            <w:tcW w:w="1360" w:type="dxa"/>
            <w:shd w:val="clear" w:color="auto" w:fill="FFFFFF" w:themeFill="background1"/>
            <w:noWrap/>
            <w:hideMark/>
          </w:tcPr>
          <w:p w14:paraId="4CC279D7" w14:textId="77777777" w:rsidR="00D45F35" w:rsidRPr="00D45F35" w:rsidRDefault="00D45F35" w:rsidP="00D45F35">
            <w:pPr>
              <w:rPr>
                <w:lang w:eastAsia="de-DE"/>
              </w:rPr>
            </w:pPr>
            <w:r w:rsidRPr="00D45F35">
              <w:rPr>
                <w:lang w:eastAsia="de-DE"/>
              </w:rPr>
              <w:t> </w:t>
            </w:r>
          </w:p>
        </w:tc>
        <w:tc>
          <w:tcPr>
            <w:tcW w:w="2237" w:type="dxa"/>
            <w:shd w:val="clear" w:color="auto" w:fill="FFFFFF" w:themeFill="background1"/>
            <w:noWrap/>
            <w:hideMark/>
          </w:tcPr>
          <w:p w14:paraId="5BC90AFD" w14:textId="77777777" w:rsidR="00D45F35" w:rsidRPr="00D45F35" w:rsidRDefault="00D45F35" w:rsidP="00D45F35">
            <w:pPr>
              <w:rPr>
                <w:lang w:eastAsia="de-DE"/>
              </w:rPr>
            </w:pPr>
            <w:r w:rsidRPr="00D45F35">
              <w:rPr>
                <w:lang w:eastAsia="de-DE"/>
              </w:rPr>
              <w:t>TOTAL</w:t>
            </w:r>
          </w:p>
        </w:tc>
        <w:tc>
          <w:tcPr>
            <w:tcW w:w="2835" w:type="dxa"/>
            <w:shd w:val="clear" w:color="auto" w:fill="FFFFFF" w:themeFill="background1"/>
            <w:noWrap/>
            <w:hideMark/>
          </w:tcPr>
          <w:p w14:paraId="4AB77C9A" w14:textId="77777777" w:rsidR="00D45F35" w:rsidRPr="00D45F35" w:rsidRDefault="00D45F35" w:rsidP="00D45F35">
            <w:pPr>
              <w:rPr>
                <w:lang w:eastAsia="de-DE"/>
              </w:rPr>
            </w:pPr>
            <w:r w:rsidRPr="00D45F35">
              <w:rPr>
                <w:lang w:eastAsia="de-DE"/>
              </w:rPr>
              <w:t> </w:t>
            </w:r>
          </w:p>
        </w:tc>
        <w:tc>
          <w:tcPr>
            <w:tcW w:w="1984" w:type="dxa"/>
            <w:shd w:val="clear" w:color="auto" w:fill="FFFFFF" w:themeFill="background1"/>
            <w:noWrap/>
            <w:hideMark/>
          </w:tcPr>
          <w:p w14:paraId="7C3400F9" w14:textId="77777777" w:rsidR="00D45F35" w:rsidRPr="00D45F35" w:rsidRDefault="00D45F35" w:rsidP="00D45F35">
            <w:pPr>
              <w:rPr>
                <w:lang w:eastAsia="de-DE"/>
              </w:rPr>
            </w:pPr>
            <w:r w:rsidRPr="00D45F35">
              <w:rPr>
                <w:lang w:eastAsia="de-DE"/>
              </w:rPr>
              <w:t xml:space="preserve">  18,450,332 </w:t>
            </w:r>
          </w:p>
        </w:tc>
      </w:tr>
    </w:tbl>
    <w:p w14:paraId="4CBD74B7" w14:textId="0A6CA0E8" w:rsidR="00051257" w:rsidRDefault="00BC3FF6" w:rsidP="00051257">
      <w:pPr>
        <w:rPr>
          <w:lang w:eastAsia="de-DE"/>
        </w:rPr>
      </w:pPr>
      <w:r w:rsidRPr="00BC3FF6">
        <w:rPr>
          <w:color w:val="2B579A"/>
          <w:shd w:val="clear" w:color="auto" w:fill="E6E6E6"/>
          <w:lang w:eastAsia="de-DE"/>
        </w:rPr>
        <w:fldChar w:fldCharType="end"/>
      </w:r>
    </w:p>
    <w:p w14:paraId="1ED319D8" w14:textId="23932633" w:rsidR="00051257" w:rsidRDefault="00051257">
      <w:pPr>
        <w:rPr>
          <w:lang w:eastAsia="de-DE"/>
        </w:rPr>
      </w:pPr>
      <w:r>
        <w:rPr>
          <w:lang w:eastAsia="de-DE"/>
        </w:rPr>
        <w:br w:type="page"/>
      </w:r>
    </w:p>
    <w:p w14:paraId="6374F381" w14:textId="63D00AA8" w:rsidR="00051257" w:rsidRPr="00745BE0" w:rsidRDefault="00051257" w:rsidP="00051257">
      <w:pPr>
        <w:pStyle w:val="Heading2"/>
        <w:rPr>
          <w:lang w:val="en-US"/>
        </w:rPr>
      </w:pPr>
      <w:bookmarkStart w:id="51" w:name="_Ref70154546"/>
      <w:bookmarkStart w:id="52" w:name="_Toc71701907"/>
      <w:r>
        <w:rPr>
          <w:lang w:eastAsia="de-DE"/>
        </w:rPr>
        <w:t xml:space="preserve">Annex 7: </w:t>
      </w:r>
      <w:r w:rsidRPr="00745BE0">
        <w:rPr>
          <w:lang w:val="en-US"/>
        </w:rPr>
        <w:t xml:space="preserve">Challenges related </w:t>
      </w:r>
      <w:r>
        <w:rPr>
          <w:lang w:val="en-US"/>
        </w:rPr>
        <w:t xml:space="preserve">to </w:t>
      </w:r>
      <w:r w:rsidRPr="00745BE0">
        <w:rPr>
          <w:lang w:val="en-US"/>
        </w:rPr>
        <w:t>GFP in Somalia (2013-14)</w:t>
      </w:r>
      <w:r w:rsidRPr="00745BE0">
        <w:rPr>
          <w:rStyle w:val="FootnoteReference"/>
          <w:rFonts w:ascii="Arial" w:hAnsi="Arial" w:cs="Arial"/>
          <w:lang w:val="en-US"/>
        </w:rPr>
        <w:footnoteReference w:id="25"/>
      </w:r>
      <w:bookmarkEnd w:id="51"/>
      <w:bookmarkEnd w:id="52"/>
    </w:p>
    <w:p w14:paraId="18AE8763" w14:textId="77777777" w:rsidR="00051257" w:rsidRPr="0068529C" w:rsidRDefault="00051257" w:rsidP="00051257">
      <w:pPr>
        <w:spacing w:after="60"/>
        <w:rPr>
          <w:rFonts w:ascii="Arial" w:hAnsi="Arial" w:cs="Arial"/>
          <w:b/>
          <w:sz w:val="22"/>
          <w:szCs w:val="22"/>
          <w:lang w:val="en-US"/>
        </w:rPr>
      </w:pPr>
      <w:r w:rsidRPr="0068529C">
        <w:rPr>
          <w:rFonts w:ascii="Arial" w:hAnsi="Arial" w:cs="Arial"/>
          <w:b/>
          <w:sz w:val="22"/>
          <w:szCs w:val="22"/>
          <w:lang w:val="en-US"/>
        </w:rPr>
        <w:t>Background</w:t>
      </w:r>
    </w:p>
    <w:p w14:paraId="7A8CAD8A" w14:textId="4172265B" w:rsidR="00051257" w:rsidRPr="0068529C" w:rsidRDefault="00051257" w:rsidP="00051257">
      <w:pPr>
        <w:jc w:val="both"/>
        <w:rPr>
          <w:rFonts w:ascii="Arial" w:hAnsi="Arial" w:cs="Arial"/>
          <w:sz w:val="22"/>
          <w:szCs w:val="22"/>
          <w:lang w:val="en-GB"/>
        </w:rPr>
      </w:pPr>
      <w:r w:rsidRPr="0068529C">
        <w:rPr>
          <w:rFonts w:ascii="Arial" w:hAnsi="Arial" w:cs="Arial"/>
          <w:sz w:val="22"/>
          <w:szCs w:val="22"/>
          <w:lang w:val="en-GB"/>
        </w:rPr>
        <w:t>In light of the Decision of the Secretary-General to establish the UN Global Focal Point for Rule of Law</w:t>
      </w:r>
      <w:r w:rsidRPr="0068529C">
        <w:rPr>
          <w:rStyle w:val="FootnoteReference"/>
          <w:rFonts w:ascii="Arial" w:hAnsi="Arial" w:cs="Arial"/>
          <w:sz w:val="22"/>
          <w:szCs w:val="22"/>
          <w:lang w:val="en-GB"/>
        </w:rPr>
        <w:footnoteReference w:id="26"/>
      </w:r>
      <w:r w:rsidRPr="0068529C">
        <w:rPr>
          <w:rFonts w:ascii="Arial" w:hAnsi="Arial" w:cs="Arial"/>
          <w:sz w:val="22"/>
          <w:szCs w:val="22"/>
          <w:lang w:val="en-GB"/>
        </w:rPr>
        <w:t xml:space="preserve"> and following the recommendation of the Secretary-General </w:t>
      </w:r>
      <w:r w:rsidRPr="0068529C">
        <w:rPr>
          <w:rFonts w:ascii="Arial" w:hAnsi="Arial" w:cs="Arial"/>
          <w:sz w:val="22"/>
          <w:szCs w:val="22"/>
          <w:lang w:val="en-US"/>
        </w:rPr>
        <w:t>for a new UN integrated approach to support peacebuilding and state</w:t>
      </w:r>
      <w:r w:rsidR="00A24EEB">
        <w:rPr>
          <w:rFonts w:ascii="Arial" w:hAnsi="Arial" w:cs="Arial"/>
          <w:sz w:val="22"/>
          <w:szCs w:val="22"/>
          <w:lang w:val="en-US"/>
        </w:rPr>
        <w:t>-</w:t>
      </w:r>
      <w:r w:rsidRPr="0068529C">
        <w:rPr>
          <w:rFonts w:ascii="Arial" w:hAnsi="Arial" w:cs="Arial"/>
          <w:sz w:val="22"/>
          <w:szCs w:val="22"/>
          <w:lang w:val="en-US"/>
        </w:rPr>
        <w:t>building in Somalia</w:t>
      </w:r>
      <w:r w:rsidRPr="0068529C">
        <w:rPr>
          <w:rStyle w:val="FootnoteReference"/>
          <w:rFonts w:ascii="Arial" w:hAnsi="Arial" w:cs="Arial"/>
          <w:sz w:val="22"/>
          <w:szCs w:val="22"/>
        </w:rPr>
        <w:footnoteReference w:id="27"/>
      </w:r>
      <w:r w:rsidRPr="0068529C">
        <w:rPr>
          <w:rFonts w:ascii="Arial" w:hAnsi="Arial" w:cs="Arial"/>
          <w:sz w:val="22"/>
          <w:szCs w:val="22"/>
          <w:lang w:val="en-US"/>
        </w:rPr>
        <w:t>, endorsed by Security Council resolution 2102 (2013)</w:t>
      </w:r>
      <w:r w:rsidRPr="0068529C">
        <w:rPr>
          <w:rStyle w:val="FootnoteReference"/>
          <w:rFonts w:ascii="Arial" w:hAnsi="Arial" w:cs="Arial"/>
          <w:sz w:val="22"/>
          <w:szCs w:val="22"/>
        </w:rPr>
        <w:footnoteReference w:id="28"/>
      </w:r>
      <w:r w:rsidRPr="0068529C">
        <w:rPr>
          <w:rFonts w:ascii="Arial" w:hAnsi="Arial" w:cs="Arial"/>
          <w:sz w:val="22"/>
          <w:szCs w:val="22"/>
          <w:lang w:val="en-GB"/>
        </w:rPr>
        <w:t xml:space="preserve">, the joint UNDP/DPA/DPKO Technical Assessment Mission that deployed to Somalia in 2013 recommended establishment of a joint UN Police Unit and a UN Joint Justice and Corrections Section.  This decision was taken to facilitate joint delivery based on comparative advantages, capitalize on synergies, and provide national stakeholders with a single entry point for UN support to strengthening the respective sectors. </w:t>
      </w:r>
      <w:r w:rsidRPr="0068529C">
        <w:rPr>
          <w:rFonts w:ascii="Arial" w:hAnsi="Arial" w:cs="Arial"/>
          <w:sz w:val="22"/>
          <w:szCs w:val="22"/>
          <w:lang w:val="en-US"/>
        </w:rPr>
        <w:t xml:space="preserve">At present, it comprises UNDP and UNSOM integrated staff and UNODC and UNOPS co-located personnel.  Other UN entities are invited to join and have expressed interest.  This is likely to happen particularly once the UN Joint Rule of Law Programme in Somalia is endorsed and funded through the UN Multi Partner Trust Fund. </w:t>
      </w:r>
    </w:p>
    <w:p w14:paraId="01EA7967" w14:textId="77777777" w:rsidR="00051257" w:rsidRPr="0068529C" w:rsidRDefault="00051257" w:rsidP="00051257">
      <w:pPr>
        <w:spacing w:after="60"/>
        <w:rPr>
          <w:rFonts w:ascii="Arial" w:hAnsi="Arial" w:cs="Arial"/>
          <w:b/>
          <w:sz w:val="22"/>
          <w:szCs w:val="22"/>
          <w:lang w:val="en-US"/>
        </w:rPr>
      </w:pPr>
      <w:r w:rsidRPr="0068529C">
        <w:rPr>
          <w:rFonts w:ascii="Arial" w:hAnsi="Arial" w:cs="Arial"/>
          <w:b/>
          <w:sz w:val="22"/>
          <w:szCs w:val="22"/>
          <w:lang w:val="en-US"/>
        </w:rPr>
        <w:t>Observations</w:t>
      </w:r>
    </w:p>
    <w:p w14:paraId="1B40180C" w14:textId="77777777" w:rsidR="00051257" w:rsidRPr="0068529C" w:rsidRDefault="00051257" w:rsidP="00051257">
      <w:pPr>
        <w:jc w:val="both"/>
        <w:rPr>
          <w:rFonts w:ascii="Arial" w:hAnsi="Arial" w:cs="Arial"/>
          <w:b/>
          <w:sz w:val="22"/>
          <w:szCs w:val="22"/>
          <w:lang w:val="en-US"/>
        </w:rPr>
      </w:pPr>
      <w:r w:rsidRPr="0068529C">
        <w:rPr>
          <w:rFonts w:ascii="Arial" w:hAnsi="Arial" w:cs="Arial"/>
          <w:sz w:val="22"/>
          <w:szCs w:val="22"/>
          <w:lang w:val="en-GB"/>
        </w:rPr>
        <w:t>In establishing the joint sections, many successes have been achieved in the implementation of the GFP arrangement, but a number of challenges also emerged, the most pertinent of which are outlined below.</w:t>
      </w:r>
    </w:p>
    <w:p w14:paraId="04E73D9C" w14:textId="77777777" w:rsidR="00051257" w:rsidRPr="0068529C" w:rsidRDefault="00051257" w:rsidP="00567956">
      <w:pPr>
        <w:pStyle w:val="ListParagraph"/>
        <w:numPr>
          <w:ilvl w:val="0"/>
          <w:numId w:val="32"/>
        </w:numPr>
        <w:spacing w:after="200" w:line="276" w:lineRule="auto"/>
        <w:jc w:val="both"/>
        <w:rPr>
          <w:rFonts w:ascii="Arial" w:hAnsi="Arial" w:cs="Arial"/>
          <w:sz w:val="22"/>
          <w:szCs w:val="22"/>
        </w:rPr>
      </w:pPr>
      <w:r w:rsidRPr="0068529C">
        <w:rPr>
          <w:rFonts w:ascii="Arial" w:hAnsi="Arial" w:cs="Arial"/>
          <w:sz w:val="22"/>
          <w:szCs w:val="22"/>
          <w:lang w:val="en-US"/>
        </w:rPr>
        <w:t>When it was decided to establish two P-5 UNDP positions in the UNSOM budget (Senior Police Advisor and Senior Rule of Law Adviser), the required human resources, financial and IT mechanisms to effectively implement this arrangement were not in place</w:t>
      </w:r>
      <w:r w:rsidRPr="0068529C">
        <w:rPr>
          <w:rStyle w:val="FootnoteReference"/>
          <w:rFonts w:ascii="Arial" w:hAnsi="Arial" w:cs="Arial"/>
          <w:sz w:val="22"/>
          <w:szCs w:val="22"/>
        </w:rPr>
        <w:footnoteReference w:id="29"/>
      </w:r>
      <w:r w:rsidRPr="0068529C">
        <w:rPr>
          <w:rFonts w:ascii="Arial" w:hAnsi="Arial" w:cs="Arial"/>
          <w:sz w:val="22"/>
          <w:szCs w:val="22"/>
          <w:lang w:val="en-US"/>
        </w:rPr>
        <w:t xml:space="preserve"> nor was there sufficient guidance on processes and procedures.  As an interim solution identified in May 2014, the selected candidates are hired on UNDP contract and seconded to UNSOM as part of a reimbursable loan agreement.  </w:t>
      </w:r>
      <w:r w:rsidRPr="0068529C">
        <w:rPr>
          <w:rFonts w:ascii="Arial" w:hAnsi="Arial" w:cs="Arial"/>
          <w:sz w:val="22"/>
          <w:szCs w:val="22"/>
        </w:rPr>
        <w:t>However, a sustainable solution remains outstanding.</w:t>
      </w:r>
    </w:p>
    <w:p w14:paraId="36334B76" w14:textId="77777777" w:rsidR="00051257" w:rsidRPr="0068529C" w:rsidRDefault="00051257" w:rsidP="00567956">
      <w:pPr>
        <w:pStyle w:val="ListParagraph"/>
        <w:numPr>
          <w:ilvl w:val="0"/>
          <w:numId w:val="32"/>
        </w:numPr>
        <w:spacing w:after="200" w:line="276" w:lineRule="auto"/>
        <w:jc w:val="both"/>
        <w:rPr>
          <w:rFonts w:ascii="Arial" w:hAnsi="Arial" w:cs="Arial"/>
          <w:sz w:val="22"/>
          <w:szCs w:val="22"/>
          <w:lang w:val="en-US"/>
        </w:rPr>
      </w:pPr>
      <w:r w:rsidRPr="0068529C">
        <w:rPr>
          <w:rFonts w:ascii="Arial" w:hAnsi="Arial" w:cs="Arial"/>
          <w:sz w:val="22"/>
          <w:szCs w:val="22"/>
          <w:lang w:val="en-US"/>
        </w:rPr>
        <w:t>Currently, UNDP-contracted staff in the joint UN Police Unit in Somalia do not report to the Police Commissioner.  With the recruitment of the P-5 Senior Police Advisor, there will be a reporting line through him.  However, there is no DPKO/DPA guidance on reporting lines in joint units.</w:t>
      </w:r>
    </w:p>
    <w:p w14:paraId="68E2B3C6" w14:textId="77777777" w:rsidR="00051257" w:rsidRPr="0068529C" w:rsidRDefault="00051257" w:rsidP="00567956">
      <w:pPr>
        <w:pStyle w:val="ListParagraph"/>
        <w:numPr>
          <w:ilvl w:val="0"/>
          <w:numId w:val="32"/>
        </w:numPr>
        <w:spacing w:after="200" w:line="276" w:lineRule="auto"/>
        <w:jc w:val="both"/>
        <w:rPr>
          <w:rFonts w:ascii="Arial" w:hAnsi="Arial" w:cs="Arial"/>
          <w:sz w:val="22"/>
          <w:szCs w:val="22"/>
          <w:lang w:val="en-US"/>
        </w:rPr>
      </w:pPr>
      <w:r w:rsidRPr="0068529C">
        <w:rPr>
          <w:rFonts w:ascii="Arial" w:hAnsi="Arial" w:cs="Arial"/>
          <w:sz w:val="22"/>
          <w:szCs w:val="22"/>
          <w:lang w:val="en-US"/>
        </w:rPr>
        <w:t>The administrative and support systems across the Organization are not compatible, and personnel contracted by one UN entity do not have access to the systems of the others, in particular with regard to performance appraisal, recruitment, finances, and issuing contracts.  Whether access to both systems should be permitted, or the roles and responsibilities of the P-5 positions reviewed, should be further considered.</w:t>
      </w:r>
    </w:p>
    <w:p w14:paraId="5C179ED3" w14:textId="77777777" w:rsidR="00051257" w:rsidRPr="0068529C" w:rsidRDefault="00051257" w:rsidP="00567956">
      <w:pPr>
        <w:pStyle w:val="ListParagraph"/>
        <w:numPr>
          <w:ilvl w:val="0"/>
          <w:numId w:val="32"/>
        </w:numPr>
        <w:spacing w:after="200" w:line="276" w:lineRule="auto"/>
        <w:jc w:val="both"/>
        <w:rPr>
          <w:rFonts w:ascii="Arial" w:hAnsi="Arial" w:cs="Arial"/>
          <w:sz w:val="22"/>
          <w:szCs w:val="22"/>
          <w:lang w:val="en-US"/>
        </w:rPr>
      </w:pPr>
      <w:r w:rsidRPr="0068529C">
        <w:rPr>
          <w:rFonts w:ascii="Arial" w:hAnsi="Arial" w:cs="Arial"/>
          <w:sz w:val="22"/>
          <w:szCs w:val="22"/>
          <w:lang w:val="en-US"/>
        </w:rPr>
        <w:t>While UNDP reports to its donors on a quarterly basis within a calendar year, UNSOM reports to the Security Council every 120 days, with the first report due on 25 September 2014, and the results based budgeting framework at the end of the calendar year.  This results in dual reporting obligations for the joint sections, on different schedules.</w:t>
      </w:r>
    </w:p>
    <w:p w14:paraId="1134F413" w14:textId="77777777" w:rsidR="00051257" w:rsidRPr="0068529C" w:rsidRDefault="00051257" w:rsidP="00567956">
      <w:pPr>
        <w:pStyle w:val="ListParagraph"/>
        <w:numPr>
          <w:ilvl w:val="0"/>
          <w:numId w:val="32"/>
        </w:numPr>
        <w:spacing w:after="200" w:line="276" w:lineRule="auto"/>
        <w:jc w:val="both"/>
        <w:rPr>
          <w:rFonts w:ascii="Arial" w:hAnsi="Arial" w:cs="Arial"/>
          <w:sz w:val="22"/>
          <w:szCs w:val="22"/>
          <w:lang w:val="en-US"/>
        </w:rPr>
      </w:pPr>
      <w:r w:rsidRPr="0068529C">
        <w:rPr>
          <w:rFonts w:ascii="Arial" w:hAnsi="Arial" w:cs="Arial"/>
          <w:sz w:val="22"/>
          <w:szCs w:val="22"/>
          <w:lang w:val="en-US"/>
        </w:rPr>
        <w:t xml:space="preserve">The uncertainty about whether, when and which parts of a programme will be financed by donors results in planning challenges in terms of which Mission capacity will be required at what time to implement joint activities, and hence what Mission capacity can be allocated for other tasks.  </w:t>
      </w:r>
    </w:p>
    <w:p w14:paraId="37843433" w14:textId="77777777" w:rsidR="00051257" w:rsidRPr="0068529C" w:rsidRDefault="00051257" w:rsidP="00567956">
      <w:pPr>
        <w:pStyle w:val="ListParagraph"/>
        <w:numPr>
          <w:ilvl w:val="0"/>
          <w:numId w:val="30"/>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Different decision-making processes for UNDP and UNSOM-contracted personnel about working from home and relocation due to security threats created challenges on the joint sections’ work as co-located teams.</w:t>
      </w:r>
    </w:p>
    <w:p w14:paraId="65D36450" w14:textId="77777777" w:rsidR="00051257" w:rsidRPr="0068529C" w:rsidRDefault="00051257" w:rsidP="00567956">
      <w:pPr>
        <w:pStyle w:val="ListParagraph"/>
        <w:numPr>
          <w:ilvl w:val="0"/>
          <w:numId w:val="30"/>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Staff contracted by one UN entity are not allowed to drive vehicles of another.  In light of the general shortage of available vehicles, this results in considerable logistical challenges.</w:t>
      </w:r>
    </w:p>
    <w:p w14:paraId="79BC3E74" w14:textId="77777777" w:rsidR="00051257" w:rsidRPr="0068529C" w:rsidRDefault="00051257" w:rsidP="00567956">
      <w:pPr>
        <w:pStyle w:val="ListParagraph"/>
        <w:numPr>
          <w:ilvl w:val="0"/>
          <w:numId w:val="30"/>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 xml:space="preserve">The ‘delivery as one’ imperative needs to be balanced against the maintenance of UNDP’s identity and approach to the integration as a partnership.  This needs to be further discussed in relation to ensuring visibility of UNDP in engagement with counterparts, development partners and other stakeholders, noting that UNDP will have a longer term future of engagement in contrast to the mission.  This matter also applies to the rest of the UNCT and will also need to be discussed within the context of the new UN Joint Rule of Law Programme.    </w:t>
      </w:r>
    </w:p>
    <w:p w14:paraId="45B4EFD6" w14:textId="77777777" w:rsidR="00051257" w:rsidRPr="0068529C" w:rsidRDefault="00051257" w:rsidP="00567956">
      <w:pPr>
        <w:pStyle w:val="ListParagraph"/>
        <w:numPr>
          <w:ilvl w:val="0"/>
          <w:numId w:val="30"/>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 xml:space="preserve">Under the integrated arrangements, responsibility for delivering against Donor Agreements needs further discussion. It is UNDP that enters into the financial agreement with Donors and has the full responsibility to deliver and report against these agreements.  </w:t>
      </w:r>
    </w:p>
    <w:p w14:paraId="4961BCC8" w14:textId="77777777" w:rsidR="00051257" w:rsidRPr="0068529C" w:rsidRDefault="00051257" w:rsidP="00567956">
      <w:pPr>
        <w:pStyle w:val="ListParagraph"/>
        <w:numPr>
          <w:ilvl w:val="0"/>
          <w:numId w:val="30"/>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The integrated approach through the GFP is not limited to the planning stage. Identifying projects, recruiting project staff and implementation of projects is not an exclusive agency task; recruitment and implementation should be the responsibility of the integrated unit, while maintaining clear reporting requirements to the holding agency.</w:t>
      </w:r>
    </w:p>
    <w:p w14:paraId="45942EE8" w14:textId="77777777" w:rsidR="00051257" w:rsidRPr="0068529C" w:rsidRDefault="00051257" w:rsidP="00567956">
      <w:pPr>
        <w:pStyle w:val="ListParagraph"/>
        <w:numPr>
          <w:ilvl w:val="0"/>
          <w:numId w:val="30"/>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Both UNSOM and UNDP have mandates throughout Somalia and the presence of each varies.  The UNDP Access to Justice and Civilian Policing Project covers all of Somalia, and the UNDP Mogadishu-based Project Manager/P5 is responsible for both delivering against the entire Somalia annual work plan and managing the teams in all locations.  UNSOM covers the regional offices, headed by political affairs officers. Some issues remaining to be addressed are the prioritization of workloads depending on presence in different areas, the need to establish appropriate linkages and reporting lines if applicable to UNSOM regional heads of office and UNDP Sub-Office management/supervisory arrangements.</w:t>
      </w:r>
    </w:p>
    <w:p w14:paraId="60D8437C" w14:textId="77777777" w:rsidR="00051257" w:rsidRPr="0068529C" w:rsidRDefault="00051257" w:rsidP="00051257">
      <w:pPr>
        <w:spacing w:after="60"/>
        <w:jc w:val="both"/>
        <w:rPr>
          <w:rFonts w:ascii="Arial" w:hAnsi="Arial" w:cs="Arial"/>
          <w:b/>
          <w:sz w:val="22"/>
          <w:szCs w:val="22"/>
        </w:rPr>
      </w:pPr>
      <w:r w:rsidRPr="0068529C">
        <w:rPr>
          <w:rFonts w:ascii="Arial" w:hAnsi="Arial" w:cs="Arial"/>
          <w:b/>
          <w:sz w:val="22"/>
          <w:szCs w:val="22"/>
        </w:rPr>
        <w:t>Recommendations</w:t>
      </w:r>
    </w:p>
    <w:p w14:paraId="63A1D7A4" w14:textId="77777777" w:rsidR="00051257" w:rsidRPr="0068529C" w:rsidRDefault="00051257" w:rsidP="00567956">
      <w:pPr>
        <w:pStyle w:val="ListParagraph"/>
        <w:numPr>
          <w:ilvl w:val="0"/>
          <w:numId w:val="30"/>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 xml:space="preserve">The GFP at Headquarters, in consultation with DPA, DPKO and in-country UN leadership, and based on the recommendation of personnel in joint sections, should develop clear guidance on recruitment processes (funding arrangements, development of terms of reference, recruitment process, etc.), reporting lines and performance appraisal systems in joint sections. Arrangements related to human resources, finances, budget and logistics must be in place before establishing joint sections. </w:t>
      </w:r>
    </w:p>
    <w:p w14:paraId="52DAA87C" w14:textId="77777777" w:rsidR="00051257" w:rsidRPr="0068529C" w:rsidRDefault="00051257" w:rsidP="00567956">
      <w:pPr>
        <w:pStyle w:val="ListParagraph"/>
        <w:numPr>
          <w:ilvl w:val="0"/>
          <w:numId w:val="30"/>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DFS, UNDP, DPKO and DPA and other UN entities should find practical solutions to the administrative, IT and logistical challenges outlined above.  The medium-term goal should be a compatibility requirement for all UN entities.</w:t>
      </w:r>
    </w:p>
    <w:p w14:paraId="297E8B31" w14:textId="77777777" w:rsidR="00051257" w:rsidRPr="0068529C" w:rsidRDefault="00051257" w:rsidP="00567956">
      <w:pPr>
        <w:pStyle w:val="ListParagraph"/>
        <w:numPr>
          <w:ilvl w:val="0"/>
          <w:numId w:val="31"/>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UN entities should align their security-related decision-making processes on working from home and relocating personnel.</w:t>
      </w:r>
    </w:p>
    <w:p w14:paraId="76AEB116" w14:textId="77777777" w:rsidR="00051257" w:rsidRPr="0068529C" w:rsidRDefault="00051257" w:rsidP="00567956">
      <w:pPr>
        <w:pStyle w:val="ListParagraph"/>
        <w:numPr>
          <w:ilvl w:val="0"/>
          <w:numId w:val="31"/>
        </w:numPr>
        <w:spacing w:after="200" w:line="276" w:lineRule="auto"/>
        <w:ind w:left="360"/>
        <w:jc w:val="both"/>
        <w:rPr>
          <w:rFonts w:ascii="Arial" w:hAnsi="Arial" w:cs="Arial"/>
          <w:sz w:val="22"/>
          <w:szCs w:val="22"/>
          <w:lang w:val="en-US"/>
        </w:rPr>
      </w:pPr>
      <w:r w:rsidRPr="0068529C">
        <w:rPr>
          <w:rFonts w:ascii="Arial" w:hAnsi="Arial" w:cs="Arial"/>
          <w:sz w:val="22"/>
          <w:szCs w:val="22"/>
          <w:lang w:val="en-US"/>
        </w:rPr>
        <w:t>Further discussion at the country-level and at Headquarters is required on the following issues:</w:t>
      </w:r>
    </w:p>
    <w:p w14:paraId="26CC947A" w14:textId="77777777" w:rsidR="00051257" w:rsidRPr="0068529C" w:rsidRDefault="00051257" w:rsidP="00567956">
      <w:pPr>
        <w:pStyle w:val="ListParagraph"/>
        <w:numPr>
          <w:ilvl w:val="0"/>
          <w:numId w:val="33"/>
        </w:numPr>
        <w:tabs>
          <w:tab w:val="left" w:pos="720"/>
        </w:tabs>
        <w:spacing w:after="200" w:line="276" w:lineRule="auto"/>
        <w:ind w:left="720"/>
        <w:jc w:val="both"/>
        <w:rPr>
          <w:rFonts w:ascii="Arial" w:hAnsi="Arial" w:cs="Arial"/>
          <w:sz w:val="22"/>
          <w:szCs w:val="22"/>
          <w:lang w:val="en-US"/>
        </w:rPr>
      </w:pPr>
      <w:r w:rsidRPr="0068529C">
        <w:rPr>
          <w:rFonts w:ascii="Arial" w:hAnsi="Arial" w:cs="Arial"/>
          <w:sz w:val="22"/>
          <w:szCs w:val="22"/>
          <w:lang w:val="en-US"/>
        </w:rPr>
        <w:t>Responsibilities related to identifying projects, recruiting project staff, implementing projects and delivering against Donor Agreements;</w:t>
      </w:r>
    </w:p>
    <w:p w14:paraId="1168CCFD" w14:textId="77777777" w:rsidR="00051257" w:rsidRPr="0068529C" w:rsidRDefault="00051257" w:rsidP="00567956">
      <w:pPr>
        <w:pStyle w:val="ListParagraph"/>
        <w:numPr>
          <w:ilvl w:val="0"/>
          <w:numId w:val="33"/>
        </w:numPr>
        <w:tabs>
          <w:tab w:val="left" w:pos="720"/>
        </w:tabs>
        <w:spacing w:after="200" w:line="276" w:lineRule="auto"/>
        <w:ind w:left="720"/>
        <w:jc w:val="both"/>
        <w:rPr>
          <w:rFonts w:ascii="Arial" w:hAnsi="Arial" w:cs="Arial"/>
          <w:sz w:val="22"/>
          <w:szCs w:val="22"/>
          <w:lang w:val="en-US"/>
        </w:rPr>
      </w:pPr>
      <w:r w:rsidRPr="0068529C">
        <w:rPr>
          <w:rFonts w:ascii="Arial" w:hAnsi="Arial" w:cs="Arial"/>
          <w:sz w:val="22"/>
          <w:szCs w:val="22"/>
          <w:lang w:val="en-US"/>
        </w:rPr>
        <w:t>Challenges resulting from operating within differing regional boundaries; and</w:t>
      </w:r>
    </w:p>
    <w:p w14:paraId="4F2050CE" w14:textId="07FE549D" w:rsidR="00051257" w:rsidRPr="0068529C" w:rsidRDefault="00051257" w:rsidP="00567956">
      <w:pPr>
        <w:pStyle w:val="ListParagraph"/>
        <w:numPr>
          <w:ilvl w:val="0"/>
          <w:numId w:val="33"/>
        </w:numPr>
        <w:tabs>
          <w:tab w:val="left" w:pos="720"/>
        </w:tabs>
        <w:spacing w:after="240" w:line="240" w:lineRule="auto"/>
        <w:ind w:left="720"/>
        <w:jc w:val="both"/>
        <w:rPr>
          <w:rFonts w:ascii="Arial" w:hAnsi="Arial" w:cs="Arial"/>
          <w:sz w:val="22"/>
          <w:szCs w:val="22"/>
          <w:lang w:val="en-US"/>
        </w:rPr>
      </w:pPr>
      <w:r w:rsidRPr="0068529C">
        <w:rPr>
          <w:rFonts w:ascii="Arial" w:hAnsi="Arial" w:cs="Arial"/>
          <w:sz w:val="22"/>
          <w:szCs w:val="22"/>
          <w:lang w:val="en-US"/>
        </w:rPr>
        <w:t>The maintenance of identity and visibility of UN entities in joint sections, in particular in respect to donors.</w:t>
      </w:r>
      <w:r w:rsidRPr="0068529C">
        <w:rPr>
          <w:rFonts w:ascii="Arial" w:hAnsi="Arial" w:cs="Arial"/>
          <w:sz w:val="22"/>
          <w:szCs w:val="22"/>
          <w:lang w:val="en-US"/>
        </w:rPr>
        <w:br w:type="page"/>
      </w:r>
    </w:p>
    <w:p w14:paraId="34C403E0" w14:textId="51C4F203" w:rsidR="00275D5B" w:rsidRPr="00275D5B" w:rsidRDefault="00275D5B" w:rsidP="00275D5B">
      <w:pPr>
        <w:pStyle w:val="Heading2"/>
      </w:pPr>
      <w:bookmarkStart w:id="53" w:name="_Ref70154400"/>
      <w:bookmarkStart w:id="54" w:name="_Toc71701908"/>
      <w:r w:rsidRPr="00275D5B">
        <w:t>Annex 8: Report on Interviews</w:t>
      </w:r>
      <w:r>
        <w:t xml:space="preserve"> for Evaluation</w:t>
      </w:r>
      <w:bookmarkEnd w:id="53"/>
      <w:bookmarkEnd w:id="54"/>
    </w:p>
    <w:p w14:paraId="5ED581FD" w14:textId="77777777" w:rsidR="00275D5B" w:rsidRPr="00162350" w:rsidRDefault="00275D5B" w:rsidP="00275D5B">
      <w:pPr>
        <w:rPr>
          <w:b/>
          <w:bCs/>
          <w:sz w:val="24"/>
          <w:szCs w:val="24"/>
          <w:lang w:val="en-US"/>
        </w:rPr>
      </w:pPr>
      <w:r w:rsidRPr="00162350">
        <w:rPr>
          <w:b/>
          <w:bCs/>
          <w:sz w:val="24"/>
          <w:szCs w:val="24"/>
          <w:lang w:val="en-US"/>
        </w:rPr>
        <w:t>Summary of Interviews</w:t>
      </w:r>
    </w:p>
    <w:p w14:paraId="3FE8AA0A" w14:textId="77777777" w:rsidR="00275D5B" w:rsidRPr="00162350" w:rsidRDefault="00275D5B" w:rsidP="00275D5B">
      <w:pPr>
        <w:jc w:val="both"/>
        <w:rPr>
          <w:lang w:val="en-US"/>
        </w:rPr>
      </w:pPr>
      <w:r w:rsidRPr="00162350">
        <w:rPr>
          <w:lang w:val="en-US"/>
        </w:rPr>
        <w:t xml:space="preserve">Between </w:t>
      </w:r>
      <w:r>
        <w:rPr>
          <w:lang w:val="en-US"/>
        </w:rPr>
        <w:t>28 January</w:t>
      </w:r>
      <w:r w:rsidRPr="00162350">
        <w:rPr>
          <w:lang w:val="en-US"/>
        </w:rPr>
        <w:t xml:space="preserve"> and </w:t>
      </w:r>
      <w:r>
        <w:rPr>
          <w:lang w:val="en-US"/>
        </w:rPr>
        <w:t>6</w:t>
      </w:r>
      <w:r w:rsidRPr="00162350">
        <w:rPr>
          <w:lang w:val="en-US"/>
        </w:rPr>
        <w:t xml:space="preserve"> </w:t>
      </w:r>
      <w:r>
        <w:rPr>
          <w:lang w:val="en-US"/>
        </w:rPr>
        <w:t>April</w:t>
      </w:r>
      <w:r w:rsidRPr="00162350">
        <w:rPr>
          <w:lang w:val="en-US"/>
        </w:rPr>
        <w:t xml:space="preserve"> 2021, the evaluation team of Craig Naumann and Melanie Reimer interviewed </w:t>
      </w:r>
      <w:r>
        <w:rPr>
          <w:lang w:val="en-US"/>
        </w:rPr>
        <w:t>a diverse range of</w:t>
      </w:r>
      <w:r w:rsidRPr="00162350">
        <w:rPr>
          <w:lang w:val="en-US"/>
        </w:rPr>
        <w:t xml:space="preserve"> individuals for the primary data collection component of the evaluation. In the vast majority of cases, the interview was</w:t>
      </w:r>
      <w:r>
        <w:rPr>
          <w:lang w:val="en-US"/>
        </w:rPr>
        <w:t xml:space="preserve"> held</w:t>
      </w:r>
      <w:r w:rsidRPr="00162350">
        <w:rPr>
          <w:lang w:val="en-US"/>
        </w:rPr>
        <w:t xml:space="preserve"> with </w:t>
      </w:r>
      <w:r>
        <w:rPr>
          <w:lang w:val="en-US"/>
        </w:rPr>
        <w:t>a single</w:t>
      </w:r>
      <w:r w:rsidRPr="00162350">
        <w:rPr>
          <w:lang w:val="en-US"/>
        </w:rPr>
        <w:t xml:space="preserve"> </w:t>
      </w:r>
      <w:r>
        <w:rPr>
          <w:lang w:val="en-US"/>
        </w:rPr>
        <w:t>informant</w:t>
      </w:r>
      <w:r w:rsidRPr="00162350">
        <w:rPr>
          <w:lang w:val="en-US"/>
        </w:rPr>
        <w:t xml:space="preserve"> </w:t>
      </w:r>
      <w:r>
        <w:rPr>
          <w:lang w:val="en-US"/>
        </w:rPr>
        <w:t>(</w:t>
      </w:r>
      <w:r w:rsidRPr="00162350">
        <w:rPr>
          <w:lang w:val="en-US"/>
        </w:rPr>
        <w:t xml:space="preserve">where multiple persons participated in </w:t>
      </w:r>
      <w:r>
        <w:rPr>
          <w:lang w:val="en-US"/>
        </w:rPr>
        <w:t>the same</w:t>
      </w:r>
      <w:r w:rsidRPr="00162350">
        <w:rPr>
          <w:lang w:val="en-US"/>
        </w:rPr>
        <w:t xml:space="preserve"> meeting, they are listed in the same cell</w:t>
      </w:r>
      <w:r>
        <w:rPr>
          <w:lang w:val="en-US"/>
        </w:rPr>
        <w:t xml:space="preserve"> of the tables below)</w:t>
      </w:r>
      <w:r w:rsidRPr="00162350">
        <w:rPr>
          <w:lang w:val="en-US"/>
        </w:rPr>
        <w:t>. In all, the team collected primary data from:</w:t>
      </w:r>
    </w:p>
    <w:p w14:paraId="5BD02762" w14:textId="77777777" w:rsidR="00275D5B" w:rsidRDefault="00275D5B" w:rsidP="00567956">
      <w:pPr>
        <w:pStyle w:val="ListParagraph"/>
        <w:numPr>
          <w:ilvl w:val="0"/>
          <w:numId w:val="34"/>
        </w:numPr>
        <w:spacing w:after="160" w:line="259" w:lineRule="auto"/>
        <w:jc w:val="both"/>
        <w:rPr>
          <w:lang w:val="en-US"/>
        </w:rPr>
      </w:pPr>
      <w:r>
        <w:rPr>
          <w:lang w:val="en-US"/>
        </w:rPr>
        <w:t>158</w:t>
      </w:r>
      <w:r w:rsidRPr="00162350">
        <w:rPr>
          <w:lang w:val="en-US"/>
        </w:rPr>
        <w:t xml:space="preserve"> persons </w:t>
      </w:r>
      <w:r>
        <w:rPr>
          <w:lang w:val="en-US"/>
        </w:rPr>
        <w:t>in total</w:t>
      </w:r>
      <w:r w:rsidRPr="00162350">
        <w:rPr>
          <w:lang w:val="en-US"/>
        </w:rPr>
        <w:t xml:space="preserve"> (</w:t>
      </w:r>
      <w:r>
        <w:rPr>
          <w:lang w:val="en-US"/>
        </w:rPr>
        <w:t>84</w:t>
      </w:r>
      <w:r w:rsidRPr="00162350">
        <w:rPr>
          <w:lang w:val="en-US"/>
        </w:rPr>
        <w:t xml:space="preserve"> male, </w:t>
      </w:r>
      <w:r>
        <w:rPr>
          <w:lang w:val="en-US"/>
        </w:rPr>
        <w:t>74</w:t>
      </w:r>
      <w:r w:rsidRPr="00162350">
        <w:rPr>
          <w:lang w:val="en-US"/>
        </w:rPr>
        <w:t xml:space="preserve"> female)</w:t>
      </w:r>
    </w:p>
    <w:p w14:paraId="5B83CE11" w14:textId="77777777" w:rsidR="00275D5B" w:rsidRPr="00162350" w:rsidRDefault="00275D5B" w:rsidP="00567956">
      <w:pPr>
        <w:pStyle w:val="ListParagraph"/>
        <w:numPr>
          <w:ilvl w:val="0"/>
          <w:numId w:val="34"/>
        </w:numPr>
        <w:spacing w:after="160" w:line="259" w:lineRule="auto"/>
        <w:jc w:val="both"/>
        <w:rPr>
          <w:lang w:val="en-US"/>
        </w:rPr>
      </w:pPr>
      <w:r>
        <w:rPr>
          <w:lang w:val="en-US"/>
        </w:rPr>
        <w:t>41 at global level (11 male, 30 female)</w:t>
      </w:r>
    </w:p>
    <w:p w14:paraId="6A85387E" w14:textId="77777777" w:rsidR="00275D5B" w:rsidRPr="00162350" w:rsidRDefault="00275D5B" w:rsidP="00567956">
      <w:pPr>
        <w:pStyle w:val="ListParagraph"/>
        <w:numPr>
          <w:ilvl w:val="0"/>
          <w:numId w:val="34"/>
        </w:numPr>
        <w:spacing w:after="160" w:line="259" w:lineRule="auto"/>
        <w:jc w:val="both"/>
        <w:rPr>
          <w:lang w:val="en-US"/>
        </w:rPr>
      </w:pPr>
      <w:r>
        <w:rPr>
          <w:lang w:val="en-US"/>
        </w:rPr>
        <w:t>117</w:t>
      </w:r>
      <w:r w:rsidRPr="00162350">
        <w:rPr>
          <w:lang w:val="en-US"/>
        </w:rPr>
        <w:t xml:space="preserve"> persons at/related to country level case studies (</w:t>
      </w:r>
      <w:r>
        <w:rPr>
          <w:lang w:val="en-US"/>
        </w:rPr>
        <w:t>73</w:t>
      </w:r>
      <w:r w:rsidRPr="00162350">
        <w:rPr>
          <w:lang w:val="en-US"/>
        </w:rPr>
        <w:t xml:space="preserve"> male, </w:t>
      </w:r>
      <w:r>
        <w:rPr>
          <w:lang w:val="en-US"/>
        </w:rPr>
        <w:t>44</w:t>
      </w:r>
      <w:r w:rsidRPr="00162350">
        <w:rPr>
          <w:lang w:val="en-US"/>
        </w:rPr>
        <w:t xml:space="preserve"> female)</w:t>
      </w:r>
    </w:p>
    <w:p w14:paraId="13D51D35" w14:textId="77777777" w:rsidR="00275D5B" w:rsidRPr="00162350" w:rsidRDefault="00275D5B" w:rsidP="00275D5B">
      <w:pPr>
        <w:jc w:val="both"/>
        <w:rPr>
          <w:lang w:val="en-US"/>
        </w:rPr>
      </w:pPr>
      <w:r w:rsidRPr="00162350">
        <w:rPr>
          <w:b/>
          <w:bCs/>
          <w:sz w:val="24"/>
          <w:szCs w:val="24"/>
          <w:lang w:val="en-US"/>
        </w:rPr>
        <w:t>Global/headquarters informants</w:t>
      </w:r>
      <w:r w:rsidRPr="00162350">
        <w:rPr>
          <w:lang w:val="en-US"/>
        </w:rPr>
        <w:t xml:space="preserve"> </w:t>
      </w:r>
    </w:p>
    <w:p w14:paraId="71CE2F27" w14:textId="77777777" w:rsidR="00275D5B" w:rsidRPr="00162350" w:rsidRDefault="00275D5B" w:rsidP="00275D5B">
      <w:pPr>
        <w:jc w:val="both"/>
        <w:rPr>
          <w:lang w:val="en-US"/>
        </w:rPr>
      </w:pPr>
      <w:r w:rsidRPr="00162350">
        <w:rPr>
          <w:lang w:val="en-US"/>
        </w:rPr>
        <w:t xml:space="preserve">The interviews </w:t>
      </w:r>
      <w:r>
        <w:rPr>
          <w:lang w:val="en-US"/>
        </w:rPr>
        <w:t>in this category</w:t>
      </w:r>
      <w:r w:rsidRPr="00162350">
        <w:rPr>
          <w:lang w:val="en-US"/>
        </w:rPr>
        <w:t xml:space="preserve"> spanned a wide range of global or headquarters-level stakeholders, with a significant focus on current and former members of the </w:t>
      </w:r>
      <w:r>
        <w:rPr>
          <w:lang w:val="en-US"/>
        </w:rPr>
        <w:t xml:space="preserve">UNDP ROLSHR </w:t>
      </w:r>
      <w:r w:rsidRPr="00162350">
        <w:rPr>
          <w:lang w:val="en-US"/>
        </w:rPr>
        <w:t>Global Programme</w:t>
      </w:r>
      <w:r>
        <w:rPr>
          <w:lang w:val="en-US"/>
        </w:rPr>
        <w:t xml:space="preserve"> (GP)</w:t>
      </w:r>
      <w:r w:rsidRPr="00162350">
        <w:rPr>
          <w:lang w:val="en-US"/>
        </w:rPr>
        <w:t xml:space="preserve"> team itself, representatives of other UN entities, and key funding partners. </w:t>
      </w:r>
      <w:r>
        <w:rPr>
          <w:lang w:val="en-US"/>
        </w:rPr>
        <w:t>Most of these</w:t>
      </w:r>
      <w:r w:rsidRPr="00162350">
        <w:rPr>
          <w:lang w:val="en-US"/>
        </w:rPr>
        <w:t xml:space="preserve"> individuals/institutions were </w:t>
      </w:r>
      <w:r>
        <w:rPr>
          <w:lang w:val="en-US"/>
        </w:rPr>
        <w:t>identified</w:t>
      </w:r>
      <w:r w:rsidRPr="00162350">
        <w:rPr>
          <w:lang w:val="en-US"/>
        </w:rPr>
        <w:t xml:space="preserve"> </w:t>
      </w:r>
      <w:r>
        <w:rPr>
          <w:lang w:val="en-US"/>
        </w:rPr>
        <w:t xml:space="preserve">for interview </w:t>
      </w:r>
      <w:r w:rsidRPr="00162350">
        <w:rPr>
          <w:lang w:val="en-US"/>
        </w:rPr>
        <w:t>based on recommendation</w:t>
      </w:r>
      <w:r>
        <w:rPr>
          <w:lang w:val="en-US"/>
        </w:rPr>
        <w:t>s</w:t>
      </w:r>
      <w:r w:rsidRPr="00162350">
        <w:rPr>
          <w:lang w:val="en-US"/>
        </w:rPr>
        <w:t xml:space="preserve"> of the </w:t>
      </w:r>
      <w:r>
        <w:rPr>
          <w:lang w:val="en-US"/>
        </w:rPr>
        <w:t>GP</w:t>
      </w:r>
      <w:r w:rsidRPr="00162350">
        <w:rPr>
          <w:lang w:val="en-US"/>
        </w:rPr>
        <w:t xml:space="preserve"> management team. </w:t>
      </w:r>
      <w:r>
        <w:rPr>
          <w:lang w:val="en-US"/>
        </w:rPr>
        <w:t>Of</w:t>
      </w:r>
      <w:r w:rsidRPr="00162350">
        <w:rPr>
          <w:lang w:val="en-US"/>
        </w:rPr>
        <w:t xml:space="preserve"> the original list of </w:t>
      </w:r>
      <w:r>
        <w:rPr>
          <w:lang w:val="en-US"/>
        </w:rPr>
        <w:t>22</w:t>
      </w:r>
      <w:r w:rsidRPr="00162350">
        <w:rPr>
          <w:lang w:val="en-US"/>
        </w:rPr>
        <w:t xml:space="preserve"> recommend</w:t>
      </w:r>
      <w:r>
        <w:rPr>
          <w:lang w:val="en-US"/>
        </w:rPr>
        <w:t>ations</w:t>
      </w:r>
      <w:r w:rsidRPr="00162350">
        <w:rPr>
          <w:lang w:val="en-US"/>
        </w:rPr>
        <w:t xml:space="preserve">, the team has successfully interviewed </w:t>
      </w:r>
      <w:r>
        <w:rPr>
          <w:lang w:val="en-US"/>
        </w:rPr>
        <w:t>20</w:t>
      </w:r>
      <w:r w:rsidRPr="00162350">
        <w:rPr>
          <w:lang w:val="en-US"/>
        </w:rPr>
        <w:t xml:space="preserve">, most of whom were interviewed by both evaluators working in tandem. </w:t>
      </w:r>
      <w:r>
        <w:rPr>
          <w:lang w:val="en-US"/>
        </w:rPr>
        <w:t xml:space="preserve">In addition, the team has met with representatives of four GP funding partners. </w:t>
      </w:r>
    </w:p>
    <w:tbl>
      <w:tblPr>
        <w:tblStyle w:val="TableGrid"/>
        <w:tblW w:w="9351" w:type="dxa"/>
        <w:tblLook w:val="04A0" w:firstRow="1" w:lastRow="0" w:firstColumn="1" w:lastColumn="0" w:noHBand="0" w:noVBand="1"/>
      </w:tblPr>
      <w:tblGrid>
        <w:gridCol w:w="2108"/>
        <w:gridCol w:w="2577"/>
        <w:gridCol w:w="4666"/>
      </w:tblGrid>
      <w:tr w:rsidR="00275D5B" w:rsidRPr="00162350" w14:paraId="07244745" w14:textId="77777777" w:rsidTr="7FB3149D">
        <w:trPr>
          <w:trHeight w:val="490"/>
          <w:tblHeader/>
        </w:trPr>
        <w:tc>
          <w:tcPr>
            <w:tcW w:w="2091" w:type="dxa"/>
            <w:shd w:val="clear" w:color="auto" w:fill="90A1CF" w:themeFill="accent1" w:themeFillTint="99"/>
          </w:tcPr>
          <w:p w14:paraId="0DF3CE27" w14:textId="77777777" w:rsidR="00275D5B" w:rsidRPr="00162350" w:rsidRDefault="00275D5B" w:rsidP="00296A4A">
            <w:pPr>
              <w:rPr>
                <w:b/>
                <w:bCs/>
                <w:lang w:val="en-US"/>
              </w:rPr>
            </w:pPr>
            <w:r w:rsidRPr="00162350">
              <w:rPr>
                <w:b/>
                <w:bCs/>
                <w:lang w:val="en-US"/>
              </w:rPr>
              <w:t>Affiliation/Employer</w:t>
            </w:r>
          </w:p>
        </w:tc>
        <w:tc>
          <w:tcPr>
            <w:tcW w:w="2582" w:type="dxa"/>
            <w:shd w:val="clear" w:color="auto" w:fill="90A1CF" w:themeFill="accent1" w:themeFillTint="99"/>
          </w:tcPr>
          <w:p w14:paraId="5D385FB2" w14:textId="77777777" w:rsidR="00275D5B" w:rsidRPr="00162350" w:rsidRDefault="00275D5B" w:rsidP="00296A4A">
            <w:pPr>
              <w:rPr>
                <w:b/>
                <w:bCs/>
                <w:lang w:val="en-US"/>
              </w:rPr>
            </w:pPr>
            <w:r w:rsidRPr="00162350">
              <w:rPr>
                <w:b/>
                <w:bCs/>
                <w:lang w:val="en-US"/>
              </w:rPr>
              <w:t>Name</w:t>
            </w:r>
          </w:p>
        </w:tc>
        <w:tc>
          <w:tcPr>
            <w:tcW w:w="4678" w:type="dxa"/>
            <w:shd w:val="clear" w:color="auto" w:fill="90A1CF" w:themeFill="accent1" w:themeFillTint="99"/>
          </w:tcPr>
          <w:p w14:paraId="56BC0BFA" w14:textId="77777777" w:rsidR="00275D5B" w:rsidRPr="00162350" w:rsidRDefault="00275D5B" w:rsidP="00296A4A">
            <w:pPr>
              <w:rPr>
                <w:b/>
                <w:bCs/>
                <w:lang w:val="en-US"/>
              </w:rPr>
            </w:pPr>
            <w:r w:rsidRPr="00162350">
              <w:rPr>
                <w:b/>
                <w:bCs/>
                <w:lang w:val="en-US"/>
              </w:rPr>
              <w:t>Position/Role</w:t>
            </w:r>
          </w:p>
        </w:tc>
      </w:tr>
      <w:tr w:rsidR="00275D5B" w:rsidRPr="00162350" w14:paraId="3D6F89D0" w14:textId="77777777" w:rsidTr="7FB3149D">
        <w:trPr>
          <w:trHeight w:val="490"/>
        </w:trPr>
        <w:tc>
          <w:tcPr>
            <w:tcW w:w="9351" w:type="dxa"/>
            <w:gridSpan w:val="3"/>
            <w:shd w:val="clear" w:color="auto" w:fill="D7D2D9" w:themeFill="accent6" w:themeFillTint="66"/>
          </w:tcPr>
          <w:p w14:paraId="15CEE68E" w14:textId="77777777" w:rsidR="00275D5B" w:rsidRPr="00162350" w:rsidRDefault="00275D5B" w:rsidP="00296A4A">
            <w:pPr>
              <w:rPr>
                <w:b/>
                <w:bCs/>
                <w:lang w:val="en-US"/>
              </w:rPr>
            </w:pPr>
            <w:r w:rsidRPr="00162350">
              <w:rPr>
                <w:b/>
                <w:bCs/>
                <w:lang w:val="en-US"/>
              </w:rPr>
              <w:t>UNDP Staff and Consultants</w:t>
            </w:r>
          </w:p>
        </w:tc>
      </w:tr>
      <w:tr w:rsidR="00275D5B" w:rsidRPr="00162350" w14:paraId="14D3EE53" w14:textId="77777777" w:rsidTr="7FB3149D">
        <w:trPr>
          <w:trHeight w:val="490"/>
        </w:trPr>
        <w:tc>
          <w:tcPr>
            <w:tcW w:w="2091" w:type="dxa"/>
            <w:hideMark/>
          </w:tcPr>
          <w:p w14:paraId="7B06BB30" w14:textId="77777777" w:rsidR="00275D5B" w:rsidRPr="00162350" w:rsidRDefault="00275D5B" w:rsidP="00296A4A">
            <w:pPr>
              <w:rPr>
                <w:lang w:val="en-US"/>
              </w:rPr>
            </w:pPr>
            <w:r w:rsidRPr="00162350">
              <w:rPr>
                <w:lang w:val="en-US"/>
              </w:rPr>
              <w:t>UNDP</w:t>
            </w:r>
          </w:p>
        </w:tc>
        <w:tc>
          <w:tcPr>
            <w:tcW w:w="2582" w:type="dxa"/>
            <w:hideMark/>
          </w:tcPr>
          <w:p w14:paraId="4C481D58" w14:textId="77777777" w:rsidR="00275D5B" w:rsidRPr="00162350" w:rsidRDefault="00275D5B" w:rsidP="00296A4A">
            <w:pPr>
              <w:rPr>
                <w:lang w:val="en-US"/>
              </w:rPr>
            </w:pPr>
            <w:r w:rsidRPr="00162350">
              <w:rPr>
                <w:lang w:val="en-US"/>
              </w:rPr>
              <w:t xml:space="preserve">Katy Thompson </w:t>
            </w:r>
          </w:p>
        </w:tc>
        <w:tc>
          <w:tcPr>
            <w:tcW w:w="4678" w:type="dxa"/>
            <w:hideMark/>
          </w:tcPr>
          <w:p w14:paraId="059A8B05" w14:textId="77777777" w:rsidR="00275D5B" w:rsidRPr="00162350" w:rsidRDefault="00275D5B" w:rsidP="00296A4A">
            <w:pPr>
              <w:rPr>
                <w:lang w:val="en-US"/>
              </w:rPr>
            </w:pPr>
            <w:r w:rsidRPr="00162350">
              <w:rPr>
                <w:lang w:val="en-US"/>
              </w:rPr>
              <w:t>ROLSHR Team Lead</w:t>
            </w:r>
          </w:p>
        </w:tc>
      </w:tr>
      <w:tr w:rsidR="00275D5B" w:rsidRPr="00162350" w14:paraId="7F6CB45E" w14:textId="77777777" w:rsidTr="7FB3149D">
        <w:trPr>
          <w:trHeight w:val="490"/>
        </w:trPr>
        <w:tc>
          <w:tcPr>
            <w:tcW w:w="2091" w:type="dxa"/>
          </w:tcPr>
          <w:p w14:paraId="216A9FC6" w14:textId="77777777" w:rsidR="00275D5B" w:rsidRPr="00162350" w:rsidRDefault="00275D5B" w:rsidP="00296A4A">
            <w:pPr>
              <w:rPr>
                <w:lang w:val="en-US"/>
              </w:rPr>
            </w:pPr>
            <w:r w:rsidRPr="00162350">
              <w:rPr>
                <w:lang w:val="en-US"/>
              </w:rPr>
              <w:t>UNDP</w:t>
            </w:r>
          </w:p>
        </w:tc>
        <w:tc>
          <w:tcPr>
            <w:tcW w:w="2582" w:type="dxa"/>
          </w:tcPr>
          <w:p w14:paraId="12803C8F" w14:textId="77777777" w:rsidR="00275D5B" w:rsidRPr="00162350" w:rsidRDefault="00275D5B" w:rsidP="00296A4A">
            <w:pPr>
              <w:rPr>
                <w:lang w:val="en-US"/>
              </w:rPr>
            </w:pPr>
            <w:r w:rsidRPr="00162350">
              <w:rPr>
                <w:lang w:val="en-US"/>
              </w:rPr>
              <w:t>Sarah Rattray</w:t>
            </w:r>
          </w:p>
        </w:tc>
        <w:tc>
          <w:tcPr>
            <w:tcW w:w="4678" w:type="dxa"/>
          </w:tcPr>
          <w:p w14:paraId="5C9FF451" w14:textId="77777777" w:rsidR="00275D5B" w:rsidRPr="00162350" w:rsidRDefault="00275D5B" w:rsidP="00296A4A">
            <w:pPr>
              <w:rPr>
                <w:lang w:val="en-US"/>
              </w:rPr>
            </w:pPr>
            <w:r w:rsidRPr="00162350">
              <w:rPr>
                <w:lang w:val="en-US"/>
              </w:rPr>
              <w:t>Global Policy Specialist for Human Rights, Tripartite P</w:t>
            </w:r>
            <w:r>
              <w:rPr>
                <w:lang w:val="en-US"/>
              </w:rPr>
              <w:t>artner</w:t>
            </w:r>
            <w:r w:rsidRPr="00162350">
              <w:rPr>
                <w:lang w:val="en-US"/>
              </w:rPr>
              <w:t xml:space="preserve">ship focal point </w:t>
            </w:r>
          </w:p>
        </w:tc>
      </w:tr>
      <w:tr w:rsidR="00275D5B" w:rsidRPr="00162350" w14:paraId="0FE34434" w14:textId="77777777" w:rsidTr="7FB3149D">
        <w:trPr>
          <w:trHeight w:val="490"/>
        </w:trPr>
        <w:tc>
          <w:tcPr>
            <w:tcW w:w="2091" w:type="dxa"/>
          </w:tcPr>
          <w:p w14:paraId="08507E67" w14:textId="77777777" w:rsidR="00275D5B" w:rsidRPr="00162350" w:rsidRDefault="00275D5B" w:rsidP="00296A4A">
            <w:pPr>
              <w:rPr>
                <w:lang w:val="en-US"/>
              </w:rPr>
            </w:pPr>
            <w:r w:rsidRPr="00162350">
              <w:rPr>
                <w:lang w:val="en-US"/>
              </w:rPr>
              <w:t>UNDP</w:t>
            </w:r>
          </w:p>
        </w:tc>
        <w:tc>
          <w:tcPr>
            <w:tcW w:w="2582" w:type="dxa"/>
          </w:tcPr>
          <w:p w14:paraId="130DD976" w14:textId="77777777" w:rsidR="00275D5B" w:rsidRPr="00162350" w:rsidRDefault="00275D5B" w:rsidP="00296A4A">
            <w:pPr>
              <w:rPr>
                <w:lang w:val="en-US"/>
              </w:rPr>
            </w:pPr>
            <w:r w:rsidRPr="00162350">
              <w:rPr>
                <w:lang w:val="en-US"/>
              </w:rPr>
              <w:t xml:space="preserve">Livio Sarandrea </w:t>
            </w:r>
          </w:p>
        </w:tc>
        <w:tc>
          <w:tcPr>
            <w:tcW w:w="4678" w:type="dxa"/>
          </w:tcPr>
          <w:p w14:paraId="155C4582" w14:textId="77777777" w:rsidR="00275D5B" w:rsidRPr="00162350" w:rsidRDefault="00275D5B" w:rsidP="00296A4A">
            <w:pPr>
              <w:rPr>
                <w:lang w:val="en-US"/>
              </w:rPr>
            </w:pPr>
            <w:r w:rsidRPr="00162350">
              <w:rPr>
                <w:lang w:val="en-US"/>
              </w:rPr>
              <w:t>Crisis Prevention and Rule of Law Specialist, Business and Human Rights focal point, Bangkok Regional Hub, focal point for Pakistan</w:t>
            </w:r>
          </w:p>
        </w:tc>
      </w:tr>
      <w:tr w:rsidR="00275D5B" w:rsidRPr="00162350" w14:paraId="45AF36CA" w14:textId="77777777" w:rsidTr="7FB3149D">
        <w:trPr>
          <w:trHeight w:val="675"/>
        </w:trPr>
        <w:tc>
          <w:tcPr>
            <w:tcW w:w="2091" w:type="dxa"/>
          </w:tcPr>
          <w:p w14:paraId="1CBC264E" w14:textId="77777777" w:rsidR="00275D5B" w:rsidRPr="00162350" w:rsidRDefault="00275D5B" w:rsidP="00296A4A">
            <w:pPr>
              <w:rPr>
                <w:lang w:val="en-US"/>
              </w:rPr>
            </w:pPr>
            <w:r w:rsidRPr="00162350">
              <w:rPr>
                <w:lang w:val="en-US"/>
              </w:rPr>
              <w:t>UNDP</w:t>
            </w:r>
          </w:p>
        </w:tc>
        <w:tc>
          <w:tcPr>
            <w:tcW w:w="2582" w:type="dxa"/>
          </w:tcPr>
          <w:p w14:paraId="791646A3" w14:textId="77777777" w:rsidR="00275D5B" w:rsidRPr="00162350" w:rsidRDefault="00275D5B" w:rsidP="00296A4A">
            <w:pPr>
              <w:rPr>
                <w:lang w:val="en-US"/>
              </w:rPr>
            </w:pPr>
            <w:r w:rsidRPr="00162350">
              <w:rPr>
                <w:lang w:val="en-US"/>
              </w:rPr>
              <w:t xml:space="preserve">Simon Ridley </w:t>
            </w:r>
          </w:p>
        </w:tc>
        <w:tc>
          <w:tcPr>
            <w:tcW w:w="4678" w:type="dxa"/>
          </w:tcPr>
          <w:p w14:paraId="66A0E648" w14:textId="77777777" w:rsidR="00275D5B" w:rsidRPr="00162350" w:rsidRDefault="00275D5B" w:rsidP="00296A4A">
            <w:pPr>
              <w:rPr>
                <w:lang w:val="en-US"/>
              </w:rPr>
            </w:pPr>
            <w:r w:rsidRPr="00162350">
              <w:rPr>
                <w:lang w:val="en-US"/>
              </w:rPr>
              <w:t xml:space="preserve">Regional rule of law, human rights and conflict prevention advisor </w:t>
            </w:r>
          </w:p>
        </w:tc>
      </w:tr>
      <w:tr w:rsidR="00275D5B" w:rsidRPr="00162350" w14:paraId="5112705E" w14:textId="77777777" w:rsidTr="7FB3149D">
        <w:trPr>
          <w:trHeight w:val="675"/>
        </w:trPr>
        <w:tc>
          <w:tcPr>
            <w:tcW w:w="2091" w:type="dxa"/>
          </w:tcPr>
          <w:p w14:paraId="6DD5CD07" w14:textId="77777777" w:rsidR="00275D5B" w:rsidRPr="00162350" w:rsidRDefault="00275D5B" w:rsidP="00296A4A">
            <w:pPr>
              <w:rPr>
                <w:lang w:val="en-US"/>
              </w:rPr>
            </w:pPr>
            <w:r w:rsidRPr="00162350">
              <w:rPr>
                <w:lang w:val="en-US"/>
              </w:rPr>
              <w:t>UNDP</w:t>
            </w:r>
          </w:p>
        </w:tc>
        <w:tc>
          <w:tcPr>
            <w:tcW w:w="2582" w:type="dxa"/>
          </w:tcPr>
          <w:p w14:paraId="3E278A17" w14:textId="77777777" w:rsidR="00275D5B" w:rsidRPr="00162350" w:rsidRDefault="00275D5B" w:rsidP="00296A4A">
            <w:pPr>
              <w:rPr>
                <w:lang w:val="en-US"/>
              </w:rPr>
            </w:pPr>
            <w:r w:rsidRPr="00162350">
              <w:rPr>
                <w:lang w:val="en-US"/>
              </w:rPr>
              <w:t xml:space="preserve">Ainura Bekkoenova </w:t>
            </w:r>
          </w:p>
        </w:tc>
        <w:tc>
          <w:tcPr>
            <w:tcW w:w="4678" w:type="dxa"/>
          </w:tcPr>
          <w:p w14:paraId="0DE97AA3" w14:textId="77777777" w:rsidR="00275D5B" w:rsidRPr="00162350" w:rsidRDefault="00275D5B" w:rsidP="00296A4A">
            <w:pPr>
              <w:rPr>
                <w:lang w:val="en-US"/>
              </w:rPr>
            </w:pPr>
            <w:r w:rsidRPr="00162350">
              <w:rPr>
                <w:lang w:val="en-US"/>
              </w:rPr>
              <w:t>Rule of Law Specialist in Istanbul Regional Hub, Focal Point for Kyrgyzstan and Albania</w:t>
            </w:r>
            <w:r>
              <w:rPr>
                <w:lang w:val="en-US"/>
              </w:rPr>
              <w:t xml:space="preserve">, </w:t>
            </w:r>
            <w:r w:rsidRPr="00293EFE">
              <w:t>also interviewed f</w:t>
            </w:r>
            <w:r>
              <w:t>or case studies</w:t>
            </w:r>
          </w:p>
        </w:tc>
      </w:tr>
      <w:tr w:rsidR="00275D5B" w:rsidRPr="00162350" w14:paraId="35AF13C4" w14:textId="77777777" w:rsidTr="7FB3149D">
        <w:trPr>
          <w:trHeight w:val="675"/>
        </w:trPr>
        <w:tc>
          <w:tcPr>
            <w:tcW w:w="2091" w:type="dxa"/>
          </w:tcPr>
          <w:p w14:paraId="4B6DA5FB" w14:textId="77777777" w:rsidR="00275D5B" w:rsidRPr="00162350" w:rsidRDefault="00275D5B" w:rsidP="00296A4A">
            <w:pPr>
              <w:rPr>
                <w:lang w:val="en-US"/>
              </w:rPr>
            </w:pPr>
            <w:r w:rsidRPr="00162350">
              <w:rPr>
                <w:lang w:val="en-US"/>
              </w:rPr>
              <w:t>UNDP</w:t>
            </w:r>
          </w:p>
        </w:tc>
        <w:tc>
          <w:tcPr>
            <w:tcW w:w="2582" w:type="dxa"/>
          </w:tcPr>
          <w:p w14:paraId="4885743C" w14:textId="77777777" w:rsidR="00275D5B" w:rsidRPr="00162350" w:rsidRDefault="00275D5B" w:rsidP="00296A4A">
            <w:pPr>
              <w:rPr>
                <w:lang w:val="en-US"/>
              </w:rPr>
            </w:pPr>
            <w:r w:rsidRPr="00162350">
              <w:rPr>
                <w:lang w:val="en-US"/>
              </w:rPr>
              <w:t>So</w:t>
            </w:r>
            <w:r w:rsidRPr="00897D28">
              <w:rPr>
                <w:rFonts w:cstheme="minorHAnsi"/>
                <w:lang w:val="en-US"/>
              </w:rPr>
              <w:t>fièn</w:t>
            </w:r>
            <w:r w:rsidRPr="00162350">
              <w:rPr>
                <w:lang w:val="en-US"/>
              </w:rPr>
              <w:t>e Bacha</w:t>
            </w:r>
          </w:p>
        </w:tc>
        <w:tc>
          <w:tcPr>
            <w:tcW w:w="4678" w:type="dxa"/>
          </w:tcPr>
          <w:p w14:paraId="42C90AC6" w14:textId="77777777" w:rsidR="00275D5B" w:rsidRPr="00162350" w:rsidRDefault="00275D5B" w:rsidP="00296A4A">
            <w:pPr>
              <w:rPr>
                <w:lang w:val="en-US"/>
              </w:rPr>
            </w:pPr>
            <w:r w:rsidRPr="00162350">
              <w:rPr>
                <w:lang w:val="en-US"/>
              </w:rPr>
              <w:t xml:space="preserve">Focal point for Burkina </w:t>
            </w:r>
            <w:r>
              <w:rPr>
                <w:lang w:val="en-US"/>
              </w:rPr>
              <w:t xml:space="preserve">Faso </w:t>
            </w:r>
            <w:r w:rsidRPr="00162350">
              <w:rPr>
                <w:lang w:val="en-US"/>
              </w:rPr>
              <w:t>and CAR</w:t>
            </w:r>
            <w:r>
              <w:rPr>
                <w:lang w:val="en-US"/>
              </w:rPr>
              <w:t>, also interviewed related to those case studies</w:t>
            </w:r>
          </w:p>
        </w:tc>
      </w:tr>
      <w:tr w:rsidR="00275D5B" w:rsidRPr="00162350" w14:paraId="56B36A02" w14:textId="77777777" w:rsidTr="7FB3149D">
        <w:trPr>
          <w:trHeight w:val="630"/>
        </w:trPr>
        <w:tc>
          <w:tcPr>
            <w:tcW w:w="2091" w:type="dxa"/>
          </w:tcPr>
          <w:p w14:paraId="189604C5" w14:textId="77777777" w:rsidR="00275D5B" w:rsidRPr="00162350" w:rsidRDefault="00275D5B" w:rsidP="00296A4A">
            <w:pPr>
              <w:rPr>
                <w:lang w:val="en-US"/>
              </w:rPr>
            </w:pPr>
            <w:r w:rsidRPr="00162350">
              <w:rPr>
                <w:lang w:val="en-US"/>
              </w:rPr>
              <w:t>UNDP</w:t>
            </w:r>
          </w:p>
        </w:tc>
        <w:tc>
          <w:tcPr>
            <w:tcW w:w="2582" w:type="dxa"/>
          </w:tcPr>
          <w:p w14:paraId="4E41C6BE" w14:textId="77777777" w:rsidR="00275D5B" w:rsidRPr="00162350" w:rsidRDefault="00275D5B" w:rsidP="00296A4A">
            <w:pPr>
              <w:rPr>
                <w:lang w:val="en-US"/>
              </w:rPr>
            </w:pPr>
            <w:r w:rsidRPr="00162350">
              <w:rPr>
                <w:lang w:val="en-US"/>
              </w:rPr>
              <w:t>Alexandra Meierhans</w:t>
            </w:r>
          </w:p>
        </w:tc>
        <w:tc>
          <w:tcPr>
            <w:tcW w:w="4678" w:type="dxa"/>
          </w:tcPr>
          <w:p w14:paraId="4C72444F" w14:textId="77777777" w:rsidR="00275D5B" w:rsidRPr="00162350" w:rsidRDefault="00275D5B" w:rsidP="00296A4A">
            <w:pPr>
              <w:rPr>
                <w:lang w:val="en-US"/>
              </w:rPr>
            </w:pPr>
            <w:r w:rsidRPr="00162350">
              <w:rPr>
                <w:lang w:val="en-US"/>
              </w:rPr>
              <w:t>GP Project Manager</w:t>
            </w:r>
          </w:p>
        </w:tc>
      </w:tr>
      <w:tr w:rsidR="00275D5B" w:rsidRPr="00162350" w14:paraId="405A534D" w14:textId="77777777" w:rsidTr="7FB3149D">
        <w:trPr>
          <w:trHeight w:val="603"/>
        </w:trPr>
        <w:tc>
          <w:tcPr>
            <w:tcW w:w="2091" w:type="dxa"/>
          </w:tcPr>
          <w:p w14:paraId="3BF6AA5D" w14:textId="77777777" w:rsidR="00275D5B" w:rsidRPr="00162350" w:rsidRDefault="00275D5B" w:rsidP="00296A4A">
            <w:pPr>
              <w:rPr>
                <w:lang w:val="en-US"/>
              </w:rPr>
            </w:pPr>
            <w:r w:rsidRPr="00162350">
              <w:rPr>
                <w:lang w:val="en-US"/>
              </w:rPr>
              <w:t>UNDP</w:t>
            </w:r>
          </w:p>
        </w:tc>
        <w:tc>
          <w:tcPr>
            <w:tcW w:w="2582" w:type="dxa"/>
          </w:tcPr>
          <w:p w14:paraId="00F2913F" w14:textId="77777777" w:rsidR="00275D5B" w:rsidRPr="00162350" w:rsidRDefault="00275D5B" w:rsidP="00296A4A">
            <w:pPr>
              <w:rPr>
                <w:lang w:val="en-US"/>
              </w:rPr>
            </w:pPr>
            <w:r w:rsidRPr="00162350">
              <w:rPr>
                <w:lang w:val="en-US"/>
              </w:rPr>
              <w:t>Ciara DiSeta</w:t>
            </w:r>
          </w:p>
        </w:tc>
        <w:tc>
          <w:tcPr>
            <w:tcW w:w="4678" w:type="dxa"/>
          </w:tcPr>
          <w:p w14:paraId="74BAE118" w14:textId="3E36E20A" w:rsidR="00275D5B" w:rsidRPr="00162350" w:rsidRDefault="00275D5B" w:rsidP="00296A4A">
            <w:pPr>
              <w:rPr>
                <w:lang w:val="en-US"/>
              </w:rPr>
            </w:pPr>
            <w:r>
              <w:rPr>
                <w:lang w:val="en-US"/>
              </w:rPr>
              <w:t xml:space="preserve">GP </w:t>
            </w:r>
            <w:r w:rsidR="00654975">
              <w:rPr>
                <w:lang w:val="en-US"/>
              </w:rPr>
              <w:t>Programme</w:t>
            </w:r>
            <w:r w:rsidR="00654975" w:rsidRPr="00162350">
              <w:rPr>
                <w:lang w:val="en-US"/>
              </w:rPr>
              <w:t xml:space="preserve"> </w:t>
            </w:r>
            <w:r w:rsidRPr="00162350">
              <w:rPr>
                <w:lang w:val="en-US"/>
              </w:rPr>
              <w:t>Associate</w:t>
            </w:r>
          </w:p>
        </w:tc>
      </w:tr>
      <w:tr w:rsidR="00275D5B" w:rsidRPr="00162350" w14:paraId="6A1135AE" w14:textId="77777777" w:rsidTr="7FB3149D">
        <w:trPr>
          <w:trHeight w:val="603"/>
        </w:trPr>
        <w:tc>
          <w:tcPr>
            <w:tcW w:w="2091" w:type="dxa"/>
          </w:tcPr>
          <w:p w14:paraId="643A8078" w14:textId="77777777" w:rsidR="00275D5B" w:rsidRPr="00162350" w:rsidRDefault="00275D5B" w:rsidP="00296A4A">
            <w:pPr>
              <w:rPr>
                <w:lang w:val="en-US"/>
              </w:rPr>
            </w:pPr>
            <w:r w:rsidRPr="00162350">
              <w:rPr>
                <w:lang w:val="en-US"/>
              </w:rPr>
              <w:t>UNDP</w:t>
            </w:r>
          </w:p>
        </w:tc>
        <w:tc>
          <w:tcPr>
            <w:tcW w:w="2582" w:type="dxa"/>
          </w:tcPr>
          <w:p w14:paraId="335F7115" w14:textId="77777777" w:rsidR="00275D5B" w:rsidRPr="00162350" w:rsidRDefault="00275D5B" w:rsidP="00296A4A">
            <w:pPr>
              <w:rPr>
                <w:lang w:val="en-US"/>
              </w:rPr>
            </w:pPr>
            <w:r w:rsidRPr="00162350">
              <w:rPr>
                <w:lang w:val="en-US"/>
              </w:rPr>
              <w:t>Lin Cao</w:t>
            </w:r>
          </w:p>
        </w:tc>
        <w:tc>
          <w:tcPr>
            <w:tcW w:w="4678" w:type="dxa"/>
          </w:tcPr>
          <w:p w14:paraId="6F820546" w14:textId="77777777" w:rsidR="00275D5B" w:rsidRPr="00162350" w:rsidRDefault="00275D5B" w:rsidP="00296A4A">
            <w:pPr>
              <w:rPr>
                <w:lang w:val="en-US"/>
              </w:rPr>
            </w:pPr>
            <w:r w:rsidRPr="00162350">
              <w:rPr>
                <w:lang w:val="en-US"/>
              </w:rPr>
              <w:t xml:space="preserve">RB Asia Pacific, </w:t>
            </w:r>
            <w:r>
              <w:rPr>
                <w:lang w:val="en-US"/>
              </w:rPr>
              <w:t xml:space="preserve">GP </w:t>
            </w:r>
            <w:r w:rsidRPr="00162350">
              <w:rPr>
                <w:lang w:val="en-US"/>
              </w:rPr>
              <w:t>Project Board member</w:t>
            </w:r>
          </w:p>
        </w:tc>
      </w:tr>
      <w:tr w:rsidR="00275D5B" w:rsidRPr="00162350" w14:paraId="6BB9297C" w14:textId="77777777" w:rsidTr="7FB3149D">
        <w:trPr>
          <w:trHeight w:val="603"/>
        </w:trPr>
        <w:tc>
          <w:tcPr>
            <w:tcW w:w="2091" w:type="dxa"/>
          </w:tcPr>
          <w:p w14:paraId="314539BD" w14:textId="77777777" w:rsidR="00275D5B" w:rsidRPr="00162350" w:rsidRDefault="00275D5B" w:rsidP="00296A4A">
            <w:pPr>
              <w:rPr>
                <w:lang w:val="en-US"/>
              </w:rPr>
            </w:pPr>
            <w:r w:rsidRPr="00162350">
              <w:rPr>
                <w:lang w:val="en-US"/>
              </w:rPr>
              <w:t>UNDP</w:t>
            </w:r>
          </w:p>
        </w:tc>
        <w:tc>
          <w:tcPr>
            <w:tcW w:w="2582" w:type="dxa"/>
          </w:tcPr>
          <w:p w14:paraId="47C4E638" w14:textId="77777777" w:rsidR="00275D5B" w:rsidRPr="00162350" w:rsidRDefault="00275D5B" w:rsidP="00296A4A">
            <w:pPr>
              <w:rPr>
                <w:lang w:val="en-US"/>
              </w:rPr>
            </w:pPr>
            <w:r w:rsidRPr="00162350">
              <w:rPr>
                <w:lang w:val="en-US"/>
              </w:rPr>
              <w:t>Challa Getachew</w:t>
            </w:r>
          </w:p>
        </w:tc>
        <w:tc>
          <w:tcPr>
            <w:tcW w:w="4678" w:type="dxa"/>
          </w:tcPr>
          <w:p w14:paraId="67C0D506" w14:textId="77777777" w:rsidR="00275D5B" w:rsidRPr="00162350" w:rsidRDefault="00275D5B" w:rsidP="00296A4A">
            <w:pPr>
              <w:rPr>
                <w:lang w:val="en-US"/>
              </w:rPr>
            </w:pPr>
            <w:r w:rsidRPr="00162350">
              <w:rPr>
                <w:lang w:val="en-US"/>
              </w:rPr>
              <w:t xml:space="preserve">RB Africa, </w:t>
            </w:r>
            <w:r>
              <w:rPr>
                <w:lang w:val="en-US"/>
              </w:rPr>
              <w:t xml:space="preserve">GP </w:t>
            </w:r>
            <w:r w:rsidRPr="00162350">
              <w:rPr>
                <w:lang w:val="en-US"/>
              </w:rPr>
              <w:t>Project Board member</w:t>
            </w:r>
          </w:p>
        </w:tc>
      </w:tr>
      <w:tr w:rsidR="00275D5B" w:rsidRPr="00293EFE" w14:paraId="0526C15F" w14:textId="77777777" w:rsidTr="7FB3149D">
        <w:trPr>
          <w:trHeight w:val="603"/>
        </w:trPr>
        <w:tc>
          <w:tcPr>
            <w:tcW w:w="2091" w:type="dxa"/>
          </w:tcPr>
          <w:p w14:paraId="39795FE0" w14:textId="77777777" w:rsidR="00275D5B" w:rsidRPr="00162350" w:rsidRDefault="00275D5B" w:rsidP="00296A4A">
            <w:pPr>
              <w:rPr>
                <w:lang w:val="en-US"/>
              </w:rPr>
            </w:pPr>
            <w:r w:rsidRPr="00162350">
              <w:rPr>
                <w:lang w:val="en-US"/>
              </w:rPr>
              <w:t>UNDP</w:t>
            </w:r>
          </w:p>
        </w:tc>
        <w:tc>
          <w:tcPr>
            <w:tcW w:w="2582" w:type="dxa"/>
          </w:tcPr>
          <w:p w14:paraId="005FE886" w14:textId="77777777" w:rsidR="00275D5B" w:rsidRPr="00162350" w:rsidRDefault="00275D5B" w:rsidP="00296A4A">
            <w:pPr>
              <w:rPr>
                <w:lang w:val="en-US"/>
              </w:rPr>
            </w:pPr>
            <w:r w:rsidRPr="00162350">
              <w:rPr>
                <w:lang w:val="en-US"/>
              </w:rPr>
              <w:t>Gloria Manzotti</w:t>
            </w:r>
          </w:p>
        </w:tc>
        <w:tc>
          <w:tcPr>
            <w:tcW w:w="4678" w:type="dxa"/>
          </w:tcPr>
          <w:p w14:paraId="7A680F7A" w14:textId="77777777" w:rsidR="00275D5B" w:rsidRPr="00293EFE" w:rsidRDefault="00275D5B" w:rsidP="00296A4A">
            <w:r w:rsidRPr="00293EFE">
              <w:t>Focal Point for Colombia, Panama Regional Hub, also interviewed f</w:t>
            </w:r>
            <w:r>
              <w:t>or that case study</w:t>
            </w:r>
          </w:p>
        </w:tc>
      </w:tr>
      <w:tr w:rsidR="00275D5B" w:rsidRPr="00162350" w14:paraId="2FB06703" w14:textId="77777777" w:rsidTr="7FB3149D">
        <w:trPr>
          <w:trHeight w:val="603"/>
        </w:trPr>
        <w:tc>
          <w:tcPr>
            <w:tcW w:w="2091" w:type="dxa"/>
          </w:tcPr>
          <w:p w14:paraId="3AD519BA" w14:textId="77777777" w:rsidR="00275D5B" w:rsidRPr="00162350" w:rsidRDefault="00275D5B" w:rsidP="00296A4A">
            <w:pPr>
              <w:rPr>
                <w:lang w:val="en-US"/>
              </w:rPr>
            </w:pPr>
            <w:r w:rsidRPr="00162350">
              <w:rPr>
                <w:lang w:val="en-US"/>
              </w:rPr>
              <w:t>Oslo Governance Center</w:t>
            </w:r>
          </w:p>
        </w:tc>
        <w:tc>
          <w:tcPr>
            <w:tcW w:w="2582" w:type="dxa"/>
          </w:tcPr>
          <w:p w14:paraId="1C48C199" w14:textId="77777777" w:rsidR="00275D5B" w:rsidRPr="00162350" w:rsidRDefault="00275D5B" w:rsidP="00296A4A">
            <w:pPr>
              <w:rPr>
                <w:lang w:val="en-US"/>
              </w:rPr>
            </w:pPr>
            <w:r w:rsidRPr="00162350">
              <w:rPr>
                <w:lang w:val="en-US"/>
              </w:rPr>
              <w:t>Aparna Basnyat</w:t>
            </w:r>
          </w:p>
        </w:tc>
        <w:tc>
          <w:tcPr>
            <w:tcW w:w="4678" w:type="dxa"/>
          </w:tcPr>
          <w:p w14:paraId="2E37D9EF" w14:textId="77777777" w:rsidR="00275D5B" w:rsidRPr="00162350" w:rsidRDefault="00275D5B" w:rsidP="00296A4A">
            <w:pPr>
              <w:rPr>
                <w:lang w:val="en-US"/>
              </w:rPr>
            </w:pPr>
            <w:r w:rsidRPr="00162350">
              <w:rPr>
                <w:lang w:val="en-US"/>
              </w:rPr>
              <w:t>Senior Research and Policy Advisor, SDG16</w:t>
            </w:r>
          </w:p>
        </w:tc>
      </w:tr>
      <w:tr w:rsidR="00275D5B" w:rsidRPr="00162350" w14:paraId="48552629" w14:textId="77777777" w:rsidTr="7FB3149D">
        <w:trPr>
          <w:trHeight w:val="710"/>
        </w:trPr>
        <w:tc>
          <w:tcPr>
            <w:tcW w:w="2091" w:type="dxa"/>
          </w:tcPr>
          <w:p w14:paraId="1D6CB8FB" w14:textId="77777777" w:rsidR="00275D5B" w:rsidRPr="00162350" w:rsidRDefault="00275D5B" w:rsidP="00296A4A">
            <w:pPr>
              <w:rPr>
                <w:lang w:val="en-US"/>
              </w:rPr>
            </w:pPr>
            <w:r w:rsidRPr="00162350">
              <w:rPr>
                <w:lang w:val="en-US"/>
              </w:rPr>
              <w:t>UNDP consultant</w:t>
            </w:r>
          </w:p>
        </w:tc>
        <w:tc>
          <w:tcPr>
            <w:tcW w:w="2582" w:type="dxa"/>
          </w:tcPr>
          <w:p w14:paraId="6F013552" w14:textId="77777777" w:rsidR="00275D5B" w:rsidRPr="00162350" w:rsidRDefault="00275D5B" w:rsidP="00296A4A">
            <w:pPr>
              <w:rPr>
                <w:lang w:val="en-US"/>
              </w:rPr>
            </w:pPr>
            <w:r w:rsidRPr="00162350">
              <w:rPr>
                <w:lang w:val="en-US"/>
              </w:rPr>
              <w:t>Christi Sletten</w:t>
            </w:r>
          </w:p>
        </w:tc>
        <w:tc>
          <w:tcPr>
            <w:tcW w:w="4678" w:type="dxa"/>
          </w:tcPr>
          <w:p w14:paraId="1C677736" w14:textId="77777777" w:rsidR="00275D5B" w:rsidRPr="00162350" w:rsidRDefault="00275D5B" w:rsidP="00296A4A">
            <w:pPr>
              <w:rPr>
                <w:lang w:val="en-US"/>
              </w:rPr>
            </w:pPr>
            <w:r w:rsidRPr="00162350">
              <w:rPr>
                <w:lang w:val="en-US"/>
              </w:rPr>
              <w:t xml:space="preserve">former GP Project Manager </w:t>
            </w:r>
          </w:p>
        </w:tc>
      </w:tr>
      <w:tr w:rsidR="00275D5B" w:rsidRPr="00162350" w14:paraId="071A023A" w14:textId="77777777" w:rsidTr="7FB3149D">
        <w:trPr>
          <w:trHeight w:val="765"/>
        </w:trPr>
        <w:tc>
          <w:tcPr>
            <w:tcW w:w="2091" w:type="dxa"/>
          </w:tcPr>
          <w:p w14:paraId="05A5E10B" w14:textId="77777777" w:rsidR="00275D5B" w:rsidRPr="00162350" w:rsidRDefault="00275D5B" w:rsidP="00296A4A">
            <w:pPr>
              <w:rPr>
                <w:lang w:val="en-US"/>
              </w:rPr>
            </w:pPr>
            <w:r w:rsidRPr="00162350">
              <w:rPr>
                <w:lang w:val="en-US"/>
              </w:rPr>
              <w:t>UNDP consultant</w:t>
            </w:r>
          </w:p>
        </w:tc>
        <w:tc>
          <w:tcPr>
            <w:tcW w:w="2582" w:type="dxa"/>
          </w:tcPr>
          <w:p w14:paraId="47B716EC" w14:textId="77777777" w:rsidR="00275D5B" w:rsidRPr="00162350" w:rsidRDefault="00275D5B" w:rsidP="00296A4A">
            <w:pPr>
              <w:rPr>
                <w:lang w:val="en-US"/>
              </w:rPr>
            </w:pPr>
            <w:r w:rsidRPr="00162350">
              <w:rPr>
                <w:lang w:val="en-US"/>
              </w:rPr>
              <w:t>Chelsea Shelton</w:t>
            </w:r>
          </w:p>
        </w:tc>
        <w:tc>
          <w:tcPr>
            <w:tcW w:w="4678" w:type="dxa"/>
          </w:tcPr>
          <w:p w14:paraId="55F730DA" w14:textId="784D5136" w:rsidR="00275D5B" w:rsidRPr="00162350" w:rsidRDefault="00275D5B" w:rsidP="00296A4A">
            <w:pPr>
              <w:rPr>
                <w:lang w:val="en-US"/>
              </w:rPr>
            </w:pPr>
            <w:r w:rsidRPr="00162350">
              <w:rPr>
                <w:lang w:val="en-US"/>
              </w:rPr>
              <w:t xml:space="preserve">former Learning and Knowledge Management </w:t>
            </w:r>
            <w:r w:rsidR="004E1CCC">
              <w:rPr>
                <w:lang w:val="en-US"/>
              </w:rPr>
              <w:t>Analyst</w:t>
            </w:r>
            <w:r w:rsidRPr="00162350">
              <w:rPr>
                <w:lang w:val="en-US"/>
              </w:rPr>
              <w:t>, GP team</w:t>
            </w:r>
          </w:p>
        </w:tc>
      </w:tr>
      <w:tr w:rsidR="00275D5B" w:rsidRPr="00162350" w14:paraId="6A500AFD" w14:textId="77777777" w:rsidTr="7FB3149D">
        <w:trPr>
          <w:trHeight w:val="613"/>
        </w:trPr>
        <w:tc>
          <w:tcPr>
            <w:tcW w:w="2091" w:type="dxa"/>
          </w:tcPr>
          <w:p w14:paraId="0BD4152F" w14:textId="77777777" w:rsidR="00275D5B" w:rsidRPr="00162350" w:rsidRDefault="00275D5B" w:rsidP="00296A4A">
            <w:pPr>
              <w:rPr>
                <w:lang w:val="en-US"/>
              </w:rPr>
            </w:pPr>
            <w:r w:rsidRPr="00162350">
              <w:rPr>
                <w:lang w:val="en-US"/>
              </w:rPr>
              <w:t>UNDP consultant</w:t>
            </w:r>
          </w:p>
        </w:tc>
        <w:tc>
          <w:tcPr>
            <w:tcW w:w="2582" w:type="dxa"/>
          </w:tcPr>
          <w:p w14:paraId="623D62B2" w14:textId="77777777" w:rsidR="00275D5B" w:rsidRPr="00162350" w:rsidRDefault="00275D5B" w:rsidP="00296A4A">
            <w:pPr>
              <w:rPr>
                <w:lang w:val="en-US"/>
              </w:rPr>
            </w:pPr>
            <w:r w:rsidRPr="00162350">
              <w:rPr>
                <w:lang w:val="en-US"/>
              </w:rPr>
              <w:t>Leanne McKay</w:t>
            </w:r>
          </w:p>
        </w:tc>
        <w:tc>
          <w:tcPr>
            <w:tcW w:w="4678" w:type="dxa"/>
          </w:tcPr>
          <w:p w14:paraId="68003076" w14:textId="77777777" w:rsidR="00275D5B" w:rsidRPr="00162350" w:rsidRDefault="00275D5B" w:rsidP="00296A4A">
            <w:pPr>
              <w:rPr>
                <w:lang w:val="en-US"/>
              </w:rPr>
            </w:pPr>
            <w:r w:rsidRPr="00162350">
              <w:rPr>
                <w:lang w:val="en-US"/>
              </w:rPr>
              <w:t xml:space="preserve">Phase 4 design </w:t>
            </w:r>
            <w:r>
              <w:rPr>
                <w:lang w:val="en-US"/>
              </w:rPr>
              <w:t xml:space="preserve">and strategy </w:t>
            </w:r>
            <w:r w:rsidRPr="00162350">
              <w:rPr>
                <w:lang w:val="en-US"/>
              </w:rPr>
              <w:t>consultant</w:t>
            </w:r>
          </w:p>
        </w:tc>
      </w:tr>
      <w:tr w:rsidR="00275D5B" w:rsidRPr="00162350" w14:paraId="0C646150" w14:textId="77777777" w:rsidTr="7FB3149D">
        <w:trPr>
          <w:trHeight w:val="471"/>
        </w:trPr>
        <w:tc>
          <w:tcPr>
            <w:tcW w:w="9351" w:type="dxa"/>
            <w:gridSpan w:val="3"/>
            <w:shd w:val="clear" w:color="auto" w:fill="D7D2D9" w:themeFill="accent6" w:themeFillTint="66"/>
          </w:tcPr>
          <w:p w14:paraId="1BC269DF" w14:textId="77777777" w:rsidR="00275D5B" w:rsidRPr="00162350" w:rsidRDefault="00275D5B" w:rsidP="00296A4A">
            <w:pPr>
              <w:rPr>
                <w:b/>
                <w:bCs/>
                <w:lang w:val="en-US"/>
              </w:rPr>
            </w:pPr>
            <w:r w:rsidRPr="00162350">
              <w:rPr>
                <w:b/>
                <w:bCs/>
                <w:lang w:val="en-US"/>
              </w:rPr>
              <w:t>Other UN entities</w:t>
            </w:r>
          </w:p>
        </w:tc>
      </w:tr>
      <w:tr w:rsidR="00275D5B" w:rsidRPr="00162350" w14:paraId="49859E9D" w14:textId="77777777" w:rsidTr="7FB3149D">
        <w:trPr>
          <w:trHeight w:val="570"/>
        </w:trPr>
        <w:tc>
          <w:tcPr>
            <w:tcW w:w="2091" w:type="dxa"/>
            <w:hideMark/>
          </w:tcPr>
          <w:p w14:paraId="01F5F09D" w14:textId="77777777" w:rsidR="00275D5B" w:rsidRPr="00162350" w:rsidRDefault="00275D5B" w:rsidP="00296A4A">
            <w:pPr>
              <w:rPr>
                <w:lang w:val="en-US"/>
              </w:rPr>
            </w:pPr>
            <w:r w:rsidRPr="00162350">
              <w:rPr>
                <w:lang w:val="en-US"/>
              </w:rPr>
              <w:t>EOSG</w:t>
            </w:r>
          </w:p>
        </w:tc>
        <w:tc>
          <w:tcPr>
            <w:tcW w:w="2582" w:type="dxa"/>
            <w:hideMark/>
          </w:tcPr>
          <w:p w14:paraId="531C7380" w14:textId="77777777" w:rsidR="00275D5B" w:rsidRPr="00162350" w:rsidRDefault="00275D5B" w:rsidP="00296A4A">
            <w:pPr>
              <w:rPr>
                <w:lang w:val="en-US"/>
              </w:rPr>
            </w:pPr>
            <w:r w:rsidRPr="00162350">
              <w:rPr>
                <w:lang w:val="en-US"/>
              </w:rPr>
              <w:t>Alejandro Alvarez</w:t>
            </w:r>
          </w:p>
        </w:tc>
        <w:tc>
          <w:tcPr>
            <w:tcW w:w="4678" w:type="dxa"/>
            <w:hideMark/>
          </w:tcPr>
          <w:p w14:paraId="0587E5C0" w14:textId="77777777" w:rsidR="00275D5B" w:rsidRPr="00162350" w:rsidRDefault="00275D5B" w:rsidP="00296A4A">
            <w:pPr>
              <w:rPr>
                <w:lang w:val="en-US"/>
              </w:rPr>
            </w:pPr>
            <w:r w:rsidRPr="00162350">
              <w:rPr>
                <w:lang w:val="en-US"/>
              </w:rPr>
              <w:t xml:space="preserve">former GP team lead, now Chief of RoL with EOSG </w:t>
            </w:r>
          </w:p>
        </w:tc>
      </w:tr>
      <w:tr w:rsidR="00275D5B" w:rsidRPr="00162350" w14:paraId="3ECF37DB" w14:textId="77777777" w:rsidTr="7FB3149D">
        <w:trPr>
          <w:trHeight w:val="570"/>
        </w:trPr>
        <w:tc>
          <w:tcPr>
            <w:tcW w:w="2091" w:type="dxa"/>
            <w:hideMark/>
          </w:tcPr>
          <w:p w14:paraId="2622B8CA" w14:textId="77777777" w:rsidR="00275D5B" w:rsidRPr="00162350" w:rsidRDefault="00275D5B" w:rsidP="00296A4A">
            <w:pPr>
              <w:rPr>
                <w:lang w:val="en-US"/>
              </w:rPr>
            </w:pPr>
            <w:r w:rsidRPr="00162350">
              <w:rPr>
                <w:lang w:val="en-US"/>
              </w:rPr>
              <w:t>UNODC</w:t>
            </w:r>
          </w:p>
        </w:tc>
        <w:tc>
          <w:tcPr>
            <w:tcW w:w="2582" w:type="dxa"/>
            <w:hideMark/>
          </w:tcPr>
          <w:p w14:paraId="1D17E95D" w14:textId="77777777" w:rsidR="00275D5B" w:rsidRPr="00162350" w:rsidRDefault="00275D5B" w:rsidP="00296A4A">
            <w:pPr>
              <w:rPr>
                <w:lang w:val="en-US"/>
              </w:rPr>
            </w:pPr>
            <w:r w:rsidRPr="00162350">
              <w:rPr>
                <w:lang w:val="en-US"/>
              </w:rPr>
              <w:t>Anna Giudice</w:t>
            </w:r>
          </w:p>
        </w:tc>
        <w:tc>
          <w:tcPr>
            <w:tcW w:w="4678" w:type="dxa"/>
            <w:hideMark/>
          </w:tcPr>
          <w:p w14:paraId="39604F4E" w14:textId="77777777" w:rsidR="00275D5B" w:rsidRPr="00162350" w:rsidRDefault="00275D5B" w:rsidP="00296A4A">
            <w:pPr>
              <w:rPr>
                <w:lang w:val="en-US"/>
              </w:rPr>
            </w:pPr>
            <w:r w:rsidRPr="00162350">
              <w:rPr>
                <w:lang w:val="en-US"/>
              </w:rPr>
              <w:t>Programme manager at UNODC Justice Section</w:t>
            </w:r>
          </w:p>
        </w:tc>
      </w:tr>
      <w:tr w:rsidR="00275D5B" w:rsidRPr="00162350" w14:paraId="66A6A03C" w14:textId="77777777" w:rsidTr="7FB3149D">
        <w:trPr>
          <w:trHeight w:val="645"/>
        </w:trPr>
        <w:tc>
          <w:tcPr>
            <w:tcW w:w="2091" w:type="dxa"/>
            <w:hideMark/>
          </w:tcPr>
          <w:p w14:paraId="2E9EA234" w14:textId="77777777" w:rsidR="00275D5B" w:rsidRPr="00162350" w:rsidRDefault="00275D5B" w:rsidP="00296A4A">
            <w:pPr>
              <w:rPr>
                <w:lang w:val="en-US"/>
              </w:rPr>
            </w:pPr>
            <w:r w:rsidRPr="00162350">
              <w:rPr>
                <w:lang w:val="en-US"/>
              </w:rPr>
              <w:t>UNODA</w:t>
            </w:r>
          </w:p>
        </w:tc>
        <w:tc>
          <w:tcPr>
            <w:tcW w:w="2582" w:type="dxa"/>
            <w:hideMark/>
          </w:tcPr>
          <w:p w14:paraId="16C16FF9" w14:textId="77777777" w:rsidR="00275D5B" w:rsidRPr="00162350" w:rsidRDefault="00275D5B" w:rsidP="00296A4A">
            <w:pPr>
              <w:rPr>
                <w:lang w:val="en-US"/>
              </w:rPr>
            </w:pPr>
            <w:r w:rsidRPr="00162350">
              <w:rPr>
                <w:lang w:val="en-US"/>
              </w:rPr>
              <w:t xml:space="preserve">Fiona Simpson </w:t>
            </w:r>
          </w:p>
        </w:tc>
        <w:tc>
          <w:tcPr>
            <w:tcW w:w="4678" w:type="dxa"/>
            <w:hideMark/>
          </w:tcPr>
          <w:p w14:paraId="15F15716" w14:textId="77777777" w:rsidR="00275D5B" w:rsidRPr="00162350" w:rsidRDefault="00275D5B" w:rsidP="00296A4A">
            <w:pPr>
              <w:rPr>
                <w:lang w:val="en-US"/>
              </w:rPr>
            </w:pPr>
            <w:r w:rsidRPr="00162350">
              <w:rPr>
                <w:lang w:val="en-US"/>
              </w:rPr>
              <w:t>Focal point for SALIENT partnership</w:t>
            </w:r>
          </w:p>
        </w:tc>
      </w:tr>
      <w:tr w:rsidR="00275D5B" w:rsidRPr="00162350" w14:paraId="3FDF7A14" w14:textId="77777777" w:rsidTr="7FB3149D">
        <w:trPr>
          <w:trHeight w:val="694"/>
        </w:trPr>
        <w:tc>
          <w:tcPr>
            <w:tcW w:w="2091" w:type="dxa"/>
            <w:hideMark/>
          </w:tcPr>
          <w:p w14:paraId="215E154F" w14:textId="77777777" w:rsidR="00275D5B" w:rsidRPr="00162350" w:rsidRDefault="00275D5B" w:rsidP="00296A4A">
            <w:pPr>
              <w:rPr>
                <w:lang w:val="en-US"/>
              </w:rPr>
            </w:pPr>
            <w:r w:rsidRPr="00162350">
              <w:rPr>
                <w:lang w:val="en-US"/>
              </w:rPr>
              <w:t>DPO</w:t>
            </w:r>
          </w:p>
        </w:tc>
        <w:tc>
          <w:tcPr>
            <w:tcW w:w="2582" w:type="dxa"/>
            <w:hideMark/>
          </w:tcPr>
          <w:p w14:paraId="316446AD" w14:textId="77777777" w:rsidR="00275D5B" w:rsidRPr="00162350" w:rsidRDefault="00275D5B" w:rsidP="00296A4A">
            <w:pPr>
              <w:rPr>
                <w:lang w:val="en-US"/>
              </w:rPr>
            </w:pPr>
            <w:r w:rsidRPr="00162350">
              <w:rPr>
                <w:lang w:val="en-US"/>
              </w:rPr>
              <w:t>Rob</w:t>
            </w:r>
            <w:r>
              <w:rPr>
                <w:lang w:val="en-US"/>
              </w:rPr>
              <w:t>ert</w:t>
            </w:r>
            <w:r w:rsidRPr="00162350">
              <w:rPr>
                <w:lang w:val="en-US"/>
              </w:rPr>
              <w:t xml:space="preserve"> Pulver</w:t>
            </w:r>
          </w:p>
        </w:tc>
        <w:tc>
          <w:tcPr>
            <w:tcW w:w="4678" w:type="dxa"/>
            <w:hideMark/>
          </w:tcPr>
          <w:p w14:paraId="6EF81F8E" w14:textId="77777777" w:rsidR="00275D5B" w:rsidRPr="00162350" w:rsidRDefault="00275D5B" w:rsidP="00296A4A">
            <w:pPr>
              <w:rPr>
                <w:lang w:val="en-US"/>
              </w:rPr>
            </w:pPr>
            <w:r w:rsidRPr="00162350">
              <w:rPr>
                <w:lang w:val="en-US"/>
              </w:rPr>
              <w:t xml:space="preserve">One of </w:t>
            </w:r>
            <w:r>
              <w:rPr>
                <w:lang w:val="en-US"/>
              </w:rPr>
              <w:t>three</w:t>
            </w:r>
            <w:r w:rsidRPr="00162350">
              <w:rPr>
                <w:lang w:val="en-US"/>
              </w:rPr>
              <w:t xml:space="preserve"> GFP managers, Chief of </w:t>
            </w:r>
            <w:r>
              <w:rPr>
                <w:rStyle w:val="background-details"/>
              </w:rPr>
              <w:t>Criminal Law and Judicial Advisory Service</w:t>
            </w:r>
          </w:p>
        </w:tc>
      </w:tr>
      <w:tr w:rsidR="00275D5B" w:rsidRPr="00162350" w14:paraId="1ED60825" w14:textId="77777777" w:rsidTr="7FB3149D">
        <w:trPr>
          <w:trHeight w:val="626"/>
        </w:trPr>
        <w:tc>
          <w:tcPr>
            <w:tcW w:w="2091" w:type="dxa"/>
            <w:hideMark/>
          </w:tcPr>
          <w:p w14:paraId="7B5B35E4" w14:textId="77777777" w:rsidR="00275D5B" w:rsidRPr="00162350" w:rsidRDefault="00275D5B" w:rsidP="00296A4A">
            <w:pPr>
              <w:rPr>
                <w:lang w:val="en-US"/>
              </w:rPr>
            </w:pPr>
            <w:r w:rsidRPr="00162350">
              <w:rPr>
                <w:lang w:val="en-US"/>
              </w:rPr>
              <w:t>UN Women</w:t>
            </w:r>
          </w:p>
        </w:tc>
        <w:tc>
          <w:tcPr>
            <w:tcW w:w="2582" w:type="dxa"/>
            <w:hideMark/>
          </w:tcPr>
          <w:p w14:paraId="752F69DB" w14:textId="77777777" w:rsidR="00275D5B" w:rsidRPr="00162350" w:rsidRDefault="00275D5B" w:rsidP="00296A4A">
            <w:pPr>
              <w:rPr>
                <w:lang w:val="en-US"/>
              </w:rPr>
            </w:pPr>
            <w:r w:rsidRPr="00162350">
              <w:rPr>
                <w:lang w:val="en-US"/>
              </w:rPr>
              <w:t>Emily Kenney (in lieu of Paivi Kannisto)</w:t>
            </w:r>
          </w:p>
        </w:tc>
        <w:tc>
          <w:tcPr>
            <w:tcW w:w="4678" w:type="dxa"/>
            <w:hideMark/>
          </w:tcPr>
          <w:p w14:paraId="36FCE47B" w14:textId="77777777" w:rsidR="00275D5B" w:rsidRPr="00162350" w:rsidRDefault="00275D5B" w:rsidP="00296A4A">
            <w:pPr>
              <w:rPr>
                <w:lang w:val="en-US"/>
              </w:rPr>
            </w:pPr>
            <w:r w:rsidRPr="00162350">
              <w:rPr>
                <w:lang w:val="en-US"/>
              </w:rPr>
              <w:t>Policy specialist on transitional justice</w:t>
            </w:r>
          </w:p>
        </w:tc>
      </w:tr>
      <w:tr w:rsidR="00275D5B" w:rsidRPr="00162350" w14:paraId="4B76ADBB" w14:textId="77777777" w:rsidTr="7FB3149D">
        <w:trPr>
          <w:trHeight w:val="675"/>
        </w:trPr>
        <w:tc>
          <w:tcPr>
            <w:tcW w:w="2091" w:type="dxa"/>
            <w:hideMark/>
          </w:tcPr>
          <w:p w14:paraId="14033588" w14:textId="77777777" w:rsidR="00275D5B" w:rsidRPr="00162350" w:rsidRDefault="00275D5B" w:rsidP="00296A4A">
            <w:pPr>
              <w:rPr>
                <w:lang w:val="en-US"/>
              </w:rPr>
            </w:pPr>
            <w:r w:rsidRPr="00162350">
              <w:rPr>
                <w:lang w:val="en-US"/>
              </w:rPr>
              <w:t>PBSO</w:t>
            </w:r>
          </w:p>
        </w:tc>
        <w:tc>
          <w:tcPr>
            <w:tcW w:w="2582" w:type="dxa"/>
            <w:hideMark/>
          </w:tcPr>
          <w:p w14:paraId="5A295DD3" w14:textId="77777777" w:rsidR="00275D5B" w:rsidRPr="00162350" w:rsidRDefault="00275D5B" w:rsidP="00296A4A">
            <w:pPr>
              <w:rPr>
                <w:lang w:val="en-US"/>
              </w:rPr>
            </w:pPr>
            <w:r w:rsidRPr="00162350">
              <w:rPr>
                <w:lang w:val="en-US"/>
              </w:rPr>
              <w:t xml:space="preserve">Marcus Lenzen </w:t>
            </w:r>
          </w:p>
        </w:tc>
        <w:tc>
          <w:tcPr>
            <w:tcW w:w="4678" w:type="dxa"/>
            <w:hideMark/>
          </w:tcPr>
          <w:p w14:paraId="00014312" w14:textId="77777777" w:rsidR="00275D5B" w:rsidRPr="00162350" w:rsidRDefault="00275D5B" w:rsidP="00296A4A">
            <w:pPr>
              <w:rPr>
                <w:lang w:val="en-US"/>
              </w:rPr>
            </w:pPr>
            <w:r w:rsidRPr="00162350">
              <w:rPr>
                <w:lang w:val="en-US"/>
              </w:rPr>
              <w:t>Senior Adviser, Peacebuilding Policy and Programmes</w:t>
            </w:r>
          </w:p>
        </w:tc>
      </w:tr>
      <w:tr w:rsidR="00275D5B" w:rsidRPr="00162350" w14:paraId="6D882189" w14:textId="77777777" w:rsidTr="7FB3149D">
        <w:trPr>
          <w:trHeight w:val="705"/>
        </w:trPr>
        <w:tc>
          <w:tcPr>
            <w:tcW w:w="2091" w:type="dxa"/>
            <w:hideMark/>
          </w:tcPr>
          <w:p w14:paraId="22F3AE83" w14:textId="77777777" w:rsidR="00275D5B" w:rsidRPr="00162350" w:rsidRDefault="00275D5B" w:rsidP="00296A4A">
            <w:pPr>
              <w:rPr>
                <w:lang w:val="en-US"/>
              </w:rPr>
            </w:pPr>
            <w:r w:rsidRPr="00162350">
              <w:rPr>
                <w:lang w:val="en-US"/>
              </w:rPr>
              <w:t>UNHCR</w:t>
            </w:r>
          </w:p>
        </w:tc>
        <w:tc>
          <w:tcPr>
            <w:tcW w:w="2582" w:type="dxa"/>
            <w:hideMark/>
          </w:tcPr>
          <w:p w14:paraId="797A952D" w14:textId="77777777" w:rsidR="00275D5B" w:rsidRPr="00162350" w:rsidRDefault="00275D5B" w:rsidP="00296A4A">
            <w:pPr>
              <w:rPr>
                <w:lang w:val="en-US"/>
              </w:rPr>
            </w:pPr>
            <w:r w:rsidRPr="00162350">
              <w:rPr>
                <w:lang w:val="en-US"/>
              </w:rPr>
              <w:t>Marije van Kempen (written submission)</w:t>
            </w:r>
          </w:p>
        </w:tc>
        <w:tc>
          <w:tcPr>
            <w:tcW w:w="4678" w:type="dxa"/>
            <w:hideMark/>
          </w:tcPr>
          <w:p w14:paraId="6EB9EB63" w14:textId="77777777" w:rsidR="00275D5B" w:rsidRPr="00162350" w:rsidRDefault="00275D5B" w:rsidP="00296A4A">
            <w:pPr>
              <w:rPr>
                <w:lang w:val="en-US"/>
              </w:rPr>
            </w:pPr>
            <w:r w:rsidRPr="00162350">
              <w:rPr>
                <w:lang w:val="en-US"/>
              </w:rPr>
              <w:t xml:space="preserve">Rule of Law Cluster Coordinator </w:t>
            </w:r>
          </w:p>
        </w:tc>
      </w:tr>
      <w:tr w:rsidR="00275D5B" w:rsidRPr="00162350" w14:paraId="45C25338" w14:textId="77777777" w:rsidTr="7FB3149D">
        <w:trPr>
          <w:trHeight w:val="704"/>
        </w:trPr>
        <w:tc>
          <w:tcPr>
            <w:tcW w:w="2091" w:type="dxa"/>
            <w:hideMark/>
          </w:tcPr>
          <w:p w14:paraId="1A7B6641" w14:textId="77777777" w:rsidR="00275D5B" w:rsidRPr="00162350" w:rsidRDefault="00275D5B" w:rsidP="00296A4A">
            <w:pPr>
              <w:rPr>
                <w:lang w:val="en-US"/>
              </w:rPr>
            </w:pPr>
            <w:r w:rsidRPr="00162350">
              <w:rPr>
                <w:lang w:val="en-US"/>
              </w:rPr>
              <w:t>Pathfinders – Justice Task Force (SDG16)</w:t>
            </w:r>
          </w:p>
        </w:tc>
        <w:tc>
          <w:tcPr>
            <w:tcW w:w="2582" w:type="dxa"/>
            <w:hideMark/>
          </w:tcPr>
          <w:p w14:paraId="0B0E8B3B" w14:textId="77777777" w:rsidR="00275D5B" w:rsidRPr="00162350" w:rsidRDefault="00275D5B" w:rsidP="00296A4A">
            <w:pPr>
              <w:rPr>
                <w:lang w:val="en-US"/>
              </w:rPr>
            </w:pPr>
            <w:r w:rsidRPr="00162350">
              <w:rPr>
                <w:lang w:val="en-US"/>
              </w:rPr>
              <w:t>Maaike de Langen</w:t>
            </w:r>
          </w:p>
        </w:tc>
        <w:tc>
          <w:tcPr>
            <w:tcW w:w="4678" w:type="dxa"/>
            <w:hideMark/>
          </w:tcPr>
          <w:p w14:paraId="48001214" w14:textId="77777777" w:rsidR="00275D5B" w:rsidRPr="00162350" w:rsidRDefault="00275D5B" w:rsidP="00296A4A">
            <w:pPr>
              <w:rPr>
                <w:lang w:val="en-US"/>
              </w:rPr>
            </w:pPr>
            <w:r w:rsidRPr="00162350">
              <w:rPr>
                <w:lang w:val="en-US"/>
              </w:rPr>
              <w:t xml:space="preserve">Programme lead - Justice for all </w:t>
            </w:r>
          </w:p>
        </w:tc>
      </w:tr>
      <w:tr w:rsidR="00275D5B" w:rsidRPr="00162350" w14:paraId="44749B41" w14:textId="77777777" w:rsidTr="7FB3149D">
        <w:trPr>
          <w:trHeight w:val="530"/>
        </w:trPr>
        <w:tc>
          <w:tcPr>
            <w:tcW w:w="9351" w:type="dxa"/>
            <w:gridSpan w:val="3"/>
            <w:shd w:val="clear" w:color="auto" w:fill="D7D2D9" w:themeFill="accent6" w:themeFillTint="66"/>
          </w:tcPr>
          <w:p w14:paraId="4AFF6FE6" w14:textId="77777777" w:rsidR="00275D5B" w:rsidRPr="00162350" w:rsidRDefault="00275D5B" w:rsidP="00296A4A">
            <w:pPr>
              <w:rPr>
                <w:b/>
                <w:bCs/>
                <w:lang w:val="en-US"/>
              </w:rPr>
            </w:pPr>
            <w:r w:rsidRPr="00162350">
              <w:rPr>
                <w:b/>
                <w:bCs/>
                <w:lang w:val="en-US"/>
              </w:rPr>
              <w:t>Funding partners</w:t>
            </w:r>
          </w:p>
        </w:tc>
      </w:tr>
      <w:tr w:rsidR="00275D5B" w:rsidRPr="00162350" w14:paraId="002C8524" w14:textId="77777777" w:rsidTr="7FB3149D">
        <w:trPr>
          <w:trHeight w:val="595"/>
        </w:trPr>
        <w:tc>
          <w:tcPr>
            <w:tcW w:w="2091" w:type="dxa"/>
            <w:hideMark/>
          </w:tcPr>
          <w:p w14:paraId="4874D824" w14:textId="77777777" w:rsidR="00275D5B" w:rsidRPr="00162350" w:rsidRDefault="00275D5B" w:rsidP="00296A4A">
            <w:pPr>
              <w:rPr>
                <w:lang w:val="en-US"/>
              </w:rPr>
            </w:pPr>
            <w:r w:rsidRPr="00162350">
              <w:rPr>
                <w:lang w:val="en-US"/>
              </w:rPr>
              <w:t>Netherlands</w:t>
            </w:r>
          </w:p>
        </w:tc>
        <w:tc>
          <w:tcPr>
            <w:tcW w:w="2582" w:type="dxa"/>
            <w:hideMark/>
          </w:tcPr>
          <w:p w14:paraId="4594BA84" w14:textId="77777777" w:rsidR="00275D5B" w:rsidRPr="00162350" w:rsidRDefault="00275D5B" w:rsidP="00296A4A">
            <w:pPr>
              <w:rPr>
                <w:lang w:val="en-US"/>
              </w:rPr>
            </w:pPr>
            <w:r w:rsidRPr="00162350">
              <w:rPr>
                <w:lang w:val="en-US"/>
              </w:rPr>
              <w:t>Marieke Wierda</w:t>
            </w:r>
          </w:p>
        </w:tc>
        <w:tc>
          <w:tcPr>
            <w:tcW w:w="4678" w:type="dxa"/>
            <w:hideMark/>
          </w:tcPr>
          <w:p w14:paraId="75C420D5" w14:textId="77777777" w:rsidR="00275D5B" w:rsidRPr="00162350" w:rsidRDefault="00275D5B" w:rsidP="00296A4A">
            <w:pPr>
              <w:rPr>
                <w:lang w:val="en-US"/>
              </w:rPr>
            </w:pPr>
            <w:r w:rsidRPr="00162350">
              <w:rPr>
                <w:lang w:val="en-US"/>
              </w:rPr>
              <w:t>Ministry of Foreign Affairs</w:t>
            </w:r>
          </w:p>
        </w:tc>
      </w:tr>
      <w:tr w:rsidR="00275D5B" w:rsidRPr="00162350" w14:paraId="5A766284" w14:textId="77777777" w:rsidTr="7FB3149D">
        <w:trPr>
          <w:trHeight w:val="405"/>
        </w:trPr>
        <w:tc>
          <w:tcPr>
            <w:tcW w:w="2091" w:type="dxa"/>
            <w:hideMark/>
          </w:tcPr>
          <w:p w14:paraId="46FC6FFF" w14:textId="77777777" w:rsidR="00275D5B" w:rsidRPr="00162350" w:rsidRDefault="00275D5B" w:rsidP="00296A4A">
            <w:pPr>
              <w:rPr>
                <w:lang w:val="en-US"/>
              </w:rPr>
            </w:pPr>
            <w:r w:rsidRPr="00162350">
              <w:rPr>
                <w:lang w:val="en-US"/>
              </w:rPr>
              <w:t>Netherlands</w:t>
            </w:r>
          </w:p>
        </w:tc>
        <w:tc>
          <w:tcPr>
            <w:tcW w:w="2582" w:type="dxa"/>
            <w:hideMark/>
          </w:tcPr>
          <w:p w14:paraId="5D617323" w14:textId="77777777" w:rsidR="00275D5B" w:rsidRDefault="00275D5B" w:rsidP="00296A4A">
            <w:pPr>
              <w:rPr>
                <w:lang w:val="fr-FR"/>
              </w:rPr>
            </w:pPr>
            <w:r w:rsidRPr="00BF2CFC">
              <w:rPr>
                <w:lang w:val="fr-FR"/>
              </w:rPr>
              <w:t xml:space="preserve">Eveline de Bruijn, </w:t>
            </w:r>
          </w:p>
          <w:p w14:paraId="7E8AE459" w14:textId="77777777" w:rsidR="00275D5B" w:rsidRPr="00BF2CFC" w:rsidRDefault="00275D5B" w:rsidP="00296A4A">
            <w:pPr>
              <w:rPr>
                <w:lang w:val="fr-FR"/>
              </w:rPr>
            </w:pPr>
            <w:r w:rsidRPr="00BF2CFC">
              <w:rPr>
                <w:lang w:val="fr-FR"/>
              </w:rPr>
              <w:t>Barbara C</w:t>
            </w:r>
            <w:r>
              <w:rPr>
                <w:lang w:val="fr-FR"/>
              </w:rPr>
              <w:t>halghaf</w:t>
            </w:r>
          </w:p>
        </w:tc>
        <w:tc>
          <w:tcPr>
            <w:tcW w:w="4678" w:type="dxa"/>
            <w:hideMark/>
          </w:tcPr>
          <w:p w14:paraId="316713FB" w14:textId="77777777" w:rsidR="00275D5B" w:rsidRPr="00162350" w:rsidRDefault="00275D5B" w:rsidP="00296A4A">
            <w:pPr>
              <w:rPr>
                <w:lang w:val="en-US"/>
              </w:rPr>
            </w:pPr>
            <w:r w:rsidRPr="00162350">
              <w:rPr>
                <w:lang w:val="en-US"/>
              </w:rPr>
              <w:t>Ministry of Foreign Affairs</w:t>
            </w:r>
          </w:p>
        </w:tc>
      </w:tr>
      <w:tr w:rsidR="00275D5B" w:rsidRPr="00162350" w14:paraId="27C22040" w14:textId="77777777" w:rsidTr="7FB3149D">
        <w:trPr>
          <w:trHeight w:val="360"/>
        </w:trPr>
        <w:tc>
          <w:tcPr>
            <w:tcW w:w="2091" w:type="dxa"/>
            <w:hideMark/>
          </w:tcPr>
          <w:p w14:paraId="0AAE5618" w14:textId="77777777" w:rsidR="00275D5B" w:rsidRPr="00162350" w:rsidRDefault="00275D5B" w:rsidP="00296A4A">
            <w:pPr>
              <w:rPr>
                <w:lang w:val="en-US"/>
              </w:rPr>
            </w:pPr>
            <w:r w:rsidRPr="00162350">
              <w:rPr>
                <w:lang w:val="en-US"/>
              </w:rPr>
              <w:t>UK</w:t>
            </w:r>
          </w:p>
        </w:tc>
        <w:tc>
          <w:tcPr>
            <w:tcW w:w="2582" w:type="dxa"/>
            <w:shd w:val="clear" w:color="auto" w:fill="auto"/>
          </w:tcPr>
          <w:p w14:paraId="5D299F06" w14:textId="77777777" w:rsidR="00275D5B" w:rsidRDefault="00275D5B" w:rsidP="00296A4A">
            <w:r w:rsidRPr="006A1874">
              <w:t>Stacy J. Weld-Blundell, Lydia O’Connor</w:t>
            </w:r>
          </w:p>
          <w:p w14:paraId="20C68DE3" w14:textId="24193771" w:rsidR="00275D5B" w:rsidRPr="00162350" w:rsidRDefault="00275D5B" w:rsidP="00296A4A">
            <w:pPr>
              <w:rPr>
                <w:lang w:val="en-US"/>
              </w:rPr>
            </w:pPr>
          </w:p>
        </w:tc>
        <w:tc>
          <w:tcPr>
            <w:tcW w:w="4678" w:type="dxa"/>
            <w:shd w:val="clear" w:color="auto" w:fill="auto"/>
          </w:tcPr>
          <w:p w14:paraId="7C3DF5BC" w14:textId="77777777" w:rsidR="00275D5B" w:rsidRDefault="00275D5B" w:rsidP="00296A4A">
            <w:r w:rsidRPr="006A1874">
              <w:t xml:space="preserve">Senior Policy Adviser </w:t>
            </w:r>
            <w:r>
              <w:t>-</w:t>
            </w:r>
            <w:r w:rsidRPr="006A1874">
              <w:t xml:space="preserve"> UK Mission to the United Nations; Ministry of Foreign Affairs</w:t>
            </w:r>
          </w:p>
          <w:p w14:paraId="700916F1" w14:textId="77777777" w:rsidR="00275D5B" w:rsidRPr="00752D82" w:rsidRDefault="00275D5B" w:rsidP="00296A4A">
            <w:pPr>
              <w:rPr>
                <w:rFonts w:cstheme="minorHAnsi"/>
                <w:lang w:val="en-US"/>
              </w:rPr>
            </w:pPr>
          </w:p>
        </w:tc>
      </w:tr>
      <w:tr w:rsidR="00275D5B" w:rsidRPr="00162350" w14:paraId="1CDCDA45" w14:textId="77777777" w:rsidTr="7FB3149D">
        <w:trPr>
          <w:trHeight w:val="530"/>
        </w:trPr>
        <w:tc>
          <w:tcPr>
            <w:tcW w:w="2091" w:type="dxa"/>
            <w:hideMark/>
          </w:tcPr>
          <w:p w14:paraId="5D5C0519" w14:textId="77777777" w:rsidR="00275D5B" w:rsidRPr="00162350" w:rsidRDefault="00275D5B" w:rsidP="00296A4A">
            <w:pPr>
              <w:rPr>
                <w:lang w:val="en-US"/>
              </w:rPr>
            </w:pPr>
            <w:r w:rsidRPr="00162350">
              <w:rPr>
                <w:lang w:val="en-US"/>
              </w:rPr>
              <w:t>Sweden</w:t>
            </w:r>
          </w:p>
        </w:tc>
        <w:tc>
          <w:tcPr>
            <w:tcW w:w="2582" w:type="dxa"/>
            <w:hideMark/>
          </w:tcPr>
          <w:p w14:paraId="2E3C85B9" w14:textId="77777777" w:rsidR="00275D5B" w:rsidRPr="00F85F21" w:rsidRDefault="00275D5B" w:rsidP="00296A4A">
            <w:pPr>
              <w:rPr>
                <w:lang w:val="de-DE"/>
              </w:rPr>
            </w:pPr>
            <w:r w:rsidRPr="00F85F21">
              <w:rPr>
                <w:lang w:val="de-DE"/>
              </w:rPr>
              <w:t xml:space="preserve">Peter Linnér, Katarina Zinn, Anette Dahlström, Helena Bådagård </w:t>
            </w:r>
          </w:p>
        </w:tc>
        <w:tc>
          <w:tcPr>
            <w:tcW w:w="4678" w:type="dxa"/>
            <w:hideMark/>
          </w:tcPr>
          <w:p w14:paraId="62E2C46D" w14:textId="77777777" w:rsidR="00275D5B" w:rsidRPr="00F85F21" w:rsidRDefault="00275D5B" w:rsidP="00296A4A">
            <w:pPr>
              <w:rPr>
                <w:lang w:val="en-US"/>
              </w:rPr>
            </w:pPr>
            <w:r>
              <w:rPr>
                <w:lang w:val="en-US"/>
              </w:rPr>
              <w:t>Ministry of Foreign Affairs</w:t>
            </w:r>
            <w:r>
              <w:t xml:space="preserve"> (</w:t>
            </w:r>
            <w:r w:rsidRPr="00F85F21">
              <w:rPr>
                <w:lang w:val="en-US"/>
              </w:rPr>
              <w:t>Unit for Peace and Human Security</w:t>
            </w:r>
            <w:r>
              <w:rPr>
                <w:lang w:val="en-US"/>
              </w:rPr>
              <w:t>)</w:t>
            </w:r>
            <w:r w:rsidRPr="00F85F21">
              <w:rPr>
                <w:lang w:val="en-US"/>
              </w:rPr>
              <w:t xml:space="preserve"> </w:t>
            </w:r>
            <w:r>
              <w:rPr>
                <w:lang w:val="en-US"/>
              </w:rPr>
              <w:t xml:space="preserve">/ </w:t>
            </w:r>
            <w:r w:rsidRPr="00F85F21">
              <w:rPr>
                <w:lang w:val="en-US"/>
              </w:rPr>
              <w:t>Swedish International Development Cooperation Agency (Sida)</w:t>
            </w:r>
          </w:p>
          <w:p w14:paraId="3096689C" w14:textId="77777777" w:rsidR="00275D5B" w:rsidRPr="00F85F21" w:rsidRDefault="00275D5B" w:rsidP="00296A4A">
            <w:pPr>
              <w:rPr>
                <w:lang w:val="en-US"/>
              </w:rPr>
            </w:pPr>
          </w:p>
          <w:p w14:paraId="1537E870" w14:textId="77777777" w:rsidR="00275D5B" w:rsidRPr="00162350" w:rsidRDefault="00275D5B" w:rsidP="00296A4A">
            <w:pPr>
              <w:rPr>
                <w:b/>
                <w:bCs/>
                <w:lang w:val="en-US"/>
              </w:rPr>
            </w:pPr>
          </w:p>
        </w:tc>
      </w:tr>
      <w:tr w:rsidR="00275D5B" w:rsidRPr="00162350" w14:paraId="26A57F2B" w14:textId="77777777" w:rsidTr="7FB3149D">
        <w:trPr>
          <w:trHeight w:val="678"/>
        </w:trPr>
        <w:tc>
          <w:tcPr>
            <w:tcW w:w="2091" w:type="dxa"/>
            <w:hideMark/>
          </w:tcPr>
          <w:p w14:paraId="5FAE4AC7" w14:textId="77777777" w:rsidR="00275D5B" w:rsidRPr="00162350" w:rsidRDefault="00275D5B" w:rsidP="00296A4A">
            <w:pPr>
              <w:rPr>
                <w:lang w:val="en-US"/>
              </w:rPr>
            </w:pPr>
            <w:r w:rsidRPr="00752D82">
              <w:rPr>
                <w:lang w:val="en-US"/>
              </w:rPr>
              <w:t>Bureau of International Narcotics and Law Enforcement Affairs</w:t>
            </w:r>
            <w:r>
              <w:rPr>
                <w:lang w:val="en-US"/>
              </w:rPr>
              <w:t xml:space="preserve"> (INL) </w:t>
            </w:r>
            <w:r w:rsidRPr="00162350">
              <w:rPr>
                <w:lang w:val="en-US"/>
              </w:rPr>
              <w:t xml:space="preserve"> </w:t>
            </w:r>
          </w:p>
        </w:tc>
        <w:tc>
          <w:tcPr>
            <w:tcW w:w="2582" w:type="dxa"/>
            <w:hideMark/>
          </w:tcPr>
          <w:p w14:paraId="3C779999" w14:textId="77777777" w:rsidR="00275D5B" w:rsidRPr="00162350" w:rsidRDefault="00275D5B" w:rsidP="00296A4A">
            <w:pPr>
              <w:rPr>
                <w:lang w:val="en-US"/>
              </w:rPr>
            </w:pPr>
            <w:r w:rsidRPr="00162350">
              <w:rPr>
                <w:lang w:val="en-US"/>
              </w:rPr>
              <w:t xml:space="preserve">Arianna Barcham, </w:t>
            </w:r>
          </w:p>
          <w:p w14:paraId="534C4C3C" w14:textId="77777777" w:rsidR="00275D5B" w:rsidRDefault="00275D5B" w:rsidP="00296A4A">
            <w:pPr>
              <w:rPr>
                <w:lang w:val="en-US"/>
              </w:rPr>
            </w:pPr>
            <w:r w:rsidRPr="00162350">
              <w:rPr>
                <w:lang w:val="en-US"/>
              </w:rPr>
              <w:t xml:space="preserve">Julianna Cavano </w:t>
            </w:r>
          </w:p>
          <w:p w14:paraId="311588D8" w14:textId="77777777" w:rsidR="00275D5B" w:rsidRPr="00162350" w:rsidRDefault="00275D5B" w:rsidP="00296A4A">
            <w:pPr>
              <w:rPr>
                <w:lang w:val="en-US"/>
              </w:rPr>
            </w:pPr>
          </w:p>
        </w:tc>
        <w:tc>
          <w:tcPr>
            <w:tcW w:w="4678" w:type="dxa"/>
            <w:shd w:val="clear" w:color="auto" w:fill="auto"/>
            <w:hideMark/>
          </w:tcPr>
          <w:p w14:paraId="222F814A" w14:textId="77777777" w:rsidR="00275D5B" w:rsidRDefault="00275D5B" w:rsidP="00296A4A">
            <w:pPr>
              <w:rPr>
                <w:lang w:val="en-US"/>
              </w:rPr>
            </w:pPr>
            <w:r w:rsidRPr="00752D82">
              <w:rPr>
                <w:lang w:val="en-US"/>
              </w:rPr>
              <w:t>Foreign Affairs Officer</w:t>
            </w:r>
            <w:r>
              <w:rPr>
                <w:lang w:val="en-US"/>
              </w:rPr>
              <w:t xml:space="preserve">s; </w:t>
            </w:r>
            <w:r w:rsidRPr="00752D82">
              <w:rPr>
                <w:lang w:val="en-US"/>
              </w:rPr>
              <w:t>Office of Global Programs and Policy (INL)</w:t>
            </w:r>
            <w:r>
              <w:rPr>
                <w:lang w:val="en-US"/>
              </w:rPr>
              <w:t xml:space="preserve">, </w:t>
            </w:r>
            <w:r w:rsidRPr="00162350">
              <w:rPr>
                <w:lang w:val="en-US"/>
              </w:rPr>
              <w:t>U</w:t>
            </w:r>
            <w:r>
              <w:rPr>
                <w:lang w:val="en-US"/>
              </w:rPr>
              <w:t xml:space="preserve">nited </w:t>
            </w:r>
            <w:r w:rsidRPr="00162350">
              <w:rPr>
                <w:lang w:val="en-US"/>
              </w:rPr>
              <w:t>S</w:t>
            </w:r>
            <w:r>
              <w:rPr>
                <w:lang w:val="en-US"/>
              </w:rPr>
              <w:t>tates</w:t>
            </w:r>
            <w:r w:rsidRPr="00162350">
              <w:rPr>
                <w:lang w:val="en-US"/>
              </w:rPr>
              <w:t xml:space="preserve"> Dep</w:t>
            </w:r>
            <w:r>
              <w:rPr>
                <w:lang w:val="en-US"/>
              </w:rPr>
              <w:t>artmen</w:t>
            </w:r>
            <w:r w:rsidRPr="00162350">
              <w:rPr>
                <w:lang w:val="en-US"/>
              </w:rPr>
              <w:t>t of State</w:t>
            </w:r>
          </w:p>
          <w:p w14:paraId="137FBDEA" w14:textId="77777777" w:rsidR="00275D5B" w:rsidRPr="00162350" w:rsidRDefault="00275D5B" w:rsidP="00296A4A">
            <w:pPr>
              <w:rPr>
                <w:lang w:val="en-US"/>
              </w:rPr>
            </w:pPr>
          </w:p>
        </w:tc>
      </w:tr>
      <w:tr w:rsidR="00275D5B" w:rsidRPr="00162350" w14:paraId="13F9AD6F" w14:textId="77777777" w:rsidTr="7FB3149D">
        <w:trPr>
          <w:trHeight w:val="502"/>
        </w:trPr>
        <w:tc>
          <w:tcPr>
            <w:tcW w:w="9351" w:type="dxa"/>
            <w:gridSpan w:val="3"/>
            <w:shd w:val="clear" w:color="auto" w:fill="D7D2D9" w:themeFill="accent6" w:themeFillTint="66"/>
          </w:tcPr>
          <w:p w14:paraId="360C6133" w14:textId="77777777" w:rsidR="00275D5B" w:rsidRPr="00162350" w:rsidRDefault="00275D5B" w:rsidP="00296A4A">
            <w:pPr>
              <w:rPr>
                <w:b/>
                <w:bCs/>
                <w:lang w:val="en-US"/>
              </w:rPr>
            </w:pPr>
            <w:r w:rsidRPr="00162350">
              <w:rPr>
                <w:b/>
                <w:bCs/>
                <w:lang w:val="en-US"/>
              </w:rPr>
              <w:t>Other</w:t>
            </w:r>
          </w:p>
        </w:tc>
      </w:tr>
      <w:tr w:rsidR="00275D5B" w:rsidRPr="00162350" w14:paraId="037F7DAE" w14:textId="77777777" w:rsidTr="7FB3149D">
        <w:trPr>
          <w:trHeight w:val="502"/>
        </w:trPr>
        <w:tc>
          <w:tcPr>
            <w:tcW w:w="2091" w:type="dxa"/>
            <w:hideMark/>
          </w:tcPr>
          <w:p w14:paraId="6C7F2EDF" w14:textId="77777777" w:rsidR="00275D5B" w:rsidRPr="00162350" w:rsidRDefault="00275D5B" w:rsidP="00296A4A">
            <w:pPr>
              <w:rPr>
                <w:lang w:val="en-US"/>
              </w:rPr>
            </w:pPr>
            <w:r w:rsidRPr="00162350">
              <w:rPr>
                <w:lang w:val="en-US"/>
              </w:rPr>
              <w:t>ISSAT</w:t>
            </w:r>
          </w:p>
        </w:tc>
        <w:tc>
          <w:tcPr>
            <w:tcW w:w="2582" w:type="dxa"/>
            <w:hideMark/>
          </w:tcPr>
          <w:p w14:paraId="66362003" w14:textId="77777777" w:rsidR="00275D5B" w:rsidRPr="00162350" w:rsidRDefault="00275D5B" w:rsidP="00296A4A">
            <w:pPr>
              <w:rPr>
                <w:lang w:val="en-US"/>
              </w:rPr>
            </w:pPr>
            <w:r w:rsidRPr="00162350">
              <w:rPr>
                <w:lang w:val="en-US"/>
              </w:rPr>
              <w:t>Patrick Hagan</w:t>
            </w:r>
          </w:p>
        </w:tc>
        <w:tc>
          <w:tcPr>
            <w:tcW w:w="4678" w:type="dxa"/>
            <w:hideMark/>
          </w:tcPr>
          <w:p w14:paraId="45770ECC" w14:textId="77777777" w:rsidR="00275D5B" w:rsidRPr="00162350" w:rsidRDefault="00275D5B" w:rsidP="00296A4A">
            <w:pPr>
              <w:rPr>
                <w:lang w:val="en-US"/>
              </w:rPr>
            </w:pPr>
            <w:r w:rsidRPr="00162350">
              <w:rPr>
                <w:lang w:val="en-US"/>
              </w:rPr>
              <w:t>Deputy Director</w:t>
            </w:r>
          </w:p>
        </w:tc>
      </w:tr>
      <w:tr w:rsidR="00275D5B" w:rsidRPr="00162350" w14:paraId="2A8252B9" w14:textId="77777777" w:rsidTr="7FB3149D">
        <w:trPr>
          <w:trHeight w:val="890"/>
        </w:trPr>
        <w:tc>
          <w:tcPr>
            <w:tcW w:w="2091" w:type="dxa"/>
            <w:hideMark/>
          </w:tcPr>
          <w:p w14:paraId="4D054052" w14:textId="77777777" w:rsidR="00275D5B" w:rsidRPr="00162350" w:rsidRDefault="00275D5B" w:rsidP="00296A4A">
            <w:pPr>
              <w:rPr>
                <w:lang w:val="en-US"/>
              </w:rPr>
            </w:pPr>
            <w:r w:rsidRPr="00162350">
              <w:rPr>
                <w:lang w:val="en-US"/>
              </w:rPr>
              <w:t>Global Focal Point</w:t>
            </w:r>
          </w:p>
        </w:tc>
        <w:tc>
          <w:tcPr>
            <w:tcW w:w="2582" w:type="dxa"/>
            <w:hideMark/>
          </w:tcPr>
          <w:p w14:paraId="5D8167E6" w14:textId="77777777" w:rsidR="00275D5B" w:rsidRPr="002D15B1" w:rsidRDefault="00275D5B" w:rsidP="00296A4A">
            <w:pPr>
              <w:rPr>
                <w:lang w:val="es-ES"/>
              </w:rPr>
            </w:pPr>
            <w:r w:rsidRPr="002D15B1">
              <w:rPr>
                <w:lang w:val="es-ES"/>
              </w:rPr>
              <w:t xml:space="preserve">Andrea Ernudd, </w:t>
            </w:r>
          </w:p>
          <w:p w14:paraId="487BC1CA" w14:textId="77777777" w:rsidR="00275D5B" w:rsidRPr="002D15B1" w:rsidRDefault="00275D5B" w:rsidP="00296A4A">
            <w:pPr>
              <w:rPr>
                <w:lang w:val="es-ES"/>
              </w:rPr>
            </w:pPr>
            <w:r w:rsidRPr="002D15B1">
              <w:rPr>
                <w:lang w:val="es-ES"/>
              </w:rPr>
              <w:t xml:space="preserve">Giorgia Tortora, </w:t>
            </w:r>
          </w:p>
          <w:p w14:paraId="4EC6370D" w14:textId="5492FC20" w:rsidR="00275D5B" w:rsidRPr="002D15B1" w:rsidRDefault="00275D5B" w:rsidP="00296A4A">
            <w:pPr>
              <w:rPr>
                <w:lang w:val="es-ES"/>
              </w:rPr>
            </w:pPr>
            <w:r w:rsidRPr="002D15B1">
              <w:rPr>
                <w:lang w:val="es-ES"/>
              </w:rPr>
              <w:t>Yag</w:t>
            </w:r>
            <w:r w:rsidR="00611C8F">
              <w:rPr>
                <w:lang w:val="es-ES"/>
              </w:rPr>
              <w:t>iz</w:t>
            </w:r>
            <w:r w:rsidRPr="002D15B1">
              <w:rPr>
                <w:lang w:val="es-ES"/>
              </w:rPr>
              <w:t xml:space="preserve"> Oztepe</w:t>
            </w:r>
          </w:p>
          <w:p w14:paraId="253AD14E" w14:textId="77777777" w:rsidR="00275D5B" w:rsidRPr="002D15B1" w:rsidRDefault="00275D5B" w:rsidP="00296A4A">
            <w:pPr>
              <w:rPr>
                <w:lang w:val="es-ES"/>
              </w:rPr>
            </w:pPr>
          </w:p>
        </w:tc>
        <w:tc>
          <w:tcPr>
            <w:tcW w:w="4678" w:type="dxa"/>
            <w:hideMark/>
          </w:tcPr>
          <w:p w14:paraId="5C7C602C" w14:textId="77777777" w:rsidR="00275D5B" w:rsidRPr="00162350" w:rsidRDefault="00275D5B" w:rsidP="00296A4A">
            <w:pPr>
              <w:rPr>
                <w:lang w:val="en-US"/>
              </w:rPr>
            </w:pPr>
            <w:r w:rsidRPr="00162350">
              <w:rPr>
                <w:lang w:val="en-US"/>
              </w:rPr>
              <w:t>Core team of GFP</w:t>
            </w:r>
          </w:p>
        </w:tc>
      </w:tr>
      <w:tr w:rsidR="00275D5B" w:rsidRPr="00162350" w14:paraId="3566658E" w14:textId="77777777" w:rsidTr="7FB3149D">
        <w:trPr>
          <w:trHeight w:val="632"/>
        </w:trPr>
        <w:tc>
          <w:tcPr>
            <w:tcW w:w="2091" w:type="dxa"/>
            <w:hideMark/>
          </w:tcPr>
          <w:p w14:paraId="64AC5BC5" w14:textId="77777777" w:rsidR="00275D5B" w:rsidRPr="00162350" w:rsidRDefault="00275D5B" w:rsidP="00296A4A">
            <w:pPr>
              <w:rPr>
                <w:lang w:val="en-US"/>
              </w:rPr>
            </w:pPr>
            <w:r w:rsidRPr="00162350">
              <w:rPr>
                <w:lang w:val="en-US"/>
              </w:rPr>
              <w:t>GANHRI*</w:t>
            </w:r>
          </w:p>
        </w:tc>
        <w:tc>
          <w:tcPr>
            <w:tcW w:w="2582" w:type="dxa"/>
            <w:hideMark/>
          </w:tcPr>
          <w:p w14:paraId="4349893B" w14:textId="77777777" w:rsidR="00275D5B" w:rsidRPr="00162350" w:rsidRDefault="00275D5B" w:rsidP="00296A4A">
            <w:pPr>
              <w:rPr>
                <w:lang w:val="en-US"/>
              </w:rPr>
            </w:pPr>
            <w:r w:rsidRPr="00162350">
              <w:rPr>
                <w:lang w:val="en-US"/>
              </w:rPr>
              <w:t xml:space="preserve">Ileana Bello, </w:t>
            </w:r>
          </w:p>
          <w:p w14:paraId="77226F27" w14:textId="77777777" w:rsidR="00275D5B" w:rsidRPr="00162350" w:rsidRDefault="00275D5B" w:rsidP="00296A4A">
            <w:pPr>
              <w:rPr>
                <w:lang w:val="en-US"/>
              </w:rPr>
            </w:pPr>
            <w:r w:rsidRPr="00162350">
              <w:rPr>
                <w:lang w:val="en-US"/>
              </w:rPr>
              <w:t>Katharina Rose</w:t>
            </w:r>
          </w:p>
        </w:tc>
        <w:tc>
          <w:tcPr>
            <w:tcW w:w="4678" w:type="dxa"/>
            <w:hideMark/>
          </w:tcPr>
          <w:p w14:paraId="7F0F1962" w14:textId="77777777" w:rsidR="00275D5B" w:rsidRPr="00162350" w:rsidRDefault="00275D5B" w:rsidP="00296A4A">
            <w:pPr>
              <w:rPr>
                <w:lang w:val="en-US"/>
              </w:rPr>
            </w:pPr>
            <w:r w:rsidRPr="00162350">
              <w:rPr>
                <w:lang w:val="en-US"/>
              </w:rPr>
              <w:t xml:space="preserve">Operations Manager, </w:t>
            </w:r>
          </w:p>
          <w:p w14:paraId="014DCC4D" w14:textId="77777777" w:rsidR="00275D5B" w:rsidRDefault="00275D5B" w:rsidP="00296A4A">
            <w:pPr>
              <w:rPr>
                <w:lang w:val="en-US"/>
              </w:rPr>
            </w:pPr>
            <w:r w:rsidRPr="00162350">
              <w:rPr>
                <w:lang w:val="en-US"/>
              </w:rPr>
              <w:t>Geneva Representative</w:t>
            </w:r>
          </w:p>
          <w:p w14:paraId="20A357A7" w14:textId="77777777" w:rsidR="00275D5B" w:rsidRPr="00162350" w:rsidRDefault="00275D5B" w:rsidP="00296A4A">
            <w:pPr>
              <w:rPr>
                <w:lang w:val="en-US"/>
              </w:rPr>
            </w:pPr>
          </w:p>
        </w:tc>
      </w:tr>
      <w:tr w:rsidR="00275D5B" w:rsidRPr="00162350" w14:paraId="313F3EC9" w14:textId="77777777" w:rsidTr="7FB3149D">
        <w:trPr>
          <w:trHeight w:val="698"/>
        </w:trPr>
        <w:tc>
          <w:tcPr>
            <w:tcW w:w="2091" w:type="dxa"/>
            <w:hideMark/>
          </w:tcPr>
          <w:p w14:paraId="3452CD4B" w14:textId="77777777" w:rsidR="00275D5B" w:rsidRPr="00162350" w:rsidRDefault="00275D5B" w:rsidP="00296A4A">
            <w:pPr>
              <w:rPr>
                <w:lang w:val="en-US"/>
              </w:rPr>
            </w:pPr>
            <w:r w:rsidRPr="00162350">
              <w:rPr>
                <w:lang w:val="en-US"/>
              </w:rPr>
              <w:t>OHCHR*</w:t>
            </w:r>
          </w:p>
        </w:tc>
        <w:tc>
          <w:tcPr>
            <w:tcW w:w="2582" w:type="dxa"/>
            <w:hideMark/>
          </w:tcPr>
          <w:p w14:paraId="679A8A2A" w14:textId="77777777" w:rsidR="00275D5B" w:rsidRPr="00162350" w:rsidRDefault="00275D5B" w:rsidP="00296A4A">
            <w:pPr>
              <w:rPr>
                <w:lang w:val="en-US"/>
              </w:rPr>
            </w:pPr>
            <w:r w:rsidRPr="00162350">
              <w:rPr>
                <w:lang w:val="en-US"/>
              </w:rPr>
              <w:t xml:space="preserve">Vladlen Stefanov </w:t>
            </w:r>
          </w:p>
        </w:tc>
        <w:tc>
          <w:tcPr>
            <w:tcW w:w="4678" w:type="dxa"/>
            <w:hideMark/>
          </w:tcPr>
          <w:p w14:paraId="2EB357E2" w14:textId="77777777" w:rsidR="00275D5B" w:rsidRPr="00162350" w:rsidRDefault="00275D5B" w:rsidP="00296A4A">
            <w:pPr>
              <w:rPr>
                <w:lang w:val="en-US"/>
              </w:rPr>
            </w:pPr>
            <w:r w:rsidRPr="00162350">
              <w:rPr>
                <w:lang w:val="en-US"/>
              </w:rPr>
              <w:t xml:space="preserve">Chief of National Institutions and Regional Mechanisms section </w:t>
            </w:r>
          </w:p>
        </w:tc>
      </w:tr>
    </w:tbl>
    <w:p w14:paraId="62587C02" w14:textId="77777777" w:rsidR="00275D5B" w:rsidRPr="00162350" w:rsidRDefault="00275D5B" w:rsidP="00275D5B">
      <w:pPr>
        <w:rPr>
          <w:lang w:val="en-US"/>
        </w:rPr>
      </w:pPr>
    </w:p>
    <w:p w14:paraId="779A5481" w14:textId="77777777" w:rsidR="00275D5B" w:rsidRPr="00162350" w:rsidRDefault="00275D5B" w:rsidP="00275D5B">
      <w:pPr>
        <w:rPr>
          <w:lang w:val="en-US"/>
        </w:rPr>
      </w:pPr>
      <w:r w:rsidRPr="00162350">
        <w:rPr>
          <w:b/>
          <w:bCs/>
          <w:sz w:val="24"/>
          <w:szCs w:val="24"/>
          <w:lang w:val="en-US"/>
        </w:rPr>
        <w:t>Country case study informants</w:t>
      </w:r>
    </w:p>
    <w:p w14:paraId="76A8DBC3" w14:textId="77777777" w:rsidR="00275D5B" w:rsidRPr="00162350" w:rsidRDefault="00275D5B" w:rsidP="00275D5B">
      <w:pPr>
        <w:jc w:val="both"/>
        <w:rPr>
          <w:lang w:val="en-US"/>
        </w:rPr>
      </w:pPr>
      <w:r w:rsidRPr="00162350">
        <w:rPr>
          <w:lang w:val="en-US"/>
        </w:rPr>
        <w:t xml:space="preserve">The following list identifies the individuals interviewed for purposes of the country case studies, organized by country of relevance. The evaluators were able to meet or exceed the targets set in the inception report </w:t>
      </w:r>
      <w:r>
        <w:rPr>
          <w:lang w:val="en-US"/>
        </w:rPr>
        <w:t>for</w:t>
      </w:r>
      <w:r w:rsidRPr="00162350">
        <w:rPr>
          <w:lang w:val="en-US"/>
        </w:rPr>
        <w:t xml:space="preserve"> all countries. The total informants engaged by the evaluators, including individual interviews and focus group discussions, is as follows: </w:t>
      </w:r>
    </w:p>
    <w:p w14:paraId="4703AE44" w14:textId="77777777" w:rsidR="00275D5B" w:rsidRPr="00162350" w:rsidRDefault="00275D5B" w:rsidP="00567956">
      <w:pPr>
        <w:pStyle w:val="ListParagraph"/>
        <w:numPr>
          <w:ilvl w:val="1"/>
          <w:numId w:val="34"/>
        </w:numPr>
        <w:spacing w:after="160" w:line="259" w:lineRule="auto"/>
        <w:rPr>
          <w:lang w:val="en-US"/>
        </w:rPr>
      </w:pPr>
      <w:r w:rsidRPr="00162350">
        <w:rPr>
          <w:lang w:val="en-US"/>
        </w:rPr>
        <w:t xml:space="preserve">Burkina Faso - </w:t>
      </w:r>
      <w:r>
        <w:rPr>
          <w:lang w:val="en-US"/>
        </w:rPr>
        <w:t>17</w:t>
      </w:r>
    </w:p>
    <w:p w14:paraId="73414C3A" w14:textId="77777777" w:rsidR="00275D5B" w:rsidRPr="00162350" w:rsidRDefault="00275D5B" w:rsidP="00567956">
      <w:pPr>
        <w:pStyle w:val="ListParagraph"/>
        <w:numPr>
          <w:ilvl w:val="1"/>
          <w:numId w:val="34"/>
        </w:numPr>
        <w:spacing w:after="160" w:line="259" w:lineRule="auto"/>
        <w:rPr>
          <w:lang w:val="en-US"/>
        </w:rPr>
      </w:pPr>
      <w:r w:rsidRPr="00162350">
        <w:rPr>
          <w:lang w:val="en-US"/>
        </w:rPr>
        <w:t>Central African Republic</w:t>
      </w:r>
      <w:r>
        <w:rPr>
          <w:rStyle w:val="FootnoteReference"/>
          <w:lang w:val="en-US"/>
        </w:rPr>
        <w:footnoteReference w:id="30"/>
      </w:r>
      <w:r w:rsidRPr="00162350">
        <w:rPr>
          <w:lang w:val="en-US"/>
        </w:rPr>
        <w:t xml:space="preserve"> </w:t>
      </w:r>
      <w:r>
        <w:rPr>
          <w:lang w:val="en-US"/>
        </w:rPr>
        <w:t>-</w:t>
      </w:r>
      <w:r w:rsidRPr="00162350">
        <w:rPr>
          <w:lang w:val="en-US"/>
        </w:rPr>
        <w:t xml:space="preserve"> </w:t>
      </w:r>
      <w:r>
        <w:rPr>
          <w:lang w:val="en-US"/>
        </w:rPr>
        <w:t>19</w:t>
      </w:r>
    </w:p>
    <w:p w14:paraId="2B1651FF" w14:textId="77777777" w:rsidR="00275D5B" w:rsidRPr="00162350" w:rsidRDefault="00275D5B" w:rsidP="00567956">
      <w:pPr>
        <w:pStyle w:val="ListParagraph"/>
        <w:numPr>
          <w:ilvl w:val="1"/>
          <w:numId w:val="34"/>
        </w:numPr>
        <w:spacing w:after="160" w:line="259" w:lineRule="auto"/>
        <w:rPr>
          <w:lang w:val="en-US"/>
        </w:rPr>
      </w:pPr>
      <w:r w:rsidRPr="00162350">
        <w:rPr>
          <w:lang w:val="en-US"/>
        </w:rPr>
        <w:t>Colombia - 13</w:t>
      </w:r>
    </w:p>
    <w:p w14:paraId="1254601B" w14:textId="77777777" w:rsidR="00275D5B" w:rsidRPr="00162350" w:rsidRDefault="00275D5B" w:rsidP="00567956">
      <w:pPr>
        <w:pStyle w:val="ListParagraph"/>
        <w:numPr>
          <w:ilvl w:val="1"/>
          <w:numId w:val="34"/>
        </w:numPr>
        <w:spacing w:after="160" w:line="259" w:lineRule="auto"/>
        <w:rPr>
          <w:lang w:val="en-US"/>
        </w:rPr>
      </w:pPr>
      <w:r w:rsidRPr="00162350">
        <w:rPr>
          <w:lang w:val="en-US"/>
        </w:rPr>
        <w:t>Kyrgyzstan - 19</w:t>
      </w:r>
    </w:p>
    <w:p w14:paraId="49F7B5B0" w14:textId="77777777" w:rsidR="00275D5B" w:rsidRPr="00162350" w:rsidRDefault="00275D5B" w:rsidP="00567956">
      <w:pPr>
        <w:pStyle w:val="ListParagraph"/>
        <w:numPr>
          <w:ilvl w:val="1"/>
          <w:numId w:val="34"/>
        </w:numPr>
        <w:spacing w:after="160" w:line="259" w:lineRule="auto"/>
        <w:rPr>
          <w:lang w:val="en-US"/>
        </w:rPr>
      </w:pPr>
      <w:r w:rsidRPr="00162350">
        <w:rPr>
          <w:lang w:val="en-US"/>
        </w:rPr>
        <w:t>Pakistan</w:t>
      </w:r>
      <w:r w:rsidRPr="00162350">
        <w:rPr>
          <w:rStyle w:val="FootnoteReference"/>
          <w:lang w:val="en-US"/>
        </w:rPr>
        <w:footnoteReference w:id="31"/>
      </w:r>
      <w:r w:rsidRPr="00162350">
        <w:rPr>
          <w:lang w:val="en-US"/>
        </w:rPr>
        <w:t xml:space="preserve"> - 16</w:t>
      </w:r>
    </w:p>
    <w:p w14:paraId="3F01FE86" w14:textId="77777777" w:rsidR="00275D5B" w:rsidRPr="00162350" w:rsidRDefault="00275D5B" w:rsidP="00567956">
      <w:pPr>
        <w:pStyle w:val="ListParagraph"/>
        <w:numPr>
          <w:ilvl w:val="1"/>
          <w:numId w:val="34"/>
        </w:numPr>
        <w:spacing w:after="160" w:line="259" w:lineRule="auto"/>
        <w:rPr>
          <w:lang w:val="en-US"/>
        </w:rPr>
      </w:pPr>
      <w:r w:rsidRPr="00162350">
        <w:rPr>
          <w:lang w:val="en-US"/>
        </w:rPr>
        <w:t xml:space="preserve">Somalia - </w:t>
      </w:r>
      <w:r>
        <w:rPr>
          <w:lang w:val="en-US"/>
        </w:rPr>
        <w:t>23</w:t>
      </w:r>
    </w:p>
    <w:p w14:paraId="4A8E2F80" w14:textId="77777777" w:rsidR="00275D5B" w:rsidRPr="00162350" w:rsidRDefault="00275D5B" w:rsidP="00275D5B">
      <w:pPr>
        <w:jc w:val="both"/>
        <w:rPr>
          <w:lang w:val="en-US"/>
        </w:rPr>
      </w:pPr>
      <w:r w:rsidRPr="00162350">
        <w:rPr>
          <w:lang w:val="en-US"/>
        </w:rPr>
        <w:t xml:space="preserve">It is worth noting that several UNDP staff listed above on the global informant list were also highly relevant to the country case studies, as designated ROLSHR team focal points or other staff with valuable perspectives on these countries. The evaluators also interviewed selected informants from two countries not recently funded by the Global Programme, to gather data about their past experience and future needs. </w:t>
      </w:r>
      <w:r>
        <w:rPr>
          <w:lang w:val="en-US"/>
        </w:rPr>
        <w:t>The number of participating individuals for those contexts was:</w:t>
      </w:r>
    </w:p>
    <w:p w14:paraId="4BC10CA7" w14:textId="77777777" w:rsidR="00275D5B" w:rsidRPr="00162350" w:rsidRDefault="00275D5B" w:rsidP="00567956">
      <w:pPr>
        <w:pStyle w:val="ListParagraph"/>
        <w:numPr>
          <w:ilvl w:val="1"/>
          <w:numId w:val="34"/>
        </w:numPr>
        <w:spacing w:after="160" w:line="259" w:lineRule="auto"/>
        <w:rPr>
          <w:lang w:val="en-US"/>
        </w:rPr>
      </w:pPr>
      <w:r w:rsidRPr="00162350">
        <w:rPr>
          <w:lang w:val="en-US"/>
        </w:rPr>
        <w:t>Albania - 4</w:t>
      </w:r>
    </w:p>
    <w:p w14:paraId="0CA22C9E" w14:textId="3CE88E29" w:rsidR="00275D5B" w:rsidRPr="00275D5B" w:rsidRDefault="00275D5B" w:rsidP="00567956">
      <w:pPr>
        <w:pStyle w:val="ListParagraph"/>
        <w:numPr>
          <w:ilvl w:val="1"/>
          <w:numId w:val="34"/>
        </w:numPr>
        <w:spacing w:after="160" w:line="259" w:lineRule="auto"/>
        <w:rPr>
          <w:lang w:val="en-US"/>
        </w:rPr>
      </w:pPr>
      <w:r w:rsidRPr="00275D5B">
        <w:rPr>
          <w:lang w:val="en-US"/>
        </w:rPr>
        <w:t>Niger - 6</w:t>
      </w:r>
    </w:p>
    <w:tbl>
      <w:tblPr>
        <w:tblStyle w:val="TableGrid"/>
        <w:tblW w:w="9351" w:type="dxa"/>
        <w:tblLook w:val="04A0" w:firstRow="1" w:lastRow="0" w:firstColumn="1" w:lastColumn="0" w:noHBand="0" w:noVBand="1"/>
      </w:tblPr>
      <w:tblGrid>
        <w:gridCol w:w="2405"/>
        <w:gridCol w:w="3807"/>
        <w:gridCol w:w="3139"/>
      </w:tblGrid>
      <w:tr w:rsidR="00275D5B" w:rsidRPr="00C57BB5" w14:paraId="44354578" w14:textId="77777777" w:rsidTr="00296A4A">
        <w:trPr>
          <w:trHeight w:val="490"/>
          <w:tblHeader/>
        </w:trPr>
        <w:tc>
          <w:tcPr>
            <w:tcW w:w="2405" w:type="dxa"/>
            <w:shd w:val="clear" w:color="auto" w:fill="A0C3E3" w:themeFill="accent2" w:themeFillTint="99"/>
          </w:tcPr>
          <w:p w14:paraId="4496548F" w14:textId="77777777" w:rsidR="00275D5B" w:rsidRPr="00C57BB5" w:rsidRDefault="00275D5B" w:rsidP="00296A4A">
            <w:pPr>
              <w:rPr>
                <w:rFonts w:cstheme="minorHAnsi"/>
                <w:b/>
                <w:bCs/>
                <w:lang w:val="en-US"/>
              </w:rPr>
            </w:pPr>
            <w:r w:rsidRPr="00C57BB5">
              <w:rPr>
                <w:rFonts w:cstheme="minorHAnsi"/>
                <w:b/>
                <w:bCs/>
                <w:lang w:val="en-US"/>
              </w:rPr>
              <w:t>Affiliation/Employer</w:t>
            </w:r>
          </w:p>
        </w:tc>
        <w:tc>
          <w:tcPr>
            <w:tcW w:w="3807" w:type="dxa"/>
            <w:shd w:val="clear" w:color="auto" w:fill="A0C3E3" w:themeFill="accent2" w:themeFillTint="99"/>
          </w:tcPr>
          <w:p w14:paraId="5636BD67" w14:textId="77777777" w:rsidR="00275D5B" w:rsidRPr="00C57BB5" w:rsidRDefault="00275D5B" w:rsidP="00296A4A">
            <w:pPr>
              <w:rPr>
                <w:rFonts w:cstheme="minorHAnsi"/>
                <w:b/>
                <w:bCs/>
                <w:lang w:val="en-US"/>
              </w:rPr>
            </w:pPr>
            <w:r w:rsidRPr="00C57BB5">
              <w:rPr>
                <w:rFonts w:cstheme="minorHAnsi"/>
                <w:b/>
                <w:bCs/>
                <w:lang w:val="en-US"/>
              </w:rPr>
              <w:t>Name</w:t>
            </w:r>
          </w:p>
        </w:tc>
        <w:tc>
          <w:tcPr>
            <w:tcW w:w="3139" w:type="dxa"/>
            <w:shd w:val="clear" w:color="auto" w:fill="A0C3E3" w:themeFill="accent2" w:themeFillTint="99"/>
          </w:tcPr>
          <w:p w14:paraId="0D0CEEE3" w14:textId="77777777" w:rsidR="00275D5B" w:rsidRPr="00C57BB5" w:rsidRDefault="00275D5B" w:rsidP="00296A4A">
            <w:pPr>
              <w:rPr>
                <w:rFonts w:cstheme="minorHAnsi"/>
                <w:b/>
                <w:bCs/>
                <w:lang w:val="en-US"/>
              </w:rPr>
            </w:pPr>
            <w:r w:rsidRPr="00C57BB5">
              <w:rPr>
                <w:rFonts w:cstheme="minorHAnsi"/>
                <w:b/>
                <w:bCs/>
                <w:lang w:val="en-US"/>
              </w:rPr>
              <w:t>Position/Role</w:t>
            </w:r>
          </w:p>
        </w:tc>
      </w:tr>
      <w:tr w:rsidR="00275D5B" w:rsidRPr="00C57BB5" w14:paraId="64AD6DC3" w14:textId="77777777" w:rsidTr="00296A4A">
        <w:trPr>
          <w:trHeight w:val="490"/>
        </w:trPr>
        <w:tc>
          <w:tcPr>
            <w:tcW w:w="9351" w:type="dxa"/>
            <w:gridSpan w:val="3"/>
            <w:shd w:val="clear" w:color="auto" w:fill="D7D2D9" w:themeFill="accent6" w:themeFillTint="66"/>
          </w:tcPr>
          <w:p w14:paraId="4AB6DF9D" w14:textId="77777777" w:rsidR="00275D5B" w:rsidRPr="00C57BB5" w:rsidRDefault="00275D5B" w:rsidP="00296A4A">
            <w:pPr>
              <w:rPr>
                <w:rFonts w:cstheme="minorHAnsi"/>
                <w:b/>
                <w:bCs/>
                <w:lang w:val="en-US"/>
              </w:rPr>
            </w:pPr>
            <w:r w:rsidRPr="00C57BB5">
              <w:rPr>
                <w:rFonts w:cstheme="minorHAnsi"/>
                <w:b/>
                <w:bCs/>
                <w:lang w:val="en-US"/>
              </w:rPr>
              <w:t xml:space="preserve">Kyrgyzstan </w:t>
            </w:r>
          </w:p>
        </w:tc>
      </w:tr>
      <w:tr w:rsidR="00275D5B" w:rsidRPr="00C57BB5" w14:paraId="6C03E526" w14:textId="77777777" w:rsidTr="00296A4A">
        <w:trPr>
          <w:trHeight w:val="490"/>
        </w:trPr>
        <w:tc>
          <w:tcPr>
            <w:tcW w:w="2405" w:type="dxa"/>
            <w:vAlign w:val="center"/>
          </w:tcPr>
          <w:p w14:paraId="6C58C8F9" w14:textId="77777777" w:rsidR="00275D5B" w:rsidRPr="00C57BB5" w:rsidRDefault="00275D5B" w:rsidP="00296A4A">
            <w:pPr>
              <w:rPr>
                <w:rFonts w:cstheme="minorHAnsi"/>
                <w:lang w:val="en-US"/>
              </w:rPr>
            </w:pPr>
            <w:r w:rsidRPr="00C57BB5">
              <w:rPr>
                <w:rFonts w:cstheme="minorHAnsi"/>
                <w:lang w:val="en-US"/>
              </w:rPr>
              <w:t>UNDP</w:t>
            </w:r>
          </w:p>
        </w:tc>
        <w:tc>
          <w:tcPr>
            <w:tcW w:w="3807" w:type="dxa"/>
            <w:vAlign w:val="center"/>
          </w:tcPr>
          <w:p w14:paraId="2522F151" w14:textId="77777777" w:rsidR="00275D5B" w:rsidRPr="00C57BB5" w:rsidRDefault="00275D5B" w:rsidP="00296A4A">
            <w:pPr>
              <w:rPr>
                <w:rFonts w:cstheme="minorHAnsi"/>
                <w:lang w:val="en-US"/>
              </w:rPr>
            </w:pPr>
            <w:r w:rsidRPr="00C57BB5">
              <w:rPr>
                <w:rFonts w:cstheme="minorHAnsi"/>
                <w:lang w:val="en-US"/>
              </w:rPr>
              <w:t>Simone Boneschi</w:t>
            </w:r>
          </w:p>
        </w:tc>
        <w:tc>
          <w:tcPr>
            <w:tcW w:w="3139" w:type="dxa"/>
            <w:vAlign w:val="center"/>
          </w:tcPr>
          <w:p w14:paraId="489089D1" w14:textId="77777777" w:rsidR="00275D5B" w:rsidRPr="00C57BB5" w:rsidRDefault="00275D5B" w:rsidP="00296A4A">
            <w:pPr>
              <w:rPr>
                <w:rFonts w:cstheme="minorHAnsi"/>
                <w:lang w:val="en-US"/>
              </w:rPr>
            </w:pPr>
            <w:r w:rsidRPr="00C57BB5">
              <w:rPr>
                <w:rFonts w:cstheme="minorHAnsi"/>
                <w:lang w:val="en-US"/>
              </w:rPr>
              <w:t>CTA for ROL programme</w:t>
            </w:r>
          </w:p>
        </w:tc>
      </w:tr>
      <w:tr w:rsidR="00275D5B" w:rsidRPr="00C57BB5" w14:paraId="36059B05" w14:textId="77777777" w:rsidTr="00296A4A">
        <w:trPr>
          <w:trHeight w:val="490"/>
        </w:trPr>
        <w:tc>
          <w:tcPr>
            <w:tcW w:w="2405" w:type="dxa"/>
            <w:vAlign w:val="center"/>
          </w:tcPr>
          <w:p w14:paraId="6C7AD4EB" w14:textId="77777777" w:rsidR="00275D5B" w:rsidRPr="00C57BB5" w:rsidRDefault="00275D5B" w:rsidP="00296A4A">
            <w:pPr>
              <w:rPr>
                <w:rFonts w:cstheme="minorHAnsi"/>
                <w:lang w:val="en-US"/>
              </w:rPr>
            </w:pPr>
            <w:r w:rsidRPr="00C57BB5">
              <w:rPr>
                <w:rFonts w:cstheme="minorHAnsi"/>
                <w:lang w:val="en-US"/>
              </w:rPr>
              <w:t>UNDP</w:t>
            </w:r>
          </w:p>
        </w:tc>
        <w:tc>
          <w:tcPr>
            <w:tcW w:w="3807" w:type="dxa"/>
            <w:vAlign w:val="center"/>
          </w:tcPr>
          <w:p w14:paraId="3F472DC9" w14:textId="77777777" w:rsidR="00275D5B" w:rsidRPr="00C57BB5" w:rsidRDefault="00275D5B" w:rsidP="00296A4A">
            <w:pPr>
              <w:rPr>
                <w:rFonts w:cstheme="minorHAnsi"/>
                <w:lang w:val="en-US"/>
              </w:rPr>
            </w:pPr>
            <w:r w:rsidRPr="00C57BB5">
              <w:rPr>
                <w:rFonts w:cstheme="minorHAnsi"/>
                <w:lang w:val="en-US"/>
              </w:rPr>
              <w:t xml:space="preserve">Louise Chamberlain, </w:t>
            </w:r>
          </w:p>
          <w:p w14:paraId="28B45FF2" w14:textId="77777777" w:rsidR="00275D5B" w:rsidRPr="00C57BB5" w:rsidRDefault="00275D5B" w:rsidP="00296A4A">
            <w:pPr>
              <w:rPr>
                <w:rFonts w:cstheme="minorHAnsi"/>
                <w:lang w:val="en-US"/>
              </w:rPr>
            </w:pPr>
            <w:r w:rsidRPr="00C57BB5">
              <w:rPr>
                <w:rFonts w:cstheme="minorHAnsi"/>
                <w:lang w:val="en-US"/>
              </w:rPr>
              <w:t>Erkina Urazbaeva</w:t>
            </w:r>
          </w:p>
        </w:tc>
        <w:tc>
          <w:tcPr>
            <w:tcW w:w="3139" w:type="dxa"/>
            <w:vAlign w:val="center"/>
          </w:tcPr>
          <w:p w14:paraId="2AD19E48" w14:textId="77777777" w:rsidR="00275D5B" w:rsidRPr="00C57BB5" w:rsidRDefault="00275D5B" w:rsidP="00296A4A">
            <w:pPr>
              <w:rPr>
                <w:rFonts w:cstheme="minorHAnsi"/>
                <w:lang w:val="en-US"/>
              </w:rPr>
            </w:pPr>
            <w:r w:rsidRPr="00C57BB5">
              <w:rPr>
                <w:rFonts w:cstheme="minorHAnsi"/>
                <w:lang w:val="en-US"/>
              </w:rPr>
              <w:t>Resident Representative,</w:t>
            </w:r>
          </w:p>
          <w:p w14:paraId="46B2020E" w14:textId="77777777" w:rsidR="00275D5B" w:rsidRPr="00C57BB5" w:rsidRDefault="00275D5B" w:rsidP="00296A4A">
            <w:pPr>
              <w:rPr>
                <w:rFonts w:cstheme="minorHAnsi"/>
                <w:lang w:val="en-US"/>
              </w:rPr>
            </w:pPr>
            <w:r w:rsidRPr="00C57BB5">
              <w:rPr>
                <w:rFonts w:cstheme="minorHAnsi"/>
                <w:lang w:val="en-US"/>
              </w:rPr>
              <w:t>Head of Governance and Peacebuilding</w:t>
            </w:r>
          </w:p>
        </w:tc>
      </w:tr>
      <w:tr w:rsidR="00275D5B" w:rsidRPr="00C57BB5" w14:paraId="66E41693" w14:textId="77777777" w:rsidTr="00296A4A">
        <w:trPr>
          <w:trHeight w:val="490"/>
        </w:trPr>
        <w:tc>
          <w:tcPr>
            <w:tcW w:w="2405" w:type="dxa"/>
            <w:vAlign w:val="center"/>
          </w:tcPr>
          <w:p w14:paraId="1018D0AE" w14:textId="77777777" w:rsidR="00275D5B" w:rsidRPr="00C57BB5" w:rsidRDefault="00275D5B" w:rsidP="00296A4A">
            <w:pPr>
              <w:rPr>
                <w:rFonts w:cstheme="minorHAnsi"/>
                <w:lang w:val="en-US"/>
              </w:rPr>
            </w:pPr>
            <w:r w:rsidRPr="00C57BB5">
              <w:rPr>
                <w:rFonts w:cstheme="minorHAnsi"/>
                <w:lang w:val="en-US"/>
              </w:rPr>
              <w:t>UNDP</w:t>
            </w:r>
          </w:p>
        </w:tc>
        <w:tc>
          <w:tcPr>
            <w:tcW w:w="3807" w:type="dxa"/>
            <w:vAlign w:val="center"/>
          </w:tcPr>
          <w:p w14:paraId="230A7017" w14:textId="77777777" w:rsidR="00275D5B" w:rsidRPr="00C57BB5" w:rsidRDefault="00275D5B" w:rsidP="00296A4A">
            <w:pPr>
              <w:rPr>
                <w:rFonts w:cstheme="minorHAnsi"/>
                <w:lang w:val="en-US"/>
              </w:rPr>
            </w:pPr>
            <w:r w:rsidRPr="00C57BB5">
              <w:rPr>
                <w:rFonts w:cstheme="minorHAnsi"/>
                <w:lang w:val="en-US"/>
              </w:rPr>
              <w:t xml:space="preserve">Zhenishbek Arzymatov, </w:t>
            </w:r>
          </w:p>
          <w:p w14:paraId="627AE3C4" w14:textId="77777777" w:rsidR="00275D5B" w:rsidRPr="00C57BB5" w:rsidRDefault="00275D5B" w:rsidP="00296A4A">
            <w:pPr>
              <w:rPr>
                <w:rFonts w:cstheme="minorHAnsi"/>
                <w:lang w:val="en-US"/>
              </w:rPr>
            </w:pPr>
            <w:r w:rsidRPr="00C57BB5">
              <w:rPr>
                <w:rFonts w:cstheme="minorHAnsi"/>
                <w:lang w:val="en-US"/>
              </w:rPr>
              <w:t>Gulnura Toleeva,</w:t>
            </w:r>
          </w:p>
          <w:p w14:paraId="1F80C600" w14:textId="77777777" w:rsidR="00275D5B" w:rsidRPr="00C57BB5" w:rsidRDefault="00275D5B" w:rsidP="00296A4A">
            <w:pPr>
              <w:rPr>
                <w:rFonts w:cstheme="minorHAnsi"/>
                <w:lang w:val="en-US"/>
              </w:rPr>
            </w:pPr>
            <w:r w:rsidRPr="00C57BB5">
              <w:rPr>
                <w:rFonts w:cstheme="minorHAnsi"/>
                <w:lang w:val="en-US"/>
              </w:rPr>
              <w:t xml:space="preserve">Nurzhan Alymkanova, </w:t>
            </w:r>
          </w:p>
          <w:p w14:paraId="2A38A1C7" w14:textId="77777777" w:rsidR="00275D5B" w:rsidRPr="00C57BB5" w:rsidRDefault="00275D5B" w:rsidP="00296A4A">
            <w:pPr>
              <w:rPr>
                <w:rFonts w:cstheme="minorHAnsi"/>
                <w:lang w:val="en-US"/>
              </w:rPr>
            </w:pPr>
            <w:r w:rsidRPr="00C57BB5">
              <w:rPr>
                <w:rFonts w:cstheme="minorHAnsi"/>
                <w:lang w:val="en-US"/>
              </w:rPr>
              <w:t>Daniyar Shaildaev</w:t>
            </w:r>
          </w:p>
        </w:tc>
        <w:tc>
          <w:tcPr>
            <w:tcW w:w="3139" w:type="dxa"/>
            <w:vAlign w:val="center"/>
          </w:tcPr>
          <w:p w14:paraId="59A31679" w14:textId="77777777" w:rsidR="00275D5B" w:rsidRPr="00C57BB5" w:rsidRDefault="00275D5B" w:rsidP="00296A4A">
            <w:pPr>
              <w:rPr>
                <w:rFonts w:cstheme="minorHAnsi"/>
                <w:lang w:val="en-US"/>
              </w:rPr>
            </w:pPr>
            <w:r w:rsidRPr="00C57BB5">
              <w:rPr>
                <w:rFonts w:cstheme="minorHAnsi"/>
                <w:lang w:val="en-US"/>
              </w:rPr>
              <w:t>Senior Advisor on Strengthening Parliament Democracy and Rule of Law,</w:t>
            </w:r>
          </w:p>
          <w:p w14:paraId="60A20F39" w14:textId="77777777" w:rsidR="00275D5B" w:rsidRPr="00C57BB5" w:rsidRDefault="00275D5B" w:rsidP="00296A4A">
            <w:pPr>
              <w:rPr>
                <w:rFonts w:cstheme="minorHAnsi"/>
                <w:lang w:val="en-US"/>
              </w:rPr>
            </w:pPr>
            <w:r w:rsidRPr="00C57BB5">
              <w:rPr>
                <w:rFonts w:cstheme="minorHAnsi"/>
                <w:lang w:val="en-US"/>
              </w:rPr>
              <w:t>Rule of Law Coordinator,</w:t>
            </w:r>
          </w:p>
          <w:p w14:paraId="442EF3CB" w14:textId="77777777" w:rsidR="00275D5B" w:rsidRPr="00C57BB5" w:rsidRDefault="00275D5B" w:rsidP="00296A4A">
            <w:pPr>
              <w:rPr>
                <w:rFonts w:cstheme="minorHAnsi"/>
                <w:lang w:val="en-US"/>
              </w:rPr>
            </w:pPr>
            <w:r w:rsidRPr="00C57BB5">
              <w:rPr>
                <w:rFonts w:cstheme="minorHAnsi"/>
                <w:lang w:val="en-US"/>
              </w:rPr>
              <w:t xml:space="preserve">Communication Specialist, </w:t>
            </w:r>
          </w:p>
          <w:p w14:paraId="584B96C6" w14:textId="77777777" w:rsidR="00275D5B" w:rsidRPr="00C57BB5" w:rsidRDefault="00275D5B" w:rsidP="00296A4A">
            <w:pPr>
              <w:rPr>
                <w:rFonts w:cstheme="minorHAnsi"/>
                <w:lang w:val="en-US"/>
              </w:rPr>
            </w:pPr>
            <w:r w:rsidRPr="00C57BB5">
              <w:rPr>
                <w:rFonts w:cstheme="minorHAnsi"/>
                <w:lang w:val="en-US"/>
              </w:rPr>
              <w:t>Legal expert</w:t>
            </w:r>
          </w:p>
        </w:tc>
      </w:tr>
      <w:tr w:rsidR="00275D5B" w:rsidRPr="00C57BB5" w14:paraId="30D2CF26" w14:textId="77777777" w:rsidTr="00296A4A">
        <w:trPr>
          <w:trHeight w:val="490"/>
        </w:trPr>
        <w:tc>
          <w:tcPr>
            <w:tcW w:w="2405" w:type="dxa"/>
          </w:tcPr>
          <w:p w14:paraId="5742EDC7" w14:textId="77777777" w:rsidR="00275D5B" w:rsidRPr="00C57BB5" w:rsidRDefault="00275D5B" w:rsidP="00296A4A">
            <w:pPr>
              <w:rPr>
                <w:rFonts w:cstheme="minorHAnsi"/>
                <w:lang w:val="en-US"/>
              </w:rPr>
            </w:pPr>
            <w:r w:rsidRPr="00C57BB5">
              <w:rPr>
                <w:rFonts w:cstheme="minorHAnsi"/>
                <w:lang w:val="en-US"/>
              </w:rPr>
              <w:t>OHCHR</w:t>
            </w:r>
          </w:p>
        </w:tc>
        <w:tc>
          <w:tcPr>
            <w:tcW w:w="3807" w:type="dxa"/>
          </w:tcPr>
          <w:p w14:paraId="3DA8C61B" w14:textId="77777777" w:rsidR="00275D5B" w:rsidRPr="00C57BB5" w:rsidRDefault="00275D5B" w:rsidP="00296A4A">
            <w:pPr>
              <w:rPr>
                <w:rFonts w:cstheme="minorHAnsi"/>
                <w:lang w:val="en-US"/>
              </w:rPr>
            </w:pPr>
            <w:r w:rsidRPr="00C57BB5">
              <w:rPr>
                <w:rFonts w:cstheme="minorHAnsi"/>
                <w:lang w:val="en-US"/>
              </w:rPr>
              <w:t xml:space="preserve">Erkin Isakulov </w:t>
            </w:r>
          </w:p>
        </w:tc>
        <w:tc>
          <w:tcPr>
            <w:tcW w:w="3139" w:type="dxa"/>
          </w:tcPr>
          <w:p w14:paraId="0EC4D958" w14:textId="77777777" w:rsidR="00275D5B" w:rsidRPr="00C57BB5" w:rsidRDefault="00275D5B" w:rsidP="00296A4A">
            <w:pPr>
              <w:rPr>
                <w:rFonts w:cstheme="minorHAnsi"/>
                <w:lang w:val="en-US"/>
              </w:rPr>
            </w:pPr>
            <w:r w:rsidRPr="00C57BB5">
              <w:rPr>
                <w:rFonts w:cstheme="minorHAnsi"/>
                <w:lang w:val="en-US"/>
              </w:rPr>
              <w:t>Co-chair of the Rule of Law and Human Rights Working group</w:t>
            </w:r>
          </w:p>
        </w:tc>
      </w:tr>
      <w:tr w:rsidR="00275D5B" w:rsidRPr="00C57BB5" w14:paraId="1431AA94" w14:textId="77777777" w:rsidTr="00296A4A">
        <w:trPr>
          <w:trHeight w:val="490"/>
        </w:trPr>
        <w:tc>
          <w:tcPr>
            <w:tcW w:w="2405" w:type="dxa"/>
            <w:vAlign w:val="center"/>
          </w:tcPr>
          <w:p w14:paraId="2261B7E7" w14:textId="77777777" w:rsidR="00275D5B" w:rsidRPr="00C57BB5" w:rsidRDefault="00275D5B" w:rsidP="00296A4A">
            <w:pPr>
              <w:rPr>
                <w:rFonts w:cstheme="minorHAnsi"/>
                <w:lang w:val="en-US"/>
              </w:rPr>
            </w:pPr>
            <w:r w:rsidRPr="00C57BB5">
              <w:rPr>
                <w:rFonts w:cstheme="minorHAnsi"/>
                <w:lang w:val="en-US"/>
              </w:rPr>
              <w:t>UNICEF</w:t>
            </w:r>
          </w:p>
        </w:tc>
        <w:tc>
          <w:tcPr>
            <w:tcW w:w="3807" w:type="dxa"/>
            <w:vAlign w:val="center"/>
          </w:tcPr>
          <w:p w14:paraId="19D8DD41" w14:textId="77777777" w:rsidR="00275D5B" w:rsidRPr="00C57BB5" w:rsidRDefault="00275D5B" w:rsidP="00296A4A">
            <w:pPr>
              <w:rPr>
                <w:rFonts w:cstheme="minorHAnsi"/>
                <w:lang w:val="en-US"/>
              </w:rPr>
            </w:pPr>
            <w:r w:rsidRPr="00C57BB5">
              <w:rPr>
                <w:rFonts w:cstheme="minorHAnsi"/>
                <w:lang w:val="en-US"/>
              </w:rPr>
              <w:t>Lucio Sarandrea</w:t>
            </w:r>
          </w:p>
        </w:tc>
        <w:tc>
          <w:tcPr>
            <w:tcW w:w="3139" w:type="dxa"/>
          </w:tcPr>
          <w:p w14:paraId="2FACD344" w14:textId="77777777" w:rsidR="00275D5B" w:rsidRPr="00C57BB5" w:rsidRDefault="00275D5B" w:rsidP="00296A4A">
            <w:pPr>
              <w:rPr>
                <w:rFonts w:cstheme="minorHAnsi"/>
                <w:lang w:val="en-US"/>
              </w:rPr>
            </w:pPr>
            <w:r w:rsidRPr="00C57BB5">
              <w:rPr>
                <w:rFonts w:cstheme="minorHAnsi"/>
                <w:lang w:val="en-US"/>
              </w:rPr>
              <w:t>Former CTA for ROL programme</w:t>
            </w:r>
          </w:p>
        </w:tc>
      </w:tr>
      <w:tr w:rsidR="00275D5B" w:rsidRPr="00C57BB5" w14:paraId="3815F843" w14:textId="77777777" w:rsidTr="00296A4A">
        <w:trPr>
          <w:trHeight w:val="490"/>
        </w:trPr>
        <w:tc>
          <w:tcPr>
            <w:tcW w:w="2405" w:type="dxa"/>
          </w:tcPr>
          <w:p w14:paraId="50699F32" w14:textId="77777777" w:rsidR="00275D5B" w:rsidRPr="00C57BB5" w:rsidRDefault="00275D5B" w:rsidP="00296A4A">
            <w:pPr>
              <w:rPr>
                <w:rFonts w:cstheme="minorHAnsi"/>
                <w:lang w:val="en-US"/>
              </w:rPr>
            </w:pPr>
            <w:r w:rsidRPr="00C57BB5">
              <w:rPr>
                <w:rFonts w:cstheme="minorHAnsi"/>
                <w:lang w:val="en-US"/>
              </w:rPr>
              <w:t>Expert Working Group</w:t>
            </w:r>
          </w:p>
        </w:tc>
        <w:tc>
          <w:tcPr>
            <w:tcW w:w="3807" w:type="dxa"/>
          </w:tcPr>
          <w:p w14:paraId="7F0D1A2D" w14:textId="77777777" w:rsidR="00275D5B" w:rsidRPr="00C57BB5" w:rsidRDefault="00275D5B" w:rsidP="00296A4A">
            <w:pPr>
              <w:rPr>
                <w:rFonts w:cstheme="minorHAnsi"/>
                <w:lang w:val="en-US"/>
              </w:rPr>
            </w:pPr>
            <w:r w:rsidRPr="00C57BB5">
              <w:rPr>
                <w:rFonts w:cstheme="minorHAnsi"/>
                <w:lang w:val="en-US"/>
              </w:rPr>
              <w:t xml:space="preserve">Gulmira Mamatkerimova, </w:t>
            </w:r>
          </w:p>
          <w:p w14:paraId="34B22875" w14:textId="77777777" w:rsidR="00275D5B" w:rsidRPr="00C57BB5" w:rsidRDefault="00275D5B" w:rsidP="00296A4A">
            <w:pPr>
              <w:rPr>
                <w:rFonts w:cstheme="minorHAnsi"/>
                <w:lang w:val="en-US"/>
              </w:rPr>
            </w:pPr>
            <w:r w:rsidRPr="00C57BB5">
              <w:rPr>
                <w:rFonts w:cstheme="minorHAnsi"/>
                <w:lang w:val="en-US"/>
              </w:rPr>
              <w:t>Leila Sydykova</w:t>
            </w:r>
          </w:p>
        </w:tc>
        <w:tc>
          <w:tcPr>
            <w:tcW w:w="3139" w:type="dxa"/>
          </w:tcPr>
          <w:p w14:paraId="31C6F0F0" w14:textId="77777777" w:rsidR="00275D5B" w:rsidRPr="00C57BB5" w:rsidRDefault="00275D5B" w:rsidP="00296A4A">
            <w:pPr>
              <w:rPr>
                <w:rFonts w:cstheme="minorHAnsi"/>
                <w:lang w:val="en-US"/>
              </w:rPr>
            </w:pPr>
            <w:r w:rsidRPr="00C57BB5">
              <w:rPr>
                <w:rFonts w:cstheme="minorHAnsi"/>
                <w:lang w:val="en-US"/>
              </w:rPr>
              <w:t>Expert Working Group on Monitoring of Judicial and Legal Reform</w:t>
            </w:r>
          </w:p>
        </w:tc>
      </w:tr>
      <w:tr w:rsidR="00275D5B" w:rsidRPr="00C57BB5" w14:paraId="7353ADFC" w14:textId="77777777" w:rsidTr="00296A4A">
        <w:trPr>
          <w:trHeight w:val="490"/>
        </w:trPr>
        <w:tc>
          <w:tcPr>
            <w:tcW w:w="2405" w:type="dxa"/>
          </w:tcPr>
          <w:p w14:paraId="3DE1EA59" w14:textId="77777777" w:rsidR="00275D5B" w:rsidRPr="00C57BB5" w:rsidRDefault="00275D5B" w:rsidP="00296A4A">
            <w:pPr>
              <w:rPr>
                <w:rFonts w:cstheme="minorHAnsi"/>
                <w:lang w:val="en-US"/>
              </w:rPr>
            </w:pPr>
            <w:r w:rsidRPr="00C57BB5">
              <w:rPr>
                <w:rFonts w:cstheme="minorHAnsi"/>
                <w:lang w:val="en-US"/>
              </w:rPr>
              <w:t>Civil Society partners</w:t>
            </w:r>
          </w:p>
        </w:tc>
        <w:tc>
          <w:tcPr>
            <w:tcW w:w="3807" w:type="dxa"/>
          </w:tcPr>
          <w:p w14:paraId="1EE8212A" w14:textId="77777777" w:rsidR="00275D5B" w:rsidRPr="00C57BB5" w:rsidRDefault="00275D5B" w:rsidP="00296A4A">
            <w:pPr>
              <w:rPr>
                <w:rFonts w:cstheme="minorHAnsi"/>
                <w:lang w:val="es-ES"/>
              </w:rPr>
            </w:pPr>
            <w:bookmarkStart w:id="55" w:name="_Hlk64972708"/>
            <w:r w:rsidRPr="00C57BB5">
              <w:rPr>
                <w:rFonts w:cstheme="minorHAnsi"/>
                <w:lang w:val="es-ES"/>
              </w:rPr>
              <w:t xml:space="preserve">Bakirov Artur, </w:t>
            </w:r>
          </w:p>
          <w:p w14:paraId="4A4D1103" w14:textId="77777777" w:rsidR="00275D5B" w:rsidRPr="00C57BB5" w:rsidRDefault="00275D5B" w:rsidP="00296A4A">
            <w:pPr>
              <w:rPr>
                <w:rFonts w:cstheme="minorHAnsi"/>
                <w:lang w:val="es-ES"/>
              </w:rPr>
            </w:pPr>
          </w:p>
          <w:p w14:paraId="0992883E" w14:textId="77777777" w:rsidR="00275D5B" w:rsidRPr="00C57BB5" w:rsidRDefault="00275D5B" w:rsidP="00296A4A">
            <w:pPr>
              <w:rPr>
                <w:rFonts w:cstheme="minorHAnsi"/>
                <w:lang w:val="es-ES"/>
              </w:rPr>
            </w:pPr>
            <w:r w:rsidRPr="00C57BB5">
              <w:rPr>
                <w:rFonts w:cstheme="minorHAnsi"/>
                <w:lang w:val="es-ES"/>
              </w:rPr>
              <w:t xml:space="preserve">Kozhoyarova Gulsina, </w:t>
            </w:r>
          </w:p>
          <w:p w14:paraId="5581786E" w14:textId="77777777" w:rsidR="00275D5B" w:rsidRPr="00C57BB5" w:rsidRDefault="00275D5B" w:rsidP="00296A4A">
            <w:pPr>
              <w:rPr>
                <w:rFonts w:cstheme="minorHAnsi"/>
                <w:lang w:val="es-ES"/>
              </w:rPr>
            </w:pPr>
          </w:p>
          <w:p w14:paraId="62F5FFDB" w14:textId="77777777" w:rsidR="00275D5B" w:rsidRPr="00C57BB5" w:rsidRDefault="00275D5B" w:rsidP="00296A4A">
            <w:pPr>
              <w:rPr>
                <w:rFonts w:cstheme="minorHAnsi"/>
                <w:lang w:val="es-ES"/>
              </w:rPr>
            </w:pPr>
            <w:r w:rsidRPr="00C57BB5">
              <w:rPr>
                <w:rFonts w:cstheme="minorHAnsi"/>
                <w:lang w:val="es-ES"/>
              </w:rPr>
              <w:t>Suiunalieva Burul</w:t>
            </w:r>
            <w:bookmarkEnd w:id="55"/>
          </w:p>
        </w:tc>
        <w:tc>
          <w:tcPr>
            <w:tcW w:w="3139" w:type="dxa"/>
          </w:tcPr>
          <w:p w14:paraId="126563FB" w14:textId="77777777" w:rsidR="00275D5B" w:rsidRPr="00C57BB5" w:rsidRDefault="00275D5B" w:rsidP="00296A4A">
            <w:pPr>
              <w:rPr>
                <w:rFonts w:cstheme="minorHAnsi"/>
                <w:lang w:val="en-US"/>
              </w:rPr>
            </w:pPr>
            <w:r w:rsidRPr="00C57BB5">
              <w:rPr>
                <w:rFonts w:cstheme="minorHAnsi"/>
                <w:lang w:val="en-US"/>
              </w:rPr>
              <w:t>President of the Association of Legal Clinics of Kyrgyzstan,</w:t>
            </w:r>
          </w:p>
          <w:p w14:paraId="56B94B7B" w14:textId="77777777" w:rsidR="00275D5B" w:rsidRPr="00C57BB5" w:rsidRDefault="00275D5B" w:rsidP="00296A4A">
            <w:pPr>
              <w:rPr>
                <w:rFonts w:cstheme="minorHAnsi"/>
                <w:lang w:val="en-US"/>
              </w:rPr>
            </w:pPr>
            <w:r w:rsidRPr="00C57BB5">
              <w:rPr>
                <w:rFonts w:cstheme="minorHAnsi"/>
                <w:lang w:val="en-US"/>
              </w:rPr>
              <w:t>Chairperson of the Supervisory Board of the Republican Community of Mediators,</w:t>
            </w:r>
          </w:p>
          <w:p w14:paraId="1D918979" w14:textId="77777777" w:rsidR="00275D5B" w:rsidRPr="00C57BB5" w:rsidRDefault="00275D5B" w:rsidP="00296A4A">
            <w:pPr>
              <w:rPr>
                <w:rFonts w:cstheme="minorHAnsi"/>
                <w:lang w:val="en-US"/>
              </w:rPr>
            </w:pPr>
            <w:r w:rsidRPr="00C57BB5">
              <w:rPr>
                <w:rFonts w:cstheme="minorHAnsi"/>
                <w:lang w:val="en-US"/>
              </w:rPr>
              <w:t>President of Public Fund “Social services development fund”</w:t>
            </w:r>
          </w:p>
        </w:tc>
      </w:tr>
      <w:tr w:rsidR="00275D5B" w:rsidRPr="00C57BB5" w14:paraId="085CE977" w14:textId="77777777" w:rsidTr="00296A4A">
        <w:trPr>
          <w:trHeight w:val="490"/>
        </w:trPr>
        <w:tc>
          <w:tcPr>
            <w:tcW w:w="2405" w:type="dxa"/>
          </w:tcPr>
          <w:p w14:paraId="6C46A43D" w14:textId="77777777" w:rsidR="00275D5B" w:rsidRPr="00C57BB5" w:rsidRDefault="00275D5B" w:rsidP="00296A4A">
            <w:pPr>
              <w:rPr>
                <w:rFonts w:cstheme="minorHAnsi"/>
                <w:lang w:val="en-US"/>
              </w:rPr>
            </w:pPr>
            <w:r w:rsidRPr="00C57BB5">
              <w:rPr>
                <w:rFonts w:cstheme="minorHAnsi"/>
                <w:lang w:val="en-US"/>
              </w:rPr>
              <w:t>Prosecutor General’s Office</w:t>
            </w:r>
          </w:p>
        </w:tc>
        <w:tc>
          <w:tcPr>
            <w:tcW w:w="3807" w:type="dxa"/>
          </w:tcPr>
          <w:p w14:paraId="6D17B690" w14:textId="77777777" w:rsidR="00275D5B" w:rsidRPr="00C57BB5" w:rsidRDefault="00275D5B" w:rsidP="00296A4A">
            <w:pPr>
              <w:rPr>
                <w:rFonts w:cstheme="minorHAnsi"/>
                <w:lang w:val="en-US"/>
              </w:rPr>
            </w:pPr>
            <w:bookmarkStart w:id="56" w:name="_Hlk64974470"/>
            <w:r w:rsidRPr="00C57BB5">
              <w:rPr>
                <w:rFonts w:cstheme="minorHAnsi"/>
                <w:lang w:val="en-US"/>
              </w:rPr>
              <w:t xml:space="preserve">Moldobaev Azamat </w:t>
            </w:r>
            <w:bookmarkEnd w:id="56"/>
          </w:p>
        </w:tc>
        <w:tc>
          <w:tcPr>
            <w:tcW w:w="3139" w:type="dxa"/>
          </w:tcPr>
          <w:p w14:paraId="41C39CA3" w14:textId="77777777" w:rsidR="00275D5B" w:rsidRPr="00C57BB5" w:rsidRDefault="00275D5B" w:rsidP="00296A4A">
            <w:pPr>
              <w:rPr>
                <w:rFonts w:cstheme="minorHAnsi"/>
                <w:lang w:val="en-US"/>
              </w:rPr>
            </w:pPr>
            <w:r w:rsidRPr="00C57BB5">
              <w:rPr>
                <w:rFonts w:cstheme="minorHAnsi"/>
                <w:lang w:val="en-US"/>
              </w:rPr>
              <w:t>Head of the Training Center for Prosecutor-Investigative Officers</w:t>
            </w:r>
          </w:p>
        </w:tc>
      </w:tr>
      <w:tr w:rsidR="00275D5B" w:rsidRPr="00C57BB5" w14:paraId="42588FC5" w14:textId="77777777" w:rsidTr="00296A4A">
        <w:trPr>
          <w:trHeight w:val="490"/>
        </w:trPr>
        <w:tc>
          <w:tcPr>
            <w:tcW w:w="2405" w:type="dxa"/>
          </w:tcPr>
          <w:p w14:paraId="6F75424F" w14:textId="77777777" w:rsidR="00275D5B" w:rsidRPr="00C57BB5" w:rsidRDefault="00275D5B" w:rsidP="00296A4A">
            <w:pPr>
              <w:rPr>
                <w:rFonts w:cstheme="minorHAnsi"/>
                <w:lang w:val="en-US"/>
              </w:rPr>
            </w:pPr>
            <w:r w:rsidRPr="00C57BB5">
              <w:rPr>
                <w:rFonts w:cstheme="minorHAnsi"/>
                <w:lang w:val="en-US"/>
              </w:rPr>
              <w:t>Ministry of Justice</w:t>
            </w:r>
          </w:p>
        </w:tc>
        <w:tc>
          <w:tcPr>
            <w:tcW w:w="3807" w:type="dxa"/>
          </w:tcPr>
          <w:p w14:paraId="007DC6DE" w14:textId="77777777" w:rsidR="00275D5B" w:rsidRPr="00C57BB5" w:rsidRDefault="00275D5B" w:rsidP="00296A4A">
            <w:pPr>
              <w:rPr>
                <w:rFonts w:cstheme="minorHAnsi"/>
                <w:lang w:val="en-US"/>
              </w:rPr>
            </w:pPr>
            <w:r w:rsidRPr="00C57BB5">
              <w:rPr>
                <w:rFonts w:cstheme="minorHAnsi"/>
                <w:lang w:val="en-US"/>
              </w:rPr>
              <w:t xml:space="preserve">Kalbekov Akjol </w:t>
            </w:r>
          </w:p>
        </w:tc>
        <w:tc>
          <w:tcPr>
            <w:tcW w:w="3139" w:type="dxa"/>
          </w:tcPr>
          <w:p w14:paraId="7442D0FE" w14:textId="77777777" w:rsidR="00275D5B" w:rsidRPr="00C57BB5" w:rsidRDefault="00275D5B" w:rsidP="00296A4A">
            <w:pPr>
              <w:rPr>
                <w:rFonts w:cstheme="minorHAnsi"/>
                <w:lang w:val="en-US"/>
              </w:rPr>
            </w:pPr>
            <w:r w:rsidRPr="00C57BB5">
              <w:rPr>
                <w:rFonts w:cstheme="minorHAnsi"/>
                <w:lang w:val="en-US"/>
              </w:rPr>
              <w:t>Director of Free Legal Coordination Center</w:t>
            </w:r>
          </w:p>
        </w:tc>
      </w:tr>
      <w:tr w:rsidR="00275D5B" w:rsidRPr="00C57BB5" w14:paraId="654D0C50" w14:textId="77777777" w:rsidTr="00296A4A">
        <w:trPr>
          <w:trHeight w:val="490"/>
        </w:trPr>
        <w:tc>
          <w:tcPr>
            <w:tcW w:w="2405" w:type="dxa"/>
          </w:tcPr>
          <w:p w14:paraId="5A90425F" w14:textId="77777777" w:rsidR="00275D5B" w:rsidRPr="00C57BB5" w:rsidRDefault="00275D5B" w:rsidP="00296A4A">
            <w:pPr>
              <w:rPr>
                <w:rFonts w:cstheme="minorHAnsi"/>
                <w:lang w:val="en-US"/>
              </w:rPr>
            </w:pPr>
            <w:r w:rsidRPr="00C57BB5">
              <w:rPr>
                <w:rFonts w:cstheme="minorHAnsi"/>
                <w:lang w:val="en-US"/>
              </w:rPr>
              <w:t xml:space="preserve">European Union </w:t>
            </w:r>
          </w:p>
        </w:tc>
        <w:tc>
          <w:tcPr>
            <w:tcW w:w="3807" w:type="dxa"/>
          </w:tcPr>
          <w:p w14:paraId="6B4F0D20" w14:textId="77777777" w:rsidR="00275D5B" w:rsidRPr="00C57BB5" w:rsidRDefault="00275D5B" w:rsidP="00296A4A">
            <w:pPr>
              <w:rPr>
                <w:rFonts w:cstheme="minorHAnsi"/>
                <w:lang w:val="en-US"/>
              </w:rPr>
            </w:pPr>
            <w:r w:rsidRPr="00C57BB5">
              <w:rPr>
                <w:rFonts w:cstheme="minorHAnsi"/>
                <w:lang w:val="en-US"/>
              </w:rPr>
              <w:t xml:space="preserve">Nicola Scaramuzzo </w:t>
            </w:r>
          </w:p>
        </w:tc>
        <w:tc>
          <w:tcPr>
            <w:tcW w:w="3139" w:type="dxa"/>
          </w:tcPr>
          <w:p w14:paraId="52B783ED" w14:textId="77777777" w:rsidR="00275D5B" w:rsidRPr="00C57BB5" w:rsidRDefault="00275D5B" w:rsidP="00296A4A">
            <w:pPr>
              <w:rPr>
                <w:rFonts w:cstheme="minorHAnsi"/>
                <w:lang w:val="en-US"/>
              </w:rPr>
            </w:pPr>
            <w:r w:rsidRPr="00C57BB5">
              <w:rPr>
                <w:rFonts w:cstheme="minorHAnsi"/>
                <w:lang w:val="en-US"/>
              </w:rPr>
              <w:t>Head of ROL Programme</w:t>
            </w:r>
          </w:p>
        </w:tc>
      </w:tr>
      <w:tr w:rsidR="00275D5B" w:rsidRPr="00C57BB5" w14:paraId="19542407" w14:textId="77777777" w:rsidTr="00296A4A">
        <w:trPr>
          <w:trHeight w:val="490"/>
        </w:trPr>
        <w:tc>
          <w:tcPr>
            <w:tcW w:w="2405" w:type="dxa"/>
          </w:tcPr>
          <w:p w14:paraId="57DE4482" w14:textId="77777777" w:rsidR="00275D5B" w:rsidRPr="00C57BB5" w:rsidRDefault="00275D5B" w:rsidP="00296A4A">
            <w:pPr>
              <w:rPr>
                <w:rFonts w:cstheme="minorHAnsi"/>
                <w:lang w:val="en-US"/>
              </w:rPr>
            </w:pPr>
            <w:r w:rsidRPr="00C57BB5">
              <w:rPr>
                <w:rFonts w:cstheme="minorHAnsi"/>
                <w:lang w:val="en-US"/>
              </w:rPr>
              <w:t>INL (U.S. Dept. of State)</w:t>
            </w:r>
          </w:p>
        </w:tc>
        <w:tc>
          <w:tcPr>
            <w:tcW w:w="3807" w:type="dxa"/>
          </w:tcPr>
          <w:p w14:paraId="04F71B34" w14:textId="77777777" w:rsidR="00275D5B" w:rsidRPr="00C57BB5" w:rsidRDefault="00275D5B" w:rsidP="00296A4A">
            <w:pPr>
              <w:rPr>
                <w:rFonts w:cstheme="minorHAnsi"/>
                <w:lang w:val="en-US"/>
              </w:rPr>
            </w:pPr>
            <w:r w:rsidRPr="00C57BB5">
              <w:rPr>
                <w:rFonts w:cstheme="minorHAnsi"/>
                <w:lang w:val="en-US"/>
              </w:rPr>
              <w:t xml:space="preserve">Elnura Kudaibergenova, </w:t>
            </w:r>
          </w:p>
          <w:p w14:paraId="16DB438E" w14:textId="77777777" w:rsidR="00275D5B" w:rsidRPr="00C57BB5" w:rsidRDefault="00275D5B" w:rsidP="00296A4A">
            <w:pPr>
              <w:rPr>
                <w:rFonts w:cstheme="minorHAnsi"/>
                <w:lang w:val="en-US"/>
              </w:rPr>
            </w:pPr>
            <w:r w:rsidRPr="00C57BB5">
              <w:rPr>
                <w:rFonts w:cstheme="minorHAnsi"/>
                <w:lang w:val="en-US"/>
              </w:rPr>
              <w:t>Cory Spiller</w:t>
            </w:r>
          </w:p>
        </w:tc>
        <w:tc>
          <w:tcPr>
            <w:tcW w:w="3139" w:type="dxa"/>
          </w:tcPr>
          <w:p w14:paraId="74BB51C2" w14:textId="77777777" w:rsidR="00275D5B" w:rsidRPr="00C57BB5" w:rsidRDefault="00275D5B" w:rsidP="00296A4A">
            <w:pPr>
              <w:rPr>
                <w:rFonts w:cstheme="minorHAnsi"/>
                <w:lang w:val="en-US"/>
              </w:rPr>
            </w:pPr>
            <w:r w:rsidRPr="00C57BB5">
              <w:rPr>
                <w:rFonts w:cstheme="minorHAnsi"/>
                <w:lang w:val="en-US"/>
              </w:rPr>
              <w:t>Legal Specialist,</w:t>
            </w:r>
          </w:p>
          <w:p w14:paraId="513C8200" w14:textId="77777777" w:rsidR="00275D5B" w:rsidRPr="00C57BB5" w:rsidRDefault="00275D5B" w:rsidP="00296A4A">
            <w:pPr>
              <w:rPr>
                <w:rFonts w:cstheme="minorHAnsi"/>
                <w:lang w:val="en-US"/>
              </w:rPr>
            </w:pPr>
            <w:r w:rsidRPr="00C57BB5">
              <w:rPr>
                <w:rFonts w:cstheme="minorHAnsi"/>
                <w:lang w:val="en-US"/>
              </w:rPr>
              <w:t>Unidentified position</w:t>
            </w:r>
          </w:p>
        </w:tc>
      </w:tr>
      <w:tr w:rsidR="00275D5B" w:rsidRPr="00C57BB5" w14:paraId="57503411" w14:textId="77777777" w:rsidTr="00296A4A">
        <w:trPr>
          <w:trHeight w:val="490"/>
        </w:trPr>
        <w:tc>
          <w:tcPr>
            <w:tcW w:w="9351" w:type="dxa"/>
            <w:gridSpan w:val="3"/>
            <w:shd w:val="clear" w:color="auto" w:fill="D7D2D9" w:themeFill="accent6" w:themeFillTint="66"/>
          </w:tcPr>
          <w:p w14:paraId="4BF6D4D8" w14:textId="77777777" w:rsidR="00275D5B" w:rsidRPr="00C57BB5" w:rsidRDefault="00275D5B" w:rsidP="00296A4A">
            <w:pPr>
              <w:rPr>
                <w:rFonts w:cstheme="minorHAnsi"/>
                <w:b/>
                <w:bCs/>
                <w:lang w:val="en-US"/>
              </w:rPr>
            </w:pPr>
            <w:r w:rsidRPr="00C57BB5">
              <w:rPr>
                <w:rFonts w:cstheme="minorHAnsi"/>
                <w:b/>
                <w:bCs/>
                <w:lang w:val="en-US"/>
              </w:rPr>
              <w:t>Pakistan</w:t>
            </w:r>
          </w:p>
        </w:tc>
      </w:tr>
      <w:tr w:rsidR="00275D5B" w:rsidRPr="00C57BB5" w14:paraId="715CC99A" w14:textId="77777777" w:rsidTr="00296A4A">
        <w:trPr>
          <w:trHeight w:val="490"/>
        </w:trPr>
        <w:tc>
          <w:tcPr>
            <w:tcW w:w="2405" w:type="dxa"/>
          </w:tcPr>
          <w:p w14:paraId="3AEA4299"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4809B9EE" w14:textId="77777777" w:rsidR="00275D5B" w:rsidRPr="00C57BB5" w:rsidRDefault="00275D5B" w:rsidP="00296A4A">
            <w:pPr>
              <w:rPr>
                <w:rFonts w:cstheme="minorHAnsi"/>
                <w:lang w:val="en-US"/>
              </w:rPr>
            </w:pPr>
            <w:r w:rsidRPr="00C57BB5">
              <w:rPr>
                <w:rFonts w:cstheme="minorHAnsi"/>
                <w:lang w:val="en-US"/>
              </w:rPr>
              <w:t>Arshid Jan</w:t>
            </w:r>
          </w:p>
        </w:tc>
        <w:tc>
          <w:tcPr>
            <w:tcW w:w="3139" w:type="dxa"/>
          </w:tcPr>
          <w:p w14:paraId="382EAAD7" w14:textId="77777777" w:rsidR="00275D5B" w:rsidRPr="00C57BB5" w:rsidRDefault="00275D5B" w:rsidP="00296A4A">
            <w:pPr>
              <w:rPr>
                <w:rFonts w:cstheme="minorHAnsi"/>
                <w:lang w:val="en-US"/>
              </w:rPr>
            </w:pPr>
            <w:r w:rsidRPr="00C57BB5">
              <w:rPr>
                <w:rFonts w:cstheme="minorHAnsi"/>
                <w:lang w:val="en-US"/>
              </w:rPr>
              <w:t>Programme Specialist, ROL</w:t>
            </w:r>
          </w:p>
        </w:tc>
      </w:tr>
      <w:tr w:rsidR="00275D5B" w:rsidRPr="00C57BB5" w14:paraId="1AEF9C59" w14:textId="77777777" w:rsidTr="00296A4A">
        <w:trPr>
          <w:trHeight w:val="490"/>
        </w:trPr>
        <w:tc>
          <w:tcPr>
            <w:tcW w:w="2405" w:type="dxa"/>
          </w:tcPr>
          <w:p w14:paraId="0FAF0E70"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49C98AF8" w14:textId="77777777" w:rsidR="00275D5B" w:rsidRPr="00C57BB5" w:rsidRDefault="00275D5B" w:rsidP="00296A4A">
            <w:pPr>
              <w:rPr>
                <w:rFonts w:cstheme="minorHAnsi"/>
                <w:lang w:val="en-US"/>
              </w:rPr>
            </w:pPr>
            <w:r w:rsidRPr="00C57BB5">
              <w:rPr>
                <w:rFonts w:cstheme="minorHAnsi"/>
                <w:lang w:val="en-US"/>
              </w:rPr>
              <w:t>Jakhongir Khaydarov</w:t>
            </w:r>
          </w:p>
        </w:tc>
        <w:tc>
          <w:tcPr>
            <w:tcW w:w="3139" w:type="dxa"/>
          </w:tcPr>
          <w:p w14:paraId="53E53358" w14:textId="77777777" w:rsidR="00275D5B" w:rsidRPr="00C57BB5" w:rsidRDefault="00275D5B" w:rsidP="00296A4A">
            <w:pPr>
              <w:rPr>
                <w:rFonts w:cstheme="minorHAnsi"/>
                <w:lang w:val="en-US"/>
              </w:rPr>
            </w:pPr>
            <w:r w:rsidRPr="00C57BB5">
              <w:rPr>
                <w:rFonts w:eastAsia="Times New Roman" w:cstheme="minorHAnsi"/>
                <w:lang w:val="en-US"/>
              </w:rPr>
              <w:t>Programme Manager, ROL</w:t>
            </w:r>
          </w:p>
        </w:tc>
      </w:tr>
      <w:tr w:rsidR="00275D5B" w:rsidRPr="00C57BB5" w14:paraId="67513F63" w14:textId="77777777" w:rsidTr="00296A4A">
        <w:trPr>
          <w:trHeight w:val="490"/>
        </w:trPr>
        <w:tc>
          <w:tcPr>
            <w:tcW w:w="2405" w:type="dxa"/>
          </w:tcPr>
          <w:p w14:paraId="754DD2F4"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45A2C590" w14:textId="77777777" w:rsidR="00275D5B" w:rsidRPr="00C57BB5" w:rsidRDefault="00275D5B" w:rsidP="00296A4A">
            <w:pPr>
              <w:rPr>
                <w:rFonts w:cstheme="minorHAnsi"/>
                <w:lang w:val="en-US"/>
              </w:rPr>
            </w:pPr>
            <w:r w:rsidRPr="00C57BB5">
              <w:rPr>
                <w:rFonts w:cstheme="minorHAnsi"/>
                <w:lang w:val="en-US"/>
              </w:rPr>
              <w:t>Kaiser Ishaque</w:t>
            </w:r>
          </w:p>
        </w:tc>
        <w:tc>
          <w:tcPr>
            <w:tcW w:w="3139" w:type="dxa"/>
          </w:tcPr>
          <w:p w14:paraId="108206F3" w14:textId="77777777" w:rsidR="00275D5B" w:rsidRPr="00C57BB5" w:rsidRDefault="00275D5B" w:rsidP="00296A4A">
            <w:pPr>
              <w:rPr>
                <w:rFonts w:cstheme="minorHAnsi"/>
                <w:lang w:val="en-US"/>
              </w:rPr>
            </w:pPr>
            <w:r w:rsidRPr="00C57BB5">
              <w:rPr>
                <w:rFonts w:cstheme="minorHAnsi"/>
                <w:lang w:val="en-US"/>
              </w:rPr>
              <w:t>Assistant Resident Representative, Democratic Governance Unit</w:t>
            </w:r>
          </w:p>
        </w:tc>
      </w:tr>
      <w:tr w:rsidR="00275D5B" w:rsidRPr="00C57BB5" w14:paraId="5A22FE61" w14:textId="77777777" w:rsidTr="00296A4A">
        <w:trPr>
          <w:trHeight w:val="490"/>
        </w:trPr>
        <w:tc>
          <w:tcPr>
            <w:tcW w:w="2405" w:type="dxa"/>
          </w:tcPr>
          <w:p w14:paraId="32F9B220"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30334473" w14:textId="77777777" w:rsidR="00275D5B" w:rsidRPr="00C57BB5" w:rsidRDefault="00275D5B" w:rsidP="00296A4A">
            <w:pPr>
              <w:rPr>
                <w:rFonts w:cstheme="minorHAnsi"/>
                <w:lang w:val="en-US"/>
              </w:rPr>
            </w:pPr>
            <w:r w:rsidRPr="00C57BB5">
              <w:rPr>
                <w:rFonts w:cstheme="minorHAnsi"/>
                <w:lang w:val="en-US"/>
              </w:rPr>
              <w:t>Zulfaqir Durrani</w:t>
            </w:r>
          </w:p>
        </w:tc>
        <w:tc>
          <w:tcPr>
            <w:tcW w:w="3139" w:type="dxa"/>
          </w:tcPr>
          <w:p w14:paraId="39D5CCEA" w14:textId="77777777" w:rsidR="00275D5B" w:rsidRPr="00C57BB5" w:rsidRDefault="00275D5B" w:rsidP="00296A4A">
            <w:pPr>
              <w:rPr>
                <w:rFonts w:cstheme="minorHAnsi"/>
                <w:lang w:val="en-US"/>
              </w:rPr>
            </w:pPr>
            <w:r w:rsidRPr="00C57BB5">
              <w:rPr>
                <w:rFonts w:eastAsia="Times New Roman" w:cstheme="minorHAnsi"/>
                <w:lang w:val="en-US"/>
              </w:rPr>
              <w:t>Head of UNDP office, Quetta, Balochistan</w:t>
            </w:r>
          </w:p>
        </w:tc>
      </w:tr>
      <w:tr w:rsidR="00275D5B" w:rsidRPr="00C57BB5" w14:paraId="506C8C2F" w14:textId="77777777" w:rsidTr="00296A4A">
        <w:trPr>
          <w:trHeight w:val="490"/>
        </w:trPr>
        <w:tc>
          <w:tcPr>
            <w:tcW w:w="2405" w:type="dxa"/>
          </w:tcPr>
          <w:p w14:paraId="0B85B31F"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2335649C" w14:textId="77777777" w:rsidR="00275D5B" w:rsidRPr="00C57BB5" w:rsidRDefault="00275D5B" w:rsidP="00296A4A">
            <w:pPr>
              <w:rPr>
                <w:rFonts w:cstheme="minorHAnsi"/>
                <w:lang w:val="en-US"/>
              </w:rPr>
            </w:pPr>
            <w:r w:rsidRPr="00C57BB5">
              <w:rPr>
                <w:rFonts w:cstheme="minorHAnsi"/>
                <w:lang w:val="en-US"/>
              </w:rPr>
              <w:t>Sadia Hanif,</w:t>
            </w:r>
          </w:p>
          <w:p w14:paraId="52617EED" w14:textId="77777777" w:rsidR="00275D5B" w:rsidRPr="00C57BB5" w:rsidRDefault="00275D5B" w:rsidP="00296A4A">
            <w:pPr>
              <w:rPr>
                <w:rFonts w:cstheme="minorHAnsi"/>
                <w:lang w:val="en-US"/>
              </w:rPr>
            </w:pPr>
            <w:r w:rsidRPr="00C57BB5">
              <w:rPr>
                <w:rFonts w:cstheme="minorHAnsi"/>
                <w:lang w:val="en-US"/>
              </w:rPr>
              <w:t>Idrees Hayat,</w:t>
            </w:r>
          </w:p>
          <w:p w14:paraId="014F242A" w14:textId="77777777" w:rsidR="00275D5B" w:rsidRPr="00C57BB5" w:rsidRDefault="00275D5B" w:rsidP="00296A4A">
            <w:pPr>
              <w:rPr>
                <w:rFonts w:cstheme="minorHAnsi"/>
                <w:lang w:val="en-US"/>
              </w:rPr>
            </w:pPr>
            <w:r w:rsidRPr="00C57BB5">
              <w:rPr>
                <w:rFonts w:cstheme="minorHAnsi"/>
                <w:lang w:val="en-US"/>
              </w:rPr>
              <w:t>Asad Haroon</w:t>
            </w:r>
          </w:p>
          <w:p w14:paraId="542B1F78" w14:textId="77777777" w:rsidR="00275D5B" w:rsidRPr="00C57BB5" w:rsidRDefault="00275D5B" w:rsidP="00296A4A">
            <w:pPr>
              <w:rPr>
                <w:rFonts w:cstheme="minorHAnsi"/>
                <w:lang w:val="en-US" w:eastAsia="en-CA"/>
              </w:rPr>
            </w:pPr>
          </w:p>
        </w:tc>
        <w:tc>
          <w:tcPr>
            <w:tcW w:w="3139" w:type="dxa"/>
          </w:tcPr>
          <w:p w14:paraId="156331FD" w14:textId="77777777" w:rsidR="00275D5B" w:rsidRPr="00C57BB5" w:rsidRDefault="00275D5B" w:rsidP="00296A4A">
            <w:pPr>
              <w:rPr>
                <w:rFonts w:eastAsia="Times New Roman" w:cstheme="minorHAnsi"/>
                <w:lang w:val="en-US"/>
              </w:rPr>
            </w:pPr>
            <w:r w:rsidRPr="00C57BB5">
              <w:rPr>
                <w:rFonts w:eastAsia="Times New Roman" w:cstheme="minorHAnsi"/>
                <w:lang w:val="en-US"/>
              </w:rPr>
              <w:t>Programme Officer DG Unit,</w:t>
            </w:r>
          </w:p>
          <w:p w14:paraId="19816B5D" w14:textId="77777777" w:rsidR="00275D5B" w:rsidRPr="00C57BB5" w:rsidRDefault="00275D5B" w:rsidP="00296A4A">
            <w:pPr>
              <w:rPr>
                <w:rFonts w:eastAsia="Times New Roman" w:cstheme="minorHAnsi"/>
                <w:lang w:val="en-US"/>
              </w:rPr>
            </w:pPr>
            <w:r w:rsidRPr="00C57BB5">
              <w:rPr>
                <w:rFonts w:eastAsia="Times New Roman" w:cstheme="minorHAnsi"/>
                <w:lang w:val="en-US"/>
              </w:rPr>
              <w:t>Law Enforcement Specialist,</w:t>
            </w:r>
          </w:p>
          <w:p w14:paraId="150087F5" w14:textId="77777777" w:rsidR="00275D5B" w:rsidRPr="00C57BB5" w:rsidRDefault="00275D5B" w:rsidP="00296A4A">
            <w:pPr>
              <w:rPr>
                <w:rFonts w:cstheme="minorHAnsi"/>
                <w:lang w:val="en-US"/>
              </w:rPr>
            </w:pPr>
            <w:r w:rsidRPr="00C57BB5">
              <w:rPr>
                <w:rFonts w:eastAsia="Times New Roman" w:cstheme="minorHAnsi"/>
                <w:lang w:val="en-US"/>
              </w:rPr>
              <w:t>Prosecution Specialist</w:t>
            </w:r>
          </w:p>
        </w:tc>
      </w:tr>
      <w:tr w:rsidR="00275D5B" w:rsidRPr="00C57BB5" w14:paraId="3DAE3C87" w14:textId="77777777" w:rsidTr="00296A4A">
        <w:trPr>
          <w:trHeight w:val="490"/>
        </w:trPr>
        <w:tc>
          <w:tcPr>
            <w:tcW w:w="2405" w:type="dxa"/>
          </w:tcPr>
          <w:p w14:paraId="6F4ABA2B" w14:textId="77777777" w:rsidR="00275D5B" w:rsidRPr="00C57BB5" w:rsidRDefault="00275D5B" w:rsidP="00296A4A">
            <w:pPr>
              <w:rPr>
                <w:rFonts w:cstheme="minorHAnsi"/>
                <w:lang w:val="en-US"/>
              </w:rPr>
            </w:pPr>
            <w:r w:rsidRPr="00C57BB5">
              <w:rPr>
                <w:rFonts w:eastAsia="Times New Roman" w:cstheme="minorHAnsi"/>
                <w:lang w:val="en-US"/>
              </w:rPr>
              <w:t>UN Women</w:t>
            </w:r>
          </w:p>
        </w:tc>
        <w:tc>
          <w:tcPr>
            <w:tcW w:w="3807" w:type="dxa"/>
          </w:tcPr>
          <w:p w14:paraId="20D4EE52" w14:textId="77777777" w:rsidR="00275D5B" w:rsidRPr="00C57BB5" w:rsidRDefault="00275D5B" w:rsidP="00296A4A">
            <w:pPr>
              <w:rPr>
                <w:rFonts w:eastAsia="Times New Roman" w:cstheme="minorHAnsi"/>
                <w:lang w:val="en-US"/>
              </w:rPr>
            </w:pPr>
            <w:r w:rsidRPr="00C57BB5">
              <w:rPr>
                <w:rFonts w:eastAsia="Times New Roman" w:cstheme="minorHAnsi"/>
                <w:lang w:val="en-US"/>
              </w:rPr>
              <w:t>Yasir Khan</w:t>
            </w:r>
          </w:p>
          <w:p w14:paraId="23C78C71" w14:textId="77777777" w:rsidR="00275D5B" w:rsidRPr="00C57BB5" w:rsidRDefault="00275D5B" w:rsidP="00296A4A">
            <w:pPr>
              <w:rPr>
                <w:rFonts w:cstheme="minorHAnsi"/>
                <w:lang w:val="en-US"/>
              </w:rPr>
            </w:pPr>
          </w:p>
        </w:tc>
        <w:tc>
          <w:tcPr>
            <w:tcW w:w="3139" w:type="dxa"/>
          </w:tcPr>
          <w:p w14:paraId="39639DEC" w14:textId="77777777" w:rsidR="00275D5B" w:rsidRPr="00C57BB5" w:rsidRDefault="00275D5B" w:rsidP="00296A4A">
            <w:pPr>
              <w:rPr>
                <w:rFonts w:cstheme="minorHAnsi"/>
                <w:lang w:val="en-US"/>
              </w:rPr>
            </w:pPr>
            <w:r w:rsidRPr="00C57BB5">
              <w:rPr>
                <w:rFonts w:eastAsia="Times New Roman" w:cstheme="minorHAnsi"/>
                <w:lang w:val="en-US"/>
              </w:rPr>
              <w:t>Programme Officer</w:t>
            </w:r>
          </w:p>
        </w:tc>
      </w:tr>
      <w:tr w:rsidR="00275D5B" w:rsidRPr="00C57BB5" w14:paraId="5584BDC8" w14:textId="77777777" w:rsidTr="00296A4A">
        <w:trPr>
          <w:trHeight w:val="490"/>
        </w:trPr>
        <w:tc>
          <w:tcPr>
            <w:tcW w:w="2405" w:type="dxa"/>
          </w:tcPr>
          <w:p w14:paraId="6054E00E" w14:textId="77777777" w:rsidR="00275D5B" w:rsidRPr="00C57BB5" w:rsidRDefault="00275D5B" w:rsidP="00296A4A">
            <w:pPr>
              <w:rPr>
                <w:rFonts w:cstheme="minorHAnsi"/>
                <w:lang w:val="en-US"/>
              </w:rPr>
            </w:pPr>
            <w:r w:rsidRPr="00C57BB5">
              <w:rPr>
                <w:rFonts w:cstheme="minorHAnsi"/>
                <w:lang w:val="en-US"/>
              </w:rPr>
              <w:t>UNODC</w:t>
            </w:r>
          </w:p>
        </w:tc>
        <w:tc>
          <w:tcPr>
            <w:tcW w:w="3807" w:type="dxa"/>
          </w:tcPr>
          <w:p w14:paraId="33247132" w14:textId="77777777" w:rsidR="00275D5B" w:rsidRPr="00C57BB5" w:rsidRDefault="00275D5B" w:rsidP="00296A4A">
            <w:pPr>
              <w:rPr>
                <w:rFonts w:cstheme="minorHAnsi"/>
                <w:lang w:val="en-US"/>
              </w:rPr>
            </w:pPr>
            <w:r w:rsidRPr="00C57BB5">
              <w:rPr>
                <w:rFonts w:cstheme="minorHAnsi"/>
                <w:lang w:val="en-US"/>
              </w:rPr>
              <w:t>Waqas Shah</w:t>
            </w:r>
          </w:p>
        </w:tc>
        <w:tc>
          <w:tcPr>
            <w:tcW w:w="3139" w:type="dxa"/>
          </w:tcPr>
          <w:p w14:paraId="18176B86" w14:textId="77777777" w:rsidR="00275D5B" w:rsidRPr="00C57BB5" w:rsidRDefault="00275D5B" w:rsidP="00296A4A">
            <w:pPr>
              <w:rPr>
                <w:rFonts w:cstheme="minorHAnsi"/>
                <w:lang w:val="en-US"/>
              </w:rPr>
            </w:pPr>
            <w:r w:rsidRPr="00C57BB5">
              <w:rPr>
                <w:rFonts w:cstheme="minorHAnsi"/>
                <w:lang w:val="en-US"/>
              </w:rPr>
              <w:t>Programme Manager (Prosecution and Judiciary)</w:t>
            </w:r>
          </w:p>
        </w:tc>
      </w:tr>
      <w:tr w:rsidR="00275D5B" w:rsidRPr="00C57BB5" w14:paraId="5B9FEFCA" w14:textId="77777777" w:rsidTr="00296A4A">
        <w:trPr>
          <w:trHeight w:val="490"/>
        </w:trPr>
        <w:tc>
          <w:tcPr>
            <w:tcW w:w="2405" w:type="dxa"/>
          </w:tcPr>
          <w:p w14:paraId="60719425" w14:textId="77777777" w:rsidR="00275D5B" w:rsidRPr="00C57BB5" w:rsidRDefault="00275D5B" w:rsidP="00296A4A">
            <w:pPr>
              <w:rPr>
                <w:rFonts w:cstheme="minorHAnsi"/>
                <w:lang w:val="en-US"/>
              </w:rPr>
            </w:pPr>
            <w:r w:rsidRPr="00C57BB5">
              <w:rPr>
                <w:rFonts w:cstheme="minorHAnsi"/>
                <w:lang w:val="en-US"/>
              </w:rPr>
              <w:t>Prosecutor General Office,</w:t>
            </w:r>
            <w:r w:rsidRPr="00C57BB5">
              <w:rPr>
                <w:rFonts w:eastAsia="Times New Roman" w:cstheme="minorHAnsi"/>
                <w:lang w:val="en-US"/>
              </w:rPr>
              <w:t xml:space="preserve"> Balochistan  </w:t>
            </w:r>
          </w:p>
        </w:tc>
        <w:tc>
          <w:tcPr>
            <w:tcW w:w="3807" w:type="dxa"/>
          </w:tcPr>
          <w:p w14:paraId="004D3E44" w14:textId="77777777" w:rsidR="00275D5B" w:rsidRPr="00C57BB5" w:rsidRDefault="00275D5B" w:rsidP="00296A4A">
            <w:pPr>
              <w:rPr>
                <w:rFonts w:cstheme="minorHAnsi"/>
                <w:lang w:val="en-US"/>
              </w:rPr>
            </w:pPr>
            <w:r w:rsidRPr="00C57BB5">
              <w:rPr>
                <w:rFonts w:eastAsia="Times New Roman" w:cstheme="minorHAnsi"/>
                <w:lang w:val="en-US"/>
              </w:rPr>
              <w:t>Nasar Ullah</w:t>
            </w:r>
          </w:p>
        </w:tc>
        <w:tc>
          <w:tcPr>
            <w:tcW w:w="3139" w:type="dxa"/>
          </w:tcPr>
          <w:p w14:paraId="2E5A5C9E" w14:textId="77777777" w:rsidR="00275D5B" w:rsidRPr="00C57BB5" w:rsidRDefault="00275D5B" w:rsidP="00296A4A">
            <w:pPr>
              <w:rPr>
                <w:rFonts w:cstheme="minorHAnsi"/>
                <w:lang w:val="en-US"/>
              </w:rPr>
            </w:pPr>
            <w:r w:rsidRPr="00C57BB5">
              <w:rPr>
                <w:rFonts w:eastAsia="Times New Roman" w:cstheme="minorHAnsi"/>
                <w:lang w:val="en-US"/>
              </w:rPr>
              <w:t xml:space="preserve">Deputy Prosecutor General </w:t>
            </w:r>
          </w:p>
        </w:tc>
      </w:tr>
      <w:tr w:rsidR="00275D5B" w:rsidRPr="00C57BB5" w14:paraId="4F3CE275" w14:textId="77777777" w:rsidTr="00296A4A">
        <w:trPr>
          <w:trHeight w:val="490"/>
        </w:trPr>
        <w:tc>
          <w:tcPr>
            <w:tcW w:w="2405" w:type="dxa"/>
          </w:tcPr>
          <w:p w14:paraId="21BF112B" w14:textId="77777777" w:rsidR="00275D5B" w:rsidRPr="00C57BB5" w:rsidRDefault="00275D5B" w:rsidP="00296A4A">
            <w:pPr>
              <w:rPr>
                <w:rFonts w:cstheme="minorHAnsi"/>
                <w:lang w:val="en-US"/>
              </w:rPr>
            </w:pPr>
            <w:r w:rsidRPr="00C57BB5">
              <w:rPr>
                <w:rFonts w:eastAsia="Times New Roman" w:cstheme="minorHAnsi"/>
                <w:lang w:val="en-US"/>
              </w:rPr>
              <w:t>Balochistan Judicial Academy</w:t>
            </w:r>
          </w:p>
        </w:tc>
        <w:tc>
          <w:tcPr>
            <w:tcW w:w="3807" w:type="dxa"/>
          </w:tcPr>
          <w:p w14:paraId="3A0270F8" w14:textId="77777777" w:rsidR="00275D5B" w:rsidRPr="00C57BB5" w:rsidRDefault="00275D5B" w:rsidP="00296A4A">
            <w:pPr>
              <w:rPr>
                <w:rFonts w:cstheme="minorHAnsi"/>
                <w:lang w:val="en-US"/>
              </w:rPr>
            </w:pPr>
            <w:r w:rsidRPr="00C57BB5">
              <w:rPr>
                <w:rFonts w:eastAsia="Times New Roman" w:cstheme="minorHAnsi"/>
                <w:lang w:val="en-US"/>
              </w:rPr>
              <w:t>Nazar Muhammad Kakar</w:t>
            </w:r>
          </w:p>
        </w:tc>
        <w:tc>
          <w:tcPr>
            <w:tcW w:w="3139" w:type="dxa"/>
          </w:tcPr>
          <w:p w14:paraId="0AB4A57A" w14:textId="77777777" w:rsidR="00275D5B" w:rsidRPr="00C57BB5" w:rsidRDefault="00275D5B" w:rsidP="00296A4A">
            <w:pPr>
              <w:rPr>
                <w:rFonts w:cstheme="minorHAnsi"/>
                <w:lang w:val="en-US"/>
              </w:rPr>
            </w:pPr>
            <w:r w:rsidRPr="00C57BB5">
              <w:rPr>
                <w:rFonts w:eastAsia="Times New Roman" w:cstheme="minorHAnsi"/>
                <w:lang w:val="en-US"/>
              </w:rPr>
              <w:t>Director</w:t>
            </w:r>
          </w:p>
        </w:tc>
      </w:tr>
      <w:tr w:rsidR="00275D5B" w:rsidRPr="00C57BB5" w14:paraId="61267C31" w14:textId="77777777" w:rsidTr="00296A4A">
        <w:trPr>
          <w:trHeight w:val="490"/>
        </w:trPr>
        <w:tc>
          <w:tcPr>
            <w:tcW w:w="2405" w:type="dxa"/>
          </w:tcPr>
          <w:p w14:paraId="6DC871A0" w14:textId="77777777" w:rsidR="00275D5B" w:rsidRPr="00C57BB5" w:rsidRDefault="00275D5B" w:rsidP="00296A4A">
            <w:pPr>
              <w:rPr>
                <w:rFonts w:cstheme="minorHAnsi"/>
                <w:lang w:val="en-US"/>
              </w:rPr>
            </w:pPr>
            <w:r w:rsidRPr="00C57BB5">
              <w:rPr>
                <w:rFonts w:eastAsia="Times New Roman" w:cstheme="minorHAnsi"/>
                <w:lang w:val="en-US"/>
              </w:rPr>
              <w:t>Balochistan Police</w:t>
            </w:r>
          </w:p>
        </w:tc>
        <w:tc>
          <w:tcPr>
            <w:tcW w:w="3807" w:type="dxa"/>
          </w:tcPr>
          <w:p w14:paraId="3DBC0022" w14:textId="77777777" w:rsidR="00275D5B" w:rsidRPr="00C57BB5" w:rsidRDefault="00275D5B" w:rsidP="00296A4A">
            <w:pPr>
              <w:rPr>
                <w:rFonts w:cstheme="minorHAnsi"/>
                <w:lang w:val="en-US"/>
              </w:rPr>
            </w:pPr>
            <w:r w:rsidRPr="00C57BB5">
              <w:rPr>
                <w:rFonts w:eastAsia="Times New Roman" w:cstheme="minorHAnsi"/>
                <w:lang w:val="en-US"/>
              </w:rPr>
              <w:t>Aurangzeb</w:t>
            </w:r>
          </w:p>
        </w:tc>
        <w:tc>
          <w:tcPr>
            <w:tcW w:w="3139" w:type="dxa"/>
          </w:tcPr>
          <w:p w14:paraId="705DFFAD" w14:textId="77777777" w:rsidR="00275D5B" w:rsidRPr="00C57BB5" w:rsidRDefault="00275D5B" w:rsidP="00296A4A">
            <w:pPr>
              <w:rPr>
                <w:rFonts w:cstheme="minorHAnsi"/>
                <w:lang w:val="en-US"/>
              </w:rPr>
            </w:pPr>
            <w:r w:rsidRPr="00C57BB5">
              <w:rPr>
                <w:rFonts w:eastAsia="Times New Roman" w:cstheme="minorHAnsi"/>
                <w:lang w:val="en-US"/>
              </w:rPr>
              <w:t>Deputy Secretary Training</w:t>
            </w:r>
          </w:p>
        </w:tc>
      </w:tr>
      <w:tr w:rsidR="00275D5B" w:rsidRPr="00C57BB5" w14:paraId="5EFED3EE" w14:textId="77777777" w:rsidTr="00296A4A">
        <w:trPr>
          <w:trHeight w:val="490"/>
        </w:trPr>
        <w:tc>
          <w:tcPr>
            <w:tcW w:w="2405" w:type="dxa"/>
          </w:tcPr>
          <w:p w14:paraId="1C7756D1" w14:textId="77777777" w:rsidR="00275D5B" w:rsidRPr="00C57BB5" w:rsidRDefault="00275D5B" w:rsidP="00296A4A">
            <w:pPr>
              <w:rPr>
                <w:rFonts w:cstheme="minorHAnsi"/>
                <w:lang w:val="en-US"/>
              </w:rPr>
            </w:pPr>
            <w:r w:rsidRPr="00C57BB5">
              <w:rPr>
                <w:rFonts w:eastAsia="Times New Roman" w:cstheme="minorHAnsi"/>
                <w:lang w:val="en-US"/>
              </w:rPr>
              <w:t>Law and Justice Commission of Pakistan</w:t>
            </w:r>
          </w:p>
        </w:tc>
        <w:tc>
          <w:tcPr>
            <w:tcW w:w="3807" w:type="dxa"/>
          </w:tcPr>
          <w:p w14:paraId="294A62CC" w14:textId="77777777" w:rsidR="00275D5B" w:rsidRPr="00C57BB5" w:rsidRDefault="00275D5B" w:rsidP="00296A4A">
            <w:pPr>
              <w:rPr>
                <w:rFonts w:cstheme="minorHAnsi"/>
                <w:lang w:val="en-US"/>
              </w:rPr>
            </w:pPr>
            <w:r w:rsidRPr="00C57BB5">
              <w:rPr>
                <w:rFonts w:eastAsia="Times New Roman" w:cstheme="minorHAnsi"/>
                <w:lang w:val="en-US"/>
              </w:rPr>
              <w:t>Abdul Basit Jasra</w:t>
            </w:r>
          </w:p>
        </w:tc>
        <w:tc>
          <w:tcPr>
            <w:tcW w:w="3139" w:type="dxa"/>
          </w:tcPr>
          <w:p w14:paraId="25BD01E7" w14:textId="77777777" w:rsidR="00275D5B" w:rsidRPr="00C57BB5" w:rsidRDefault="00275D5B" w:rsidP="00296A4A">
            <w:pPr>
              <w:rPr>
                <w:rFonts w:cstheme="minorHAnsi"/>
                <w:lang w:val="en-US"/>
              </w:rPr>
            </w:pPr>
            <w:r w:rsidRPr="00C57BB5">
              <w:rPr>
                <w:rFonts w:eastAsia="Times New Roman" w:cstheme="minorHAnsi"/>
                <w:lang w:val="en-US"/>
              </w:rPr>
              <w:t>Deputy Secretary</w:t>
            </w:r>
          </w:p>
        </w:tc>
      </w:tr>
      <w:tr w:rsidR="00275D5B" w:rsidRPr="00C57BB5" w14:paraId="16568DC4" w14:textId="77777777" w:rsidTr="00296A4A">
        <w:trPr>
          <w:trHeight w:val="490"/>
        </w:trPr>
        <w:tc>
          <w:tcPr>
            <w:tcW w:w="2405" w:type="dxa"/>
          </w:tcPr>
          <w:p w14:paraId="71154991" w14:textId="77777777" w:rsidR="00275D5B" w:rsidRPr="00C57BB5" w:rsidRDefault="00275D5B" w:rsidP="00296A4A">
            <w:pPr>
              <w:rPr>
                <w:rFonts w:cstheme="minorHAnsi"/>
                <w:lang w:val="en-US"/>
              </w:rPr>
            </w:pPr>
            <w:r w:rsidRPr="00C57BB5">
              <w:rPr>
                <w:rFonts w:cstheme="minorHAnsi"/>
                <w:lang w:val="en-US"/>
              </w:rPr>
              <w:t>Bar Council of Balochistan</w:t>
            </w:r>
          </w:p>
        </w:tc>
        <w:tc>
          <w:tcPr>
            <w:tcW w:w="3807" w:type="dxa"/>
          </w:tcPr>
          <w:p w14:paraId="58B44665" w14:textId="77777777" w:rsidR="00275D5B" w:rsidRPr="00C57BB5" w:rsidRDefault="00275D5B" w:rsidP="00296A4A">
            <w:pPr>
              <w:rPr>
                <w:rFonts w:cstheme="minorHAnsi"/>
                <w:lang w:val="en-US"/>
              </w:rPr>
            </w:pPr>
            <w:r w:rsidRPr="00C57BB5">
              <w:rPr>
                <w:rFonts w:eastAsia="Times New Roman" w:cstheme="minorHAnsi"/>
                <w:lang w:val="en-US"/>
              </w:rPr>
              <w:t>Zarghoona Barech</w:t>
            </w:r>
          </w:p>
        </w:tc>
        <w:tc>
          <w:tcPr>
            <w:tcW w:w="3139" w:type="dxa"/>
          </w:tcPr>
          <w:p w14:paraId="16FD8150" w14:textId="77777777" w:rsidR="00275D5B" w:rsidRPr="00C57BB5" w:rsidRDefault="00275D5B" w:rsidP="00296A4A">
            <w:pPr>
              <w:rPr>
                <w:rFonts w:cstheme="minorHAnsi"/>
                <w:lang w:val="en-US"/>
              </w:rPr>
            </w:pPr>
            <w:r w:rsidRPr="00C57BB5">
              <w:rPr>
                <w:rFonts w:cstheme="minorHAnsi"/>
                <w:lang w:val="en-US"/>
              </w:rPr>
              <w:t>Advocate</w:t>
            </w:r>
          </w:p>
        </w:tc>
      </w:tr>
      <w:tr w:rsidR="00275D5B" w:rsidRPr="00C57BB5" w14:paraId="2A12E878" w14:textId="77777777" w:rsidTr="00296A4A">
        <w:trPr>
          <w:trHeight w:val="490"/>
        </w:trPr>
        <w:tc>
          <w:tcPr>
            <w:tcW w:w="2405" w:type="dxa"/>
          </w:tcPr>
          <w:p w14:paraId="1189586B" w14:textId="77777777" w:rsidR="00275D5B" w:rsidRPr="00C57BB5" w:rsidRDefault="00275D5B" w:rsidP="00296A4A">
            <w:pPr>
              <w:rPr>
                <w:rFonts w:cstheme="minorHAnsi"/>
                <w:lang w:val="en-US"/>
              </w:rPr>
            </w:pPr>
            <w:r w:rsidRPr="00C57BB5">
              <w:rPr>
                <w:rFonts w:eastAsia="Times New Roman" w:cstheme="minorHAnsi"/>
                <w:lang w:val="en-US"/>
              </w:rPr>
              <w:t xml:space="preserve">Family Planning Association </w:t>
            </w:r>
          </w:p>
        </w:tc>
        <w:tc>
          <w:tcPr>
            <w:tcW w:w="3807" w:type="dxa"/>
          </w:tcPr>
          <w:p w14:paraId="5D11CDE5" w14:textId="77777777" w:rsidR="00275D5B" w:rsidRPr="00C57BB5" w:rsidRDefault="00275D5B" w:rsidP="00296A4A">
            <w:pPr>
              <w:rPr>
                <w:rFonts w:cstheme="minorHAnsi"/>
                <w:lang w:val="en-US"/>
              </w:rPr>
            </w:pPr>
            <w:r w:rsidRPr="00C57BB5">
              <w:rPr>
                <w:rFonts w:eastAsia="Times New Roman" w:cstheme="minorHAnsi"/>
                <w:lang w:val="en-US"/>
              </w:rPr>
              <w:t>Dr. Rasheeda Panezai</w:t>
            </w:r>
          </w:p>
        </w:tc>
        <w:tc>
          <w:tcPr>
            <w:tcW w:w="3139" w:type="dxa"/>
          </w:tcPr>
          <w:p w14:paraId="0F14BFE8" w14:textId="77777777" w:rsidR="00275D5B" w:rsidRPr="00C57BB5" w:rsidRDefault="00275D5B" w:rsidP="00296A4A">
            <w:pPr>
              <w:rPr>
                <w:rFonts w:cstheme="minorHAnsi"/>
                <w:lang w:val="en-US"/>
              </w:rPr>
            </w:pPr>
            <w:r w:rsidRPr="00C57BB5">
              <w:rPr>
                <w:rFonts w:eastAsia="Times New Roman" w:cstheme="minorHAnsi"/>
                <w:lang w:val="en-US"/>
              </w:rPr>
              <w:t>President</w:t>
            </w:r>
          </w:p>
        </w:tc>
      </w:tr>
      <w:tr w:rsidR="00275D5B" w:rsidRPr="00C57BB5" w14:paraId="35F6E99C" w14:textId="77777777" w:rsidTr="00296A4A">
        <w:trPr>
          <w:trHeight w:val="490"/>
        </w:trPr>
        <w:tc>
          <w:tcPr>
            <w:tcW w:w="2405" w:type="dxa"/>
          </w:tcPr>
          <w:p w14:paraId="326D1E7C" w14:textId="77777777" w:rsidR="00275D5B" w:rsidRPr="00C57BB5" w:rsidRDefault="00275D5B" w:rsidP="00296A4A">
            <w:pPr>
              <w:rPr>
                <w:rFonts w:eastAsia="Times New Roman" w:cstheme="minorHAnsi"/>
                <w:lang w:val="en-US"/>
              </w:rPr>
            </w:pPr>
            <w:r w:rsidRPr="00C57BB5">
              <w:rPr>
                <w:rFonts w:eastAsia="Times New Roman" w:cstheme="minorHAnsi"/>
                <w:lang w:val="en-US"/>
              </w:rPr>
              <w:t>INL (Dept of State)</w:t>
            </w:r>
          </w:p>
        </w:tc>
        <w:tc>
          <w:tcPr>
            <w:tcW w:w="3807" w:type="dxa"/>
          </w:tcPr>
          <w:p w14:paraId="1F373B30" w14:textId="77777777" w:rsidR="00275D5B" w:rsidRPr="00C57BB5" w:rsidRDefault="00275D5B" w:rsidP="00296A4A">
            <w:pPr>
              <w:rPr>
                <w:rFonts w:eastAsia="Times New Roman" w:cstheme="minorHAnsi"/>
                <w:lang w:val="en-US"/>
              </w:rPr>
            </w:pPr>
            <w:r w:rsidRPr="00C57BB5">
              <w:rPr>
                <w:rFonts w:eastAsia="Times New Roman" w:cstheme="minorHAnsi"/>
                <w:lang w:val="en-US"/>
              </w:rPr>
              <w:t>Anonymous</w:t>
            </w:r>
          </w:p>
        </w:tc>
        <w:tc>
          <w:tcPr>
            <w:tcW w:w="3139" w:type="dxa"/>
          </w:tcPr>
          <w:p w14:paraId="24E6667F" w14:textId="77777777" w:rsidR="00275D5B" w:rsidRPr="00C57BB5" w:rsidRDefault="00275D5B" w:rsidP="00296A4A">
            <w:pPr>
              <w:rPr>
                <w:rFonts w:eastAsia="Times New Roman" w:cstheme="minorHAnsi"/>
                <w:lang w:val="en-US"/>
              </w:rPr>
            </w:pPr>
            <w:r w:rsidRPr="00C57BB5">
              <w:rPr>
                <w:rFonts w:eastAsia="Times New Roman" w:cstheme="minorHAnsi"/>
                <w:lang w:val="en-US"/>
              </w:rPr>
              <w:t>Police and Anti-Narcotics Specialist</w:t>
            </w:r>
          </w:p>
        </w:tc>
      </w:tr>
      <w:tr w:rsidR="00275D5B" w:rsidRPr="00C57BB5" w14:paraId="54076175" w14:textId="77777777" w:rsidTr="00296A4A">
        <w:trPr>
          <w:trHeight w:val="490"/>
        </w:trPr>
        <w:tc>
          <w:tcPr>
            <w:tcW w:w="9351" w:type="dxa"/>
            <w:gridSpan w:val="3"/>
            <w:shd w:val="clear" w:color="auto" w:fill="D7D2D9" w:themeFill="accent6" w:themeFillTint="66"/>
          </w:tcPr>
          <w:p w14:paraId="5C6CC67C" w14:textId="77777777" w:rsidR="00275D5B" w:rsidRPr="00C57BB5" w:rsidRDefault="00275D5B" w:rsidP="00296A4A">
            <w:pPr>
              <w:rPr>
                <w:rFonts w:cstheme="minorHAnsi"/>
                <w:b/>
                <w:bCs/>
                <w:lang w:val="en-US"/>
              </w:rPr>
            </w:pPr>
            <w:r w:rsidRPr="00C57BB5">
              <w:rPr>
                <w:rFonts w:cstheme="minorHAnsi"/>
                <w:b/>
                <w:bCs/>
                <w:lang w:val="en-US"/>
              </w:rPr>
              <w:t>Colombia</w:t>
            </w:r>
          </w:p>
        </w:tc>
      </w:tr>
      <w:tr w:rsidR="00275D5B" w:rsidRPr="00C57BB5" w14:paraId="1AE9CA89" w14:textId="77777777" w:rsidTr="00296A4A">
        <w:trPr>
          <w:trHeight w:val="490"/>
        </w:trPr>
        <w:tc>
          <w:tcPr>
            <w:tcW w:w="2405" w:type="dxa"/>
          </w:tcPr>
          <w:p w14:paraId="3A329A40"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42544D6F" w14:textId="77777777" w:rsidR="00275D5B" w:rsidRPr="00C57BB5" w:rsidRDefault="00275D5B" w:rsidP="00296A4A">
            <w:pPr>
              <w:rPr>
                <w:rFonts w:cstheme="minorHAnsi"/>
                <w:lang w:val="en-US"/>
              </w:rPr>
            </w:pPr>
            <w:r w:rsidRPr="00C57BB5">
              <w:rPr>
                <w:rFonts w:cstheme="minorHAnsi"/>
                <w:lang w:val="en-US"/>
              </w:rPr>
              <w:t>Jairo Matallana</w:t>
            </w:r>
          </w:p>
        </w:tc>
        <w:tc>
          <w:tcPr>
            <w:tcW w:w="3139" w:type="dxa"/>
          </w:tcPr>
          <w:p w14:paraId="372B8067" w14:textId="77777777" w:rsidR="00275D5B" w:rsidRPr="00C57BB5" w:rsidRDefault="00275D5B" w:rsidP="00296A4A">
            <w:pPr>
              <w:rPr>
                <w:rFonts w:cstheme="minorHAnsi"/>
                <w:lang w:val="en-US"/>
              </w:rPr>
            </w:pPr>
            <w:r w:rsidRPr="00C57BB5">
              <w:rPr>
                <w:rFonts w:cstheme="minorHAnsi"/>
                <w:lang w:val="en-US"/>
              </w:rPr>
              <w:t>CTA for ROLSHR programming</w:t>
            </w:r>
          </w:p>
        </w:tc>
      </w:tr>
      <w:tr w:rsidR="00275D5B" w:rsidRPr="00C57BB5" w14:paraId="131978DB" w14:textId="77777777" w:rsidTr="00296A4A">
        <w:trPr>
          <w:trHeight w:val="490"/>
        </w:trPr>
        <w:tc>
          <w:tcPr>
            <w:tcW w:w="2405" w:type="dxa"/>
          </w:tcPr>
          <w:p w14:paraId="160B9874"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55E453D6" w14:textId="77777777" w:rsidR="00275D5B" w:rsidRPr="00C57BB5" w:rsidRDefault="00275D5B" w:rsidP="00296A4A">
            <w:pPr>
              <w:rPr>
                <w:rFonts w:cstheme="minorHAnsi"/>
                <w:lang w:val="en-US"/>
              </w:rPr>
            </w:pPr>
            <w:r w:rsidRPr="00C57BB5">
              <w:rPr>
                <w:rFonts w:cstheme="minorHAnsi"/>
                <w:lang w:val="en-US"/>
              </w:rPr>
              <w:t>Alejandro Pacheco</w:t>
            </w:r>
          </w:p>
        </w:tc>
        <w:tc>
          <w:tcPr>
            <w:tcW w:w="3139" w:type="dxa"/>
          </w:tcPr>
          <w:p w14:paraId="33710D56" w14:textId="77777777" w:rsidR="00275D5B" w:rsidRPr="00C57BB5" w:rsidRDefault="00275D5B" w:rsidP="00296A4A">
            <w:pPr>
              <w:rPr>
                <w:rFonts w:cstheme="minorHAnsi"/>
                <w:lang w:val="en-US"/>
              </w:rPr>
            </w:pPr>
            <w:r w:rsidRPr="00C57BB5">
              <w:rPr>
                <w:rFonts w:cstheme="minorHAnsi"/>
                <w:lang w:val="en-US"/>
              </w:rPr>
              <w:t>Deputy Resident Representative</w:t>
            </w:r>
          </w:p>
        </w:tc>
      </w:tr>
      <w:tr w:rsidR="00275D5B" w:rsidRPr="00C57BB5" w14:paraId="30FF497F" w14:textId="77777777" w:rsidTr="00296A4A">
        <w:trPr>
          <w:trHeight w:val="490"/>
        </w:trPr>
        <w:tc>
          <w:tcPr>
            <w:tcW w:w="2405" w:type="dxa"/>
          </w:tcPr>
          <w:p w14:paraId="533E3084" w14:textId="77777777" w:rsidR="00275D5B" w:rsidRPr="00C57BB5" w:rsidRDefault="00275D5B" w:rsidP="00296A4A">
            <w:pPr>
              <w:rPr>
                <w:rFonts w:cstheme="minorHAnsi"/>
                <w:lang w:val="en-US"/>
              </w:rPr>
            </w:pPr>
            <w:r w:rsidRPr="00C57BB5">
              <w:rPr>
                <w:rFonts w:cstheme="minorHAnsi"/>
                <w:lang w:val="en-US"/>
              </w:rPr>
              <w:t>UNODC</w:t>
            </w:r>
          </w:p>
        </w:tc>
        <w:tc>
          <w:tcPr>
            <w:tcW w:w="3807" w:type="dxa"/>
          </w:tcPr>
          <w:p w14:paraId="13D81252" w14:textId="77777777" w:rsidR="00275D5B" w:rsidRPr="00C57BB5" w:rsidRDefault="00275D5B" w:rsidP="00296A4A">
            <w:pPr>
              <w:rPr>
                <w:rFonts w:cstheme="minorHAnsi"/>
                <w:lang w:val="en-US"/>
              </w:rPr>
            </w:pPr>
            <w:bookmarkStart w:id="57" w:name="_Hlk66442228"/>
            <w:r w:rsidRPr="00C57BB5">
              <w:rPr>
                <w:rFonts w:cstheme="minorHAnsi"/>
                <w:lang w:val="en-US"/>
              </w:rPr>
              <w:t>David Álamos</w:t>
            </w:r>
            <w:bookmarkEnd w:id="57"/>
          </w:p>
        </w:tc>
        <w:tc>
          <w:tcPr>
            <w:tcW w:w="3139" w:type="dxa"/>
          </w:tcPr>
          <w:p w14:paraId="63438983" w14:textId="77777777" w:rsidR="00275D5B" w:rsidRPr="00C57BB5" w:rsidRDefault="00275D5B" w:rsidP="00296A4A">
            <w:pPr>
              <w:rPr>
                <w:rFonts w:cstheme="minorHAnsi"/>
                <w:lang w:val="en-US"/>
              </w:rPr>
            </w:pPr>
            <w:r w:rsidRPr="00C57BB5">
              <w:rPr>
                <w:rFonts w:cstheme="minorHAnsi"/>
                <w:lang w:val="en-US"/>
              </w:rPr>
              <w:t xml:space="preserve">Director of PROJUST Programme </w:t>
            </w:r>
          </w:p>
        </w:tc>
      </w:tr>
      <w:tr w:rsidR="00275D5B" w:rsidRPr="00C57BB5" w14:paraId="1E150286" w14:textId="77777777" w:rsidTr="00296A4A">
        <w:trPr>
          <w:trHeight w:val="490"/>
        </w:trPr>
        <w:tc>
          <w:tcPr>
            <w:tcW w:w="2405" w:type="dxa"/>
          </w:tcPr>
          <w:p w14:paraId="4CB35DFC" w14:textId="77777777" w:rsidR="00275D5B" w:rsidRPr="00C57BB5" w:rsidRDefault="00275D5B" w:rsidP="00296A4A">
            <w:pPr>
              <w:rPr>
                <w:rFonts w:cstheme="minorHAnsi"/>
                <w:lang w:val="en-US"/>
              </w:rPr>
            </w:pPr>
            <w:r w:rsidRPr="00C57BB5">
              <w:rPr>
                <w:rFonts w:cstheme="minorHAnsi"/>
                <w:lang w:val="en-US"/>
              </w:rPr>
              <w:t>OHCHR (OACNUDH)</w:t>
            </w:r>
          </w:p>
          <w:p w14:paraId="18296604" w14:textId="77777777" w:rsidR="00275D5B" w:rsidRPr="00C57BB5" w:rsidRDefault="00275D5B" w:rsidP="00296A4A">
            <w:pPr>
              <w:rPr>
                <w:rFonts w:cstheme="minorHAnsi"/>
                <w:lang w:val="en-US"/>
              </w:rPr>
            </w:pPr>
          </w:p>
        </w:tc>
        <w:tc>
          <w:tcPr>
            <w:tcW w:w="3807" w:type="dxa"/>
          </w:tcPr>
          <w:p w14:paraId="073B5649" w14:textId="77777777" w:rsidR="00275D5B" w:rsidRPr="00C57BB5" w:rsidRDefault="00275D5B" w:rsidP="00296A4A">
            <w:pPr>
              <w:rPr>
                <w:rFonts w:cstheme="minorHAnsi"/>
                <w:lang w:val="en-US"/>
              </w:rPr>
            </w:pPr>
            <w:r w:rsidRPr="00C57BB5">
              <w:rPr>
                <w:rFonts w:cstheme="minorHAnsi"/>
                <w:lang w:val="en-US"/>
              </w:rPr>
              <w:t>David Medina</w:t>
            </w:r>
          </w:p>
        </w:tc>
        <w:tc>
          <w:tcPr>
            <w:tcW w:w="3139" w:type="dxa"/>
          </w:tcPr>
          <w:p w14:paraId="0A69F628" w14:textId="77777777" w:rsidR="00275D5B" w:rsidRPr="00C57BB5" w:rsidRDefault="00275D5B" w:rsidP="00296A4A">
            <w:pPr>
              <w:rPr>
                <w:rFonts w:cstheme="minorHAnsi"/>
                <w:lang w:val="en-US"/>
              </w:rPr>
            </w:pPr>
            <w:r w:rsidRPr="00C57BB5">
              <w:rPr>
                <w:rFonts w:cstheme="minorHAnsi"/>
                <w:lang w:val="en-US"/>
              </w:rPr>
              <w:t>Coordinator of Transitional Justice</w:t>
            </w:r>
          </w:p>
        </w:tc>
      </w:tr>
      <w:tr w:rsidR="00275D5B" w:rsidRPr="00C57BB5" w14:paraId="311FBFEA" w14:textId="77777777" w:rsidTr="00296A4A">
        <w:trPr>
          <w:trHeight w:val="490"/>
        </w:trPr>
        <w:tc>
          <w:tcPr>
            <w:tcW w:w="2405" w:type="dxa"/>
          </w:tcPr>
          <w:p w14:paraId="270E85AE" w14:textId="77777777" w:rsidR="00275D5B" w:rsidRPr="00C57BB5" w:rsidRDefault="00275D5B" w:rsidP="00296A4A">
            <w:pPr>
              <w:rPr>
                <w:rFonts w:cstheme="minorHAnsi"/>
                <w:lang w:val="en-US"/>
              </w:rPr>
            </w:pPr>
            <w:r w:rsidRPr="00C57BB5">
              <w:rPr>
                <w:rFonts w:cstheme="minorHAnsi"/>
                <w:lang w:val="en-US"/>
              </w:rPr>
              <w:t>UN Resident Coordinator’s Office</w:t>
            </w:r>
          </w:p>
        </w:tc>
        <w:tc>
          <w:tcPr>
            <w:tcW w:w="3807" w:type="dxa"/>
          </w:tcPr>
          <w:p w14:paraId="732B241F" w14:textId="77777777" w:rsidR="00275D5B" w:rsidRPr="00C57BB5" w:rsidRDefault="00275D5B" w:rsidP="00296A4A">
            <w:pPr>
              <w:rPr>
                <w:rFonts w:cstheme="minorHAnsi"/>
                <w:lang w:val="en-US"/>
              </w:rPr>
            </w:pPr>
            <w:r w:rsidRPr="00C57BB5">
              <w:rPr>
                <w:rFonts w:cstheme="minorHAnsi"/>
                <w:lang w:val="en-US"/>
              </w:rPr>
              <w:t>Pontus Ohrstedt</w:t>
            </w:r>
          </w:p>
        </w:tc>
        <w:tc>
          <w:tcPr>
            <w:tcW w:w="3139" w:type="dxa"/>
          </w:tcPr>
          <w:p w14:paraId="5915B724" w14:textId="77777777" w:rsidR="00275D5B" w:rsidRPr="00C57BB5" w:rsidRDefault="00275D5B" w:rsidP="00296A4A">
            <w:pPr>
              <w:rPr>
                <w:rFonts w:cstheme="minorHAnsi"/>
                <w:lang w:val="en-US"/>
              </w:rPr>
            </w:pPr>
            <w:r w:rsidRPr="00C57BB5">
              <w:rPr>
                <w:rFonts w:cstheme="minorHAnsi"/>
                <w:lang w:val="en-US"/>
              </w:rPr>
              <w:t>Chief of Resident Coordinator’s office</w:t>
            </w:r>
          </w:p>
        </w:tc>
      </w:tr>
      <w:tr w:rsidR="00275D5B" w:rsidRPr="00C57BB5" w14:paraId="4C2BF213" w14:textId="77777777" w:rsidTr="00296A4A">
        <w:trPr>
          <w:trHeight w:val="490"/>
        </w:trPr>
        <w:tc>
          <w:tcPr>
            <w:tcW w:w="2405" w:type="dxa"/>
          </w:tcPr>
          <w:p w14:paraId="2A1233B3" w14:textId="77777777" w:rsidR="00275D5B" w:rsidRPr="00C57BB5" w:rsidRDefault="00275D5B" w:rsidP="00296A4A">
            <w:pPr>
              <w:rPr>
                <w:rFonts w:cstheme="minorHAnsi"/>
                <w:lang w:val="en-US"/>
              </w:rPr>
            </w:pPr>
            <w:r w:rsidRPr="00C57BB5">
              <w:rPr>
                <w:rFonts w:cstheme="minorHAnsi"/>
                <w:lang w:val="en-US"/>
              </w:rPr>
              <w:t>Special Criminal Jurisdiction (JEP)</w:t>
            </w:r>
          </w:p>
        </w:tc>
        <w:tc>
          <w:tcPr>
            <w:tcW w:w="3807" w:type="dxa"/>
          </w:tcPr>
          <w:p w14:paraId="17561CA4" w14:textId="77777777" w:rsidR="00275D5B" w:rsidRPr="00C57BB5" w:rsidRDefault="00275D5B" w:rsidP="00296A4A">
            <w:pPr>
              <w:rPr>
                <w:rFonts w:cstheme="minorHAnsi"/>
                <w:lang w:val="en-US"/>
              </w:rPr>
            </w:pPr>
            <w:r w:rsidRPr="00C57BB5">
              <w:rPr>
                <w:rFonts w:cstheme="minorHAnsi"/>
                <w:lang w:val="en-US"/>
              </w:rPr>
              <w:t>Claudia Erazo</w:t>
            </w:r>
          </w:p>
        </w:tc>
        <w:tc>
          <w:tcPr>
            <w:tcW w:w="3139" w:type="dxa"/>
          </w:tcPr>
          <w:p w14:paraId="5D958569" w14:textId="77777777" w:rsidR="00275D5B" w:rsidRPr="00C57BB5" w:rsidRDefault="00275D5B" w:rsidP="00296A4A">
            <w:pPr>
              <w:rPr>
                <w:rFonts w:cstheme="minorHAnsi"/>
                <w:lang w:val="en-US"/>
              </w:rPr>
            </w:pPr>
            <w:bookmarkStart w:id="58" w:name="_Hlk66176251"/>
            <w:r w:rsidRPr="00C57BB5">
              <w:rPr>
                <w:rFonts w:cstheme="minorHAnsi"/>
                <w:lang w:val="en-US"/>
              </w:rPr>
              <w:t xml:space="preserve">Head of Victim Defense Department of Autonomous System for Counselling and Defense of Victims (SAAD) </w:t>
            </w:r>
            <w:bookmarkEnd w:id="58"/>
          </w:p>
        </w:tc>
      </w:tr>
      <w:tr w:rsidR="00275D5B" w:rsidRPr="00C57BB5" w14:paraId="4C97C90B" w14:textId="77777777" w:rsidTr="00296A4A">
        <w:trPr>
          <w:trHeight w:val="490"/>
        </w:trPr>
        <w:tc>
          <w:tcPr>
            <w:tcW w:w="2405" w:type="dxa"/>
          </w:tcPr>
          <w:p w14:paraId="4CF29014" w14:textId="77777777" w:rsidR="00275D5B" w:rsidRPr="00C57BB5" w:rsidRDefault="00275D5B" w:rsidP="00296A4A">
            <w:pPr>
              <w:rPr>
                <w:rFonts w:cstheme="minorHAnsi"/>
                <w:lang w:val="en-US"/>
              </w:rPr>
            </w:pPr>
            <w:r w:rsidRPr="00C57BB5">
              <w:rPr>
                <w:rFonts w:cstheme="minorHAnsi"/>
                <w:lang w:val="en-US"/>
              </w:rPr>
              <w:t>Special Criminal Jurisdiction (JEP)</w:t>
            </w:r>
          </w:p>
        </w:tc>
        <w:tc>
          <w:tcPr>
            <w:tcW w:w="3807" w:type="dxa"/>
          </w:tcPr>
          <w:p w14:paraId="108E2C8E" w14:textId="77777777" w:rsidR="00275D5B" w:rsidRPr="00C57BB5" w:rsidRDefault="00275D5B" w:rsidP="00296A4A">
            <w:pPr>
              <w:rPr>
                <w:rFonts w:cstheme="minorHAnsi"/>
                <w:lang w:val="en-US"/>
              </w:rPr>
            </w:pPr>
            <w:r w:rsidRPr="00C57BB5">
              <w:rPr>
                <w:rFonts w:cstheme="minorHAnsi"/>
                <w:lang w:val="en-US"/>
              </w:rPr>
              <w:t>Harvey Suárez</w:t>
            </w:r>
          </w:p>
        </w:tc>
        <w:tc>
          <w:tcPr>
            <w:tcW w:w="3139" w:type="dxa"/>
          </w:tcPr>
          <w:p w14:paraId="394FFC88" w14:textId="77777777" w:rsidR="00275D5B" w:rsidRPr="00C57BB5" w:rsidRDefault="00275D5B" w:rsidP="00296A4A">
            <w:pPr>
              <w:rPr>
                <w:rFonts w:cstheme="minorHAnsi"/>
                <w:lang w:val="en-US"/>
              </w:rPr>
            </w:pPr>
            <w:r w:rsidRPr="00C57BB5">
              <w:rPr>
                <w:rFonts w:cstheme="minorHAnsi"/>
                <w:lang w:val="en-US"/>
              </w:rPr>
              <w:t xml:space="preserve">Deputy Executive Director </w:t>
            </w:r>
          </w:p>
        </w:tc>
      </w:tr>
      <w:tr w:rsidR="00275D5B" w:rsidRPr="00C57BB5" w14:paraId="47DF62DC" w14:textId="77777777" w:rsidTr="00296A4A">
        <w:trPr>
          <w:trHeight w:val="490"/>
        </w:trPr>
        <w:tc>
          <w:tcPr>
            <w:tcW w:w="2405" w:type="dxa"/>
          </w:tcPr>
          <w:p w14:paraId="76088A74" w14:textId="77777777" w:rsidR="00275D5B" w:rsidRPr="00C57BB5" w:rsidRDefault="00275D5B" w:rsidP="00296A4A">
            <w:pPr>
              <w:rPr>
                <w:rFonts w:cstheme="minorHAnsi"/>
                <w:lang w:val="en-US"/>
              </w:rPr>
            </w:pPr>
            <w:r w:rsidRPr="00C57BB5">
              <w:rPr>
                <w:rFonts w:cstheme="minorHAnsi"/>
                <w:lang w:val="en-US"/>
              </w:rPr>
              <w:t>Ministry of Justice</w:t>
            </w:r>
          </w:p>
        </w:tc>
        <w:tc>
          <w:tcPr>
            <w:tcW w:w="3807" w:type="dxa"/>
          </w:tcPr>
          <w:p w14:paraId="40B46DB7" w14:textId="77777777" w:rsidR="00275D5B" w:rsidRPr="00C57BB5" w:rsidRDefault="00275D5B" w:rsidP="00296A4A">
            <w:pPr>
              <w:rPr>
                <w:rFonts w:cstheme="minorHAnsi"/>
                <w:lang w:val="en-US"/>
              </w:rPr>
            </w:pPr>
            <w:r w:rsidRPr="00C57BB5">
              <w:rPr>
                <w:rFonts w:cstheme="minorHAnsi"/>
                <w:lang w:val="en-US"/>
              </w:rPr>
              <w:t>Carlos José Gonzalez</w:t>
            </w:r>
          </w:p>
        </w:tc>
        <w:tc>
          <w:tcPr>
            <w:tcW w:w="3139" w:type="dxa"/>
          </w:tcPr>
          <w:p w14:paraId="64E1DCC5" w14:textId="77777777" w:rsidR="00275D5B" w:rsidRPr="00C57BB5" w:rsidRDefault="00275D5B" w:rsidP="00296A4A">
            <w:pPr>
              <w:rPr>
                <w:rFonts w:cstheme="minorHAnsi"/>
                <w:lang w:val="en-US"/>
              </w:rPr>
            </w:pPr>
            <w:r w:rsidRPr="00C57BB5">
              <w:rPr>
                <w:rFonts w:cstheme="minorHAnsi"/>
                <w:lang w:val="en-US"/>
              </w:rPr>
              <w:t xml:space="preserve">Director of Alternative Methods of Conflict Resolution </w:t>
            </w:r>
          </w:p>
        </w:tc>
      </w:tr>
      <w:tr w:rsidR="00275D5B" w:rsidRPr="00C57BB5" w14:paraId="209F091A" w14:textId="77777777" w:rsidTr="00296A4A">
        <w:trPr>
          <w:trHeight w:val="490"/>
        </w:trPr>
        <w:tc>
          <w:tcPr>
            <w:tcW w:w="2405" w:type="dxa"/>
          </w:tcPr>
          <w:p w14:paraId="5FE05DF9" w14:textId="77777777" w:rsidR="00275D5B" w:rsidRPr="00C57BB5" w:rsidRDefault="00275D5B" w:rsidP="00296A4A">
            <w:pPr>
              <w:rPr>
                <w:rFonts w:cstheme="minorHAnsi"/>
                <w:lang w:val="en-US"/>
              </w:rPr>
            </w:pPr>
            <w:r w:rsidRPr="00C57BB5">
              <w:rPr>
                <w:rFonts w:cstheme="minorHAnsi"/>
                <w:lang w:val="en-US"/>
              </w:rPr>
              <w:t>Ministry of Justice</w:t>
            </w:r>
          </w:p>
        </w:tc>
        <w:tc>
          <w:tcPr>
            <w:tcW w:w="3807" w:type="dxa"/>
          </w:tcPr>
          <w:p w14:paraId="3D82014F" w14:textId="77777777" w:rsidR="00275D5B" w:rsidRPr="00C57BB5" w:rsidRDefault="00275D5B" w:rsidP="00296A4A">
            <w:pPr>
              <w:rPr>
                <w:rFonts w:cstheme="minorHAnsi"/>
                <w:lang w:val="en-US"/>
              </w:rPr>
            </w:pPr>
            <w:r w:rsidRPr="00C57BB5">
              <w:rPr>
                <w:rFonts w:cstheme="minorHAnsi"/>
                <w:lang w:val="en-US"/>
              </w:rPr>
              <w:t>Tatiana Romero</w:t>
            </w:r>
          </w:p>
        </w:tc>
        <w:tc>
          <w:tcPr>
            <w:tcW w:w="3139" w:type="dxa"/>
          </w:tcPr>
          <w:p w14:paraId="3F790419" w14:textId="77777777" w:rsidR="00275D5B" w:rsidRPr="00C57BB5" w:rsidRDefault="00275D5B" w:rsidP="00296A4A">
            <w:pPr>
              <w:rPr>
                <w:rFonts w:cstheme="minorHAnsi"/>
                <w:lang w:val="en-US"/>
              </w:rPr>
            </w:pPr>
            <w:bookmarkStart w:id="59" w:name="_Hlk66171800"/>
            <w:r w:rsidRPr="00C57BB5">
              <w:rPr>
                <w:rFonts w:cstheme="minorHAnsi"/>
                <w:lang w:val="en-US"/>
              </w:rPr>
              <w:t xml:space="preserve">Coordinator of Group for Strengthening Justice </w:t>
            </w:r>
            <w:bookmarkEnd w:id="59"/>
            <w:r w:rsidRPr="00C57BB5">
              <w:rPr>
                <w:rFonts w:cstheme="minorHAnsi"/>
                <w:lang w:val="en-US"/>
              </w:rPr>
              <w:t>related to Gender Issues</w:t>
            </w:r>
          </w:p>
        </w:tc>
      </w:tr>
      <w:tr w:rsidR="00275D5B" w:rsidRPr="00C57BB5" w14:paraId="69D99DAF" w14:textId="77777777" w:rsidTr="00296A4A">
        <w:trPr>
          <w:trHeight w:val="490"/>
        </w:trPr>
        <w:tc>
          <w:tcPr>
            <w:tcW w:w="2405" w:type="dxa"/>
          </w:tcPr>
          <w:p w14:paraId="102CF201" w14:textId="77777777" w:rsidR="00275D5B" w:rsidRPr="00C57BB5" w:rsidRDefault="00275D5B" w:rsidP="00296A4A">
            <w:pPr>
              <w:rPr>
                <w:rFonts w:cstheme="minorHAnsi"/>
                <w:lang w:val="en-US"/>
              </w:rPr>
            </w:pPr>
            <w:r w:rsidRPr="00C57BB5">
              <w:rPr>
                <w:rFonts w:cstheme="minorHAnsi"/>
                <w:lang w:val="en-US"/>
              </w:rPr>
              <w:t>Civil society partners</w:t>
            </w:r>
          </w:p>
        </w:tc>
        <w:tc>
          <w:tcPr>
            <w:tcW w:w="3807" w:type="dxa"/>
          </w:tcPr>
          <w:p w14:paraId="274CD5C0" w14:textId="77777777" w:rsidR="00275D5B" w:rsidRPr="00C57BB5" w:rsidRDefault="00275D5B" w:rsidP="00296A4A">
            <w:pPr>
              <w:rPr>
                <w:rFonts w:cstheme="minorHAnsi"/>
                <w:lang w:val="es-ES"/>
              </w:rPr>
            </w:pPr>
            <w:r w:rsidRPr="00C57BB5">
              <w:rPr>
                <w:rFonts w:cstheme="minorHAnsi"/>
                <w:lang w:val="es-ES"/>
              </w:rPr>
              <w:t xml:space="preserve">Franklin Castañeda, </w:t>
            </w:r>
          </w:p>
          <w:p w14:paraId="49B0E1DE" w14:textId="77777777" w:rsidR="00275D5B" w:rsidRPr="00C57BB5" w:rsidRDefault="00275D5B" w:rsidP="00296A4A">
            <w:pPr>
              <w:rPr>
                <w:rFonts w:cstheme="minorHAnsi"/>
                <w:lang w:val="es-ES"/>
              </w:rPr>
            </w:pPr>
            <w:r w:rsidRPr="00C57BB5">
              <w:rPr>
                <w:rFonts w:cstheme="minorHAnsi"/>
                <w:lang w:val="es-ES"/>
              </w:rPr>
              <w:t xml:space="preserve">Irene Lopez, </w:t>
            </w:r>
          </w:p>
          <w:p w14:paraId="21D5E78E" w14:textId="77777777" w:rsidR="00275D5B" w:rsidRPr="00C57BB5" w:rsidRDefault="00275D5B" w:rsidP="00296A4A">
            <w:pPr>
              <w:rPr>
                <w:rFonts w:cstheme="minorHAnsi"/>
                <w:lang w:val="es-ES"/>
              </w:rPr>
            </w:pPr>
            <w:r w:rsidRPr="00C57BB5">
              <w:rPr>
                <w:rFonts w:cstheme="minorHAnsi"/>
                <w:lang w:val="es-ES"/>
              </w:rPr>
              <w:t xml:space="preserve">Francisco Cabal                                        </w:t>
            </w:r>
          </w:p>
        </w:tc>
        <w:tc>
          <w:tcPr>
            <w:tcW w:w="3139" w:type="dxa"/>
          </w:tcPr>
          <w:p w14:paraId="2620E743" w14:textId="77777777" w:rsidR="00275D5B" w:rsidRPr="00C57BB5" w:rsidRDefault="00275D5B" w:rsidP="00296A4A">
            <w:pPr>
              <w:rPr>
                <w:rFonts w:cstheme="minorHAnsi"/>
                <w:lang w:val="es-ES"/>
              </w:rPr>
            </w:pPr>
            <w:r w:rsidRPr="00C57BB5">
              <w:rPr>
                <w:rFonts w:cstheme="minorHAnsi"/>
                <w:lang w:val="es-ES"/>
              </w:rPr>
              <w:t>Comité De Solidaridad Con Los Presos Políticos,</w:t>
            </w:r>
          </w:p>
          <w:p w14:paraId="5754C36A" w14:textId="77777777" w:rsidR="00275D5B" w:rsidRPr="00C57BB5" w:rsidRDefault="00275D5B" w:rsidP="00296A4A">
            <w:pPr>
              <w:rPr>
                <w:rFonts w:cstheme="minorHAnsi"/>
                <w:lang w:val="en-US"/>
              </w:rPr>
            </w:pPr>
            <w:r w:rsidRPr="00C57BB5">
              <w:rPr>
                <w:rFonts w:cstheme="minorHAnsi"/>
                <w:lang w:val="en-US"/>
              </w:rPr>
              <w:t>Organización Yira Castro</w:t>
            </w:r>
          </w:p>
        </w:tc>
      </w:tr>
      <w:tr w:rsidR="00275D5B" w:rsidRPr="00C57BB5" w14:paraId="17928248" w14:textId="77777777" w:rsidTr="00296A4A">
        <w:trPr>
          <w:trHeight w:val="490"/>
        </w:trPr>
        <w:tc>
          <w:tcPr>
            <w:tcW w:w="2405" w:type="dxa"/>
          </w:tcPr>
          <w:p w14:paraId="5C833D28" w14:textId="77777777" w:rsidR="00275D5B" w:rsidRPr="00C57BB5" w:rsidRDefault="00275D5B" w:rsidP="00296A4A">
            <w:pPr>
              <w:rPr>
                <w:rFonts w:cstheme="minorHAnsi"/>
                <w:lang w:val="en-US"/>
              </w:rPr>
            </w:pPr>
            <w:r w:rsidRPr="00C57BB5">
              <w:rPr>
                <w:rFonts w:cstheme="minorHAnsi"/>
                <w:lang w:val="en-US"/>
              </w:rPr>
              <w:t>Multi-Partner Trust Fund</w:t>
            </w:r>
          </w:p>
        </w:tc>
        <w:tc>
          <w:tcPr>
            <w:tcW w:w="3807" w:type="dxa"/>
          </w:tcPr>
          <w:p w14:paraId="31CE07AA" w14:textId="77777777" w:rsidR="00275D5B" w:rsidRPr="00C57BB5" w:rsidRDefault="00275D5B" w:rsidP="00296A4A">
            <w:pPr>
              <w:rPr>
                <w:rFonts w:cstheme="minorHAnsi"/>
                <w:lang w:val="en-US"/>
              </w:rPr>
            </w:pPr>
            <w:r w:rsidRPr="00C57BB5">
              <w:rPr>
                <w:rFonts w:cstheme="minorHAnsi"/>
                <w:lang w:val="en-US"/>
              </w:rPr>
              <w:t>Alice Beccaro</w:t>
            </w:r>
          </w:p>
        </w:tc>
        <w:tc>
          <w:tcPr>
            <w:tcW w:w="3139" w:type="dxa"/>
          </w:tcPr>
          <w:p w14:paraId="4808E052" w14:textId="77777777" w:rsidR="00275D5B" w:rsidRPr="00C57BB5" w:rsidRDefault="00275D5B" w:rsidP="00296A4A">
            <w:pPr>
              <w:rPr>
                <w:rFonts w:cstheme="minorHAnsi"/>
                <w:lang w:val="en-US"/>
              </w:rPr>
            </w:pPr>
            <w:bookmarkStart w:id="60" w:name="_Hlk66359388"/>
            <w:r w:rsidRPr="00C57BB5">
              <w:rPr>
                <w:rFonts w:cstheme="minorHAnsi"/>
                <w:lang w:val="en-US"/>
              </w:rPr>
              <w:t xml:space="preserve">Coordinator and Technical Secretary for Sustaining Peace in </w:t>
            </w:r>
            <w:bookmarkEnd w:id="60"/>
            <w:r w:rsidRPr="00C57BB5">
              <w:rPr>
                <w:rFonts w:cstheme="minorHAnsi"/>
                <w:lang w:val="en-US"/>
              </w:rPr>
              <w:t>Colombia</w:t>
            </w:r>
          </w:p>
        </w:tc>
      </w:tr>
      <w:tr w:rsidR="00275D5B" w:rsidRPr="00C57BB5" w14:paraId="1C375141" w14:textId="77777777" w:rsidTr="00296A4A">
        <w:trPr>
          <w:trHeight w:val="490"/>
        </w:trPr>
        <w:tc>
          <w:tcPr>
            <w:tcW w:w="9351" w:type="dxa"/>
            <w:gridSpan w:val="3"/>
            <w:shd w:val="clear" w:color="auto" w:fill="D7D2D9" w:themeFill="accent6" w:themeFillTint="66"/>
          </w:tcPr>
          <w:p w14:paraId="6A9CCB7C" w14:textId="77777777" w:rsidR="00275D5B" w:rsidRPr="00C57BB5" w:rsidRDefault="00275D5B" w:rsidP="00296A4A">
            <w:pPr>
              <w:rPr>
                <w:rFonts w:cstheme="minorHAnsi"/>
                <w:b/>
                <w:bCs/>
                <w:lang w:val="en-US"/>
              </w:rPr>
            </w:pPr>
            <w:r w:rsidRPr="00C57BB5">
              <w:rPr>
                <w:rFonts w:cstheme="minorHAnsi"/>
                <w:b/>
                <w:bCs/>
                <w:lang w:val="en-US"/>
              </w:rPr>
              <w:t>Somalia</w:t>
            </w:r>
          </w:p>
        </w:tc>
      </w:tr>
      <w:tr w:rsidR="00275D5B" w:rsidRPr="00C57BB5" w14:paraId="0B443031" w14:textId="77777777" w:rsidTr="00296A4A">
        <w:trPr>
          <w:trHeight w:val="490"/>
        </w:trPr>
        <w:tc>
          <w:tcPr>
            <w:tcW w:w="2405" w:type="dxa"/>
          </w:tcPr>
          <w:p w14:paraId="1134F219" w14:textId="77777777" w:rsidR="00275D5B" w:rsidRPr="00AA49AE" w:rsidRDefault="00275D5B" w:rsidP="00296A4A">
            <w:pPr>
              <w:rPr>
                <w:rFonts w:cstheme="minorHAnsi"/>
                <w:lang w:val="en-US"/>
              </w:rPr>
            </w:pPr>
            <w:r w:rsidRPr="00AA49AE">
              <w:rPr>
                <w:rFonts w:cstheme="minorHAnsi"/>
                <w:lang w:val="en-US"/>
              </w:rPr>
              <w:t>UNSOM</w:t>
            </w:r>
          </w:p>
        </w:tc>
        <w:tc>
          <w:tcPr>
            <w:tcW w:w="3807" w:type="dxa"/>
            <w:shd w:val="clear" w:color="auto" w:fill="auto"/>
          </w:tcPr>
          <w:p w14:paraId="37386780" w14:textId="77777777" w:rsidR="00275D5B" w:rsidRPr="00AA49AE" w:rsidRDefault="00275D5B" w:rsidP="00296A4A">
            <w:pPr>
              <w:pBdr>
                <w:bottom w:val="single" w:sz="6" w:space="0" w:color="F1F1F5"/>
              </w:pBdr>
              <w:shd w:val="clear" w:color="auto" w:fill="FFFFFF"/>
              <w:rPr>
                <w:rFonts w:cstheme="minorHAnsi"/>
                <w:lang w:val="en-US"/>
              </w:rPr>
            </w:pPr>
            <w:r w:rsidRPr="00AA49AE">
              <w:rPr>
                <w:rFonts w:eastAsia="Times New Roman" w:cstheme="minorHAnsi"/>
                <w:color w:val="26282A"/>
                <w:lang w:val="en-US" w:eastAsia="de-DE"/>
              </w:rPr>
              <w:t xml:space="preserve">Adam Abdelmoula </w:t>
            </w:r>
          </w:p>
        </w:tc>
        <w:tc>
          <w:tcPr>
            <w:tcW w:w="3139" w:type="dxa"/>
          </w:tcPr>
          <w:p w14:paraId="09E758BE" w14:textId="77777777" w:rsidR="00275D5B" w:rsidRPr="00AA49AE" w:rsidRDefault="00275D5B" w:rsidP="00296A4A">
            <w:pPr>
              <w:rPr>
                <w:rFonts w:cstheme="minorHAnsi"/>
                <w:lang w:val="en-US"/>
              </w:rPr>
            </w:pPr>
            <w:r w:rsidRPr="00AA49AE">
              <w:rPr>
                <w:rFonts w:cstheme="minorHAnsi"/>
                <w:lang w:val="en-US"/>
              </w:rPr>
              <w:t>DSRSG/RC/HC</w:t>
            </w:r>
          </w:p>
        </w:tc>
      </w:tr>
      <w:tr w:rsidR="00275D5B" w:rsidRPr="00C57BB5" w14:paraId="17A8D8C4" w14:textId="77777777" w:rsidTr="00296A4A">
        <w:trPr>
          <w:trHeight w:val="490"/>
        </w:trPr>
        <w:tc>
          <w:tcPr>
            <w:tcW w:w="2405" w:type="dxa"/>
          </w:tcPr>
          <w:p w14:paraId="51F97FFF" w14:textId="77777777" w:rsidR="00275D5B" w:rsidRPr="00AA49AE" w:rsidRDefault="00275D5B" w:rsidP="00296A4A">
            <w:pPr>
              <w:rPr>
                <w:rFonts w:cstheme="minorHAnsi"/>
                <w:lang w:val="en-US"/>
              </w:rPr>
            </w:pPr>
            <w:r w:rsidRPr="00AA49AE">
              <w:rPr>
                <w:rFonts w:cstheme="minorHAnsi"/>
                <w:lang w:val="en-US"/>
              </w:rPr>
              <w:t>UNDP</w:t>
            </w:r>
          </w:p>
        </w:tc>
        <w:tc>
          <w:tcPr>
            <w:tcW w:w="3807" w:type="dxa"/>
            <w:shd w:val="clear" w:color="auto" w:fill="auto"/>
          </w:tcPr>
          <w:p w14:paraId="6BB03C51" w14:textId="77777777" w:rsidR="00275D5B" w:rsidRPr="00AA49AE" w:rsidRDefault="00275D5B" w:rsidP="00296A4A">
            <w:pPr>
              <w:rPr>
                <w:rFonts w:cstheme="minorHAnsi"/>
                <w:lang w:val="en-US"/>
              </w:rPr>
            </w:pPr>
            <w:r w:rsidRPr="00AA49AE">
              <w:rPr>
                <w:rFonts w:eastAsia="Times New Roman" w:cstheme="minorHAnsi"/>
                <w:color w:val="26282A"/>
                <w:lang w:val="en-US" w:eastAsia="de-DE"/>
              </w:rPr>
              <w:t xml:space="preserve">Jocelyn Mason </w:t>
            </w:r>
          </w:p>
        </w:tc>
        <w:tc>
          <w:tcPr>
            <w:tcW w:w="3139" w:type="dxa"/>
          </w:tcPr>
          <w:p w14:paraId="6306D1BB" w14:textId="77777777" w:rsidR="00275D5B" w:rsidRPr="00AA49AE" w:rsidRDefault="00275D5B" w:rsidP="00296A4A">
            <w:pPr>
              <w:rPr>
                <w:rFonts w:cstheme="minorHAnsi"/>
                <w:lang w:val="en-US"/>
              </w:rPr>
            </w:pPr>
            <w:r w:rsidRPr="00AA49AE">
              <w:rPr>
                <w:rFonts w:cstheme="minorHAnsi"/>
                <w:lang w:val="en-US"/>
              </w:rPr>
              <w:t>Resident Representative</w:t>
            </w:r>
          </w:p>
        </w:tc>
      </w:tr>
      <w:tr w:rsidR="00275D5B" w:rsidRPr="00C57BB5" w14:paraId="0BCDC164" w14:textId="77777777" w:rsidTr="00296A4A">
        <w:trPr>
          <w:trHeight w:val="490"/>
        </w:trPr>
        <w:tc>
          <w:tcPr>
            <w:tcW w:w="2405" w:type="dxa"/>
          </w:tcPr>
          <w:p w14:paraId="439084E9" w14:textId="77777777" w:rsidR="00275D5B" w:rsidRPr="00AA49AE" w:rsidRDefault="00275D5B" w:rsidP="00296A4A">
            <w:pPr>
              <w:rPr>
                <w:rFonts w:cstheme="minorHAnsi"/>
                <w:lang w:val="en-US"/>
              </w:rPr>
            </w:pPr>
            <w:r w:rsidRPr="00AA49AE">
              <w:rPr>
                <w:rFonts w:cstheme="minorHAnsi"/>
                <w:lang w:val="en-US"/>
              </w:rPr>
              <w:t>UNDP</w:t>
            </w:r>
          </w:p>
        </w:tc>
        <w:tc>
          <w:tcPr>
            <w:tcW w:w="3807" w:type="dxa"/>
            <w:shd w:val="clear" w:color="auto" w:fill="auto"/>
          </w:tcPr>
          <w:p w14:paraId="1A47B0D8" w14:textId="77777777" w:rsidR="00275D5B" w:rsidRPr="00AA49AE" w:rsidRDefault="00275D5B" w:rsidP="00296A4A">
            <w:pPr>
              <w:rPr>
                <w:rFonts w:eastAsia="Times New Roman" w:cstheme="minorHAnsi"/>
                <w:color w:val="26282A"/>
                <w:lang w:val="en-US" w:eastAsia="de-DE"/>
              </w:rPr>
            </w:pPr>
            <w:r w:rsidRPr="00AA49AE">
              <w:rPr>
                <w:rFonts w:eastAsia="Times New Roman" w:cstheme="minorHAnsi"/>
                <w:color w:val="26282A"/>
                <w:lang w:val="en-US" w:eastAsia="de-DE"/>
              </w:rPr>
              <w:t>Jacquiy Olweya</w:t>
            </w:r>
          </w:p>
        </w:tc>
        <w:tc>
          <w:tcPr>
            <w:tcW w:w="3139" w:type="dxa"/>
          </w:tcPr>
          <w:p w14:paraId="4B580BE9" w14:textId="77777777" w:rsidR="00275D5B" w:rsidRPr="00AA49AE" w:rsidRDefault="00275D5B" w:rsidP="00296A4A">
            <w:pPr>
              <w:rPr>
                <w:rFonts w:cstheme="minorHAnsi"/>
                <w:lang w:val="en-US"/>
              </w:rPr>
            </w:pPr>
            <w:r w:rsidRPr="00AA49AE">
              <w:rPr>
                <w:rFonts w:cstheme="minorHAnsi"/>
                <w:lang w:val="en-US"/>
              </w:rPr>
              <w:t>Deputy Resident Representative</w:t>
            </w:r>
          </w:p>
        </w:tc>
      </w:tr>
      <w:tr w:rsidR="00275D5B" w:rsidRPr="00C57BB5" w14:paraId="20E31C79" w14:textId="77777777" w:rsidTr="00296A4A">
        <w:trPr>
          <w:trHeight w:val="490"/>
        </w:trPr>
        <w:tc>
          <w:tcPr>
            <w:tcW w:w="2405" w:type="dxa"/>
          </w:tcPr>
          <w:p w14:paraId="6F80C156" w14:textId="77777777" w:rsidR="00275D5B" w:rsidRPr="00AA49AE" w:rsidRDefault="00275D5B" w:rsidP="00296A4A">
            <w:pPr>
              <w:rPr>
                <w:rFonts w:cstheme="minorHAnsi"/>
                <w:lang w:val="en-US"/>
              </w:rPr>
            </w:pPr>
            <w:r w:rsidRPr="00AA49AE">
              <w:rPr>
                <w:rFonts w:cstheme="minorHAnsi"/>
                <w:lang w:val="en-US"/>
              </w:rPr>
              <w:t>UNDP</w:t>
            </w:r>
          </w:p>
        </w:tc>
        <w:tc>
          <w:tcPr>
            <w:tcW w:w="3807" w:type="dxa"/>
            <w:shd w:val="clear" w:color="auto" w:fill="auto"/>
          </w:tcPr>
          <w:p w14:paraId="3986004C" w14:textId="77777777" w:rsidR="00275D5B" w:rsidRPr="00AA49AE" w:rsidRDefault="00275D5B" w:rsidP="00296A4A">
            <w:pPr>
              <w:pBdr>
                <w:bottom w:val="single" w:sz="6" w:space="0" w:color="F1F1F5"/>
              </w:pBdr>
              <w:shd w:val="clear" w:color="auto" w:fill="FFFFFF"/>
              <w:rPr>
                <w:rFonts w:cstheme="minorHAnsi"/>
                <w:lang w:val="de-DE"/>
              </w:rPr>
            </w:pPr>
            <w:r w:rsidRPr="00AA49AE">
              <w:rPr>
                <w:rFonts w:eastAsia="Times New Roman" w:cstheme="minorHAnsi"/>
                <w:color w:val="26282A"/>
                <w:lang w:val="en-US" w:eastAsia="de-DE"/>
              </w:rPr>
              <w:t xml:space="preserve">Doel Mukerjee </w:t>
            </w:r>
          </w:p>
        </w:tc>
        <w:tc>
          <w:tcPr>
            <w:tcW w:w="3139" w:type="dxa"/>
          </w:tcPr>
          <w:p w14:paraId="64C6276B" w14:textId="77777777" w:rsidR="00275D5B" w:rsidRPr="00AA49AE" w:rsidRDefault="00275D5B" w:rsidP="00296A4A">
            <w:pPr>
              <w:rPr>
                <w:rFonts w:cstheme="minorHAnsi"/>
                <w:lang w:val="de-DE"/>
              </w:rPr>
            </w:pPr>
            <w:r w:rsidRPr="00AA49AE">
              <w:rPr>
                <w:rFonts w:eastAsia="Times New Roman" w:cstheme="minorHAnsi"/>
                <w:color w:val="26282A"/>
                <w:lang w:val="en-US" w:eastAsia="de-DE"/>
              </w:rPr>
              <w:t>RoL CTA</w:t>
            </w:r>
          </w:p>
        </w:tc>
      </w:tr>
      <w:tr w:rsidR="00275D5B" w:rsidRPr="00C57BB5" w14:paraId="0FBC760E" w14:textId="77777777" w:rsidTr="00296A4A">
        <w:trPr>
          <w:trHeight w:val="490"/>
        </w:trPr>
        <w:tc>
          <w:tcPr>
            <w:tcW w:w="2405" w:type="dxa"/>
          </w:tcPr>
          <w:p w14:paraId="43C81750" w14:textId="77777777" w:rsidR="00275D5B" w:rsidRPr="00AA49AE" w:rsidRDefault="00275D5B" w:rsidP="00296A4A">
            <w:pPr>
              <w:rPr>
                <w:rFonts w:cstheme="minorHAnsi"/>
                <w:lang w:val="de-DE"/>
              </w:rPr>
            </w:pPr>
            <w:r w:rsidRPr="00AA49AE">
              <w:rPr>
                <w:rFonts w:cstheme="minorHAnsi"/>
                <w:lang w:val="de-DE"/>
              </w:rPr>
              <w:t>UNDP</w:t>
            </w:r>
          </w:p>
        </w:tc>
        <w:tc>
          <w:tcPr>
            <w:tcW w:w="3807" w:type="dxa"/>
            <w:shd w:val="clear" w:color="auto" w:fill="auto"/>
          </w:tcPr>
          <w:p w14:paraId="6E332B3B" w14:textId="77777777" w:rsidR="00275D5B" w:rsidRPr="00AA49AE" w:rsidRDefault="00275D5B" w:rsidP="00296A4A">
            <w:pPr>
              <w:pBdr>
                <w:bottom w:val="single" w:sz="6" w:space="0" w:color="F1F1F5"/>
              </w:pBdr>
              <w:shd w:val="clear" w:color="auto" w:fill="FFFFFF"/>
              <w:rPr>
                <w:rFonts w:cstheme="minorHAnsi"/>
                <w:lang w:val="de-DE"/>
              </w:rPr>
            </w:pPr>
            <w:r w:rsidRPr="00AA49AE">
              <w:rPr>
                <w:rFonts w:eastAsia="Times New Roman" w:cstheme="minorHAnsi"/>
                <w:color w:val="26282A"/>
                <w:lang w:val="de-DE" w:eastAsia="de-DE"/>
              </w:rPr>
              <w:t>Ruth Pfleiderer</w:t>
            </w:r>
          </w:p>
        </w:tc>
        <w:tc>
          <w:tcPr>
            <w:tcW w:w="3139" w:type="dxa"/>
          </w:tcPr>
          <w:p w14:paraId="3C0E681A" w14:textId="77777777" w:rsidR="00275D5B" w:rsidRPr="00AA49AE" w:rsidRDefault="00275D5B" w:rsidP="00296A4A">
            <w:pPr>
              <w:rPr>
                <w:rFonts w:cstheme="minorHAnsi"/>
                <w:lang w:val="de-DE"/>
              </w:rPr>
            </w:pPr>
            <w:r w:rsidRPr="00AA49AE">
              <w:rPr>
                <w:rFonts w:eastAsia="Times New Roman" w:cstheme="minorHAnsi"/>
                <w:color w:val="26282A"/>
                <w:lang w:val="de-DE" w:eastAsia="de-DE"/>
              </w:rPr>
              <w:t>RoL Unit Operations Manager</w:t>
            </w:r>
          </w:p>
        </w:tc>
      </w:tr>
      <w:tr w:rsidR="00275D5B" w:rsidRPr="00C57BB5" w14:paraId="44CBA16D" w14:textId="77777777" w:rsidTr="00296A4A">
        <w:trPr>
          <w:trHeight w:val="490"/>
        </w:trPr>
        <w:tc>
          <w:tcPr>
            <w:tcW w:w="2405" w:type="dxa"/>
          </w:tcPr>
          <w:p w14:paraId="4C09AAF0" w14:textId="77777777" w:rsidR="00275D5B" w:rsidRPr="00AA49AE" w:rsidRDefault="00275D5B" w:rsidP="00296A4A">
            <w:pPr>
              <w:rPr>
                <w:rFonts w:cstheme="minorHAnsi"/>
                <w:lang w:val="de-DE"/>
              </w:rPr>
            </w:pPr>
            <w:r w:rsidRPr="00AA49AE">
              <w:rPr>
                <w:rFonts w:cstheme="minorHAnsi"/>
                <w:lang w:val="de-DE"/>
              </w:rPr>
              <w:t>UNDP</w:t>
            </w:r>
          </w:p>
        </w:tc>
        <w:tc>
          <w:tcPr>
            <w:tcW w:w="3807" w:type="dxa"/>
            <w:shd w:val="clear" w:color="auto" w:fill="auto"/>
          </w:tcPr>
          <w:p w14:paraId="29EF8757" w14:textId="77777777" w:rsidR="00275D5B" w:rsidRPr="00AA49AE" w:rsidRDefault="00275D5B" w:rsidP="00296A4A">
            <w:pPr>
              <w:pBdr>
                <w:bottom w:val="single" w:sz="6" w:space="0" w:color="F1F1F5"/>
              </w:pBdr>
              <w:shd w:val="clear" w:color="auto" w:fill="FFFFFF"/>
              <w:rPr>
                <w:rFonts w:eastAsia="Times New Roman" w:cstheme="minorHAnsi"/>
                <w:color w:val="26282A"/>
                <w:lang w:val="de-DE" w:eastAsia="de-DE"/>
              </w:rPr>
            </w:pPr>
            <w:r w:rsidRPr="00AA49AE">
              <w:rPr>
                <w:rFonts w:eastAsia="Times New Roman" w:cstheme="minorHAnsi"/>
                <w:color w:val="26282A"/>
                <w:lang w:val="de-DE" w:eastAsia="de-DE"/>
              </w:rPr>
              <w:t>Helen Olafsdottir</w:t>
            </w:r>
          </w:p>
        </w:tc>
        <w:tc>
          <w:tcPr>
            <w:tcW w:w="3139" w:type="dxa"/>
          </w:tcPr>
          <w:p w14:paraId="6527D963" w14:textId="77777777" w:rsidR="00275D5B" w:rsidRPr="00AA49AE" w:rsidRDefault="00275D5B" w:rsidP="00296A4A">
            <w:pPr>
              <w:rPr>
                <w:rFonts w:cstheme="minorHAnsi"/>
                <w:lang w:val="en-US"/>
              </w:rPr>
            </w:pPr>
            <w:r w:rsidRPr="00AA49AE">
              <w:rPr>
                <w:rFonts w:eastAsia="Times New Roman" w:cstheme="minorHAnsi"/>
                <w:color w:val="26282A"/>
                <w:lang w:eastAsia="de-DE"/>
              </w:rPr>
              <w:t xml:space="preserve">Team leader of the Somalia </w:t>
            </w:r>
            <w:r w:rsidRPr="00AA49AE">
              <w:rPr>
                <w:rFonts w:cs="Helvetica"/>
                <w:color w:val="666666"/>
                <w:shd w:val="clear" w:color="auto" w:fill="FFFFFF"/>
              </w:rPr>
              <w:t> Joint Security Sector Governance Programme (</w:t>
            </w:r>
            <w:r w:rsidRPr="00AA49AE">
              <w:rPr>
                <w:rFonts w:eastAsia="Times New Roman" w:cstheme="minorHAnsi"/>
                <w:color w:val="26282A"/>
                <w:lang w:eastAsia="de-DE"/>
              </w:rPr>
              <w:t>JSSGP)</w:t>
            </w:r>
          </w:p>
        </w:tc>
      </w:tr>
      <w:tr w:rsidR="00275D5B" w:rsidRPr="00C57BB5" w14:paraId="61ABFBD5" w14:textId="77777777" w:rsidTr="00296A4A">
        <w:trPr>
          <w:trHeight w:val="490"/>
        </w:trPr>
        <w:tc>
          <w:tcPr>
            <w:tcW w:w="2405" w:type="dxa"/>
          </w:tcPr>
          <w:p w14:paraId="52FCB31B" w14:textId="77777777" w:rsidR="00275D5B" w:rsidRPr="00AA49AE" w:rsidRDefault="00275D5B" w:rsidP="00296A4A">
            <w:pPr>
              <w:rPr>
                <w:rFonts w:cstheme="minorHAnsi"/>
                <w:lang w:val="en-US"/>
              </w:rPr>
            </w:pPr>
            <w:r w:rsidRPr="00AA49AE">
              <w:rPr>
                <w:rFonts w:cstheme="minorHAnsi"/>
                <w:lang w:val="en-US"/>
              </w:rPr>
              <w:t xml:space="preserve">UNSOM </w:t>
            </w:r>
          </w:p>
        </w:tc>
        <w:tc>
          <w:tcPr>
            <w:tcW w:w="3807" w:type="dxa"/>
            <w:shd w:val="clear" w:color="auto" w:fill="auto"/>
          </w:tcPr>
          <w:p w14:paraId="436FEAD9" w14:textId="77777777" w:rsidR="00275D5B" w:rsidRPr="00AA49AE" w:rsidRDefault="00275D5B" w:rsidP="00296A4A">
            <w:pPr>
              <w:pBdr>
                <w:bottom w:val="single" w:sz="6" w:space="0" w:color="F1F1F5"/>
              </w:pBdr>
              <w:shd w:val="clear" w:color="auto" w:fill="FFFFFF"/>
              <w:rPr>
                <w:rFonts w:eastAsia="Times New Roman" w:cstheme="minorHAnsi"/>
                <w:color w:val="26282A"/>
                <w:lang w:val="de-DE" w:eastAsia="de-DE"/>
              </w:rPr>
            </w:pPr>
            <w:r w:rsidRPr="00AA49AE">
              <w:rPr>
                <w:rFonts w:eastAsia="Times New Roman" w:cstheme="minorHAnsi"/>
                <w:color w:val="26282A"/>
                <w:lang w:val="de-DE" w:eastAsia="de-DE"/>
              </w:rPr>
              <w:t>Virginie Blanchard</w:t>
            </w:r>
          </w:p>
        </w:tc>
        <w:tc>
          <w:tcPr>
            <w:tcW w:w="3139" w:type="dxa"/>
          </w:tcPr>
          <w:p w14:paraId="37917115" w14:textId="77777777" w:rsidR="00275D5B" w:rsidRPr="00AA49AE" w:rsidRDefault="00275D5B" w:rsidP="00296A4A">
            <w:pPr>
              <w:rPr>
                <w:rFonts w:cstheme="minorHAnsi"/>
                <w:lang w:val="en-US"/>
              </w:rPr>
            </w:pPr>
            <w:r w:rsidRPr="00AA49AE">
              <w:rPr>
                <w:rFonts w:cstheme="minorHAnsi"/>
                <w:lang w:val="en-US"/>
              </w:rPr>
              <w:t>RoLSIG Programme Advisor; UNSOM Joint Justice Programme (JJP) focal point</w:t>
            </w:r>
          </w:p>
        </w:tc>
      </w:tr>
      <w:tr w:rsidR="00275D5B" w:rsidRPr="00C57BB5" w14:paraId="625400BF" w14:textId="77777777" w:rsidTr="00296A4A">
        <w:trPr>
          <w:trHeight w:val="490"/>
        </w:trPr>
        <w:tc>
          <w:tcPr>
            <w:tcW w:w="2405" w:type="dxa"/>
          </w:tcPr>
          <w:p w14:paraId="1DE905FA" w14:textId="77777777" w:rsidR="00275D5B" w:rsidRPr="00AA49AE" w:rsidRDefault="00275D5B" w:rsidP="00296A4A">
            <w:pPr>
              <w:rPr>
                <w:rFonts w:cstheme="minorHAnsi"/>
                <w:lang w:val="en-US"/>
              </w:rPr>
            </w:pPr>
            <w:r w:rsidRPr="00AA49AE">
              <w:rPr>
                <w:rFonts w:cstheme="minorHAnsi"/>
                <w:lang w:val="en-US"/>
              </w:rPr>
              <w:t>UNDP</w:t>
            </w:r>
          </w:p>
        </w:tc>
        <w:tc>
          <w:tcPr>
            <w:tcW w:w="3807" w:type="dxa"/>
            <w:shd w:val="clear" w:color="auto" w:fill="auto"/>
          </w:tcPr>
          <w:p w14:paraId="0F971B5E" w14:textId="77777777" w:rsidR="00275D5B" w:rsidRPr="00AA49AE" w:rsidRDefault="00275D5B" w:rsidP="00296A4A">
            <w:pPr>
              <w:pBdr>
                <w:bottom w:val="single" w:sz="6" w:space="0" w:color="F1F1F5"/>
              </w:pBdr>
              <w:shd w:val="clear" w:color="auto" w:fill="FFFFFF"/>
              <w:rPr>
                <w:rFonts w:eastAsia="Times New Roman" w:cstheme="minorHAnsi"/>
                <w:color w:val="26282A"/>
                <w:lang w:val="de-DE" w:eastAsia="de-DE"/>
              </w:rPr>
            </w:pPr>
            <w:r w:rsidRPr="00AA49AE">
              <w:rPr>
                <w:rFonts w:eastAsia="Times New Roman" w:cstheme="minorHAnsi"/>
                <w:color w:val="26282A"/>
                <w:lang w:val="de-DE" w:eastAsia="de-DE"/>
              </w:rPr>
              <w:t xml:space="preserve">Rose Foran </w:t>
            </w:r>
          </w:p>
        </w:tc>
        <w:tc>
          <w:tcPr>
            <w:tcW w:w="3139" w:type="dxa"/>
          </w:tcPr>
          <w:p w14:paraId="3301ACEE" w14:textId="77777777" w:rsidR="00275D5B" w:rsidRPr="00AA49AE" w:rsidRDefault="00275D5B" w:rsidP="00296A4A">
            <w:pPr>
              <w:rPr>
                <w:rFonts w:cstheme="minorHAnsi"/>
                <w:lang w:val="de-DE"/>
              </w:rPr>
            </w:pPr>
            <w:r w:rsidRPr="00AA49AE">
              <w:rPr>
                <w:rFonts w:cstheme="minorHAnsi"/>
                <w:lang w:val="de-DE"/>
              </w:rPr>
              <w:t>Head of SDG 16 Unit</w:t>
            </w:r>
          </w:p>
        </w:tc>
      </w:tr>
      <w:tr w:rsidR="00275D5B" w:rsidRPr="00C57BB5" w14:paraId="42EC94C6" w14:textId="77777777" w:rsidTr="00296A4A">
        <w:trPr>
          <w:trHeight w:val="490"/>
        </w:trPr>
        <w:tc>
          <w:tcPr>
            <w:tcW w:w="2405" w:type="dxa"/>
          </w:tcPr>
          <w:p w14:paraId="4BAD9ADE" w14:textId="77777777" w:rsidR="00275D5B" w:rsidRPr="00AA49AE" w:rsidRDefault="00275D5B" w:rsidP="00296A4A">
            <w:pPr>
              <w:rPr>
                <w:rFonts w:cstheme="minorHAnsi"/>
                <w:lang w:val="en-US"/>
              </w:rPr>
            </w:pPr>
            <w:r w:rsidRPr="00AA49AE">
              <w:rPr>
                <w:rFonts w:cstheme="minorHAnsi"/>
                <w:lang w:val="en-US"/>
              </w:rPr>
              <w:t>UNDP</w:t>
            </w:r>
          </w:p>
        </w:tc>
        <w:tc>
          <w:tcPr>
            <w:tcW w:w="3807" w:type="dxa"/>
            <w:shd w:val="clear" w:color="auto" w:fill="auto"/>
          </w:tcPr>
          <w:p w14:paraId="5E1B1DAC" w14:textId="77777777" w:rsidR="00275D5B" w:rsidRPr="00AA49AE" w:rsidRDefault="00275D5B" w:rsidP="00296A4A">
            <w:pPr>
              <w:pBdr>
                <w:bottom w:val="single" w:sz="6" w:space="0" w:color="F1F1F5"/>
              </w:pBdr>
              <w:shd w:val="clear" w:color="auto" w:fill="FFFFFF"/>
              <w:rPr>
                <w:rFonts w:eastAsia="Times New Roman" w:cstheme="minorHAnsi"/>
                <w:color w:val="26282A"/>
                <w:lang w:val="de-DE" w:eastAsia="de-DE"/>
              </w:rPr>
            </w:pPr>
            <w:r w:rsidRPr="00AA49AE">
              <w:rPr>
                <w:rFonts w:eastAsia="Times New Roman" w:cstheme="minorHAnsi"/>
                <w:color w:val="26282A"/>
                <w:lang w:val="de-DE" w:eastAsia="de-DE"/>
              </w:rPr>
              <w:t>Anthony Howie</w:t>
            </w:r>
          </w:p>
        </w:tc>
        <w:tc>
          <w:tcPr>
            <w:tcW w:w="3139" w:type="dxa"/>
          </w:tcPr>
          <w:p w14:paraId="514E4652" w14:textId="77777777" w:rsidR="00275D5B" w:rsidRPr="00AA49AE" w:rsidRDefault="00275D5B" w:rsidP="00296A4A">
            <w:pPr>
              <w:pBdr>
                <w:bottom w:val="single" w:sz="6" w:space="0" w:color="F1F1F5"/>
              </w:pBdr>
              <w:shd w:val="clear" w:color="auto" w:fill="FFFFFF"/>
              <w:rPr>
                <w:rFonts w:cstheme="minorHAnsi"/>
                <w:lang w:val="de-DE"/>
              </w:rPr>
            </w:pPr>
            <w:r w:rsidRPr="00AA49AE">
              <w:rPr>
                <w:rFonts w:eastAsia="Times New Roman" w:cstheme="minorHAnsi"/>
                <w:color w:val="26282A"/>
                <w:lang w:val="de-DE" w:eastAsia="de-DE"/>
              </w:rPr>
              <w:t>Elections Security Advisor</w:t>
            </w:r>
          </w:p>
        </w:tc>
      </w:tr>
      <w:tr w:rsidR="00275D5B" w:rsidRPr="00C57BB5" w14:paraId="4A8BBCDE" w14:textId="77777777" w:rsidTr="00296A4A">
        <w:trPr>
          <w:trHeight w:val="490"/>
        </w:trPr>
        <w:tc>
          <w:tcPr>
            <w:tcW w:w="2405" w:type="dxa"/>
          </w:tcPr>
          <w:p w14:paraId="091459BB" w14:textId="77777777" w:rsidR="00275D5B" w:rsidRPr="00AA49AE" w:rsidRDefault="00275D5B" w:rsidP="00296A4A">
            <w:pPr>
              <w:rPr>
                <w:rFonts w:cstheme="minorHAnsi"/>
                <w:lang w:val="de-DE"/>
              </w:rPr>
            </w:pPr>
            <w:r w:rsidRPr="00AA49AE">
              <w:rPr>
                <w:rFonts w:cstheme="minorHAnsi"/>
                <w:lang w:val="de-DE"/>
              </w:rPr>
              <w:t>UNSOM</w:t>
            </w:r>
          </w:p>
        </w:tc>
        <w:tc>
          <w:tcPr>
            <w:tcW w:w="3807" w:type="dxa"/>
            <w:shd w:val="clear" w:color="auto" w:fill="auto"/>
          </w:tcPr>
          <w:p w14:paraId="6CC320B0" w14:textId="77777777" w:rsidR="00275D5B" w:rsidRPr="00AA49AE" w:rsidRDefault="00275D5B" w:rsidP="00296A4A">
            <w:pPr>
              <w:pBdr>
                <w:bottom w:val="single" w:sz="6" w:space="0" w:color="F1F1F5"/>
              </w:pBdr>
              <w:shd w:val="clear" w:color="auto" w:fill="FFFFFF"/>
              <w:rPr>
                <w:rFonts w:eastAsia="Times New Roman" w:cstheme="minorHAnsi"/>
                <w:color w:val="26282A"/>
                <w:lang w:val="en-US" w:eastAsia="de-DE"/>
              </w:rPr>
            </w:pPr>
            <w:r w:rsidRPr="00AA49AE">
              <w:rPr>
                <w:rFonts w:eastAsia="Times New Roman" w:cstheme="minorHAnsi"/>
                <w:color w:val="26282A"/>
                <w:lang w:val="en-US" w:eastAsia="de-DE"/>
              </w:rPr>
              <w:t>Mitch Dufresne,</w:t>
            </w:r>
          </w:p>
          <w:p w14:paraId="14CA0444" w14:textId="77777777" w:rsidR="00275D5B" w:rsidRPr="00AA49AE" w:rsidRDefault="00275D5B" w:rsidP="00296A4A">
            <w:pPr>
              <w:pBdr>
                <w:bottom w:val="single" w:sz="6" w:space="0" w:color="F1F1F5"/>
              </w:pBdr>
              <w:shd w:val="clear" w:color="auto" w:fill="FFFFFF"/>
              <w:rPr>
                <w:rFonts w:cstheme="minorHAnsi"/>
                <w:lang w:val="de-DE"/>
              </w:rPr>
            </w:pPr>
            <w:r w:rsidRPr="00AA49AE">
              <w:rPr>
                <w:rFonts w:eastAsia="Times New Roman" w:cstheme="minorHAnsi"/>
                <w:color w:val="26282A"/>
                <w:lang w:val="en-US" w:eastAsia="de-DE"/>
              </w:rPr>
              <w:t>Damian Klauss</w:t>
            </w:r>
          </w:p>
        </w:tc>
        <w:tc>
          <w:tcPr>
            <w:tcW w:w="3139" w:type="dxa"/>
          </w:tcPr>
          <w:p w14:paraId="25124FCA" w14:textId="77777777" w:rsidR="00275D5B" w:rsidRPr="00AA49AE" w:rsidRDefault="00275D5B" w:rsidP="00296A4A">
            <w:pPr>
              <w:pStyle w:val="yiv9887092205msonormal"/>
              <w:shd w:val="clear" w:color="auto" w:fill="FFFFFF"/>
              <w:spacing w:before="0" w:beforeAutospacing="0" w:after="0" w:afterAutospacing="0"/>
              <w:rPr>
                <w:rFonts w:asciiTheme="minorHAnsi" w:hAnsiTheme="minorHAnsi" w:cstheme="minorHAnsi"/>
                <w:sz w:val="20"/>
                <w:szCs w:val="20"/>
                <w:lang w:val="en-US"/>
              </w:rPr>
            </w:pPr>
            <w:r w:rsidRPr="00AA49AE">
              <w:rPr>
                <w:rFonts w:asciiTheme="minorHAnsi" w:hAnsiTheme="minorHAnsi" w:cstheme="minorHAnsi"/>
                <w:color w:val="1D2228"/>
                <w:sz w:val="20"/>
                <w:szCs w:val="20"/>
                <w:lang w:val="en-GB"/>
              </w:rPr>
              <w:t xml:space="preserve">Chief Joint Justice and Corrections Service (JJCS); Principal Rule of Law Officer; </w:t>
            </w:r>
            <w:r w:rsidRPr="00AA49AE">
              <w:rPr>
                <w:rFonts w:asciiTheme="minorHAnsi" w:hAnsiTheme="minorHAnsi" w:cstheme="minorHAnsi"/>
                <w:color w:val="404040"/>
                <w:sz w:val="20"/>
                <w:szCs w:val="20"/>
                <w:lang w:val="en-US"/>
              </w:rPr>
              <w:t>Rule of Law &amp; Security Institutions Group</w:t>
            </w:r>
            <w:r w:rsidRPr="00AA49AE">
              <w:rPr>
                <w:rFonts w:asciiTheme="minorHAnsi" w:hAnsiTheme="minorHAnsi" w:cstheme="minorHAnsi"/>
                <w:color w:val="1D2228"/>
                <w:sz w:val="20"/>
                <w:szCs w:val="20"/>
                <w:lang w:val="en-GB"/>
              </w:rPr>
              <w:t xml:space="preserve"> (ROLSIG)</w:t>
            </w:r>
          </w:p>
        </w:tc>
      </w:tr>
      <w:tr w:rsidR="00275D5B" w:rsidRPr="00C57BB5" w14:paraId="18A01A12" w14:textId="77777777" w:rsidTr="00296A4A">
        <w:trPr>
          <w:trHeight w:val="490"/>
        </w:trPr>
        <w:tc>
          <w:tcPr>
            <w:tcW w:w="2405" w:type="dxa"/>
          </w:tcPr>
          <w:p w14:paraId="6DD96B3C" w14:textId="77777777" w:rsidR="00275D5B" w:rsidRPr="00AA49AE" w:rsidRDefault="00275D5B" w:rsidP="00296A4A">
            <w:pPr>
              <w:rPr>
                <w:rFonts w:cstheme="minorHAnsi"/>
                <w:lang w:val="de-DE"/>
              </w:rPr>
            </w:pPr>
            <w:r w:rsidRPr="00AA49AE">
              <w:rPr>
                <w:rFonts w:cstheme="minorHAnsi"/>
                <w:lang w:val="de-DE"/>
              </w:rPr>
              <w:t>UNSOM</w:t>
            </w:r>
          </w:p>
        </w:tc>
        <w:tc>
          <w:tcPr>
            <w:tcW w:w="3807" w:type="dxa"/>
            <w:shd w:val="clear" w:color="auto" w:fill="auto"/>
          </w:tcPr>
          <w:p w14:paraId="48F3CDCA" w14:textId="77777777" w:rsidR="00275D5B" w:rsidRPr="00AA49AE" w:rsidRDefault="00275D5B" w:rsidP="00296A4A">
            <w:pPr>
              <w:pBdr>
                <w:bottom w:val="single" w:sz="6" w:space="0" w:color="F1F1F5"/>
              </w:pBdr>
              <w:shd w:val="clear" w:color="auto" w:fill="FFFFFF"/>
              <w:rPr>
                <w:rFonts w:eastAsia="Times New Roman" w:cstheme="minorHAnsi"/>
                <w:color w:val="26282A"/>
                <w:lang w:val="en-US" w:eastAsia="de-DE"/>
              </w:rPr>
            </w:pPr>
            <w:r w:rsidRPr="00AA49AE">
              <w:rPr>
                <w:rFonts w:eastAsia="Times New Roman" w:cstheme="minorHAnsi"/>
                <w:color w:val="26282A"/>
                <w:lang w:val="en-US" w:eastAsia="de-DE"/>
              </w:rPr>
              <w:t xml:space="preserve">Marco Carmignani </w:t>
            </w:r>
          </w:p>
        </w:tc>
        <w:tc>
          <w:tcPr>
            <w:tcW w:w="3139" w:type="dxa"/>
          </w:tcPr>
          <w:p w14:paraId="4C2A94ED" w14:textId="77777777" w:rsidR="00275D5B" w:rsidRPr="00AA49AE" w:rsidRDefault="00275D5B" w:rsidP="00296A4A">
            <w:pPr>
              <w:rPr>
                <w:rFonts w:cstheme="minorHAnsi"/>
                <w:lang w:val="en-US"/>
              </w:rPr>
            </w:pPr>
            <w:r w:rsidRPr="00AA49AE">
              <w:rPr>
                <w:rFonts w:eastAsia="Times New Roman" w:cstheme="minorHAnsi"/>
                <w:color w:val="26282A"/>
                <w:lang w:val="en-US" w:eastAsia="de-DE"/>
              </w:rPr>
              <w:t>Director of R</w:t>
            </w:r>
            <w:r w:rsidRPr="00AA49AE">
              <w:rPr>
                <w:rFonts w:cstheme="minorHAnsi"/>
                <w:color w:val="1D2228"/>
                <w:lang w:val="en-GB"/>
              </w:rPr>
              <w:t>OLSIG</w:t>
            </w:r>
          </w:p>
        </w:tc>
      </w:tr>
      <w:tr w:rsidR="00275D5B" w:rsidRPr="00C57BB5" w14:paraId="26BF3DE5" w14:textId="77777777" w:rsidTr="00296A4A">
        <w:trPr>
          <w:trHeight w:val="490"/>
        </w:trPr>
        <w:tc>
          <w:tcPr>
            <w:tcW w:w="2405" w:type="dxa"/>
          </w:tcPr>
          <w:p w14:paraId="5114F370" w14:textId="77777777" w:rsidR="00275D5B" w:rsidRPr="00AA49AE" w:rsidRDefault="00275D5B" w:rsidP="00296A4A">
            <w:pPr>
              <w:rPr>
                <w:rFonts w:cstheme="minorHAnsi"/>
                <w:lang w:val="de-DE"/>
              </w:rPr>
            </w:pPr>
            <w:r w:rsidRPr="00AA49AE">
              <w:rPr>
                <w:rFonts w:cstheme="minorHAnsi"/>
                <w:lang w:val="de-DE"/>
              </w:rPr>
              <w:t>UNSOM</w:t>
            </w:r>
          </w:p>
        </w:tc>
        <w:tc>
          <w:tcPr>
            <w:tcW w:w="3807" w:type="dxa"/>
            <w:shd w:val="clear" w:color="auto" w:fill="auto"/>
          </w:tcPr>
          <w:p w14:paraId="2BCBF3CB" w14:textId="77777777" w:rsidR="00275D5B" w:rsidRPr="00AA49AE" w:rsidRDefault="00275D5B" w:rsidP="00296A4A">
            <w:pPr>
              <w:pBdr>
                <w:bottom w:val="single" w:sz="6" w:space="0" w:color="F1F1F5"/>
              </w:pBdr>
              <w:shd w:val="clear" w:color="auto" w:fill="FFFFFF"/>
              <w:rPr>
                <w:rFonts w:eastAsia="Times New Roman" w:cstheme="minorHAnsi"/>
                <w:color w:val="26282A"/>
                <w:lang w:val="en-US" w:eastAsia="de-DE"/>
              </w:rPr>
            </w:pPr>
            <w:r w:rsidRPr="00AA49AE">
              <w:rPr>
                <w:rFonts w:eastAsia="Times New Roman" w:cstheme="minorHAnsi"/>
                <w:color w:val="26282A"/>
                <w:lang w:val="en-US" w:eastAsia="de-DE"/>
              </w:rPr>
              <w:t>Jeff Sims</w:t>
            </w:r>
          </w:p>
        </w:tc>
        <w:tc>
          <w:tcPr>
            <w:tcW w:w="3139" w:type="dxa"/>
          </w:tcPr>
          <w:p w14:paraId="4A547FFF" w14:textId="77777777" w:rsidR="00275D5B" w:rsidRPr="00AA49AE" w:rsidRDefault="00275D5B" w:rsidP="00296A4A">
            <w:pPr>
              <w:pStyle w:val="yiv3208359506msonormal"/>
              <w:shd w:val="clear" w:color="auto" w:fill="FFFFFF"/>
              <w:spacing w:before="0" w:beforeAutospacing="0" w:after="0" w:afterAutospacing="0"/>
              <w:rPr>
                <w:rFonts w:asciiTheme="minorHAnsi" w:hAnsiTheme="minorHAnsi" w:cstheme="minorHAnsi"/>
                <w:sz w:val="20"/>
                <w:szCs w:val="20"/>
                <w:lang w:val="en-US"/>
              </w:rPr>
            </w:pPr>
            <w:r w:rsidRPr="00AA49AE">
              <w:rPr>
                <w:rFonts w:asciiTheme="minorHAnsi" w:hAnsiTheme="minorHAnsi" w:cstheme="minorHAnsi"/>
                <w:color w:val="26282A"/>
                <w:sz w:val="20"/>
                <w:szCs w:val="20"/>
                <w:lang w:val="en-US"/>
              </w:rPr>
              <w:t xml:space="preserve">Head of SSR Unit </w:t>
            </w:r>
            <w:r w:rsidRPr="00AA49AE">
              <w:rPr>
                <w:rFonts w:asciiTheme="minorHAnsi" w:hAnsiTheme="minorHAnsi" w:cstheme="minorHAnsi"/>
                <w:color w:val="404040"/>
                <w:sz w:val="20"/>
                <w:szCs w:val="20"/>
                <w:lang w:val="en-US"/>
              </w:rPr>
              <w:t>Strategic Security/Maritime Adviser; UNSOM-UNDP Integrated Security Sector Reform Section; ROLSIG</w:t>
            </w:r>
          </w:p>
        </w:tc>
      </w:tr>
      <w:tr w:rsidR="00275D5B" w:rsidRPr="00C57BB5" w14:paraId="65B85B96" w14:textId="77777777" w:rsidTr="00296A4A">
        <w:trPr>
          <w:trHeight w:val="490"/>
        </w:trPr>
        <w:tc>
          <w:tcPr>
            <w:tcW w:w="2405" w:type="dxa"/>
          </w:tcPr>
          <w:p w14:paraId="11B62F05" w14:textId="77777777" w:rsidR="00275D5B" w:rsidRPr="00C57BB5" w:rsidRDefault="00275D5B" w:rsidP="00296A4A">
            <w:pPr>
              <w:rPr>
                <w:rFonts w:cstheme="minorHAnsi"/>
                <w:lang w:val="en-US"/>
              </w:rPr>
            </w:pPr>
            <w:r w:rsidRPr="00C57BB5">
              <w:rPr>
                <w:rFonts w:cstheme="minorHAnsi"/>
                <w:lang w:val="en-US"/>
              </w:rPr>
              <w:t>UNSOM</w:t>
            </w:r>
          </w:p>
        </w:tc>
        <w:tc>
          <w:tcPr>
            <w:tcW w:w="3807" w:type="dxa"/>
            <w:shd w:val="clear" w:color="auto" w:fill="auto"/>
          </w:tcPr>
          <w:p w14:paraId="15368878" w14:textId="77777777" w:rsidR="00275D5B" w:rsidRPr="00C57BB5" w:rsidRDefault="00275D5B" w:rsidP="00296A4A">
            <w:pPr>
              <w:pBdr>
                <w:bottom w:val="single" w:sz="6" w:space="0" w:color="F1F1F5"/>
              </w:pBdr>
              <w:shd w:val="clear" w:color="auto" w:fill="FFFFFF"/>
              <w:rPr>
                <w:rFonts w:eastAsia="Times New Roman" w:cstheme="minorHAnsi"/>
                <w:color w:val="26282A"/>
                <w:lang w:val="en-US" w:eastAsia="de-DE"/>
              </w:rPr>
            </w:pPr>
            <w:r w:rsidRPr="00C57BB5">
              <w:rPr>
                <w:rFonts w:eastAsia="Times New Roman" w:cstheme="minorHAnsi"/>
                <w:color w:val="26282A"/>
                <w:lang w:val="en-US" w:eastAsia="de-DE"/>
              </w:rPr>
              <w:t>Marta Duro</w:t>
            </w:r>
          </w:p>
        </w:tc>
        <w:tc>
          <w:tcPr>
            <w:tcW w:w="3139" w:type="dxa"/>
          </w:tcPr>
          <w:p w14:paraId="681E192A" w14:textId="77777777" w:rsidR="00275D5B" w:rsidRPr="00C57BB5" w:rsidRDefault="00275D5B" w:rsidP="00296A4A">
            <w:pPr>
              <w:rPr>
                <w:rFonts w:cstheme="minorHAnsi"/>
                <w:lang w:val="de-DE"/>
              </w:rPr>
            </w:pPr>
            <w:r w:rsidRPr="00C57BB5">
              <w:rPr>
                <w:rFonts w:eastAsia="Times New Roman" w:cstheme="minorHAnsi"/>
                <w:color w:val="26282A"/>
                <w:lang w:eastAsia="de-DE"/>
              </w:rPr>
              <w:t>JSSGP Officer</w:t>
            </w:r>
          </w:p>
        </w:tc>
      </w:tr>
      <w:tr w:rsidR="00275D5B" w:rsidRPr="00C57BB5" w14:paraId="4E3D89BB" w14:textId="77777777" w:rsidTr="00296A4A">
        <w:trPr>
          <w:trHeight w:val="490"/>
        </w:trPr>
        <w:tc>
          <w:tcPr>
            <w:tcW w:w="2405" w:type="dxa"/>
          </w:tcPr>
          <w:p w14:paraId="6C9E88F1" w14:textId="77777777" w:rsidR="00275D5B" w:rsidRPr="00C57BB5" w:rsidRDefault="00275D5B" w:rsidP="00296A4A">
            <w:pPr>
              <w:rPr>
                <w:rFonts w:cstheme="minorHAnsi"/>
                <w:lang w:val="en-US"/>
              </w:rPr>
            </w:pPr>
            <w:r w:rsidRPr="00C57BB5">
              <w:rPr>
                <w:rFonts w:eastAsia="Times New Roman" w:cstheme="minorHAnsi"/>
                <w:color w:val="26282A"/>
                <w:lang w:eastAsia="de-DE"/>
              </w:rPr>
              <w:t>UN Women</w:t>
            </w:r>
          </w:p>
        </w:tc>
        <w:tc>
          <w:tcPr>
            <w:tcW w:w="3807" w:type="dxa"/>
            <w:shd w:val="clear" w:color="auto" w:fill="auto"/>
          </w:tcPr>
          <w:p w14:paraId="18F884A2" w14:textId="77777777" w:rsidR="00275D5B" w:rsidRPr="00C57BB5" w:rsidRDefault="00275D5B" w:rsidP="00296A4A">
            <w:pPr>
              <w:pBdr>
                <w:bottom w:val="single" w:sz="6" w:space="0" w:color="F1F1F5"/>
              </w:pBdr>
              <w:shd w:val="clear" w:color="auto" w:fill="FFFFFF"/>
              <w:rPr>
                <w:rFonts w:eastAsia="Times New Roman" w:cstheme="minorHAnsi"/>
                <w:color w:val="26282A"/>
                <w:lang w:eastAsia="de-DE"/>
              </w:rPr>
            </w:pPr>
            <w:r w:rsidRPr="00C57BB5">
              <w:rPr>
                <w:rFonts w:eastAsia="Times New Roman" w:cstheme="minorHAnsi"/>
                <w:color w:val="26282A"/>
                <w:lang w:eastAsia="de-DE"/>
              </w:rPr>
              <w:t xml:space="preserve">Dr. Sadiq Sadeq, </w:t>
            </w:r>
          </w:p>
          <w:p w14:paraId="1104F0BA" w14:textId="77777777" w:rsidR="00275D5B" w:rsidRPr="00C57BB5" w:rsidRDefault="00275D5B" w:rsidP="00296A4A">
            <w:pPr>
              <w:pBdr>
                <w:bottom w:val="single" w:sz="6" w:space="0" w:color="F1F1F5"/>
              </w:pBdr>
              <w:shd w:val="clear" w:color="auto" w:fill="FFFFFF"/>
              <w:rPr>
                <w:rFonts w:eastAsia="Times New Roman" w:cstheme="minorHAnsi"/>
                <w:color w:val="26282A"/>
                <w:lang w:val="en-US" w:eastAsia="de-DE"/>
              </w:rPr>
            </w:pPr>
            <w:r w:rsidRPr="00C57BB5">
              <w:rPr>
                <w:rFonts w:eastAsia="Times New Roman" w:cstheme="minorHAnsi"/>
                <w:color w:val="26282A"/>
                <w:lang w:eastAsia="de-DE"/>
              </w:rPr>
              <w:t>Abdilkadir Noor Mohd</w:t>
            </w:r>
          </w:p>
        </w:tc>
        <w:tc>
          <w:tcPr>
            <w:tcW w:w="3139" w:type="dxa"/>
          </w:tcPr>
          <w:p w14:paraId="0593DA0E" w14:textId="77777777" w:rsidR="00275D5B" w:rsidRPr="00C57BB5" w:rsidRDefault="00275D5B" w:rsidP="00296A4A">
            <w:pPr>
              <w:rPr>
                <w:rFonts w:eastAsia="Times New Roman" w:cstheme="minorHAnsi"/>
                <w:color w:val="26282A"/>
                <w:lang w:eastAsia="de-DE"/>
              </w:rPr>
            </w:pPr>
            <w:r w:rsidRPr="00C57BB5">
              <w:rPr>
                <w:rFonts w:eastAsia="Times New Roman" w:cstheme="minorHAnsi"/>
                <w:color w:val="26282A"/>
                <w:lang w:eastAsia="de-DE"/>
              </w:rPr>
              <w:t>Country Office Manager;</w:t>
            </w:r>
          </w:p>
          <w:p w14:paraId="1420ED55" w14:textId="77777777" w:rsidR="00275D5B" w:rsidRPr="00C57BB5" w:rsidRDefault="00275D5B" w:rsidP="00296A4A">
            <w:pPr>
              <w:rPr>
                <w:rFonts w:eastAsia="Times New Roman" w:cstheme="minorHAnsi"/>
                <w:color w:val="26282A"/>
                <w:lang w:eastAsia="de-DE"/>
              </w:rPr>
            </w:pPr>
            <w:r w:rsidRPr="00C57BB5">
              <w:rPr>
                <w:rFonts w:eastAsia="Times New Roman" w:cstheme="minorHAnsi"/>
                <w:color w:val="26282A"/>
                <w:lang w:eastAsia="de-DE"/>
              </w:rPr>
              <w:t>JJP Focal Point</w:t>
            </w:r>
          </w:p>
        </w:tc>
      </w:tr>
      <w:tr w:rsidR="00275D5B" w:rsidRPr="00C57BB5" w14:paraId="44D943D6" w14:textId="77777777" w:rsidTr="00296A4A">
        <w:trPr>
          <w:trHeight w:val="490"/>
        </w:trPr>
        <w:tc>
          <w:tcPr>
            <w:tcW w:w="2405" w:type="dxa"/>
          </w:tcPr>
          <w:p w14:paraId="29D99916" w14:textId="77777777" w:rsidR="00275D5B" w:rsidRPr="00C57BB5" w:rsidRDefault="00275D5B" w:rsidP="00296A4A">
            <w:pPr>
              <w:rPr>
                <w:rFonts w:cstheme="minorHAnsi"/>
                <w:lang w:val="en-US"/>
              </w:rPr>
            </w:pPr>
            <w:r w:rsidRPr="00C57BB5">
              <w:rPr>
                <w:rFonts w:cstheme="minorHAnsi"/>
                <w:lang w:val="de-DE"/>
              </w:rPr>
              <w:t>UNICEF</w:t>
            </w:r>
          </w:p>
        </w:tc>
        <w:tc>
          <w:tcPr>
            <w:tcW w:w="3807" w:type="dxa"/>
            <w:shd w:val="clear" w:color="auto" w:fill="auto"/>
          </w:tcPr>
          <w:p w14:paraId="1BD2A5C7" w14:textId="77777777" w:rsidR="00275D5B" w:rsidRPr="00C57BB5" w:rsidRDefault="00275D5B" w:rsidP="00296A4A">
            <w:pPr>
              <w:pBdr>
                <w:bottom w:val="single" w:sz="6" w:space="0" w:color="F1F1F5"/>
              </w:pBdr>
              <w:shd w:val="clear" w:color="auto" w:fill="FFFFFF"/>
              <w:rPr>
                <w:rFonts w:eastAsia="Times New Roman" w:cstheme="minorHAnsi"/>
                <w:color w:val="26282A"/>
                <w:lang w:val="en-US" w:eastAsia="de-DE"/>
              </w:rPr>
            </w:pPr>
            <w:r w:rsidRPr="00C57BB5">
              <w:rPr>
                <w:rFonts w:eastAsia="Times New Roman" w:cstheme="minorHAnsi"/>
                <w:color w:val="26282A"/>
                <w:lang w:val="en-US" w:eastAsia="de-DE"/>
              </w:rPr>
              <w:t>Brendan Ross</w:t>
            </w:r>
          </w:p>
        </w:tc>
        <w:tc>
          <w:tcPr>
            <w:tcW w:w="3139" w:type="dxa"/>
          </w:tcPr>
          <w:p w14:paraId="7B2E9363" w14:textId="77777777" w:rsidR="00275D5B" w:rsidRPr="00C57BB5" w:rsidRDefault="00275D5B" w:rsidP="00296A4A">
            <w:pPr>
              <w:rPr>
                <w:rFonts w:eastAsia="Times New Roman" w:cstheme="minorHAnsi"/>
                <w:color w:val="26282A"/>
                <w:lang w:eastAsia="de-DE"/>
              </w:rPr>
            </w:pPr>
            <w:r w:rsidRPr="00C57BB5">
              <w:rPr>
                <w:rFonts w:eastAsia="Times New Roman" w:cstheme="minorHAnsi"/>
                <w:color w:val="26282A"/>
                <w:lang w:eastAsia="de-DE"/>
              </w:rPr>
              <w:t>Child Protection Officer</w:t>
            </w:r>
          </w:p>
        </w:tc>
      </w:tr>
      <w:tr w:rsidR="00275D5B" w:rsidRPr="00C57BB5" w14:paraId="3C4ABF31" w14:textId="77777777" w:rsidTr="00296A4A">
        <w:trPr>
          <w:trHeight w:val="490"/>
        </w:trPr>
        <w:tc>
          <w:tcPr>
            <w:tcW w:w="2405" w:type="dxa"/>
          </w:tcPr>
          <w:p w14:paraId="5E0C40C8" w14:textId="77777777" w:rsidR="00275D5B" w:rsidRPr="00C57BB5" w:rsidRDefault="00275D5B" w:rsidP="00296A4A">
            <w:pPr>
              <w:rPr>
                <w:rFonts w:cstheme="minorHAnsi"/>
                <w:lang w:val="de-DE"/>
              </w:rPr>
            </w:pPr>
            <w:r w:rsidRPr="00C57BB5">
              <w:rPr>
                <w:rFonts w:cstheme="minorHAnsi"/>
                <w:lang w:val="de-DE"/>
              </w:rPr>
              <w:t>IDLO</w:t>
            </w:r>
          </w:p>
        </w:tc>
        <w:tc>
          <w:tcPr>
            <w:tcW w:w="3807" w:type="dxa"/>
            <w:shd w:val="clear" w:color="auto" w:fill="auto"/>
          </w:tcPr>
          <w:p w14:paraId="171E22E8" w14:textId="77777777" w:rsidR="00275D5B" w:rsidRPr="00C57BB5" w:rsidRDefault="00275D5B" w:rsidP="00296A4A">
            <w:pPr>
              <w:pBdr>
                <w:bottom w:val="single" w:sz="6" w:space="0" w:color="F1F1F5"/>
              </w:pBdr>
              <w:shd w:val="clear" w:color="auto" w:fill="FFFFFF"/>
              <w:rPr>
                <w:rFonts w:cstheme="minorHAnsi"/>
                <w:lang w:val="de-DE"/>
              </w:rPr>
            </w:pPr>
            <w:r w:rsidRPr="00C57BB5">
              <w:rPr>
                <w:rFonts w:eastAsia="Times New Roman" w:cstheme="minorHAnsi"/>
                <w:lang w:val="de-DE" w:eastAsia="de-DE"/>
              </w:rPr>
              <w:t>Adam-Shirwa Jama,</w:t>
            </w:r>
            <w:r w:rsidRPr="00C57BB5">
              <w:rPr>
                <w:rFonts w:cstheme="minorHAnsi"/>
                <w:lang w:val="de-DE"/>
              </w:rPr>
              <w:t xml:space="preserve"> </w:t>
            </w:r>
          </w:p>
          <w:p w14:paraId="7A2DE77C" w14:textId="77777777" w:rsidR="00275D5B" w:rsidRPr="00C57BB5" w:rsidRDefault="00275D5B" w:rsidP="00296A4A">
            <w:pPr>
              <w:pBdr>
                <w:bottom w:val="single" w:sz="6" w:space="0" w:color="F1F1F5"/>
              </w:pBdr>
              <w:shd w:val="clear" w:color="auto" w:fill="FFFFFF"/>
              <w:rPr>
                <w:rFonts w:eastAsia="Times New Roman" w:cstheme="minorHAnsi"/>
                <w:color w:val="FF0000"/>
                <w:lang w:val="de-DE" w:eastAsia="de-DE"/>
              </w:rPr>
            </w:pPr>
            <w:r w:rsidRPr="00C57BB5">
              <w:rPr>
                <w:rFonts w:eastAsia="Times New Roman" w:cstheme="minorHAnsi"/>
                <w:lang w:val="de-DE" w:eastAsia="de-DE"/>
              </w:rPr>
              <w:t>Abdullahi Yusuf Mohd</w:t>
            </w:r>
          </w:p>
        </w:tc>
        <w:tc>
          <w:tcPr>
            <w:tcW w:w="3139" w:type="dxa"/>
          </w:tcPr>
          <w:p w14:paraId="4E166BA5" w14:textId="77777777" w:rsidR="00275D5B" w:rsidRPr="00C57BB5" w:rsidRDefault="00275D5B" w:rsidP="00296A4A">
            <w:pPr>
              <w:rPr>
                <w:rFonts w:eastAsia="Times New Roman" w:cstheme="minorHAnsi"/>
                <w:color w:val="26282A"/>
                <w:lang w:eastAsia="de-DE"/>
              </w:rPr>
            </w:pPr>
            <w:r w:rsidRPr="00C57BB5">
              <w:rPr>
                <w:rFonts w:eastAsia="Times New Roman" w:cstheme="minorHAnsi"/>
                <w:color w:val="26282A"/>
                <w:lang w:eastAsia="de-DE"/>
              </w:rPr>
              <w:t>Country Director,</w:t>
            </w:r>
          </w:p>
          <w:p w14:paraId="4D2C6C7C" w14:textId="77777777" w:rsidR="00275D5B" w:rsidRPr="00C57BB5" w:rsidRDefault="00275D5B" w:rsidP="00296A4A">
            <w:pPr>
              <w:rPr>
                <w:rFonts w:cstheme="minorHAnsi"/>
                <w:lang w:val="en-US"/>
              </w:rPr>
            </w:pPr>
            <w:r w:rsidRPr="00C57BB5">
              <w:rPr>
                <w:rFonts w:eastAsia="Times New Roman" w:cstheme="minorHAnsi"/>
                <w:color w:val="26282A"/>
                <w:lang w:eastAsia="de-DE"/>
              </w:rPr>
              <w:t>Senior Access-to-Justice Programme Manager</w:t>
            </w:r>
          </w:p>
        </w:tc>
      </w:tr>
      <w:tr w:rsidR="00275D5B" w:rsidRPr="00C57BB5" w14:paraId="1F22FC50" w14:textId="77777777" w:rsidTr="00296A4A">
        <w:trPr>
          <w:trHeight w:val="490"/>
        </w:trPr>
        <w:tc>
          <w:tcPr>
            <w:tcW w:w="2405" w:type="dxa"/>
          </w:tcPr>
          <w:p w14:paraId="1A959518" w14:textId="77777777" w:rsidR="00275D5B" w:rsidRPr="00C57BB5" w:rsidRDefault="00275D5B" w:rsidP="00296A4A">
            <w:pPr>
              <w:rPr>
                <w:rFonts w:cstheme="minorHAnsi"/>
              </w:rPr>
            </w:pPr>
            <w:r w:rsidRPr="00C57BB5">
              <w:rPr>
                <w:rFonts w:eastAsia="Times New Roman" w:cstheme="minorHAnsi"/>
                <w:color w:val="26282A"/>
                <w:lang w:val="en-US" w:eastAsia="de-DE"/>
              </w:rPr>
              <w:t>Ministry Justice</w:t>
            </w:r>
            <w:r w:rsidRPr="00C57BB5">
              <w:rPr>
                <w:rFonts w:eastAsia="Times New Roman" w:cstheme="minorHAnsi"/>
                <w:color w:val="26282A"/>
                <w:lang w:eastAsia="de-DE"/>
              </w:rPr>
              <w:t xml:space="preserve"> (Federal Government of Somalia – FGS)</w:t>
            </w:r>
          </w:p>
        </w:tc>
        <w:tc>
          <w:tcPr>
            <w:tcW w:w="3807" w:type="dxa"/>
            <w:shd w:val="clear" w:color="auto" w:fill="auto"/>
          </w:tcPr>
          <w:p w14:paraId="77856879" w14:textId="77777777" w:rsidR="00275D5B" w:rsidRPr="00C57BB5" w:rsidRDefault="00275D5B" w:rsidP="00296A4A">
            <w:pPr>
              <w:pBdr>
                <w:bottom w:val="single" w:sz="6" w:space="0" w:color="F1F1F5"/>
              </w:pBdr>
              <w:shd w:val="clear" w:color="auto" w:fill="FFFFFF"/>
              <w:rPr>
                <w:rFonts w:eastAsia="Times New Roman" w:cstheme="minorHAnsi"/>
                <w:color w:val="26282A"/>
                <w:lang w:val="en-US" w:eastAsia="de-DE"/>
              </w:rPr>
            </w:pPr>
            <w:r w:rsidRPr="00C57BB5">
              <w:rPr>
                <w:rFonts w:eastAsia="Times New Roman" w:cstheme="minorHAnsi"/>
                <w:color w:val="26282A"/>
                <w:lang w:val="en-US" w:eastAsia="de-DE"/>
              </w:rPr>
              <w:t xml:space="preserve">Ibrahim Abdullahi Adan, </w:t>
            </w:r>
          </w:p>
          <w:p w14:paraId="5405D0FC" w14:textId="77777777" w:rsidR="00275D5B" w:rsidRPr="00C57BB5" w:rsidRDefault="00275D5B" w:rsidP="00296A4A">
            <w:pPr>
              <w:pBdr>
                <w:bottom w:val="single" w:sz="6" w:space="0" w:color="F1F1F5"/>
              </w:pBdr>
              <w:shd w:val="clear" w:color="auto" w:fill="FFFFFF"/>
              <w:rPr>
                <w:rFonts w:cstheme="minorHAnsi"/>
              </w:rPr>
            </w:pPr>
            <w:r w:rsidRPr="00C57BB5">
              <w:rPr>
                <w:rFonts w:eastAsia="Times New Roman" w:cstheme="minorHAnsi"/>
                <w:color w:val="26282A"/>
                <w:lang w:eastAsia="de-DE"/>
              </w:rPr>
              <w:t xml:space="preserve">Yusuf Ali Mohamed </w:t>
            </w:r>
            <w:r w:rsidRPr="00C57BB5">
              <w:rPr>
                <w:rFonts w:cstheme="minorHAnsi"/>
                <w:lang w:val="en-US"/>
              </w:rPr>
              <w:t xml:space="preserve"> </w:t>
            </w:r>
          </w:p>
        </w:tc>
        <w:tc>
          <w:tcPr>
            <w:tcW w:w="3139" w:type="dxa"/>
          </w:tcPr>
          <w:p w14:paraId="7E2F2417" w14:textId="77777777" w:rsidR="00275D5B" w:rsidRPr="00C57BB5" w:rsidRDefault="00275D5B" w:rsidP="00296A4A">
            <w:pPr>
              <w:rPr>
                <w:rFonts w:cstheme="minorHAnsi"/>
                <w:lang w:val="en-US"/>
              </w:rPr>
            </w:pPr>
            <w:r w:rsidRPr="00C57BB5">
              <w:rPr>
                <w:rFonts w:cstheme="minorHAnsi"/>
                <w:lang w:val="en-US"/>
              </w:rPr>
              <w:t xml:space="preserve">Strategic Policy &amp; Monitoring Advisor (Consultant) ; </w:t>
            </w:r>
          </w:p>
          <w:p w14:paraId="718890AC" w14:textId="77777777" w:rsidR="00275D5B" w:rsidRPr="00C57BB5" w:rsidRDefault="00275D5B" w:rsidP="00296A4A">
            <w:pPr>
              <w:rPr>
                <w:rFonts w:cstheme="minorHAnsi"/>
                <w:lang w:val="en-US"/>
              </w:rPr>
            </w:pPr>
            <w:r w:rsidRPr="00C57BB5">
              <w:rPr>
                <w:rFonts w:eastAsia="Times New Roman" w:cstheme="minorHAnsi"/>
                <w:color w:val="26282A"/>
                <w:lang w:eastAsia="de-DE"/>
              </w:rPr>
              <w:t xml:space="preserve">Director General, MOJ </w:t>
            </w:r>
          </w:p>
        </w:tc>
      </w:tr>
      <w:tr w:rsidR="00275D5B" w:rsidRPr="00C57BB5" w14:paraId="3C43B5DD" w14:textId="77777777" w:rsidTr="00296A4A">
        <w:trPr>
          <w:trHeight w:val="490"/>
        </w:trPr>
        <w:tc>
          <w:tcPr>
            <w:tcW w:w="2405" w:type="dxa"/>
          </w:tcPr>
          <w:p w14:paraId="1C365D36" w14:textId="77777777" w:rsidR="00275D5B" w:rsidRPr="00C57BB5" w:rsidRDefault="00275D5B" w:rsidP="00296A4A">
            <w:pPr>
              <w:rPr>
                <w:rFonts w:cstheme="minorHAnsi"/>
                <w:lang w:val="en-US"/>
              </w:rPr>
            </w:pPr>
            <w:r w:rsidRPr="00C57BB5">
              <w:rPr>
                <w:rFonts w:cstheme="minorHAnsi"/>
                <w:lang w:val="en-US"/>
              </w:rPr>
              <w:t>EU, Netherlands, Sweden</w:t>
            </w:r>
          </w:p>
        </w:tc>
        <w:tc>
          <w:tcPr>
            <w:tcW w:w="3807" w:type="dxa"/>
            <w:shd w:val="clear" w:color="auto" w:fill="auto"/>
          </w:tcPr>
          <w:p w14:paraId="6CA2936B" w14:textId="77777777" w:rsidR="00275D5B" w:rsidRPr="00C57BB5" w:rsidRDefault="00275D5B" w:rsidP="00296A4A">
            <w:pPr>
              <w:rPr>
                <w:rFonts w:cstheme="minorHAnsi"/>
                <w:lang w:val="de-DE"/>
              </w:rPr>
            </w:pPr>
            <w:r w:rsidRPr="00C57BB5">
              <w:rPr>
                <w:rFonts w:cstheme="minorHAnsi"/>
                <w:lang w:val="de-DE"/>
              </w:rPr>
              <w:t xml:space="preserve">Veronique Geoffroy, </w:t>
            </w:r>
          </w:p>
          <w:p w14:paraId="33FE4F8E" w14:textId="77777777" w:rsidR="00275D5B" w:rsidRPr="00C57BB5" w:rsidRDefault="00275D5B" w:rsidP="00296A4A">
            <w:pPr>
              <w:rPr>
                <w:rFonts w:cstheme="minorHAnsi"/>
                <w:lang w:val="de-DE"/>
              </w:rPr>
            </w:pPr>
            <w:r w:rsidRPr="00C57BB5">
              <w:rPr>
                <w:rFonts w:cstheme="minorHAnsi"/>
                <w:lang w:val="de-DE"/>
              </w:rPr>
              <w:t xml:space="preserve">Elin Hilwig, </w:t>
            </w:r>
          </w:p>
          <w:p w14:paraId="3E3ED2C7" w14:textId="77777777" w:rsidR="00275D5B" w:rsidRPr="00C57BB5" w:rsidRDefault="00275D5B" w:rsidP="00296A4A">
            <w:pPr>
              <w:rPr>
                <w:rFonts w:cstheme="minorHAnsi"/>
                <w:lang w:val="de-DE"/>
              </w:rPr>
            </w:pPr>
            <w:r w:rsidRPr="00C57BB5">
              <w:rPr>
                <w:rFonts w:cstheme="minorHAnsi"/>
                <w:lang w:val="de-DE"/>
              </w:rPr>
              <w:t>Sophie Omoro</w:t>
            </w:r>
          </w:p>
        </w:tc>
        <w:tc>
          <w:tcPr>
            <w:tcW w:w="3139" w:type="dxa"/>
          </w:tcPr>
          <w:p w14:paraId="0B28EE1E" w14:textId="77777777" w:rsidR="00275D5B" w:rsidRPr="00C57BB5" w:rsidRDefault="00275D5B" w:rsidP="00296A4A">
            <w:pPr>
              <w:rPr>
                <w:rFonts w:cstheme="minorHAnsi"/>
                <w:lang w:val="en-US"/>
              </w:rPr>
            </w:pPr>
            <w:r w:rsidRPr="00C57BB5">
              <w:rPr>
                <w:rFonts w:cstheme="minorHAnsi"/>
                <w:lang w:val="en-US"/>
              </w:rPr>
              <w:t>Donors’ RoL desk officers (UN focal points)</w:t>
            </w:r>
          </w:p>
        </w:tc>
      </w:tr>
      <w:tr w:rsidR="00275D5B" w:rsidRPr="00C57BB5" w14:paraId="23651492" w14:textId="77777777" w:rsidTr="00296A4A">
        <w:trPr>
          <w:trHeight w:val="490"/>
        </w:trPr>
        <w:tc>
          <w:tcPr>
            <w:tcW w:w="9351" w:type="dxa"/>
            <w:gridSpan w:val="3"/>
            <w:shd w:val="clear" w:color="auto" w:fill="D7D2D9" w:themeFill="accent6" w:themeFillTint="66"/>
          </w:tcPr>
          <w:p w14:paraId="0CA4A546" w14:textId="77777777" w:rsidR="00275D5B" w:rsidRPr="00C57BB5" w:rsidRDefault="00275D5B" w:rsidP="00296A4A">
            <w:pPr>
              <w:rPr>
                <w:rFonts w:cstheme="minorHAnsi"/>
                <w:b/>
                <w:bCs/>
                <w:lang w:val="en-US"/>
              </w:rPr>
            </w:pPr>
            <w:r w:rsidRPr="00C57BB5">
              <w:rPr>
                <w:rFonts w:cstheme="minorHAnsi"/>
                <w:b/>
                <w:bCs/>
                <w:lang w:val="en-US"/>
              </w:rPr>
              <w:t xml:space="preserve">Burkina Faso </w:t>
            </w:r>
          </w:p>
        </w:tc>
      </w:tr>
      <w:tr w:rsidR="00275D5B" w:rsidRPr="00C57BB5" w14:paraId="0BB6755F" w14:textId="77777777" w:rsidTr="00296A4A">
        <w:trPr>
          <w:trHeight w:val="490"/>
        </w:trPr>
        <w:tc>
          <w:tcPr>
            <w:tcW w:w="2405" w:type="dxa"/>
          </w:tcPr>
          <w:p w14:paraId="77D2E9F8" w14:textId="77777777" w:rsidR="00275D5B" w:rsidRPr="00AA49AE" w:rsidRDefault="00275D5B" w:rsidP="00296A4A">
            <w:pPr>
              <w:rPr>
                <w:rFonts w:cstheme="minorHAnsi"/>
                <w:lang w:val="en-US"/>
              </w:rPr>
            </w:pPr>
            <w:r w:rsidRPr="00AA49AE">
              <w:rPr>
                <w:rFonts w:cstheme="minorHAnsi"/>
                <w:lang w:val="en-US"/>
              </w:rPr>
              <w:t>UNDP</w:t>
            </w:r>
          </w:p>
        </w:tc>
        <w:tc>
          <w:tcPr>
            <w:tcW w:w="3807" w:type="dxa"/>
          </w:tcPr>
          <w:p w14:paraId="7166D37D" w14:textId="77777777" w:rsidR="00275D5B" w:rsidRPr="00AA49AE" w:rsidRDefault="00275D5B" w:rsidP="00296A4A">
            <w:pPr>
              <w:rPr>
                <w:rFonts w:cstheme="minorHAnsi"/>
                <w:lang w:val="en-US"/>
              </w:rPr>
            </w:pPr>
            <w:r w:rsidRPr="00AA49AE">
              <w:rPr>
                <w:rFonts w:cstheme="minorHAnsi"/>
                <w:color w:val="26282A"/>
                <w:lang w:val="fr-FR"/>
              </w:rPr>
              <w:t>Isabelle Tschan</w:t>
            </w:r>
          </w:p>
        </w:tc>
        <w:tc>
          <w:tcPr>
            <w:tcW w:w="3139" w:type="dxa"/>
          </w:tcPr>
          <w:p w14:paraId="10CC611E"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en-US"/>
              </w:rPr>
            </w:pPr>
            <w:r w:rsidRPr="00AA49AE">
              <w:rPr>
                <w:rFonts w:asciiTheme="minorHAnsi" w:hAnsiTheme="minorHAnsi" w:cstheme="minorHAnsi"/>
                <w:color w:val="26282A"/>
                <w:sz w:val="20"/>
                <w:szCs w:val="20"/>
                <w:lang w:val="fr-FR"/>
              </w:rPr>
              <w:t>DRR</w:t>
            </w:r>
          </w:p>
        </w:tc>
      </w:tr>
      <w:tr w:rsidR="00275D5B" w:rsidRPr="00C57BB5" w14:paraId="455B0977" w14:textId="77777777" w:rsidTr="00296A4A">
        <w:trPr>
          <w:trHeight w:val="490"/>
        </w:trPr>
        <w:tc>
          <w:tcPr>
            <w:tcW w:w="2405" w:type="dxa"/>
          </w:tcPr>
          <w:p w14:paraId="71C17D33" w14:textId="77777777" w:rsidR="00275D5B" w:rsidRPr="00AA49AE" w:rsidRDefault="00275D5B" w:rsidP="00296A4A">
            <w:pPr>
              <w:rPr>
                <w:rFonts w:cstheme="minorHAnsi"/>
                <w:lang w:val="en-US"/>
              </w:rPr>
            </w:pPr>
            <w:r w:rsidRPr="00AA49AE">
              <w:rPr>
                <w:rFonts w:cstheme="minorHAnsi"/>
                <w:lang w:val="en-US"/>
              </w:rPr>
              <w:t>UNDP</w:t>
            </w:r>
          </w:p>
        </w:tc>
        <w:tc>
          <w:tcPr>
            <w:tcW w:w="3807" w:type="dxa"/>
          </w:tcPr>
          <w:p w14:paraId="26ECF681" w14:textId="77777777" w:rsidR="00275D5B" w:rsidRPr="00AA49AE" w:rsidRDefault="00275D5B" w:rsidP="00296A4A">
            <w:pPr>
              <w:rPr>
                <w:rFonts w:cstheme="minorHAnsi"/>
                <w:lang w:val="en-US"/>
              </w:rPr>
            </w:pPr>
            <w:r w:rsidRPr="00AA49AE">
              <w:rPr>
                <w:rFonts w:cstheme="minorHAnsi"/>
                <w:color w:val="26282A"/>
                <w:lang w:val="fr-FR"/>
              </w:rPr>
              <w:t>Mahamane Ousmane</w:t>
            </w:r>
          </w:p>
        </w:tc>
        <w:tc>
          <w:tcPr>
            <w:tcW w:w="3139" w:type="dxa"/>
          </w:tcPr>
          <w:p w14:paraId="6BB978C5"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fr-FR"/>
              </w:rPr>
            </w:pPr>
            <w:r w:rsidRPr="00AA49AE">
              <w:rPr>
                <w:rFonts w:asciiTheme="minorHAnsi" w:hAnsiTheme="minorHAnsi" w:cstheme="minorHAnsi"/>
                <w:color w:val="26282A"/>
                <w:sz w:val="20"/>
                <w:szCs w:val="20"/>
                <w:lang w:val="fr-FR"/>
              </w:rPr>
              <w:t>CTA RoLSHR</w:t>
            </w:r>
          </w:p>
        </w:tc>
      </w:tr>
      <w:tr w:rsidR="00275D5B" w:rsidRPr="00C57BB5" w14:paraId="22843B47" w14:textId="77777777" w:rsidTr="00296A4A">
        <w:trPr>
          <w:trHeight w:val="490"/>
        </w:trPr>
        <w:tc>
          <w:tcPr>
            <w:tcW w:w="2405" w:type="dxa"/>
          </w:tcPr>
          <w:p w14:paraId="5086E349" w14:textId="77777777" w:rsidR="00275D5B" w:rsidRPr="00AA49AE" w:rsidRDefault="00275D5B" w:rsidP="00296A4A">
            <w:pPr>
              <w:rPr>
                <w:rFonts w:cstheme="minorHAnsi"/>
                <w:lang w:val="fr-FR"/>
              </w:rPr>
            </w:pPr>
            <w:r w:rsidRPr="00AA49AE">
              <w:rPr>
                <w:rFonts w:cstheme="minorHAnsi"/>
                <w:lang w:val="fr-FR"/>
              </w:rPr>
              <w:t>UNDP</w:t>
            </w:r>
          </w:p>
        </w:tc>
        <w:tc>
          <w:tcPr>
            <w:tcW w:w="3807" w:type="dxa"/>
          </w:tcPr>
          <w:p w14:paraId="61CA452E" w14:textId="77777777" w:rsidR="00275D5B" w:rsidRPr="00AA49AE" w:rsidRDefault="00275D5B" w:rsidP="00296A4A">
            <w:pPr>
              <w:rPr>
                <w:rFonts w:cstheme="minorHAnsi"/>
                <w:color w:val="26282A"/>
                <w:lang w:val="fr-FR"/>
              </w:rPr>
            </w:pPr>
            <w:r w:rsidRPr="00AA49AE">
              <w:rPr>
                <w:rFonts w:cstheme="minorHAnsi"/>
                <w:color w:val="26282A"/>
                <w:lang w:val="fr-FR"/>
              </w:rPr>
              <w:t xml:space="preserve">Hortence Mpako Foaleng, </w:t>
            </w:r>
          </w:p>
          <w:p w14:paraId="27CCD180" w14:textId="77777777" w:rsidR="00275D5B" w:rsidRPr="00AA49AE" w:rsidRDefault="00275D5B" w:rsidP="00296A4A">
            <w:pPr>
              <w:rPr>
                <w:rFonts w:cstheme="minorHAnsi"/>
                <w:color w:val="26282A"/>
                <w:lang w:val="fr-FR"/>
              </w:rPr>
            </w:pPr>
            <w:r w:rsidRPr="00AA49AE">
              <w:rPr>
                <w:rFonts w:cstheme="minorHAnsi"/>
                <w:color w:val="26282A"/>
                <w:lang w:val="fr-FR"/>
              </w:rPr>
              <w:t xml:space="preserve">Dieudonné Kini, </w:t>
            </w:r>
          </w:p>
          <w:p w14:paraId="778DE287" w14:textId="77777777" w:rsidR="00275D5B" w:rsidRPr="00AA49AE" w:rsidRDefault="00275D5B" w:rsidP="00296A4A">
            <w:pPr>
              <w:rPr>
                <w:rFonts w:cstheme="minorHAnsi"/>
                <w:lang w:val="fr-FR"/>
              </w:rPr>
            </w:pPr>
            <w:r w:rsidRPr="00AA49AE">
              <w:rPr>
                <w:rFonts w:cstheme="minorHAnsi"/>
                <w:color w:val="26282A"/>
                <w:lang w:val="fr-FR"/>
              </w:rPr>
              <w:t>Losséni Cissé</w:t>
            </w:r>
          </w:p>
        </w:tc>
        <w:tc>
          <w:tcPr>
            <w:tcW w:w="3139" w:type="dxa"/>
          </w:tcPr>
          <w:p w14:paraId="19385CBE"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en-US"/>
              </w:rPr>
            </w:pPr>
            <w:r w:rsidRPr="00AA49AE">
              <w:rPr>
                <w:rFonts w:asciiTheme="minorHAnsi" w:hAnsiTheme="minorHAnsi" w:cstheme="minorHAnsi"/>
                <w:color w:val="26282A"/>
                <w:sz w:val="20"/>
                <w:szCs w:val="20"/>
                <w:lang w:val="en-US"/>
              </w:rPr>
              <w:t>SSR Project Lead;</w:t>
            </w:r>
          </w:p>
          <w:p w14:paraId="224A96B4"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en-US"/>
              </w:rPr>
            </w:pPr>
            <w:r w:rsidRPr="00AA49AE">
              <w:rPr>
                <w:rFonts w:asciiTheme="minorHAnsi" w:hAnsiTheme="minorHAnsi" w:cstheme="minorHAnsi"/>
                <w:color w:val="26282A"/>
                <w:sz w:val="20"/>
                <w:szCs w:val="20"/>
                <w:lang w:val="en-US"/>
              </w:rPr>
              <w:t>Project Staff</w:t>
            </w:r>
          </w:p>
        </w:tc>
      </w:tr>
      <w:tr w:rsidR="00275D5B" w:rsidRPr="00C57BB5" w14:paraId="5191E90A" w14:textId="77777777" w:rsidTr="00296A4A">
        <w:trPr>
          <w:trHeight w:val="490"/>
        </w:trPr>
        <w:tc>
          <w:tcPr>
            <w:tcW w:w="2405" w:type="dxa"/>
          </w:tcPr>
          <w:p w14:paraId="45E2DBFF" w14:textId="77777777" w:rsidR="00275D5B" w:rsidRPr="00AA49AE" w:rsidRDefault="00275D5B" w:rsidP="00296A4A">
            <w:pPr>
              <w:rPr>
                <w:rFonts w:cstheme="minorHAnsi"/>
                <w:lang w:val="en-US"/>
              </w:rPr>
            </w:pPr>
            <w:r w:rsidRPr="00AA49AE">
              <w:rPr>
                <w:rFonts w:cstheme="minorHAnsi"/>
                <w:lang w:val="fr-FR"/>
              </w:rPr>
              <w:t>UNDP</w:t>
            </w:r>
          </w:p>
        </w:tc>
        <w:tc>
          <w:tcPr>
            <w:tcW w:w="3807" w:type="dxa"/>
            <w:shd w:val="clear" w:color="auto" w:fill="auto"/>
          </w:tcPr>
          <w:p w14:paraId="2B1EB13C" w14:textId="77777777" w:rsidR="00275D5B" w:rsidRPr="00AA49AE" w:rsidRDefault="00275D5B" w:rsidP="00296A4A">
            <w:pPr>
              <w:rPr>
                <w:rFonts w:cstheme="minorHAnsi"/>
                <w:lang w:val="en-US"/>
              </w:rPr>
            </w:pPr>
            <w:r w:rsidRPr="00AA49AE">
              <w:rPr>
                <w:rFonts w:cstheme="minorHAnsi"/>
                <w:lang w:val="en-US"/>
              </w:rPr>
              <w:t>Ernest Bamou, Hervé Kouraogo</w:t>
            </w:r>
          </w:p>
          <w:p w14:paraId="53821E57" w14:textId="77777777" w:rsidR="00275D5B" w:rsidRPr="00AA49AE" w:rsidRDefault="00275D5B" w:rsidP="00296A4A">
            <w:pPr>
              <w:rPr>
                <w:rFonts w:cstheme="minorHAnsi"/>
                <w:lang w:val="en-US"/>
              </w:rPr>
            </w:pPr>
          </w:p>
        </w:tc>
        <w:tc>
          <w:tcPr>
            <w:tcW w:w="3139" w:type="dxa"/>
            <w:shd w:val="clear" w:color="auto" w:fill="auto"/>
          </w:tcPr>
          <w:p w14:paraId="41D2DDC0"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en-US"/>
              </w:rPr>
            </w:pPr>
            <w:r w:rsidRPr="00AA49AE">
              <w:rPr>
                <w:rFonts w:asciiTheme="minorHAnsi" w:hAnsiTheme="minorHAnsi" w:cstheme="minorHAnsi"/>
                <w:color w:val="26282A"/>
                <w:sz w:val="20"/>
                <w:szCs w:val="20"/>
                <w:lang w:val="en-US"/>
              </w:rPr>
              <w:t>Strategy and Policy Advice Unit (Chief of Unit, Programme Officer)</w:t>
            </w:r>
          </w:p>
        </w:tc>
      </w:tr>
      <w:tr w:rsidR="00275D5B" w:rsidRPr="00C57BB5" w14:paraId="2846BE3D" w14:textId="77777777" w:rsidTr="00296A4A">
        <w:trPr>
          <w:trHeight w:val="490"/>
        </w:trPr>
        <w:tc>
          <w:tcPr>
            <w:tcW w:w="2405" w:type="dxa"/>
          </w:tcPr>
          <w:p w14:paraId="65A5F9C0" w14:textId="77777777" w:rsidR="00275D5B" w:rsidRPr="00AA49AE" w:rsidRDefault="00275D5B" w:rsidP="00296A4A">
            <w:pPr>
              <w:rPr>
                <w:rFonts w:cstheme="minorHAnsi"/>
                <w:lang w:val="en-US"/>
              </w:rPr>
            </w:pPr>
            <w:r w:rsidRPr="00AA49AE">
              <w:rPr>
                <w:rFonts w:cstheme="minorHAnsi"/>
                <w:lang w:val="en-US"/>
              </w:rPr>
              <w:t>RCO</w:t>
            </w:r>
          </w:p>
        </w:tc>
        <w:tc>
          <w:tcPr>
            <w:tcW w:w="3807" w:type="dxa"/>
          </w:tcPr>
          <w:p w14:paraId="2B6B21C7" w14:textId="77777777" w:rsidR="00275D5B" w:rsidRPr="00AA49AE" w:rsidRDefault="00275D5B" w:rsidP="00296A4A">
            <w:pPr>
              <w:rPr>
                <w:rFonts w:cstheme="minorHAnsi"/>
                <w:color w:val="26282A"/>
                <w:lang w:val="en-US"/>
              </w:rPr>
            </w:pPr>
            <w:r w:rsidRPr="00AA49AE">
              <w:rPr>
                <w:rFonts w:cstheme="minorHAnsi"/>
                <w:lang w:val="en-US"/>
              </w:rPr>
              <w:t>Metsi Makhetha</w:t>
            </w:r>
          </w:p>
          <w:p w14:paraId="47FB9FC4" w14:textId="77777777" w:rsidR="00275D5B" w:rsidRPr="00AA49AE" w:rsidRDefault="00275D5B" w:rsidP="00296A4A">
            <w:pPr>
              <w:rPr>
                <w:rFonts w:cstheme="minorHAnsi"/>
                <w:lang w:val="en-US"/>
              </w:rPr>
            </w:pPr>
          </w:p>
        </w:tc>
        <w:tc>
          <w:tcPr>
            <w:tcW w:w="3139" w:type="dxa"/>
          </w:tcPr>
          <w:p w14:paraId="1B2CFF31"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highlight w:val="green"/>
                <w:lang w:val="fr-FR"/>
              </w:rPr>
            </w:pPr>
            <w:r w:rsidRPr="00AA49AE">
              <w:rPr>
                <w:rFonts w:asciiTheme="minorHAnsi" w:hAnsiTheme="minorHAnsi" w:cstheme="minorHAnsi"/>
                <w:sz w:val="20"/>
                <w:szCs w:val="20"/>
                <w:lang w:val="en-US"/>
              </w:rPr>
              <w:t>Resident Coordinator</w:t>
            </w:r>
          </w:p>
        </w:tc>
      </w:tr>
      <w:tr w:rsidR="00275D5B" w:rsidRPr="00C57BB5" w14:paraId="5A847A03" w14:textId="77777777" w:rsidTr="00296A4A">
        <w:trPr>
          <w:trHeight w:val="490"/>
        </w:trPr>
        <w:tc>
          <w:tcPr>
            <w:tcW w:w="2405" w:type="dxa"/>
          </w:tcPr>
          <w:p w14:paraId="3CFCEFEB" w14:textId="77777777" w:rsidR="00275D5B" w:rsidRPr="00AA49AE" w:rsidRDefault="00275D5B" w:rsidP="00296A4A">
            <w:pPr>
              <w:rPr>
                <w:rFonts w:cstheme="minorHAnsi"/>
                <w:lang w:val="en-US"/>
              </w:rPr>
            </w:pPr>
            <w:r w:rsidRPr="00AA49AE">
              <w:rPr>
                <w:rFonts w:cstheme="minorHAnsi"/>
                <w:lang w:val="en-US"/>
              </w:rPr>
              <w:t>RCO staff</w:t>
            </w:r>
          </w:p>
        </w:tc>
        <w:tc>
          <w:tcPr>
            <w:tcW w:w="3807" w:type="dxa"/>
          </w:tcPr>
          <w:p w14:paraId="4E8CE855" w14:textId="77777777" w:rsidR="00275D5B" w:rsidRPr="00AA49AE" w:rsidRDefault="00275D5B" w:rsidP="00296A4A">
            <w:pPr>
              <w:rPr>
                <w:rFonts w:cstheme="minorHAnsi"/>
                <w:color w:val="26282A"/>
                <w:lang w:val="es-ES"/>
              </w:rPr>
            </w:pPr>
            <w:r w:rsidRPr="00AA49AE">
              <w:rPr>
                <w:rFonts w:cstheme="minorHAnsi"/>
                <w:color w:val="26282A"/>
                <w:lang w:val="es-ES"/>
              </w:rPr>
              <w:t xml:space="preserve">Gedeon Behiguim, </w:t>
            </w:r>
          </w:p>
          <w:p w14:paraId="0EB9D62E" w14:textId="77777777" w:rsidR="00275D5B" w:rsidRPr="00AA49AE" w:rsidRDefault="00275D5B" w:rsidP="00296A4A">
            <w:pPr>
              <w:rPr>
                <w:rFonts w:cstheme="minorHAnsi"/>
                <w:color w:val="26282A"/>
                <w:lang w:val="es-ES"/>
              </w:rPr>
            </w:pPr>
            <w:r w:rsidRPr="00AA49AE">
              <w:rPr>
                <w:rFonts w:cstheme="minorHAnsi"/>
                <w:color w:val="26282A"/>
                <w:lang w:val="es-ES"/>
              </w:rPr>
              <w:t xml:space="preserve">Angélique Nguedjeu, </w:t>
            </w:r>
          </w:p>
          <w:p w14:paraId="0A5A5943" w14:textId="77777777" w:rsidR="00275D5B" w:rsidRPr="00AA49AE" w:rsidRDefault="00275D5B" w:rsidP="00296A4A">
            <w:pPr>
              <w:rPr>
                <w:rFonts w:cstheme="minorHAnsi"/>
                <w:lang w:val="es-ES"/>
              </w:rPr>
            </w:pPr>
            <w:r w:rsidRPr="00AA49AE">
              <w:rPr>
                <w:rFonts w:cstheme="minorHAnsi"/>
                <w:color w:val="26282A"/>
                <w:lang w:val="es-ES"/>
              </w:rPr>
              <w:t>Antonio Menendez De Zubillaga</w:t>
            </w:r>
          </w:p>
        </w:tc>
        <w:tc>
          <w:tcPr>
            <w:tcW w:w="3139" w:type="dxa"/>
          </w:tcPr>
          <w:p w14:paraId="471F1BCF"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en-US"/>
              </w:rPr>
            </w:pPr>
            <w:r w:rsidRPr="00AA49AE">
              <w:rPr>
                <w:rFonts w:asciiTheme="minorHAnsi" w:hAnsiTheme="minorHAnsi" w:cstheme="minorHAnsi"/>
                <w:sz w:val="20"/>
                <w:szCs w:val="20"/>
                <w:lang w:val="en-US"/>
              </w:rPr>
              <w:t xml:space="preserve">PBF, </w:t>
            </w:r>
          </w:p>
          <w:p w14:paraId="0F7A9E15"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en-US"/>
              </w:rPr>
            </w:pPr>
            <w:r w:rsidRPr="00AA49AE">
              <w:rPr>
                <w:rFonts w:asciiTheme="minorHAnsi" w:hAnsiTheme="minorHAnsi" w:cstheme="minorHAnsi"/>
                <w:sz w:val="20"/>
                <w:szCs w:val="20"/>
                <w:lang w:val="en-US"/>
              </w:rPr>
              <w:t xml:space="preserve">DPA, </w:t>
            </w:r>
          </w:p>
          <w:p w14:paraId="6E0F42D9"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en-US"/>
              </w:rPr>
            </w:pPr>
            <w:r w:rsidRPr="00AA49AE">
              <w:rPr>
                <w:rFonts w:asciiTheme="minorHAnsi" w:hAnsiTheme="minorHAnsi" w:cstheme="minorHAnsi"/>
                <w:sz w:val="20"/>
                <w:szCs w:val="20"/>
                <w:lang w:val="en-US"/>
              </w:rPr>
              <w:t>OHCHR/SSR Advisor</w:t>
            </w:r>
          </w:p>
        </w:tc>
      </w:tr>
      <w:tr w:rsidR="00275D5B" w:rsidRPr="00111F3B" w14:paraId="25AAA99B" w14:textId="77777777" w:rsidTr="00296A4A">
        <w:trPr>
          <w:trHeight w:val="490"/>
        </w:trPr>
        <w:tc>
          <w:tcPr>
            <w:tcW w:w="2405" w:type="dxa"/>
          </w:tcPr>
          <w:p w14:paraId="2749B69C"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fr-FR"/>
              </w:rPr>
            </w:pPr>
            <w:r w:rsidRPr="00AA49AE">
              <w:rPr>
                <w:rFonts w:asciiTheme="minorHAnsi" w:hAnsiTheme="minorHAnsi" w:cstheme="minorHAnsi"/>
                <w:color w:val="26282A"/>
                <w:sz w:val="20"/>
                <w:szCs w:val="20"/>
                <w:lang w:val="fr-FR"/>
              </w:rPr>
              <w:t>Ministry of Justice</w:t>
            </w:r>
          </w:p>
          <w:p w14:paraId="51EF3944" w14:textId="77777777" w:rsidR="00275D5B" w:rsidRPr="00AA49AE" w:rsidRDefault="00275D5B" w:rsidP="00296A4A">
            <w:pPr>
              <w:rPr>
                <w:rFonts w:cstheme="minorHAnsi"/>
                <w:lang w:val="en-US"/>
              </w:rPr>
            </w:pPr>
          </w:p>
        </w:tc>
        <w:tc>
          <w:tcPr>
            <w:tcW w:w="3807" w:type="dxa"/>
          </w:tcPr>
          <w:p w14:paraId="6174C130"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en-US"/>
              </w:rPr>
            </w:pPr>
            <w:r w:rsidRPr="00AA49AE">
              <w:rPr>
                <w:rFonts w:asciiTheme="minorHAnsi" w:hAnsiTheme="minorHAnsi" w:cstheme="minorHAnsi"/>
                <w:color w:val="26282A"/>
                <w:sz w:val="20"/>
                <w:szCs w:val="20"/>
                <w:lang w:val="en-US"/>
              </w:rPr>
              <w:t xml:space="preserve">Sébastien Daila (following consultation with: Kafando Hawa Kanazue, </w:t>
            </w:r>
            <w:r w:rsidRPr="00AA49AE">
              <w:rPr>
                <w:rStyle w:val="c4z2avtcy"/>
                <w:rFonts w:asciiTheme="minorHAnsi" w:hAnsiTheme="minorHAnsi" w:cstheme="minorHAnsi"/>
                <w:color w:val="1D2228"/>
                <w:sz w:val="20"/>
                <w:szCs w:val="20"/>
                <w:shd w:val="clear" w:color="auto" w:fill="FFFFFF"/>
                <w:lang w:val="en-US"/>
              </w:rPr>
              <w:t xml:space="preserve">Adama Sawodogo, Théophile Sawodogo, </w:t>
            </w:r>
            <w:r w:rsidRPr="00AA49AE">
              <w:rPr>
                <w:rFonts w:asciiTheme="minorHAnsi" w:hAnsiTheme="minorHAnsi" w:cstheme="minorHAnsi"/>
                <w:color w:val="26282A"/>
                <w:sz w:val="20"/>
                <w:szCs w:val="20"/>
                <w:lang w:val="en-US"/>
              </w:rPr>
              <w:t xml:space="preserve">Amadou Kantagba) </w:t>
            </w:r>
          </w:p>
        </w:tc>
        <w:tc>
          <w:tcPr>
            <w:tcW w:w="3139" w:type="dxa"/>
          </w:tcPr>
          <w:p w14:paraId="57244652"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highlight w:val="green"/>
                <w:lang w:val="fr-FR"/>
              </w:rPr>
            </w:pPr>
            <w:r w:rsidRPr="00AA49AE">
              <w:rPr>
                <w:rFonts w:asciiTheme="minorHAnsi" w:hAnsiTheme="minorHAnsi" w:cstheme="minorHAnsi"/>
                <w:color w:val="26282A"/>
                <w:sz w:val="20"/>
                <w:szCs w:val="20"/>
                <w:lang w:val="fr-FR"/>
              </w:rPr>
              <w:t>Director of Criminal Affairs Department (Direction des affaires pénales et du Sceau)</w:t>
            </w:r>
          </w:p>
        </w:tc>
      </w:tr>
      <w:tr w:rsidR="00275D5B" w:rsidRPr="00C57BB5" w14:paraId="66DA3037" w14:textId="77777777" w:rsidTr="00296A4A">
        <w:trPr>
          <w:trHeight w:val="490"/>
        </w:trPr>
        <w:tc>
          <w:tcPr>
            <w:tcW w:w="2405" w:type="dxa"/>
          </w:tcPr>
          <w:p w14:paraId="1F3975C7" w14:textId="77777777" w:rsidR="00275D5B" w:rsidRPr="00AA49AE" w:rsidRDefault="00275D5B" w:rsidP="00296A4A">
            <w:pPr>
              <w:rPr>
                <w:rFonts w:cstheme="minorHAnsi"/>
                <w:lang w:val="fr-FR"/>
              </w:rPr>
            </w:pPr>
            <w:r w:rsidRPr="00AA49AE">
              <w:rPr>
                <w:rFonts w:cstheme="minorHAnsi"/>
                <w:lang w:val="fr-FR"/>
              </w:rPr>
              <w:t>IOM</w:t>
            </w:r>
          </w:p>
        </w:tc>
        <w:tc>
          <w:tcPr>
            <w:tcW w:w="3807" w:type="dxa"/>
          </w:tcPr>
          <w:p w14:paraId="7A681E4B"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fr-FR"/>
              </w:rPr>
            </w:pPr>
            <w:r w:rsidRPr="00AA49AE">
              <w:rPr>
                <w:rFonts w:asciiTheme="minorHAnsi" w:hAnsiTheme="minorHAnsi" w:cstheme="minorHAnsi"/>
                <w:color w:val="26282A"/>
                <w:sz w:val="20"/>
                <w:szCs w:val="20"/>
                <w:lang w:val="fr-FR"/>
              </w:rPr>
              <w:t>Ouélo Emane</w:t>
            </w:r>
          </w:p>
        </w:tc>
        <w:tc>
          <w:tcPr>
            <w:tcW w:w="3139" w:type="dxa"/>
          </w:tcPr>
          <w:p w14:paraId="075F1CA2"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highlight w:val="green"/>
                <w:lang w:val="fr-FR"/>
              </w:rPr>
            </w:pPr>
            <w:r w:rsidRPr="00AA49AE">
              <w:rPr>
                <w:rFonts w:asciiTheme="minorHAnsi" w:hAnsiTheme="minorHAnsi" w:cstheme="minorHAnsi"/>
                <w:color w:val="26282A"/>
                <w:sz w:val="20"/>
                <w:szCs w:val="20"/>
                <w:lang w:val="en-US"/>
              </w:rPr>
              <w:t>Programme Manager</w:t>
            </w:r>
          </w:p>
        </w:tc>
      </w:tr>
      <w:tr w:rsidR="00275D5B" w:rsidRPr="00C57BB5" w14:paraId="1D4871FC" w14:textId="77777777" w:rsidTr="00296A4A">
        <w:trPr>
          <w:trHeight w:val="490"/>
        </w:trPr>
        <w:tc>
          <w:tcPr>
            <w:tcW w:w="2405" w:type="dxa"/>
          </w:tcPr>
          <w:p w14:paraId="5B78A51D" w14:textId="77777777" w:rsidR="00275D5B" w:rsidRPr="00AA49AE" w:rsidRDefault="00275D5B" w:rsidP="00296A4A">
            <w:pPr>
              <w:rPr>
                <w:rFonts w:cstheme="minorHAnsi"/>
                <w:lang w:val="fr-FR"/>
              </w:rPr>
            </w:pPr>
            <w:r w:rsidRPr="00AA49AE">
              <w:rPr>
                <w:rFonts w:cstheme="minorHAnsi"/>
                <w:lang w:val="fr-FR"/>
              </w:rPr>
              <w:t>UNMAS</w:t>
            </w:r>
          </w:p>
        </w:tc>
        <w:tc>
          <w:tcPr>
            <w:tcW w:w="3807" w:type="dxa"/>
          </w:tcPr>
          <w:p w14:paraId="3E634265"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fr-FR"/>
              </w:rPr>
            </w:pPr>
            <w:r w:rsidRPr="00AA49AE">
              <w:rPr>
                <w:rFonts w:asciiTheme="minorHAnsi" w:hAnsiTheme="minorHAnsi" w:cstheme="minorHAnsi"/>
                <w:color w:val="26282A"/>
                <w:sz w:val="20"/>
                <w:szCs w:val="20"/>
                <w:lang w:val="fr-FR"/>
              </w:rPr>
              <w:t>Philippe Renard</w:t>
            </w:r>
          </w:p>
        </w:tc>
        <w:tc>
          <w:tcPr>
            <w:tcW w:w="3139" w:type="dxa"/>
          </w:tcPr>
          <w:p w14:paraId="00F6F603"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highlight w:val="green"/>
                <w:lang w:val="fr-FR"/>
              </w:rPr>
            </w:pPr>
            <w:r w:rsidRPr="00AA49AE">
              <w:rPr>
                <w:rFonts w:asciiTheme="minorHAnsi" w:hAnsiTheme="minorHAnsi" w:cstheme="minorHAnsi"/>
                <w:color w:val="26282A"/>
                <w:sz w:val="20"/>
                <w:szCs w:val="20"/>
                <w:lang w:val="en-US"/>
              </w:rPr>
              <w:t>Country programme manager</w:t>
            </w:r>
          </w:p>
        </w:tc>
      </w:tr>
      <w:tr w:rsidR="00275D5B" w:rsidRPr="00C57BB5" w14:paraId="63021068" w14:textId="77777777" w:rsidTr="00296A4A">
        <w:trPr>
          <w:trHeight w:val="490"/>
        </w:trPr>
        <w:tc>
          <w:tcPr>
            <w:tcW w:w="2405" w:type="dxa"/>
          </w:tcPr>
          <w:p w14:paraId="7F49A06B"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fr-FR"/>
              </w:rPr>
            </w:pPr>
            <w:r w:rsidRPr="00AA49AE">
              <w:rPr>
                <w:rFonts w:asciiTheme="minorHAnsi" w:hAnsiTheme="minorHAnsi" w:cstheme="minorHAnsi"/>
                <w:color w:val="26282A"/>
                <w:sz w:val="20"/>
                <w:szCs w:val="20"/>
                <w:lang w:val="fr-FR"/>
              </w:rPr>
              <w:t xml:space="preserve">National Democratic Institute </w:t>
            </w:r>
          </w:p>
        </w:tc>
        <w:tc>
          <w:tcPr>
            <w:tcW w:w="3807" w:type="dxa"/>
          </w:tcPr>
          <w:p w14:paraId="469C2657"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fr-FR"/>
              </w:rPr>
            </w:pPr>
            <w:r w:rsidRPr="00AA49AE">
              <w:rPr>
                <w:rFonts w:asciiTheme="minorHAnsi" w:hAnsiTheme="minorHAnsi" w:cstheme="minorHAnsi"/>
                <w:color w:val="26282A"/>
                <w:sz w:val="20"/>
                <w:szCs w:val="20"/>
                <w:lang w:val="fr-FR"/>
              </w:rPr>
              <w:t>Koné Abdoulaye</w:t>
            </w:r>
          </w:p>
          <w:p w14:paraId="6F77A468"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fr-FR"/>
              </w:rPr>
            </w:pPr>
          </w:p>
        </w:tc>
        <w:tc>
          <w:tcPr>
            <w:tcW w:w="3139" w:type="dxa"/>
          </w:tcPr>
          <w:p w14:paraId="5BEB0A96"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en-US"/>
              </w:rPr>
            </w:pPr>
            <w:r w:rsidRPr="00AA49AE">
              <w:rPr>
                <w:rFonts w:asciiTheme="minorHAnsi" w:hAnsiTheme="minorHAnsi" w:cstheme="minorHAnsi"/>
                <w:color w:val="26282A"/>
                <w:sz w:val="20"/>
                <w:szCs w:val="20"/>
                <w:lang w:val="en-US"/>
              </w:rPr>
              <w:t>SSR Project Implementing Partner (NGO)</w:t>
            </w:r>
          </w:p>
        </w:tc>
      </w:tr>
      <w:tr w:rsidR="00275D5B" w:rsidRPr="00C57BB5" w14:paraId="66F3C986" w14:textId="77777777" w:rsidTr="00296A4A">
        <w:trPr>
          <w:trHeight w:val="490"/>
        </w:trPr>
        <w:tc>
          <w:tcPr>
            <w:tcW w:w="2405" w:type="dxa"/>
          </w:tcPr>
          <w:p w14:paraId="613C3F8B"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en-CA"/>
              </w:rPr>
            </w:pPr>
            <w:r w:rsidRPr="00AA49AE">
              <w:rPr>
                <w:rFonts w:asciiTheme="minorHAnsi" w:hAnsiTheme="minorHAnsi" w:cstheme="minorHAnsi"/>
                <w:color w:val="26282A"/>
                <w:sz w:val="20"/>
                <w:szCs w:val="20"/>
                <w:lang w:val="en-CA"/>
              </w:rPr>
              <w:t>CSO Platform on Security Sector Governance and Reform</w:t>
            </w:r>
          </w:p>
        </w:tc>
        <w:tc>
          <w:tcPr>
            <w:tcW w:w="3807" w:type="dxa"/>
          </w:tcPr>
          <w:p w14:paraId="5F5EA890"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fr-FR"/>
              </w:rPr>
            </w:pPr>
            <w:r w:rsidRPr="00AA49AE">
              <w:rPr>
                <w:rFonts w:asciiTheme="minorHAnsi" w:hAnsiTheme="minorHAnsi" w:cstheme="minorHAnsi"/>
                <w:color w:val="26282A"/>
                <w:sz w:val="20"/>
                <w:szCs w:val="20"/>
                <w:lang w:val="fr-FR"/>
              </w:rPr>
              <w:t xml:space="preserve">Ali Traoré, </w:t>
            </w:r>
          </w:p>
          <w:p w14:paraId="4D7579D3"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lang w:val="fr-FR"/>
              </w:rPr>
            </w:pPr>
            <w:r w:rsidRPr="00AA49AE">
              <w:rPr>
                <w:rFonts w:asciiTheme="minorHAnsi" w:hAnsiTheme="minorHAnsi" w:cstheme="minorHAnsi"/>
                <w:color w:val="26282A"/>
                <w:sz w:val="20"/>
                <w:szCs w:val="20"/>
                <w:lang w:val="fr-FR"/>
              </w:rPr>
              <w:t>Pascaline Compaoré</w:t>
            </w:r>
          </w:p>
          <w:p w14:paraId="2ECF6181"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fr-FR"/>
              </w:rPr>
            </w:pPr>
          </w:p>
        </w:tc>
        <w:tc>
          <w:tcPr>
            <w:tcW w:w="3139" w:type="dxa"/>
          </w:tcPr>
          <w:p w14:paraId="64DC6123"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fr-FR"/>
              </w:rPr>
            </w:pPr>
            <w:r w:rsidRPr="00AA49AE">
              <w:rPr>
                <w:rFonts w:asciiTheme="minorHAnsi" w:hAnsiTheme="minorHAnsi" w:cstheme="minorHAnsi"/>
                <w:sz w:val="20"/>
                <w:szCs w:val="20"/>
                <w:lang w:val="fr-FR"/>
              </w:rPr>
              <w:t xml:space="preserve">Director, </w:t>
            </w:r>
          </w:p>
          <w:p w14:paraId="75875C4B"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sz w:val="20"/>
                <w:szCs w:val="20"/>
                <w:lang w:val="fr-FR"/>
              </w:rPr>
            </w:pPr>
            <w:r w:rsidRPr="00AA49AE">
              <w:rPr>
                <w:rFonts w:asciiTheme="minorHAnsi" w:hAnsiTheme="minorHAnsi" w:cstheme="minorHAnsi"/>
                <w:sz w:val="20"/>
                <w:szCs w:val="20"/>
                <w:lang w:val="fr-FR"/>
              </w:rPr>
              <w:t>Principal Programme Officer</w:t>
            </w:r>
          </w:p>
          <w:p w14:paraId="64ECAE9E" w14:textId="77777777" w:rsidR="00275D5B" w:rsidRPr="00AA49AE" w:rsidRDefault="00275D5B" w:rsidP="00296A4A">
            <w:pPr>
              <w:pStyle w:val="yiv7095161787ydpf2b3dd4fyiv2264243251msonormal"/>
              <w:spacing w:before="0" w:beforeAutospacing="0" w:after="0" w:afterAutospacing="0"/>
              <w:rPr>
                <w:rFonts w:asciiTheme="minorHAnsi" w:hAnsiTheme="minorHAnsi" w:cstheme="minorHAnsi"/>
                <w:color w:val="26282A"/>
                <w:sz w:val="20"/>
                <w:szCs w:val="20"/>
                <w:highlight w:val="green"/>
                <w:lang w:val="fr-FR"/>
              </w:rPr>
            </w:pPr>
          </w:p>
        </w:tc>
      </w:tr>
      <w:tr w:rsidR="00275D5B" w:rsidRPr="00C57BB5" w14:paraId="248900D7" w14:textId="77777777" w:rsidTr="00296A4A">
        <w:trPr>
          <w:trHeight w:val="490"/>
        </w:trPr>
        <w:tc>
          <w:tcPr>
            <w:tcW w:w="9351" w:type="dxa"/>
            <w:gridSpan w:val="3"/>
            <w:shd w:val="clear" w:color="auto" w:fill="D7D2D9" w:themeFill="accent6" w:themeFillTint="66"/>
          </w:tcPr>
          <w:p w14:paraId="318709A0" w14:textId="77777777" w:rsidR="00275D5B" w:rsidRPr="00C57BB5" w:rsidRDefault="00275D5B" w:rsidP="00296A4A">
            <w:pPr>
              <w:rPr>
                <w:rFonts w:cstheme="minorHAnsi"/>
                <w:b/>
                <w:bCs/>
                <w:lang w:val="en-US"/>
              </w:rPr>
            </w:pPr>
            <w:r w:rsidRPr="00C57BB5">
              <w:rPr>
                <w:rFonts w:cstheme="minorHAnsi"/>
                <w:b/>
                <w:bCs/>
                <w:lang w:val="en-US"/>
              </w:rPr>
              <w:t>Central African Republic</w:t>
            </w:r>
          </w:p>
        </w:tc>
      </w:tr>
      <w:tr w:rsidR="00275D5B" w:rsidRPr="00C57BB5" w14:paraId="095E2CB0" w14:textId="77777777" w:rsidTr="00296A4A">
        <w:trPr>
          <w:trHeight w:val="490"/>
        </w:trPr>
        <w:tc>
          <w:tcPr>
            <w:tcW w:w="2405" w:type="dxa"/>
          </w:tcPr>
          <w:p w14:paraId="36F1F70C"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7B9F5103" w14:textId="77777777" w:rsidR="00275D5B" w:rsidRPr="00C57BB5" w:rsidRDefault="00275D5B" w:rsidP="00296A4A">
            <w:pPr>
              <w:rPr>
                <w:rFonts w:cstheme="minorHAnsi"/>
                <w:lang w:val="en-US"/>
              </w:rPr>
            </w:pPr>
            <w:r w:rsidRPr="00C57BB5">
              <w:rPr>
                <w:rFonts w:cstheme="minorHAnsi"/>
                <w:lang w:val="en-US"/>
              </w:rPr>
              <w:t xml:space="preserve">Antje Kraft </w:t>
            </w:r>
          </w:p>
        </w:tc>
        <w:tc>
          <w:tcPr>
            <w:tcW w:w="3139" w:type="dxa"/>
          </w:tcPr>
          <w:p w14:paraId="29F3CF23" w14:textId="4EA07727" w:rsidR="00275D5B" w:rsidRPr="00C57BB5" w:rsidRDefault="00275D5B" w:rsidP="00296A4A">
            <w:pPr>
              <w:rPr>
                <w:rFonts w:cstheme="minorHAnsi"/>
                <w:lang w:val="en-US"/>
              </w:rPr>
            </w:pPr>
            <w:r w:rsidRPr="00C57BB5">
              <w:rPr>
                <w:rFonts w:cstheme="minorHAnsi"/>
                <w:lang w:val="en-US"/>
              </w:rPr>
              <w:t xml:space="preserve">Former Justice and Human Rights Specialist - ROLSHR </w:t>
            </w:r>
            <w:r w:rsidR="00FD5E30">
              <w:rPr>
                <w:rFonts w:cstheme="minorHAnsi"/>
                <w:lang w:val="en-US"/>
              </w:rPr>
              <w:t xml:space="preserve">GP </w:t>
            </w:r>
            <w:r w:rsidRPr="00C57BB5">
              <w:rPr>
                <w:rFonts w:cstheme="minorHAnsi"/>
                <w:lang w:val="en-US"/>
              </w:rPr>
              <w:t>Team, Chief Technical Advisor Rule of Law &amp; JP Manager</w:t>
            </w:r>
            <w:r w:rsidR="00FD5E30">
              <w:rPr>
                <w:rFonts w:cstheme="minorHAnsi"/>
                <w:lang w:val="en-US"/>
              </w:rPr>
              <w:t xml:space="preserve"> in CAR</w:t>
            </w:r>
          </w:p>
        </w:tc>
      </w:tr>
      <w:tr w:rsidR="00275D5B" w:rsidRPr="00C57BB5" w14:paraId="149E638D" w14:textId="77777777" w:rsidTr="00296A4A">
        <w:trPr>
          <w:trHeight w:val="490"/>
        </w:trPr>
        <w:tc>
          <w:tcPr>
            <w:tcW w:w="2405" w:type="dxa"/>
            <w:vAlign w:val="bottom"/>
          </w:tcPr>
          <w:p w14:paraId="7CE50D89"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 xml:space="preserve">UNDP </w:t>
            </w:r>
          </w:p>
        </w:tc>
        <w:tc>
          <w:tcPr>
            <w:tcW w:w="3807" w:type="dxa"/>
            <w:vAlign w:val="bottom"/>
          </w:tcPr>
          <w:p w14:paraId="7A454A69"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Alpha Amadou Bah</w:t>
            </w:r>
          </w:p>
        </w:tc>
        <w:tc>
          <w:tcPr>
            <w:tcW w:w="3139" w:type="dxa"/>
            <w:vAlign w:val="bottom"/>
          </w:tcPr>
          <w:p w14:paraId="4F4491E8"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M&amp;E</w:t>
            </w:r>
          </w:p>
        </w:tc>
      </w:tr>
      <w:tr w:rsidR="00275D5B" w:rsidRPr="00C57BB5" w14:paraId="71FB5E72" w14:textId="77777777" w:rsidTr="00296A4A">
        <w:trPr>
          <w:trHeight w:val="490"/>
        </w:trPr>
        <w:tc>
          <w:tcPr>
            <w:tcW w:w="2405" w:type="dxa"/>
            <w:vAlign w:val="bottom"/>
          </w:tcPr>
          <w:p w14:paraId="1B5DCBC7" w14:textId="77777777" w:rsidR="00275D5B" w:rsidRPr="00C57BB5" w:rsidRDefault="00275D5B" w:rsidP="00296A4A">
            <w:pPr>
              <w:rPr>
                <w:rFonts w:eastAsia="Times New Roman" w:cstheme="minorHAnsi"/>
                <w:color w:val="000000"/>
                <w:lang w:val="de-DE" w:eastAsia="de-DE"/>
              </w:rPr>
            </w:pPr>
            <w:r w:rsidRPr="00C57BB5">
              <w:rPr>
                <w:rFonts w:cstheme="minorHAnsi"/>
                <w:lang w:val="fr-FR"/>
              </w:rPr>
              <w:t>UNDP</w:t>
            </w:r>
          </w:p>
        </w:tc>
        <w:tc>
          <w:tcPr>
            <w:tcW w:w="3807" w:type="dxa"/>
            <w:vAlign w:val="bottom"/>
          </w:tcPr>
          <w:p w14:paraId="785F4391" w14:textId="77777777" w:rsidR="00275D5B" w:rsidRPr="00C57BB5" w:rsidRDefault="00275D5B" w:rsidP="00296A4A">
            <w:pPr>
              <w:rPr>
                <w:rFonts w:eastAsia="Times New Roman" w:cstheme="minorHAnsi"/>
                <w:color w:val="000000"/>
                <w:lang w:val="de-DE" w:eastAsia="de-DE"/>
              </w:rPr>
            </w:pPr>
            <w:r w:rsidRPr="00C57BB5">
              <w:rPr>
                <w:rFonts w:eastAsia="Times New Roman" w:cstheme="minorHAnsi"/>
                <w:color w:val="000000"/>
                <w:lang w:val="de-DE" w:eastAsia="de-DE"/>
              </w:rPr>
              <w:t>Houssem Ishak</w:t>
            </w:r>
          </w:p>
        </w:tc>
        <w:tc>
          <w:tcPr>
            <w:tcW w:w="3139" w:type="dxa"/>
            <w:vAlign w:val="bottom"/>
          </w:tcPr>
          <w:p w14:paraId="79B00D4E" w14:textId="77777777" w:rsidR="00275D5B" w:rsidRPr="00C57BB5" w:rsidRDefault="00275D5B" w:rsidP="00296A4A">
            <w:pPr>
              <w:rPr>
                <w:rFonts w:eastAsia="Times New Roman" w:cstheme="minorHAnsi"/>
                <w:color w:val="000000"/>
                <w:lang w:val="de-DE" w:eastAsia="de-DE"/>
              </w:rPr>
            </w:pPr>
            <w:r w:rsidRPr="00C57BB5">
              <w:rPr>
                <w:rFonts w:eastAsia="Times New Roman" w:cstheme="minorHAnsi"/>
                <w:color w:val="000000"/>
                <w:lang w:val="de-DE" w:eastAsia="de-DE"/>
              </w:rPr>
              <w:t>SSR Specialist</w:t>
            </w:r>
          </w:p>
        </w:tc>
      </w:tr>
      <w:tr w:rsidR="00275D5B" w:rsidRPr="00C57BB5" w14:paraId="58E235D8" w14:textId="77777777" w:rsidTr="00296A4A">
        <w:trPr>
          <w:trHeight w:val="490"/>
        </w:trPr>
        <w:tc>
          <w:tcPr>
            <w:tcW w:w="2405" w:type="dxa"/>
          </w:tcPr>
          <w:p w14:paraId="53633805"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 xml:space="preserve">MINUSCA </w:t>
            </w:r>
          </w:p>
        </w:tc>
        <w:tc>
          <w:tcPr>
            <w:tcW w:w="3807" w:type="dxa"/>
            <w:vAlign w:val="bottom"/>
          </w:tcPr>
          <w:p w14:paraId="2068F45B"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Elodie Cantier Aristide</w:t>
            </w:r>
          </w:p>
        </w:tc>
        <w:tc>
          <w:tcPr>
            <w:tcW w:w="3139" w:type="dxa"/>
            <w:vAlign w:val="bottom"/>
          </w:tcPr>
          <w:p w14:paraId="7573070B" w14:textId="77777777" w:rsidR="00275D5B" w:rsidRPr="00C57BB5" w:rsidRDefault="00275D5B" w:rsidP="00296A4A">
            <w:pPr>
              <w:rPr>
                <w:rFonts w:cstheme="minorHAnsi"/>
                <w:lang w:val="fr-FR"/>
              </w:rPr>
            </w:pPr>
            <w:r w:rsidRPr="00C57BB5">
              <w:rPr>
                <w:rFonts w:eastAsia="Times New Roman" w:cstheme="minorHAnsi"/>
                <w:color w:val="000000"/>
                <w:lang w:val="fr-FR" w:eastAsia="de-DE"/>
              </w:rPr>
              <w:t>RESA-PSJ Unit 2017-2019, Justice and Corrections Service (JCS)</w:t>
            </w:r>
          </w:p>
        </w:tc>
      </w:tr>
      <w:tr w:rsidR="00275D5B" w:rsidRPr="00111F3B" w14:paraId="58EA776A" w14:textId="77777777" w:rsidTr="00296A4A">
        <w:trPr>
          <w:trHeight w:val="490"/>
        </w:trPr>
        <w:tc>
          <w:tcPr>
            <w:tcW w:w="2405" w:type="dxa"/>
          </w:tcPr>
          <w:p w14:paraId="79387B41"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 xml:space="preserve">MINUSCA </w:t>
            </w:r>
          </w:p>
        </w:tc>
        <w:tc>
          <w:tcPr>
            <w:tcW w:w="3807" w:type="dxa"/>
          </w:tcPr>
          <w:p w14:paraId="06DD5A03"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Fortuné Dako</w:t>
            </w:r>
          </w:p>
        </w:tc>
        <w:tc>
          <w:tcPr>
            <w:tcW w:w="3139" w:type="dxa"/>
            <w:vAlign w:val="bottom"/>
          </w:tcPr>
          <w:p w14:paraId="74D2E00E" w14:textId="77777777" w:rsidR="00275D5B" w:rsidRPr="00C57BB5" w:rsidRDefault="00275D5B" w:rsidP="00296A4A">
            <w:pPr>
              <w:rPr>
                <w:rFonts w:cstheme="minorHAnsi"/>
                <w:lang w:val="fr-FR"/>
              </w:rPr>
            </w:pPr>
            <w:r w:rsidRPr="00C57BB5">
              <w:rPr>
                <w:rFonts w:eastAsia="Times New Roman" w:cstheme="minorHAnsi"/>
                <w:color w:val="000000"/>
                <w:lang w:val="fr-FR" w:eastAsia="de-DE"/>
              </w:rPr>
              <w:t>Deputy Chief of Unit (Judicial Investigations and Prosecutions Unit / « Unité Enquêtes &amp; Appui aux juridictions et aux poursuites »), Justice and Corrections Service (JCS)</w:t>
            </w:r>
          </w:p>
        </w:tc>
      </w:tr>
      <w:tr w:rsidR="00275D5B" w:rsidRPr="00C57BB5" w14:paraId="2DB1B25E" w14:textId="77777777" w:rsidTr="00296A4A">
        <w:trPr>
          <w:trHeight w:val="490"/>
        </w:trPr>
        <w:tc>
          <w:tcPr>
            <w:tcW w:w="2405" w:type="dxa"/>
            <w:vAlign w:val="bottom"/>
          </w:tcPr>
          <w:p w14:paraId="35F400F0" w14:textId="77777777" w:rsidR="00275D5B" w:rsidRPr="00C57BB5" w:rsidRDefault="00275D5B" w:rsidP="00296A4A">
            <w:pPr>
              <w:rPr>
                <w:rFonts w:cstheme="minorHAnsi"/>
                <w:color w:val="FF0000"/>
                <w:lang w:val="en-US"/>
              </w:rPr>
            </w:pPr>
            <w:r w:rsidRPr="00C57BB5">
              <w:rPr>
                <w:rFonts w:eastAsia="Times New Roman" w:cstheme="minorHAnsi"/>
                <w:color w:val="000000"/>
                <w:lang w:val="de-DE" w:eastAsia="de-DE"/>
              </w:rPr>
              <w:t>DPO-OROLSI</w:t>
            </w:r>
          </w:p>
        </w:tc>
        <w:tc>
          <w:tcPr>
            <w:tcW w:w="3807" w:type="dxa"/>
            <w:vAlign w:val="bottom"/>
          </w:tcPr>
          <w:p w14:paraId="6CD4D273"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Mark Devereux</w:t>
            </w:r>
          </w:p>
        </w:tc>
        <w:tc>
          <w:tcPr>
            <w:tcW w:w="3139" w:type="dxa"/>
            <w:vAlign w:val="bottom"/>
          </w:tcPr>
          <w:p w14:paraId="3B9A68C2"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CAR Desk Officer, JCS</w:t>
            </w:r>
          </w:p>
        </w:tc>
      </w:tr>
      <w:tr w:rsidR="00275D5B" w:rsidRPr="00C57BB5" w14:paraId="0C3F3C3C" w14:textId="77777777" w:rsidTr="00296A4A">
        <w:trPr>
          <w:trHeight w:val="490"/>
        </w:trPr>
        <w:tc>
          <w:tcPr>
            <w:tcW w:w="2405" w:type="dxa"/>
          </w:tcPr>
          <w:p w14:paraId="15149C77"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DPO-OROLSI</w:t>
            </w:r>
          </w:p>
        </w:tc>
        <w:tc>
          <w:tcPr>
            <w:tcW w:w="3807" w:type="dxa"/>
          </w:tcPr>
          <w:p w14:paraId="52C32C50"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Renaud Galand</w:t>
            </w:r>
          </w:p>
        </w:tc>
        <w:tc>
          <w:tcPr>
            <w:tcW w:w="3139" w:type="dxa"/>
            <w:vAlign w:val="bottom"/>
          </w:tcPr>
          <w:p w14:paraId="2487E3EA" w14:textId="77777777" w:rsidR="00275D5B" w:rsidRPr="00C57BB5" w:rsidRDefault="00275D5B" w:rsidP="00296A4A">
            <w:pPr>
              <w:rPr>
                <w:rFonts w:cstheme="minorHAnsi"/>
              </w:rPr>
            </w:pPr>
            <w:r w:rsidRPr="00C57BB5">
              <w:t xml:space="preserve">Judicial Affairs Officer, </w:t>
            </w:r>
            <w:r w:rsidRPr="00C57BB5">
              <w:rPr>
                <w:rFonts w:eastAsia="Times New Roman" w:cstheme="minorHAnsi"/>
                <w:color w:val="000000"/>
                <w:lang w:val="de-DE" w:eastAsia="de-DE"/>
              </w:rPr>
              <w:t xml:space="preserve">JCS, Former </w:t>
            </w:r>
            <w:r w:rsidRPr="00C57BB5">
              <w:rPr>
                <w:rFonts w:eastAsia="Times New Roman" w:cstheme="minorHAnsi"/>
                <w:color w:val="000000"/>
                <w:lang w:eastAsia="de-DE"/>
              </w:rPr>
              <w:t>CAR</w:t>
            </w:r>
            <w:r w:rsidRPr="00C57BB5">
              <w:rPr>
                <w:rFonts w:eastAsia="Times New Roman" w:cstheme="minorHAnsi"/>
                <w:color w:val="000000"/>
                <w:lang w:val="de-DE" w:eastAsia="de-DE"/>
              </w:rPr>
              <w:t xml:space="preserve"> D</w:t>
            </w:r>
            <w:r w:rsidRPr="00C57BB5">
              <w:rPr>
                <w:rFonts w:eastAsia="Times New Roman" w:cstheme="minorHAnsi"/>
                <w:color w:val="000000"/>
                <w:lang w:eastAsia="de-DE"/>
              </w:rPr>
              <w:t xml:space="preserve">esk Officer </w:t>
            </w:r>
          </w:p>
        </w:tc>
      </w:tr>
      <w:tr w:rsidR="00275D5B" w:rsidRPr="00C57BB5" w14:paraId="20AE0C7F" w14:textId="77777777" w:rsidTr="00296A4A">
        <w:trPr>
          <w:trHeight w:val="490"/>
        </w:trPr>
        <w:tc>
          <w:tcPr>
            <w:tcW w:w="2405" w:type="dxa"/>
          </w:tcPr>
          <w:p w14:paraId="70F6946C"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 xml:space="preserve">MINUSCA </w:t>
            </w:r>
          </w:p>
        </w:tc>
        <w:tc>
          <w:tcPr>
            <w:tcW w:w="3807" w:type="dxa"/>
            <w:vAlign w:val="bottom"/>
          </w:tcPr>
          <w:p w14:paraId="3EA8F024"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Ingrid Jeunhomme</w:t>
            </w:r>
          </w:p>
        </w:tc>
        <w:tc>
          <w:tcPr>
            <w:tcW w:w="3139" w:type="dxa"/>
            <w:vAlign w:val="bottom"/>
          </w:tcPr>
          <w:p w14:paraId="7211671F" w14:textId="77777777" w:rsidR="00275D5B" w:rsidRPr="00C57BB5" w:rsidRDefault="00275D5B" w:rsidP="00296A4A">
            <w:pPr>
              <w:rPr>
                <w:rFonts w:cstheme="minorHAnsi"/>
                <w:lang w:val="en-US"/>
              </w:rPr>
            </w:pPr>
            <w:r w:rsidRPr="00C57BB5">
              <w:rPr>
                <w:rFonts w:eastAsia="Times New Roman" w:cstheme="minorHAnsi"/>
                <w:color w:val="000000"/>
                <w:lang w:val="en-US" w:eastAsia="de-DE"/>
              </w:rPr>
              <w:t>Head of JCS</w:t>
            </w:r>
          </w:p>
        </w:tc>
      </w:tr>
      <w:tr w:rsidR="00275D5B" w:rsidRPr="00C57BB5" w14:paraId="70BBAAB2" w14:textId="77777777" w:rsidTr="00296A4A">
        <w:trPr>
          <w:trHeight w:val="490"/>
        </w:trPr>
        <w:tc>
          <w:tcPr>
            <w:tcW w:w="2405" w:type="dxa"/>
            <w:vAlign w:val="bottom"/>
          </w:tcPr>
          <w:p w14:paraId="50221DE8"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 xml:space="preserve">UNDP </w:t>
            </w:r>
          </w:p>
        </w:tc>
        <w:tc>
          <w:tcPr>
            <w:tcW w:w="3807" w:type="dxa"/>
            <w:vAlign w:val="bottom"/>
          </w:tcPr>
          <w:p w14:paraId="47E228D8"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Paulin Kalamba</w:t>
            </w:r>
          </w:p>
        </w:tc>
        <w:tc>
          <w:tcPr>
            <w:tcW w:w="3139" w:type="dxa"/>
            <w:vAlign w:val="bottom"/>
          </w:tcPr>
          <w:p w14:paraId="4A45BEF5"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Architect</w:t>
            </w:r>
          </w:p>
        </w:tc>
      </w:tr>
      <w:tr w:rsidR="00275D5B" w:rsidRPr="00C57BB5" w14:paraId="74F0B7B7" w14:textId="77777777" w:rsidTr="00296A4A">
        <w:trPr>
          <w:trHeight w:val="490"/>
        </w:trPr>
        <w:tc>
          <w:tcPr>
            <w:tcW w:w="2405" w:type="dxa"/>
            <w:vAlign w:val="bottom"/>
          </w:tcPr>
          <w:p w14:paraId="6A906BDE"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 xml:space="preserve">MINUSCA </w:t>
            </w:r>
          </w:p>
        </w:tc>
        <w:tc>
          <w:tcPr>
            <w:tcW w:w="3807" w:type="dxa"/>
            <w:vAlign w:val="bottom"/>
          </w:tcPr>
          <w:p w14:paraId="41871192"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Blanchard Kangbeto</w:t>
            </w:r>
          </w:p>
        </w:tc>
        <w:tc>
          <w:tcPr>
            <w:tcW w:w="3139" w:type="dxa"/>
            <w:vAlign w:val="bottom"/>
          </w:tcPr>
          <w:p w14:paraId="75B9D36B"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UNPOL Planning Officer</w:t>
            </w:r>
          </w:p>
        </w:tc>
      </w:tr>
      <w:tr w:rsidR="00275D5B" w:rsidRPr="00C57BB5" w14:paraId="59343CF0" w14:textId="77777777" w:rsidTr="00296A4A">
        <w:trPr>
          <w:trHeight w:val="490"/>
        </w:trPr>
        <w:tc>
          <w:tcPr>
            <w:tcW w:w="2405" w:type="dxa"/>
            <w:vAlign w:val="bottom"/>
          </w:tcPr>
          <w:p w14:paraId="51C4CD75"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Avocats Sans Fronti</w:t>
            </w:r>
            <w:r w:rsidRPr="00C57BB5">
              <w:rPr>
                <w:rFonts w:ascii="Rockwell" w:eastAsia="Times New Roman" w:hAnsi="Rockwell" w:cstheme="minorHAnsi"/>
                <w:color w:val="000000"/>
                <w:lang w:val="de-DE" w:eastAsia="de-DE"/>
              </w:rPr>
              <w:t>è</w:t>
            </w:r>
            <w:r w:rsidRPr="00C57BB5">
              <w:rPr>
                <w:rFonts w:eastAsia="Times New Roman" w:cstheme="minorHAnsi"/>
                <w:color w:val="000000"/>
                <w:lang w:val="de-DE" w:eastAsia="de-DE"/>
              </w:rPr>
              <w:t>res</w:t>
            </w:r>
          </w:p>
        </w:tc>
        <w:tc>
          <w:tcPr>
            <w:tcW w:w="3807" w:type="dxa"/>
            <w:vAlign w:val="bottom"/>
          </w:tcPr>
          <w:p w14:paraId="060AE397"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Myriam Khaldi</w:t>
            </w:r>
          </w:p>
        </w:tc>
        <w:tc>
          <w:tcPr>
            <w:tcW w:w="3139" w:type="dxa"/>
            <w:vAlign w:val="bottom"/>
          </w:tcPr>
          <w:p w14:paraId="6AC9C26A"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Programme Officer</w:t>
            </w:r>
          </w:p>
        </w:tc>
      </w:tr>
      <w:tr w:rsidR="00275D5B" w:rsidRPr="00C57BB5" w14:paraId="1008D509" w14:textId="77777777" w:rsidTr="00296A4A">
        <w:trPr>
          <w:trHeight w:val="490"/>
        </w:trPr>
        <w:tc>
          <w:tcPr>
            <w:tcW w:w="2405" w:type="dxa"/>
          </w:tcPr>
          <w:p w14:paraId="4412BAB3" w14:textId="77777777" w:rsidR="00275D5B" w:rsidRPr="00C57BB5" w:rsidRDefault="00275D5B" w:rsidP="00296A4A">
            <w:pPr>
              <w:rPr>
                <w:rFonts w:cstheme="minorHAnsi"/>
                <w:lang w:val="fr-FR"/>
              </w:rPr>
            </w:pPr>
            <w:r w:rsidRPr="00C57BB5">
              <w:rPr>
                <w:rFonts w:eastAsia="Times New Roman" w:cstheme="minorHAnsi"/>
                <w:color w:val="000000"/>
                <w:lang w:val="fr-FR" w:eastAsia="de-DE"/>
              </w:rPr>
              <w:t>UN Women, INL</w:t>
            </w:r>
          </w:p>
        </w:tc>
        <w:tc>
          <w:tcPr>
            <w:tcW w:w="3807" w:type="dxa"/>
          </w:tcPr>
          <w:p w14:paraId="1D913401"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Marie Kindblom-Tornell</w:t>
            </w:r>
          </w:p>
        </w:tc>
        <w:tc>
          <w:tcPr>
            <w:tcW w:w="3139" w:type="dxa"/>
          </w:tcPr>
          <w:p w14:paraId="6684CF12" w14:textId="77777777" w:rsidR="00275D5B" w:rsidRPr="00C57BB5" w:rsidRDefault="00275D5B" w:rsidP="00296A4A">
            <w:pPr>
              <w:rPr>
                <w:rFonts w:cstheme="minorHAnsi"/>
                <w:lang w:val="en-US"/>
              </w:rPr>
            </w:pPr>
            <w:r w:rsidRPr="00C57BB5">
              <w:rPr>
                <w:rFonts w:eastAsia="Times New Roman" w:cstheme="minorHAnsi"/>
                <w:color w:val="000000"/>
                <w:lang w:val="fr-FR" w:eastAsia="de-DE"/>
              </w:rPr>
              <w:t>Former Programme Officer</w:t>
            </w:r>
          </w:p>
        </w:tc>
      </w:tr>
      <w:tr w:rsidR="00275D5B" w:rsidRPr="00C57BB5" w14:paraId="6CABB587" w14:textId="77777777" w:rsidTr="00296A4A">
        <w:trPr>
          <w:trHeight w:val="490"/>
        </w:trPr>
        <w:tc>
          <w:tcPr>
            <w:tcW w:w="2405" w:type="dxa"/>
            <w:vAlign w:val="bottom"/>
          </w:tcPr>
          <w:p w14:paraId="3DE17889"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 xml:space="preserve">UNDP </w:t>
            </w:r>
          </w:p>
        </w:tc>
        <w:tc>
          <w:tcPr>
            <w:tcW w:w="3807" w:type="dxa"/>
            <w:vAlign w:val="bottom"/>
          </w:tcPr>
          <w:p w14:paraId="0DD9F770"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Frederick Lamy</w:t>
            </w:r>
          </w:p>
        </w:tc>
        <w:tc>
          <w:tcPr>
            <w:tcW w:w="3139" w:type="dxa"/>
            <w:vAlign w:val="bottom"/>
          </w:tcPr>
          <w:p w14:paraId="7DF64B17" w14:textId="77777777" w:rsidR="00275D5B" w:rsidRPr="00C57BB5" w:rsidRDefault="00275D5B" w:rsidP="00296A4A">
            <w:pPr>
              <w:rPr>
                <w:rFonts w:cstheme="minorHAnsi"/>
                <w:lang w:val="en-US"/>
              </w:rPr>
            </w:pPr>
            <w:r w:rsidRPr="00C57BB5">
              <w:rPr>
                <w:rFonts w:eastAsia="Times New Roman" w:cstheme="minorHAnsi"/>
                <w:color w:val="000000"/>
                <w:lang w:val="fr-FR" w:eastAsia="de-DE"/>
              </w:rPr>
              <w:t xml:space="preserve">Former </w:t>
            </w:r>
            <w:r w:rsidRPr="00C57BB5">
              <w:rPr>
                <w:rFonts w:eastAsia="Times New Roman" w:cstheme="minorHAnsi"/>
                <w:color w:val="000000"/>
                <w:lang w:val="de-DE" w:eastAsia="de-DE"/>
              </w:rPr>
              <w:t>Programme Officer</w:t>
            </w:r>
          </w:p>
        </w:tc>
      </w:tr>
      <w:tr w:rsidR="00275D5B" w:rsidRPr="00C57BB5" w14:paraId="1BE3CDE5" w14:textId="77777777" w:rsidTr="00296A4A">
        <w:trPr>
          <w:trHeight w:val="490"/>
        </w:trPr>
        <w:tc>
          <w:tcPr>
            <w:tcW w:w="2405" w:type="dxa"/>
            <w:vAlign w:val="bottom"/>
          </w:tcPr>
          <w:p w14:paraId="125FE5C5"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 xml:space="preserve">INL </w:t>
            </w:r>
          </w:p>
        </w:tc>
        <w:tc>
          <w:tcPr>
            <w:tcW w:w="3807" w:type="dxa"/>
            <w:vAlign w:val="bottom"/>
          </w:tcPr>
          <w:p w14:paraId="03FE756F"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Jean Mondésir</w:t>
            </w:r>
          </w:p>
        </w:tc>
        <w:tc>
          <w:tcPr>
            <w:tcW w:w="3139" w:type="dxa"/>
            <w:vAlign w:val="bottom"/>
          </w:tcPr>
          <w:p w14:paraId="53EBE602" w14:textId="77777777" w:rsidR="00275D5B" w:rsidRPr="00C57BB5" w:rsidRDefault="00275D5B" w:rsidP="00296A4A">
            <w:pPr>
              <w:rPr>
                <w:rFonts w:cstheme="minorHAnsi"/>
                <w:lang w:val="en-US"/>
              </w:rPr>
            </w:pPr>
            <w:r w:rsidRPr="00C57BB5">
              <w:rPr>
                <w:rFonts w:eastAsia="Times New Roman" w:cstheme="minorHAnsi"/>
                <w:color w:val="000000"/>
                <w:lang w:val="fr-FR" w:eastAsia="de-DE"/>
              </w:rPr>
              <w:t>Former staff</w:t>
            </w:r>
          </w:p>
        </w:tc>
      </w:tr>
      <w:tr w:rsidR="00275D5B" w:rsidRPr="00C57BB5" w14:paraId="35DD6AF3" w14:textId="77777777" w:rsidTr="00296A4A">
        <w:trPr>
          <w:trHeight w:val="490"/>
        </w:trPr>
        <w:tc>
          <w:tcPr>
            <w:tcW w:w="2405" w:type="dxa"/>
          </w:tcPr>
          <w:p w14:paraId="0D5E84A4" w14:textId="77777777" w:rsidR="00275D5B" w:rsidRPr="00C57BB5" w:rsidRDefault="00275D5B" w:rsidP="00296A4A">
            <w:pPr>
              <w:rPr>
                <w:rFonts w:cstheme="minorHAnsi"/>
                <w:lang w:val="fr-FR"/>
              </w:rPr>
            </w:pPr>
            <w:r w:rsidRPr="00C57BB5">
              <w:rPr>
                <w:rFonts w:eastAsia="Times New Roman" w:cstheme="minorHAnsi"/>
                <w:color w:val="000000"/>
                <w:lang w:val="fr-FR" w:eastAsia="de-DE"/>
              </w:rPr>
              <w:br/>
              <w:t>MINUSCA JCS</w:t>
            </w:r>
          </w:p>
        </w:tc>
        <w:tc>
          <w:tcPr>
            <w:tcW w:w="3807" w:type="dxa"/>
          </w:tcPr>
          <w:p w14:paraId="7E132EC3"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Gisèle Samvura</w:t>
            </w:r>
          </w:p>
        </w:tc>
        <w:tc>
          <w:tcPr>
            <w:tcW w:w="3139" w:type="dxa"/>
            <w:vAlign w:val="bottom"/>
          </w:tcPr>
          <w:p w14:paraId="40F5EEF8" w14:textId="77777777" w:rsidR="00275D5B" w:rsidRPr="00C57BB5" w:rsidRDefault="00275D5B" w:rsidP="00296A4A">
            <w:pPr>
              <w:rPr>
                <w:rFonts w:cstheme="minorHAnsi"/>
                <w:lang w:val="en-US"/>
              </w:rPr>
            </w:pPr>
            <w:r w:rsidRPr="00C57BB5">
              <w:rPr>
                <w:rFonts w:eastAsia="Times New Roman" w:cstheme="minorHAnsi"/>
                <w:color w:val="000000"/>
                <w:lang w:val="fr-FR" w:eastAsia="de-DE"/>
              </w:rPr>
              <w:t xml:space="preserve">Former UNDP </w:t>
            </w:r>
            <w:r w:rsidRPr="00C57BB5">
              <w:rPr>
                <w:rFonts w:eastAsia="Times New Roman" w:cstheme="minorHAnsi"/>
                <w:color w:val="000000"/>
                <w:lang w:val="de-DE" w:eastAsia="de-DE"/>
              </w:rPr>
              <w:t>Programme Officer</w:t>
            </w:r>
          </w:p>
        </w:tc>
      </w:tr>
      <w:tr w:rsidR="00275D5B" w:rsidRPr="00C57BB5" w14:paraId="25EBC206" w14:textId="77777777" w:rsidTr="00296A4A">
        <w:trPr>
          <w:trHeight w:val="490"/>
        </w:trPr>
        <w:tc>
          <w:tcPr>
            <w:tcW w:w="2405" w:type="dxa"/>
            <w:vAlign w:val="bottom"/>
          </w:tcPr>
          <w:p w14:paraId="0A5CB15D"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 xml:space="preserve">UNDP </w:t>
            </w:r>
          </w:p>
        </w:tc>
        <w:tc>
          <w:tcPr>
            <w:tcW w:w="3807" w:type="dxa"/>
            <w:vAlign w:val="bottom"/>
          </w:tcPr>
          <w:p w14:paraId="210D0265"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Hanan Talbi</w:t>
            </w:r>
          </w:p>
        </w:tc>
        <w:tc>
          <w:tcPr>
            <w:tcW w:w="3139" w:type="dxa"/>
            <w:vAlign w:val="bottom"/>
          </w:tcPr>
          <w:p w14:paraId="0B21ACB8"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Former CTA Justice</w:t>
            </w:r>
          </w:p>
        </w:tc>
      </w:tr>
      <w:tr w:rsidR="00275D5B" w:rsidRPr="00C57BB5" w14:paraId="79B9942A" w14:textId="77777777" w:rsidTr="00296A4A">
        <w:trPr>
          <w:trHeight w:val="490"/>
        </w:trPr>
        <w:tc>
          <w:tcPr>
            <w:tcW w:w="2405" w:type="dxa"/>
            <w:vAlign w:val="bottom"/>
          </w:tcPr>
          <w:p w14:paraId="607F15FA" w14:textId="77777777" w:rsidR="00275D5B" w:rsidRPr="00C57BB5" w:rsidRDefault="00275D5B" w:rsidP="00296A4A">
            <w:pPr>
              <w:rPr>
                <w:rFonts w:cstheme="minorHAnsi"/>
                <w:lang w:val="fr-FR"/>
              </w:rPr>
            </w:pPr>
            <w:r w:rsidRPr="00C57BB5">
              <w:rPr>
                <w:rFonts w:eastAsia="Times New Roman" w:cstheme="minorHAnsi"/>
                <w:color w:val="000000"/>
                <w:lang w:val="de-DE" w:eastAsia="de-DE"/>
              </w:rPr>
              <w:t>MINUSCA</w:t>
            </w:r>
          </w:p>
        </w:tc>
        <w:tc>
          <w:tcPr>
            <w:tcW w:w="3807" w:type="dxa"/>
            <w:vAlign w:val="bottom"/>
          </w:tcPr>
          <w:p w14:paraId="067B01B3" w14:textId="77777777" w:rsidR="00275D5B" w:rsidRPr="00C57BB5" w:rsidRDefault="00275D5B" w:rsidP="00296A4A">
            <w:pPr>
              <w:rPr>
                <w:rFonts w:cstheme="minorHAnsi"/>
                <w:lang w:val="en-US"/>
              </w:rPr>
            </w:pPr>
            <w:r w:rsidRPr="00C57BB5">
              <w:rPr>
                <w:rFonts w:eastAsia="Times New Roman" w:cstheme="minorHAnsi"/>
                <w:color w:val="000000"/>
                <w:lang w:val="de-DE" w:eastAsia="de-DE"/>
              </w:rPr>
              <w:t>Charles Zocli</w:t>
            </w:r>
          </w:p>
        </w:tc>
        <w:tc>
          <w:tcPr>
            <w:tcW w:w="3139" w:type="dxa"/>
            <w:vAlign w:val="bottom"/>
          </w:tcPr>
          <w:p w14:paraId="37FCD664" w14:textId="77777777" w:rsidR="00275D5B" w:rsidRPr="00C57BB5" w:rsidRDefault="00275D5B" w:rsidP="00296A4A">
            <w:pPr>
              <w:rPr>
                <w:rFonts w:cstheme="minorHAnsi"/>
                <w:lang w:val="en-US"/>
              </w:rPr>
            </w:pPr>
            <w:r w:rsidRPr="00C57BB5">
              <w:rPr>
                <w:rFonts w:eastAsia="Times New Roman" w:cstheme="minorHAnsi"/>
                <w:color w:val="000000"/>
                <w:lang w:val="en-US" w:eastAsia="de-DE"/>
              </w:rPr>
              <w:t>Focal point ; Former UNPOL Officer</w:t>
            </w:r>
          </w:p>
        </w:tc>
      </w:tr>
      <w:tr w:rsidR="00275D5B" w:rsidRPr="00C57BB5" w14:paraId="2AE06696" w14:textId="77777777" w:rsidTr="00296A4A">
        <w:trPr>
          <w:trHeight w:val="490"/>
        </w:trPr>
        <w:tc>
          <w:tcPr>
            <w:tcW w:w="2405" w:type="dxa"/>
            <w:vAlign w:val="bottom"/>
          </w:tcPr>
          <w:p w14:paraId="5F76074B" w14:textId="77777777" w:rsidR="00275D5B" w:rsidRPr="00C57BB5" w:rsidRDefault="00275D5B" w:rsidP="00296A4A">
            <w:pPr>
              <w:rPr>
                <w:rFonts w:eastAsia="Times New Roman" w:cstheme="minorHAnsi"/>
                <w:color w:val="000000"/>
                <w:lang w:val="de-DE" w:eastAsia="de-DE"/>
              </w:rPr>
            </w:pPr>
            <w:r w:rsidRPr="00C57BB5">
              <w:rPr>
                <w:rFonts w:eastAsia="Times New Roman" w:cstheme="minorHAnsi"/>
                <w:color w:val="000000"/>
                <w:lang w:val="de-DE" w:eastAsia="de-DE"/>
              </w:rPr>
              <w:t>ISSAT</w:t>
            </w:r>
          </w:p>
        </w:tc>
        <w:tc>
          <w:tcPr>
            <w:tcW w:w="3807" w:type="dxa"/>
            <w:vAlign w:val="bottom"/>
          </w:tcPr>
          <w:p w14:paraId="4E02A1C9" w14:textId="77777777" w:rsidR="00275D5B" w:rsidRPr="00C57BB5" w:rsidRDefault="00275D5B" w:rsidP="00296A4A">
            <w:pPr>
              <w:rPr>
                <w:rFonts w:eastAsia="Times New Roman" w:cstheme="minorHAnsi"/>
                <w:color w:val="000000"/>
                <w:lang w:val="de-DE" w:eastAsia="de-DE"/>
              </w:rPr>
            </w:pPr>
            <w:r w:rsidRPr="00C57BB5">
              <w:rPr>
                <w:rFonts w:eastAsia="Times New Roman" w:cstheme="minorHAnsi"/>
                <w:color w:val="000000"/>
                <w:lang w:val="de-DE" w:eastAsia="de-DE"/>
              </w:rPr>
              <w:t>Isabelle Dutour</w:t>
            </w:r>
          </w:p>
        </w:tc>
        <w:tc>
          <w:tcPr>
            <w:tcW w:w="3139" w:type="dxa"/>
            <w:vAlign w:val="bottom"/>
          </w:tcPr>
          <w:p w14:paraId="5605782E" w14:textId="77777777" w:rsidR="00275D5B" w:rsidRPr="00C57BB5" w:rsidRDefault="00275D5B" w:rsidP="00296A4A">
            <w:pPr>
              <w:rPr>
                <w:rFonts w:eastAsia="Times New Roman" w:cstheme="minorHAnsi"/>
                <w:color w:val="000000"/>
                <w:lang w:val="fr-FR" w:eastAsia="de-DE"/>
              </w:rPr>
            </w:pPr>
            <w:r w:rsidRPr="00C57BB5">
              <w:rPr>
                <w:rFonts w:eastAsia="Times New Roman" w:cstheme="minorHAnsi"/>
                <w:color w:val="000000"/>
                <w:lang w:val="fr-FR" w:eastAsia="de-DE"/>
              </w:rPr>
              <w:t>Evaluator</w:t>
            </w:r>
          </w:p>
        </w:tc>
      </w:tr>
      <w:tr w:rsidR="00275D5B" w:rsidRPr="00111F3B" w14:paraId="3EE49BA6" w14:textId="77777777" w:rsidTr="00296A4A">
        <w:trPr>
          <w:trHeight w:val="490"/>
        </w:trPr>
        <w:tc>
          <w:tcPr>
            <w:tcW w:w="2405" w:type="dxa"/>
            <w:vAlign w:val="bottom"/>
          </w:tcPr>
          <w:p w14:paraId="7DCC5537" w14:textId="77777777" w:rsidR="00275D5B" w:rsidRPr="00C57BB5" w:rsidRDefault="00275D5B" w:rsidP="00296A4A">
            <w:pPr>
              <w:rPr>
                <w:rFonts w:eastAsia="Times New Roman" w:cstheme="minorHAnsi"/>
                <w:color w:val="000000"/>
                <w:lang w:val="de-DE" w:eastAsia="de-DE"/>
              </w:rPr>
            </w:pPr>
            <w:r w:rsidRPr="00C57BB5">
              <w:rPr>
                <w:rFonts w:eastAsia="Times New Roman" w:cstheme="minorHAnsi"/>
                <w:color w:val="000000"/>
                <w:lang w:val="de-DE" w:eastAsia="de-DE"/>
              </w:rPr>
              <w:t>European Union</w:t>
            </w:r>
          </w:p>
        </w:tc>
        <w:tc>
          <w:tcPr>
            <w:tcW w:w="3807" w:type="dxa"/>
            <w:vAlign w:val="bottom"/>
          </w:tcPr>
          <w:p w14:paraId="22EE1F2F" w14:textId="77777777" w:rsidR="00275D5B" w:rsidRPr="00C57BB5" w:rsidRDefault="00275D5B" w:rsidP="00296A4A">
            <w:pPr>
              <w:rPr>
                <w:rFonts w:eastAsia="Times New Roman" w:cstheme="minorHAnsi"/>
                <w:color w:val="000000"/>
                <w:lang w:val="de-DE" w:eastAsia="de-DE"/>
              </w:rPr>
            </w:pPr>
            <w:r w:rsidRPr="00C57BB5">
              <w:rPr>
                <w:rFonts w:cstheme="minorHAnsi"/>
                <w:color w:val="000000"/>
              </w:rPr>
              <w:t>Arsène Sendé</w:t>
            </w:r>
          </w:p>
        </w:tc>
        <w:tc>
          <w:tcPr>
            <w:tcW w:w="3139" w:type="dxa"/>
            <w:vAlign w:val="bottom"/>
          </w:tcPr>
          <w:p w14:paraId="242F1FD3" w14:textId="77777777" w:rsidR="00275D5B" w:rsidRPr="00C57BB5" w:rsidRDefault="00275D5B" w:rsidP="00296A4A">
            <w:pPr>
              <w:rPr>
                <w:rFonts w:eastAsia="Times New Roman" w:cstheme="minorHAnsi"/>
                <w:color w:val="000000"/>
                <w:lang w:val="fr-FR" w:eastAsia="de-DE"/>
              </w:rPr>
            </w:pPr>
            <w:r w:rsidRPr="00C57BB5">
              <w:rPr>
                <w:rFonts w:cstheme="minorHAnsi"/>
                <w:color w:val="000000"/>
                <w:lang w:val="fr-FR"/>
              </w:rPr>
              <w:t>UN-RoLSHR Liaison Officer (Consultant)</w:t>
            </w:r>
          </w:p>
        </w:tc>
      </w:tr>
      <w:tr w:rsidR="00275D5B" w:rsidRPr="00C57BB5" w14:paraId="5BF3FD45" w14:textId="77777777" w:rsidTr="00296A4A">
        <w:trPr>
          <w:trHeight w:val="490"/>
        </w:trPr>
        <w:tc>
          <w:tcPr>
            <w:tcW w:w="9351" w:type="dxa"/>
            <w:gridSpan w:val="3"/>
            <w:shd w:val="clear" w:color="auto" w:fill="D7D2D9" w:themeFill="accent6" w:themeFillTint="66"/>
          </w:tcPr>
          <w:p w14:paraId="6333F968" w14:textId="77777777" w:rsidR="00275D5B" w:rsidRPr="00C57BB5" w:rsidRDefault="00275D5B" w:rsidP="00296A4A">
            <w:pPr>
              <w:rPr>
                <w:rFonts w:cstheme="minorHAnsi"/>
                <w:b/>
                <w:bCs/>
                <w:lang w:val="en-US"/>
              </w:rPr>
            </w:pPr>
            <w:r w:rsidRPr="00C57BB5">
              <w:rPr>
                <w:rFonts w:cstheme="minorHAnsi"/>
                <w:b/>
                <w:bCs/>
                <w:lang w:val="en-US"/>
              </w:rPr>
              <w:t>Albania</w:t>
            </w:r>
          </w:p>
        </w:tc>
      </w:tr>
      <w:tr w:rsidR="00275D5B" w:rsidRPr="00C57BB5" w14:paraId="66F1E87A" w14:textId="77777777" w:rsidTr="00296A4A">
        <w:trPr>
          <w:trHeight w:val="490"/>
        </w:trPr>
        <w:tc>
          <w:tcPr>
            <w:tcW w:w="2405" w:type="dxa"/>
          </w:tcPr>
          <w:p w14:paraId="3A482EE3"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7E3B86BD" w14:textId="77777777" w:rsidR="00275D5B" w:rsidRPr="00C57BB5" w:rsidRDefault="00275D5B" w:rsidP="00296A4A">
            <w:pPr>
              <w:rPr>
                <w:rFonts w:cstheme="minorHAnsi"/>
                <w:lang w:val="fr-FR"/>
              </w:rPr>
            </w:pPr>
            <w:r w:rsidRPr="00C57BB5">
              <w:rPr>
                <w:rFonts w:cstheme="minorHAnsi"/>
                <w:lang w:val="fr-FR"/>
              </w:rPr>
              <w:t>Edlira Papavangjeli,</w:t>
            </w:r>
          </w:p>
          <w:p w14:paraId="4CACFD6A" w14:textId="77777777" w:rsidR="00275D5B" w:rsidRPr="00C57BB5" w:rsidRDefault="00275D5B" w:rsidP="00296A4A">
            <w:pPr>
              <w:rPr>
                <w:rFonts w:cstheme="minorHAnsi"/>
                <w:lang w:val="fr-FR"/>
              </w:rPr>
            </w:pPr>
            <w:r w:rsidRPr="00C57BB5">
              <w:rPr>
                <w:rFonts w:cstheme="minorHAnsi"/>
                <w:lang w:val="fr-FR"/>
              </w:rPr>
              <w:t>Envesa Hodzic-Kovac</w:t>
            </w:r>
          </w:p>
        </w:tc>
        <w:tc>
          <w:tcPr>
            <w:tcW w:w="3139" w:type="dxa"/>
          </w:tcPr>
          <w:p w14:paraId="2382B5FC" w14:textId="77777777" w:rsidR="00275D5B" w:rsidRPr="00C57BB5" w:rsidRDefault="00275D5B" w:rsidP="00296A4A">
            <w:pPr>
              <w:rPr>
                <w:rFonts w:cstheme="minorHAnsi"/>
                <w:lang w:val="en-US"/>
              </w:rPr>
            </w:pPr>
            <w:r w:rsidRPr="00C57BB5">
              <w:rPr>
                <w:rFonts w:cstheme="minorHAnsi"/>
                <w:lang w:val="en-US"/>
              </w:rPr>
              <w:t xml:space="preserve">Programme Manager, Rights and Justice; </w:t>
            </w:r>
          </w:p>
          <w:p w14:paraId="688C3C4B" w14:textId="77777777" w:rsidR="00275D5B" w:rsidRPr="00C57BB5" w:rsidRDefault="00275D5B" w:rsidP="00296A4A">
            <w:pPr>
              <w:rPr>
                <w:rFonts w:cstheme="minorHAnsi"/>
              </w:rPr>
            </w:pPr>
            <w:r w:rsidRPr="00C57BB5">
              <w:rPr>
                <w:rFonts w:cstheme="minorHAnsi"/>
              </w:rPr>
              <w:t>Desk Officer in Istanbul Regional Hub</w:t>
            </w:r>
          </w:p>
        </w:tc>
      </w:tr>
      <w:tr w:rsidR="00275D5B" w:rsidRPr="00C57BB5" w14:paraId="0C8AA491" w14:textId="77777777" w:rsidTr="00296A4A">
        <w:trPr>
          <w:trHeight w:val="490"/>
        </w:trPr>
        <w:tc>
          <w:tcPr>
            <w:tcW w:w="2405" w:type="dxa"/>
          </w:tcPr>
          <w:p w14:paraId="69708B5A"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1D9EDF47" w14:textId="77777777" w:rsidR="00275D5B" w:rsidRPr="00C57BB5" w:rsidRDefault="00275D5B" w:rsidP="00296A4A">
            <w:pPr>
              <w:rPr>
                <w:rFonts w:cstheme="minorHAnsi"/>
              </w:rPr>
            </w:pPr>
            <w:r w:rsidRPr="00C57BB5">
              <w:rPr>
                <w:rFonts w:cstheme="minorHAnsi"/>
              </w:rPr>
              <w:t>Entela Lako,</w:t>
            </w:r>
          </w:p>
          <w:p w14:paraId="72E869A0" w14:textId="77777777" w:rsidR="00275D5B" w:rsidRPr="00C57BB5" w:rsidRDefault="00275D5B" w:rsidP="00296A4A">
            <w:pPr>
              <w:rPr>
                <w:rFonts w:cstheme="minorHAnsi"/>
              </w:rPr>
            </w:pPr>
            <w:r w:rsidRPr="00C57BB5">
              <w:rPr>
                <w:rFonts w:cstheme="minorHAnsi"/>
              </w:rPr>
              <w:t xml:space="preserve">Vladimir Malkaj </w:t>
            </w:r>
          </w:p>
          <w:p w14:paraId="5929203A" w14:textId="77777777" w:rsidR="00275D5B" w:rsidRPr="00C57BB5" w:rsidRDefault="00275D5B" w:rsidP="00296A4A">
            <w:pPr>
              <w:rPr>
                <w:rFonts w:cstheme="minorHAnsi"/>
                <w:lang w:val="en-US"/>
              </w:rPr>
            </w:pPr>
          </w:p>
        </w:tc>
        <w:tc>
          <w:tcPr>
            <w:tcW w:w="3139" w:type="dxa"/>
          </w:tcPr>
          <w:p w14:paraId="19C629B7" w14:textId="77777777" w:rsidR="00275D5B" w:rsidRPr="00C57BB5" w:rsidRDefault="00275D5B" w:rsidP="00296A4A">
            <w:pPr>
              <w:rPr>
                <w:rFonts w:cstheme="minorHAnsi"/>
              </w:rPr>
            </w:pPr>
            <w:r w:rsidRPr="00C57BB5">
              <w:rPr>
                <w:rFonts w:cstheme="minorHAnsi"/>
              </w:rPr>
              <w:t>Programme Specialist,</w:t>
            </w:r>
          </w:p>
          <w:p w14:paraId="623B0062" w14:textId="77777777" w:rsidR="00275D5B" w:rsidRPr="00C57BB5" w:rsidRDefault="00275D5B" w:rsidP="00296A4A">
            <w:pPr>
              <w:rPr>
                <w:rFonts w:cstheme="minorHAnsi"/>
                <w:lang w:val="en-US"/>
              </w:rPr>
            </w:pPr>
            <w:r w:rsidRPr="00C57BB5">
              <w:rPr>
                <w:rFonts w:cstheme="minorHAnsi"/>
              </w:rPr>
              <w:t>Programme Officer for Governance and Rule of Law</w:t>
            </w:r>
          </w:p>
        </w:tc>
      </w:tr>
      <w:tr w:rsidR="00275D5B" w:rsidRPr="00C57BB5" w14:paraId="25F3A005" w14:textId="77777777" w:rsidTr="00296A4A">
        <w:trPr>
          <w:trHeight w:val="490"/>
        </w:trPr>
        <w:tc>
          <w:tcPr>
            <w:tcW w:w="9351" w:type="dxa"/>
            <w:gridSpan w:val="3"/>
            <w:shd w:val="clear" w:color="auto" w:fill="D7D2D9" w:themeFill="accent6" w:themeFillTint="66"/>
          </w:tcPr>
          <w:p w14:paraId="3DD816E8" w14:textId="77777777" w:rsidR="00275D5B" w:rsidRPr="00C57BB5" w:rsidRDefault="00275D5B" w:rsidP="00296A4A">
            <w:pPr>
              <w:rPr>
                <w:rFonts w:cstheme="minorHAnsi"/>
                <w:b/>
                <w:bCs/>
                <w:lang w:val="en-US"/>
              </w:rPr>
            </w:pPr>
            <w:r w:rsidRPr="00C57BB5">
              <w:rPr>
                <w:rFonts w:cstheme="minorHAnsi"/>
                <w:b/>
                <w:bCs/>
                <w:lang w:val="en-US"/>
              </w:rPr>
              <w:t>Niger</w:t>
            </w:r>
          </w:p>
        </w:tc>
      </w:tr>
      <w:tr w:rsidR="00275D5B" w:rsidRPr="00C57BB5" w14:paraId="1761D8D7" w14:textId="77777777" w:rsidTr="00296A4A">
        <w:trPr>
          <w:trHeight w:val="490"/>
        </w:trPr>
        <w:tc>
          <w:tcPr>
            <w:tcW w:w="2405" w:type="dxa"/>
          </w:tcPr>
          <w:p w14:paraId="0E4E9C36"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78CB8686" w14:textId="77777777" w:rsidR="00275D5B" w:rsidRPr="00C57BB5" w:rsidRDefault="00275D5B" w:rsidP="00296A4A">
            <w:pPr>
              <w:rPr>
                <w:rFonts w:cstheme="minorHAnsi"/>
                <w:lang w:val="fr-FR"/>
              </w:rPr>
            </w:pPr>
            <w:r w:rsidRPr="00C57BB5">
              <w:rPr>
                <w:rFonts w:cstheme="minorHAnsi"/>
                <w:lang w:val="fr-FR"/>
              </w:rPr>
              <w:t>Diana Louise Ofwona</w:t>
            </w:r>
          </w:p>
          <w:p w14:paraId="32F4CAC0" w14:textId="77777777" w:rsidR="00275D5B" w:rsidRPr="00C57BB5" w:rsidRDefault="00275D5B" w:rsidP="00296A4A">
            <w:pPr>
              <w:rPr>
                <w:rFonts w:cstheme="minorHAnsi"/>
                <w:lang w:val="en-US"/>
              </w:rPr>
            </w:pPr>
          </w:p>
        </w:tc>
        <w:tc>
          <w:tcPr>
            <w:tcW w:w="3139" w:type="dxa"/>
          </w:tcPr>
          <w:p w14:paraId="7412FC31" w14:textId="77777777" w:rsidR="00275D5B" w:rsidRPr="00C57BB5" w:rsidRDefault="00275D5B" w:rsidP="00296A4A">
            <w:pPr>
              <w:rPr>
                <w:rFonts w:cstheme="minorHAnsi"/>
                <w:lang w:val="en-US"/>
              </w:rPr>
            </w:pPr>
            <w:r w:rsidRPr="00C57BB5">
              <w:rPr>
                <w:rFonts w:cstheme="minorHAnsi"/>
                <w:lang w:val="fr-FR"/>
              </w:rPr>
              <w:t>Resident Representative</w:t>
            </w:r>
          </w:p>
        </w:tc>
      </w:tr>
      <w:tr w:rsidR="00275D5B" w:rsidRPr="00C57BB5" w14:paraId="09D7839D" w14:textId="77777777" w:rsidTr="00296A4A">
        <w:trPr>
          <w:trHeight w:val="490"/>
        </w:trPr>
        <w:tc>
          <w:tcPr>
            <w:tcW w:w="2405" w:type="dxa"/>
          </w:tcPr>
          <w:p w14:paraId="1FC87F75"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69CE6CB0" w14:textId="77777777" w:rsidR="00275D5B" w:rsidRPr="00C57BB5" w:rsidRDefault="00275D5B" w:rsidP="00296A4A">
            <w:pPr>
              <w:rPr>
                <w:rFonts w:cstheme="minorHAnsi"/>
                <w:lang w:val="fr-FR"/>
              </w:rPr>
            </w:pPr>
            <w:r w:rsidRPr="00C57BB5">
              <w:rPr>
                <w:rFonts w:cstheme="minorHAnsi"/>
                <w:lang w:val="fr-FR"/>
              </w:rPr>
              <w:t xml:space="preserve">Abdoulaye Baldé </w:t>
            </w:r>
          </w:p>
          <w:p w14:paraId="2F2C9D31" w14:textId="77777777" w:rsidR="00275D5B" w:rsidRPr="00C57BB5" w:rsidRDefault="00275D5B" w:rsidP="00296A4A">
            <w:pPr>
              <w:rPr>
                <w:rFonts w:cstheme="minorHAnsi"/>
                <w:lang w:val="fr-FR"/>
              </w:rPr>
            </w:pPr>
          </w:p>
        </w:tc>
        <w:tc>
          <w:tcPr>
            <w:tcW w:w="3139" w:type="dxa"/>
          </w:tcPr>
          <w:p w14:paraId="5D9720F0" w14:textId="77777777" w:rsidR="00275D5B" w:rsidRPr="00C57BB5" w:rsidRDefault="00275D5B" w:rsidP="00296A4A">
            <w:pPr>
              <w:rPr>
                <w:rFonts w:cstheme="minorHAnsi"/>
                <w:lang w:val="fr-FR"/>
              </w:rPr>
            </w:pPr>
            <w:r w:rsidRPr="00C57BB5">
              <w:rPr>
                <w:rFonts w:cstheme="minorHAnsi"/>
                <w:lang w:val="fr-FR"/>
              </w:rPr>
              <w:t>CTA RoL</w:t>
            </w:r>
          </w:p>
        </w:tc>
      </w:tr>
      <w:tr w:rsidR="00275D5B" w:rsidRPr="00C57BB5" w14:paraId="6DA38D48" w14:textId="77777777" w:rsidTr="00296A4A">
        <w:trPr>
          <w:trHeight w:val="490"/>
        </w:trPr>
        <w:tc>
          <w:tcPr>
            <w:tcW w:w="2405" w:type="dxa"/>
          </w:tcPr>
          <w:p w14:paraId="2BE0CB25" w14:textId="77777777" w:rsidR="00275D5B" w:rsidRPr="00C57BB5" w:rsidRDefault="00275D5B" w:rsidP="00296A4A">
            <w:pPr>
              <w:rPr>
                <w:rFonts w:cstheme="minorHAnsi"/>
                <w:lang w:val="fr-FR"/>
              </w:rPr>
            </w:pPr>
            <w:r w:rsidRPr="00C57BB5">
              <w:rPr>
                <w:rFonts w:cstheme="minorHAnsi"/>
                <w:lang w:val="fr-FR"/>
              </w:rPr>
              <w:t>UNDP</w:t>
            </w:r>
          </w:p>
        </w:tc>
        <w:tc>
          <w:tcPr>
            <w:tcW w:w="3807" w:type="dxa"/>
          </w:tcPr>
          <w:p w14:paraId="69DE0B41" w14:textId="77777777" w:rsidR="00275D5B" w:rsidRPr="00C57BB5" w:rsidRDefault="00275D5B" w:rsidP="00296A4A">
            <w:pPr>
              <w:rPr>
                <w:rFonts w:cstheme="minorHAnsi"/>
                <w:lang w:val="en-US"/>
              </w:rPr>
            </w:pPr>
            <w:r w:rsidRPr="00C57BB5">
              <w:rPr>
                <w:rFonts w:cstheme="minorHAnsi"/>
                <w:lang w:val="en-US"/>
              </w:rPr>
              <w:t>Aziza Albachir (scheduled for next week)</w:t>
            </w:r>
          </w:p>
          <w:p w14:paraId="06629B07" w14:textId="77777777" w:rsidR="00275D5B" w:rsidRPr="00C57BB5" w:rsidRDefault="00275D5B" w:rsidP="00296A4A">
            <w:pPr>
              <w:rPr>
                <w:rFonts w:cstheme="minorHAnsi"/>
                <w:lang w:val="en-US"/>
              </w:rPr>
            </w:pPr>
          </w:p>
        </w:tc>
        <w:tc>
          <w:tcPr>
            <w:tcW w:w="3139" w:type="dxa"/>
          </w:tcPr>
          <w:p w14:paraId="0FE209ED" w14:textId="77777777" w:rsidR="00275D5B" w:rsidRPr="00C57BB5" w:rsidRDefault="00275D5B" w:rsidP="00296A4A">
            <w:pPr>
              <w:rPr>
                <w:rFonts w:cstheme="minorHAnsi"/>
                <w:lang w:val="de-DE"/>
              </w:rPr>
            </w:pPr>
            <w:r w:rsidRPr="00C57BB5">
              <w:rPr>
                <w:rFonts w:cstheme="minorHAnsi"/>
                <w:lang w:val="de-DE"/>
              </w:rPr>
              <w:t>CTA Stabilization</w:t>
            </w:r>
          </w:p>
        </w:tc>
      </w:tr>
      <w:tr w:rsidR="00275D5B" w:rsidRPr="00C57BB5" w14:paraId="4B58A739" w14:textId="77777777" w:rsidTr="00296A4A">
        <w:trPr>
          <w:trHeight w:val="490"/>
        </w:trPr>
        <w:tc>
          <w:tcPr>
            <w:tcW w:w="2405" w:type="dxa"/>
          </w:tcPr>
          <w:p w14:paraId="366FE83C" w14:textId="77777777" w:rsidR="00275D5B" w:rsidRPr="00C57BB5" w:rsidRDefault="00275D5B" w:rsidP="00296A4A">
            <w:pPr>
              <w:rPr>
                <w:rFonts w:cstheme="minorHAnsi"/>
                <w:lang w:val="en-US"/>
              </w:rPr>
            </w:pPr>
            <w:r w:rsidRPr="00C57BB5">
              <w:rPr>
                <w:rFonts w:cstheme="minorHAnsi"/>
                <w:lang w:val="en-US"/>
              </w:rPr>
              <w:t>UNDP</w:t>
            </w:r>
          </w:p>
        </w:tc>
        <w:tc>
          <w:tcPr>
            <w:tcW w:w="3807" w:type="dxa"/>
          </w:tcPr>
          <w:p w14:paraId="7E2D20FB" w14:textId="77777777" w:rsidR="00275D5B" w:rsidRPr="00C57BB5" w:rsidRDefault="00275D5B" w:rsidP="00296A4A">
            <w:pPr>
              <w:rPr>
                <w:rFonts w:cstheme="minorHAnsi"/>
                <w:lang w:val="de-DE"/>
              </w:rPr>
            </w:pPr>
            <w:r w:rsidRPr="00C57BB5">
              <w:rPr>
                <w:rFonts w:cstheme="minorHAnsi"/>
                <w:lang w:val="de-DE"/>
              </w:rPr>
              <w:t>Njoya Tikoum,</w:t>
            </w:r>
          </w:p>
          <w:p w14:paraId="24573F90" w14:textId="77777777" w:rsidR="00275D5B" w:rsidRPr="00C57BB5" w:rsidRDefault="00275D5B" w:rsidP="00296A4A">
            <w:pPr>
              <w:rPr>
                <w:rFonts w:cstheme="minorHAnsi"/>
                <w:lang w:val="de-DE"/>
              </w:rPr>
            </w:pPr>
            <w:r w:rsidRPr="00C57BB5">
              <w:rPr>
                <w:rFonts w:cstheme="minorHAnsi"/>
                <w:lang w:val="de-DE"/>
              </w:rPr>
              <w:t>Marion Volkmann, Wali Ndiaye</w:t>
            </w:r>
          </w:p>
        </w:tc>
        <w:tc>
          <w:tcPr>
            <w:tcW w:w="3139" w:type="dxa"/>
          </w:tcPr>
          <w:p w14:paraId="422E2CE3" w14:textId="77777777" w:rsidR="00275D5B" w:rsidRPr="00C57BB5" w:rsidRDefault="00275D5B" w:rsidP="00296A4A">
            <w:pPr>
              <w:rPr>
                <w:rFonts w:cstheme="minorHAnsi"/>
              </w:rPr>
            </w:pPr>
            <w:r w:rsidRPr="00C57BB5">
              <w:rPr>
                <w:rFonts w:cstheme="minorHAnsi"/>
              </w:rPr>
              <w:t>Director of Dakar Regional Hub for Western and Central Africa ;</w:t>
            </w:r>
          </w:p>
          <w:p w14:paraId="007CD570" w14:textId="77777777" w:rsidR="00275D5B" w:rsidRPr="00C57BB5" w:rsidRDefault="00275D5B" w:rsidP="00296A4A">
            <w:pPr>
              <w:rPr>
                <w:rFonts w:cstheme="minorHAnsi"/>
                <w:lang w:val="en-US"/>
              </w:rPr>
            </w:pPr>
            <w:r w:rsidRPr="00C57BB5">
              <w:rPr>
                <w:rFonts w:cstheme="minorHAnsi"/>
                <w:lang w:val="en-US"/>
              </w:rPr>
              <w:t>ROL Specialist ; Peace and Development advisor</w:t>
            </w:r>
          </w:p>
          <w:p w14:paraId="5014DC6A" w14:textId="77777777" w:rsidR="00275D5B" w:rsidRPr="00C57BB5" w:rsidRDefault="00275D5B" w:rsidP="00296A4A">
            <w:pPr>
              <w:rPr>
                <w:rFonts w:cstheme="minorHAnsi"/>
                <w:lang w:val="en-US"/>
              </w:rPr>
            </w:pPr>
          </w:p>
        </w:tc>
      </w:tr>
      <w:tr w:rsidR="00275D5B" w:rsidRPr="00C57BB5" w14:paraId="7440DED8" w14:textId="77777777" w:rsidTr="00296A4A">
        <w:trPr>
          <w:trHeight w:val="490"/>
        </w:trPr>
        <w:tc>
          <w:tcPr>
            <w:tcW w:w="2405" w:type="dxa"/>
          </w:tcPr>
          <w:p w14:paraId="23141D69" w14:textId="77777777" w:rsidR="00275D5B" w:rsidRPr="00C57BB5" w:rsidRDefault="00275D5B" w:rsidP="00296A4A">
            <w:pPr>
              <w:rPr>
                <w:rFonts w:cstheme="minorHAnsi"/>
                <w:lang w:val="en-US"/>
              </w:rPr>
            </w:pPr>
            <w:r w:rsidRPr="00C57BB5">
              <w:rPr>
                <w:rFonts w:cstheme="minorHAnsi"/>
                <w:lang w:val="en-US"/>
              </w:rPr>
              <w:t xml:space="preserve">UNDP </w:t>
            </w:r>
          </w:p>
        </w:tc>
        <w:tc>
          <w:tcPr>
            <w:tcW w:w="3807" w:type="dxa"/>
          </w:tcPr>
          <w:p w14:paraId="55B9079B" w14:textId="307A4214" w:rsidR="00275D5B" w:rsidRPr="00C57BB5" w:rsidRDefault="00275D5B" w:rsidP="00296A4A">
            <w:pPr>
              <w:rPr>
                <w:rFonts w:cstheme="minorHAnsi"/>
                <w:lang w:val="fr-FR"/>
              </w:rPr>
            </w:pPr>
            <w:r w:rsidRPr="00C57BB5">
              <w:rPr>
                <w:rFonts w:cstheme="minorHAnsi"/>
                <w:lang w:val="fr-FR"/>
              </w:rPr>
              <w:t>Clément Hamon</w:t>
            </w:r>
          </w:p>
        </w:tc>
        <w:tc>
          <w:tcPr>
            <w:tcW w:w="3139" w:type="dxa"/>
          </w:tcPr>
          <w:p w14:paraId="3665A392" w14:textId="77777777" w:rsidR="00275D5B" w:rsidRPr="00C57BB5" w:rsidRDefault="00275D5B" w:rsidP="00296A4A">
            <w:pPr>
              <w:rPr>
                <w:rFonts w:cstheme="minorHAnsi"/>
                <w:lang w:val="fr-FR"/>
              </w:rPr>
            </w:pPr>
            <w:r w:rsidRPr="00C57BB5">
              <w:rPr>
                <w:rFonts w:cstheme="minorHAnsi"/>
                <w:lang w:val="fr-FR"/>
              </w:rPr>
              <w:t xml:space="preserve">Global Programme Focal point </w:t>
            </w:r>
          </w:p>
        </w:tc>
      </w:tr>
    </w:tbl>
    <w:p w14:paraId="77B1F741" w14:textId="77777777" w:rsidR="00275D5B" w:rsidRDefault="00275D5B" w:rsidP="00275D5B">
      <w:pPr>
        <w:rPr>
          <w:lang w:val="fr-FR"/>
        </w:rPr>
      </w:pPr>
    </w:p>
    <w:p w14:paraId="27DBC291" w14:textId="260AAD50" w:rsidR="00771DD2" w:rsidRDefault="00771DD2">
      <w:pPr>
        <w:rPr>
          <w:lang w:val="en-US" w:eastAsia="de-DE"/>
        </w:rPr>
      </w:pPr>
      <w:r>
        <w:rPr>
          <w:lang w:val="en-US" w:eastAsia="de-DE"/>
        </w:rPr>
        <w:br w:type="page"/>
      </w:r>
    </w:p>
    <w:p w14:paraId="3E4F01A5" w14:textId="51CF5F40" w:rsidR="00771DD2" w:rsidRDefault="00771DD2" w:rsidP="00771DD2">
      <w:pPr>
        <w:pStyle w:val="Heading2"/>
      </w:pPr>
      <w:bookmarkStart w:id="61" w:name="_Ref70154446"/>
      <w:bookmarkStart w:id="62" w:name="_Toc71701909"/>
      <w:r w:rsidRPr="00771DD2">
        <w:t>Annex 9: Sample of Interview Guides</w:t>
      </w:r>
      <w:bookmarkEnd w:id="61"/>
      <w:bookmarkEnd w:id="62"/>
    </w:p>
    <w:p w14:paraId="1B860912" w14:textId="77777777" w:rsidR="003A2003" w:rsidRPr="003A2003" w:rsidRDefault="003A2003" w:rsidP="003A2003"/>
    <w:p w14:paraId="77FEF712" w14:textId="4D606C82" w:rsidR="00771DD2" w:rsidRPr="003A2003" w:rsidRDefault="00771DD2" w:rsidP="00567956">
      <w:pPr>
        <w:pStyle w:val="ListParagraph"/>
        <w:numPr>
          <w:ilvl w:val="0"/>
          <w:numId w:val="49"/>
        </w:numPr>
        <w:ind w:left="426"/>
        <w:rPr>
          <w:b/>
          <w:bCs/>
          <w:i/>
          <w:iCs/>
        </w:rPr>
      </w:pPr>
      <w:r w:rsidRPr="003A2003">
        <w:rPr>
          <w:b/>
          <w:bCs/>
          <w:i/>
          <w:iCs/>
        </w:rPr>
        <w:t>Questions for Global Programme/ROLSHR team staff</w:t>
      </w:r>
    </w:p>
    <w:p w14:paraId="0B596F78" w14:textId="77777777" w:rsidR="00771DD2" w:rsidRPr="0044584F" w:rsidRDefault="00771DD2" w:rsidP="00567956">
      <w:pPr>
        <w:numPr>
          <w:ilvl w:val="0"/>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 xml:space="preserve">What were the roles that you played with the ROLSHR unit and GP in particular, during which years? </w:t>
      </w:r>
    </w:p>
    <w:p w14:paraId="011600E0" w14:textId="77777777" w:rsidR="00771DD2" w:rsidRPr="0044584F" w:rsidRDefault="00771DD2" w:rsidP="00567956">
      <w:pPr>
        <w:numPr>
          <w:ilvl w:val="0"/>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 xml:space="preserve">What would you describe as the key added value of the Global Programme? </w:t>
      </w:r>
    </w:p>
    <w:p w14:paraId="442C4048" w14:textId="77777777" w:rsidR="00771DD2" w:rsidRPr="0044584F" w:rsidRDefault="00771DD2" w:rsidP="00567956">
      <w:pPr>
        <w:numPr>
          <w:ilvl w:val="1"/>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what are its primary strengths? (allow option to limit to his/her period with GP)</w:t>
      </w:r>
    </w:p>
    <w:p w14:paraId="70AAD8C1" w14:textId="77777777" w:rsidR="00771DD2" w:rsidRPr="0044584F" w:rsidRDefault="00771DD2" w:rsidP="00567956">
      <w:pPr>
        <w:numPr>
          <w:ilvl w:val="1"/>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what are its main weaknesses?</w:t>
      </w:r>
    </w:p>
    <w:p w14:paraId="654A5E2B" w14:textId="77777777" w:rsidR="00771DD2" w:rsidRPr="0044584F" w:rsidRDefault="00771DD2" w:rsidP="00567956">
      <w:pPr>
        <w:numPr>
          <w:ilvl w:val="1"/>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What were the key expectations of GP main donors … and t</w:t>
      </w:r>
      <w:r w:rsidRPr="0044584F">
        <w:rPr>
          <w:rFonts w:ascii="Arial" w:hAnsi="Arial" w:cs="Arial"/>
          <w:color w:val="000000"/>
          <w:highlight w:val="white"/>
        </w:rPr>
        <w:t>o what extent has GP3 management met those expectations?</w:t>
      </w:r>
    </w:p>
    <w:p w14:paraId="710B93C6" w14:textId="77777777" w:rsidR="00771DD2" w:rsidRPr="0044584F" w:rsidRDefault="00771DD2" w:rsidP="00567956">
      <w:pPr>
        <w:numPr>
          <w:ilvl w:val="0"/>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 xml:space="preserve">How clearly does the Theory of Change in the Prodoc demonstrate the results sought by GP3? Are there gaps or disconnects? Assumptions that have not held true? </w:t>
      </w:r>
    </w:p>
    <w:p w14:paraId="6431124E" w14:textId="77777777" w:rsidR="00771DD2" w:rsidRPr="0044584F" w:rsidRDefault="00771DD2" w:rsidP="00567956">
      <w:pPr>
        <w:numPr>
          <w:ilvl w:val="0"/>
          <w:numId w:val="35"/>
        </w:numPr>
        <w:pBdr>
          <w:top w:val="nil"/>
          <w:left w:val="nil"/>
          <w:bottom w:val="nil"/>
          <w:right w:val="nil"/>
          <w:between w:val="nil"/>
        </w:pBdr>
        <w:spacing w:after="0" w:line="259" w:lineRule="auto"/>
        <w:rPr>
          <w:rFonts w:ascii="Arial" w:hAnsi="Arial" w:cs="Arial"/>
        </w:rPr>
      </w:pPr>
      <w:r w:rsidRPr="0044584F">
        <w:rPr>
          <w:rFonts w:ascii="Arial" w:hAnsi="Arial" w:cs="Arial"/>
          <w:color w:val="000000"/>
        </w:rPr>
        <w:t>How does the GP differ from the regular RoL/SDG16 work done by UNDP (and Missions)?</w:t>
      </w:r>
    </w:p>
    <w:p w14:paraId="49983272" w14:textId="77777777" w:rsidR="00771DD2" w:rsidRPr="0044584F" w:rsidRDefault="00771DD2" w:rsidP="00567956">
      <w:pPr>
        <w:numPr>
          <w:ilvl w:val="0"/>
          <w:numId w:val="35"/>
        </w:numPr>
        <w:pBdr>
          <w:top w:val="nil"/>
          <w:left w:val="nil"/>
          <w:bottom w:val="nil"/>
          <w:right w:val="nil"/>
          <w:between w:val="nil"/>
        </w:pBdr>
        <w:spacing w:after="0" w:line="259" w:lineRule="auto"/>
        <w:rPr>
          <w:rFonts w:ascii="Arial" w:hAnsi="Arial" w:cs="Arial"/>
        </w:rPr>
      </w:pPr>
      <w:r w:rsidRPr="0044584F">
        <w:rPr>
          <w:rFonts w:ascii="Arial" w:hAnsi="Arial" w:cs="Arial"/>
          <w:color w:val="000000"/>
        </w:rPr>
        <w:t>Is GP support used more as a booster/catalyst, a complementary mechanism, to fill gaps, for testing out new innovative ideas… or all of the above?</w:t>
      </w:r>
    </w:p>
    <w:p w14:paraId="6ED41FC5" w14:textId="77777777" w:rsidR="00771DD2" w:rsidRPr="0044584F" w:rsidRDefault="00771DD2" w:rsidP="00567956">
      <w:pPr>
        <w:numPr>
          <w:ilvl w:val="0"/>
          <w:numId w:val="35"/>
        </w:numPr>
        <w:pBdr>
          <w:top w:val="nil"/>
          <w:left w:val="nil"/>
          <w:bottom w:val="nil"/>
          <w:right w:val="nil"/>
          <w:between w:val="nil"/>
        </w:pBdr>
        <w:spacing w:after="0" w:line="259" w:lineRule="auto"/>
        <w:rPr>
          <w:rFonts w:ascii="Arial" w:hAnsi="Arial" w:cs="Arial"/>
        </w:rPr>
      </w:pPr>
      <w:r w:rsidRPr="0044584F">
        <w:rPr>
          <w:rFonts w:ascii="Arial" w:hAnsi="Arial" w:cs="Arial"/>
          <w:color w:val="000000"/>
        </w:rPr>
        <w:t>Is GP programme mobilization mainly demand- or supply-side driven, or both? Any differences in this regard between i. GP, GFP, non-GP;  ii. earmarked vs. pipeline?</w:t>
      </w:r>
    </w:p>
    <w:p w14:paraId="5AD3B908" w14:textId="77777777" w:rsidR="00771DD2" w:rsidRPr="0044584F" w:rsidRDefault="00771DD2" w:rsidP="00567956">
      <w:pPr>
        <w:numPr>
          <w:ilvl w:val="0"/>
          <w:numId w:val="35"/>
        </w:numPr>
        <w:pBdr>
          <w:top w:val="nil"/>
          <w:left w:val="nil"/>
          <w:bottom w:val="nil"/>
          <w:right w:val="nil"/>
          <w:between w:val="nil"/>
        </w:pBdr>
        <w:spacing w:after="0" w:line="259" w:lineRule="auto"/>
        <w:rPr>
          <w:rFonts w:ascii="Arial" w:hAnsi="Arial" w:cs="Arial"/>
        </w:rPr>
      </w:pPr>
      <w:r w:rsidRPr="0044584F">
        <w:rPr>
          <w:rFonts w:ascii="Arial" w:hAnsi="Arial" w:cs="Arial"/>
          <w:color w:val="000000"/>
        </w:rPr>
        <w:t>Was there a difference between the original intent (ToC) and how the GP was/is used, in real life? Also, were there/are there any trends regarding a. and b. that evolved over the years)?</w:t>
      </w:r>
    </w:p>
    <w:p w14:paraId="076E5A7A" w14:textId="77777777" w:rsidR="00771DD2" w:rsidRPr="0044584F" w:rsidRDefault="00771DD2" w:rsidP="00567956">
      <w:pPr>
        <w:numPr>
          <w:ilvl w:val="0"/>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 xml:space="preserve">How has GP3 affected UNDP’s recognition in the ROLSHR sector globally? </w:t>
      </w:r>
    </w:p>
    <w:p w14:paraId="2F91A362" w14:textId="77777777" w:rsidR="00771DD2" w:rsidRPr="0044584F" w:rsidRDefault="00771DD2" w:rsidP="00567956">
      <w:pPr>
        <w:numPr>
          <w:ilvl w:val="1"/>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To what extent and in what ways has the GP modality added value to UNDP’s corporate offer on ROLSHR globally in Phase 3? (e.g. influencing strategic plan priorities, contributing to signature solutions, strengthening corporate monitoring, reporting, quality assurance, and communications)</w:t>
      </w:r>
    </w:p>
    <w:p w14:paraId="0135AEC3" w14:textId="77777777" w:rsidR="00771DD2" w:rsidRPr="0044584F" w:rsidRDefault="00771DD2" w:rsidP="00567956">
      <w:pPr>
        <w:numPr>
          <w:ilvl w:val="0"/>
          <w:numId w:val="36"/>
        </w:numPr>
        <w:pBdr>
          <w:top w:val="nil"/>
          <w:left w:val="nil"/>
          <w:bottom w:val="nil"/>
          <w:right w:val="nil"/>
          <w:between w:val="nil"/>
        </w:pBdr>
        <w:spacing w:after="0" w:line="240" w:lineRule="auto"/>
        <w:rPr>
          <w:rFonts w:ascii="Arial" w:hAnsi="Arial" w:cs="Arial"/>
          <w:color w:val="000000"/>
        </w:rPr>
      </w:pPr>
      <w:r w:rsidRPr="0044584F">
        <w:rPr>
          <w:rFonts w:ascii="Arial" w:hAnsi="Arial" w:cs="Arial"/>
          <w:color w:val="000000"/>
        </w:rPr>
        <w:t>How effectively has GP3 supported joint engagement across the UN pillars? </w:t>
      </w:r>
    </w:p>
    <w:p w14:paraId="037E1F3F" w14:textId="77777777" w:rsidR="00771DD2" w:rsidRPr="0044584F" w:rsidRDefault="00771DD2" w:rsidP="00567956">
      <w:pPr>
        <w:numPr>
          <w:ilvl w:val="1"/>
          <w:numId w:val="36"/>
        </w:numPr>
        <w:pBdr>
          <w:top w:val="nil"/>
          <w:left w:val="nil"/>
          <w:bottom w:val="nil"/>
          <w:right w:val="nil"/>
          <w:between w:val="nil"/>
        </w:pBdr>
        <w:spacing w:after="0" w:line="240" w:lineRule="auto"/>
        <w:rPr>
          <w:rFonts w:ascii="Arial" w:hAnsi="Arial" w:cs="Arial"/>
          <w:color w:val="000000"/>
        </w:rPr>
      </w:pPr>
      <w:r w:rsidRPr="0044584F">
        <w:rPr>
          <w:rFonts w:ascii="Arial" w:hAnsi="Arial" w:cs="Arial"/>
          <w:color w:val="000000"/>
        </w:rPr>
        <w:t>How effective has the GP3 been as a platform for financially and operationally supporting the GFP for Rule of Law (with DPO and other UN partners)? aka - usefulness and any drawbacks of the GFP mechanism</w:t>
      </w:r>
    </w:p>
    <w:p w14:paraId="18817467" w14:textId="77777777" w:rsidR="00771DD2" w:rsidRPr="0044584F" w:rsidRDefault="00771DD2" w:rsidP="00567956">
      <w:pPr>
        <w:numPr>
          <w:ilvl w:val="1"/>
          <w:numId w:val="36"/>
        </w:numPr>
        <w:spacing w:after="0" w:line="240" w:lineRule="auto"/>
        <w:rPr>
          <w:rFonts w:ascii="Arial" w:eastAsia="Arial" w:hAnsi="Arial" w:cs="Arial"/>
          <w:color w:val="000000"/>
        </w:rPr>
      </w:pPr>
      <w:r w:rsidRPr="0044584F">
        <w:rPr>
          <w:rFonts w:ascii="Arial" w:hAnsi="Arial" w:cs="Arial"/>
        </w:rPr>
        <w:t>To what extent is the GP complementary to the PBF and what are the dynamics between these two platforms in terms of synergies, catalytic effects, but potentially also rivalry!?</w:t>
      </w:r>
    </w:p>
    <w:p w14:paraId="395B6174" w14:textId="77777777" w:rsidR="00771DD2" w:rsidRPr="0044584F" w:rsidRDefault="00771DD2" w:rsidP="00567956">
      <w:pPr>
        <w:pStyle w:val="ListParagraph"/>
        <w:numPr>
          <w:ilvl w:val="0"/>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highlight w:val="white"/>
        </w:rPr>
        <w:t xml:space="preserve">What </w:t>
      </w:r>
      <w:r w:rsidRPr="0044584F">
        <w:rPr>
          <w:rFonts w:ascii="Arial" w:hAnsi="Arial" w:cs="Arial"/>
          <w:color w:val="000000"/>
        </w:rPr>
        <w:t xml:space="preserve">factors have influenced the success of ongoing GP-led resource mobilization efforts? </w:t>
      </w:r>
    </w:p>
    <w:p w14:paraId="01B66509" w14:textId="77777777" w:rsidR="00771DD2" w:rsidRPr="0044584F" w:rsidRDefault="00771DD2" w:rsidP="00567956">
      <w:pPr>
        <w:pStyle w:val="ListParagraph"/>
        <w:numPr>
          <w:ilvl w:val="1"/>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 xml:space="preserve">Has the idea of “seed funding” to catalyze other investments been successful? Why or why not? </w:t>
      </w:r>
    </w:p>
    <w:p w14:paraId="4D4EB14F" w14:textId="77777777" w:rsidR="00771DD2" w:rsidRPr="0044584F" w:rsidRDefault="00771DD2" w:rsidP="00567956">
      <w:pPr>
        <w:pStyle w:val="ListParagraph"/>
        <w:numPr>
          <w:ilvl w:val="1"/>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How could limited amounts of funding have more impact?</w:t>
      </w:r>
    </w:p>
    <w:p w14:paraId="5EF4EF87" w14:textId="77777777" w:rsidR="00771DD2" w:rsidRPr="0044584F" w:rsidRDefault="00771DD2" w:rsidP="00567956">
      <w:pPr>
        <w:numPr>
          <w:ilvl w:val="0"/>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What do you see as the pros and cons of using GP as pass-through mechanism for earmarked funds such as those from INL?</w:t>
      </w:r>
    </w:p>
    <w:p w14:paraId="7595F7FD" w14:textId="77777777" w:rsidR="00771DD2" w:rsidRPr="0044584F" w:rsidRDefault="00771DD2" w:rsidP="00567956">
      <w:pPr>
        <w:numPr>
          <w:ilvl w:val="0"/>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 xml:space="preserve">What are achievements and challenges on operations side of GP? </w:t>
      </w:r>
    </w:p>
    <w:p w14:paraId="15579EF9" w14:textId="77777777" w:rsidR="00771DD2" w:rsidRPr="0044584F" w:rsidRDefault="00771DD2" w:rsidP="00567956">
      <w:pPr>
        <w:numPr>
          <w:ilvl w:val="1"/>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 xml:space="preserve">where are the key bottlenecks in that area? </w:t>
      </w:r>
    </w:p>
    <w:p w14:paraId="5D7A65E3" w14:textId="77777777" w:rsidR="00771DD2" w:rsidRPr="0044584F" w:rsidRDefault="00771DD2" w:rsidP="00567956">
      <w:pPr>
        <w:numPr>
          <w:ilvl w:val="1"/>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 xml:space="preserve">what effect have those had on effectiveness of GP investments? </w:t>
      </w:r>
    </w:p>
    <w:p w14:paraId="3BA38E7B" w14:textId="77777777" w:rsidR="00771DD2" w:rsidRPr="0044584F" w:rsidRDefault="00771DD2" w:rsidP="00567956">
      <w:pPr>
        <w:numPr>
          <w:ilvl w:val="0"/>
          <w:numId w:val="36"/>
        </w:numPr>
        <w:pBdr>
          <w:top w:val="nil"/>
          <w:left w:val="nil"/>
          <w:bottom w:val="nil"/>
          <w:right w:val="nil"/>
          <w:between w:val="nil"/>
        </w:pBdr>
        <w:spacing w:after="0" w:line="259" w:lineRule="auto"/>
        <w:rPr>
          <w:rFonts w:ascii="Arial" w:hAnsi="Arial" w:cs="Arial"/>
          <w:color w:val="000000"/>
        </w:rPr>
      </w:pPr>
      <w:r w:rsidRPr="0044584F">
        <w:rPr>
          <w:rFonts w:ascii="Arial" w:hAnsi="Arial" w:cs="Arial"/>
          <w:color w:val="000000"/>
        </w:rPr>
        <w:t>M&amp;E challenges have been alluded to – including country level capacity. What are key issues and their impact on GP?</w:t>
      </w:r>
    </w:p>
    <w:p w14:paraId="0C9DD66F" w14:textId="77777777" w:rsidR="00771DD2" w:rsidRPr="0044584F" w:rsidRDefault="00771DD2" w:rsidP="00567956">
      <w:pPr>
        <w:numPr>
          <w:ilvl w:val="0"/>
          <w:numId w:val="36"/>
        </w:numPr>
        <w:pBdr>
          <w:top w:val="nil"/>
          <w:left w:val="nil"/>
          <w:bottom w:val="nil"/>
          <w:right w:val="nil"/>
          <w:between w:val="nil"/>
        </w:pBdr>
        <w:spacing w:after="160" w:line="259" w:lineRule="auto"/>
        <w:rPr>
          <w:rFonts w:ascii="Arial" w:hAnsi="Arial" w:cs="Arial"/>
          <w:color w:val="000000"/>
        </w:rPr>
      </w:pPr>
      <w:r w:rsidRPr="0044584F">
        <w:rPr>
          <w:rFonts w:ascii="Arial" w:hAnsi="Arial" w:cs="Arial"/>
          <w:color w:val="000000"/>
        </w:rPr>
        <w:t xml:space="preserve">Ideas on what should be enhanced/added in GP Ph. 4 </w:t>
      </w:r>
    </w:p>
    <w:p w14:paraId="1E381A52" w14:textId="77777777" w:rsidR="00771DD2" w:rsidRPr="0044584F" w:rsidRDefault="00771DD2" w:rsidP="00567956">
      <w:pPr>
        <w:numPr>
          <w:ilvl w:val="0"/>
          <w:numId w:val="36"/>
        </w:numPr>
        <w:pBdr>
          <w:top w:val="nil"/>
          <w:left w:val="nil"/>
          <w:bottom w:val="nil"/>
          <w:right w:val="nil"/>
          <w:between w:val="nil"/>
        </w:pBdr>
        <w:spacing w:after="160" w:line="259" w:lineRule="auto"/>
        <w:rPr>
          <w:rFonts w:ascii="Arial" w:hAnsi="Arial" w:cs="Arial"/>
          <w:color w:val="000000"/>
        </w:rPr>
      </w:pPr>
      <w:r w:rsidRPr="0044584F">
        <w:rPr>
          <w:rFonts w:ascii="Arial" w:hAnsi="Arial" w:cs="Arial"/>
          <w:color w:val="000000"/>
        </w:rPr>
        <w:t>Recommendations of other key informants that we should consider, documents to be reviewed, avenues of investigation</w:t>
      </w:r>
    </w:p>
    <w:p w14:paraId="695685E4" w14:textId="77777777" w:rsidR="00771DD2" w:rsidRDefault="00771DD2" w:rsidP="00771DD2"/>
    <w:p w14:paraId="375B6E52" w14:textId="74317372" w:rsidR="00771DD2" w:rsidRPr="003A2003" w:rsidRDefault="00771DD2" w:rsidP="00567956">
      <w:pPr>
        <w:pStyle w:val="ListParagraph"/>
        <w:numPr>
          <w:ilvl w:val="0"/>
          <w:numId w:val="49"/>
        </w:numPr>
        <w:ind w:left="426"/>
        <w:rPr>
          <w:b/>
          <w:bCs/>
          <w:i/>
          <w:iCs/>
          <w:lang w:val="fr-HT"/>
        </w:rPr>
      </w:pPr>
      <w:r w:rsidRPr="003A2003">
        <w:rPr>
          <w:b/>
          <w:bCs/>
          <w:i/>
          <w:iCs/>
          <w:lang w:val="fr-HT"/>
        </w:rPr>
        <w:t>Questions for UN entities (global level)</w:t>
      </w:r>
    </w:p>
    <w:p w14:paraId="49A4083F" w14:textId="77777777" w:rsidR="00771DD2" w:rsidRPr="0044584F" w:rsidRDefault="00771DD2" w:rsidP="00567956">
      <w:pPr>
        <w:numPr>
          <w:ilvl w:val="0"/>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What has been your interaction (and that of your organization) with the GP, during which years? </w:t>
      </w:r>
    </w:p>
    <w:p w14:paraId="34DD252A"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How has the relationship changed over time? </w:t>
      </w:r>
    </w:p>
    <w:p w14:paraId="22E792A7" w14:textId="77777777" w:rsidR="00771DD2" w:rsidRPr="0044584F" w:rsidRDefault="00771DD2" w:rsidP="00567956">
      <w:pPr>
        <w:numPr>
          <w:ilvl w:val="0"/>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What is the added value of this Global Programme (if any)? </w:t>
      </w:r>
    </w:p>
    <w:p w14:paraId="28F1D4B4" w14:textId="77777777" w:rsidR="00771DD2" w:rsidRPr="0044584F" w:rsidRDefault="00771DD2" w:rsidP="00567956">
      <w:pPr>
        <w:pStyle w:val="ListParagraph"/>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How does the GP differ from the regular RoL/SDG16 work done by UNDP (and Missions)?</w:t>
      </w:r>
    </w:p>
    <w:p w14:paraId="6079D488"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what are its primary strengths and weaknesses?</w:t>
      </w:r>
    </w:p>
    <w:p w14:paraId="3CDB48C3"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How does this GP differ from other global programmes and initiatives?</w:t>
      </w:r>
    </w:p>
    <w:p w14:paraId="43833522"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Is the GFP adding any value in terms of inter-agency coordination/collaboration and if so, how?</w:t>
      </w:r>
    </w:p>
    <w:p w14:paraId="1B9A4075"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lang w:val="en-US"/>
        </w:rPr>
      </w:pPr>
      <w:r w:rsidRPr="0044584F">
        <w:rPr>
          <w:rFonts w:ascii="Arial" w:hAnsi="Arial" w:cs="Arial"/>
          <w:lang w:val="en-US"/>
        </w:rPr>
        <w:t xml:space="preserve">Vis-à-vis the PBF, is the GP always complementary or have there been incidents of “overlap” and rivalry? </w:t>
      </w:r>
    </w:p>
    <w:p w14:paraId="07A77996" w14:textId="77777777" w:rsidR="00771DD2" w:rsidRPr="0044584F" w:rsidRDefault="00771DD2" w:rsidP="00567956">
      <w:pPr>
        <w:numPr>
          <w:ilvl w:val="0"/>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Has the GP affected UNDP’s recognition/role in the ROLSHR sector globally in last five years? </w:t>
      </w:r>
    </w:p>
    <w:p w14:paraId="3EF021FF"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Has the GP modality added value to UNDP’s corporate offer on ROLSHR globally? If so, in what specific ways? (e.g. influencing strategic plan priorities, contributing to signature solutions, strengthening corporate monitoring, reporting, quality assurance, and communications)</w:t>
      </w:r>
    </w:p>
    <w:p w14:paraId="1D54F773"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What has been the contribution of GP3 to the Sustaining Peace and Prevention agendas of the Secretary-General?</w:t>
      </w:r>
      <w:r w:rsidRPr="0044584F">
        <w:rPr>
          <w:rFonts w:ascii="Arial" w:hAnsi="Arial" w:cs="Arial"/>
          <w:b/>
        </w:rPr>
        <w:t> </w:t>
      </w:r>
    </w:p>
    <w:p w14:paraId="5FA5B903"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Has the GP had any negative effects? on global or country level?</w:t>
      </w:r>
    </w:p>
    <w:p w14:paraId="73B797CE" w14:textId="77777777" w:rsidR="00771DD2" w:rsidRPr="0044584F" w:rsidRDefault="00771DD2" w:rsidP="00567956">
      <w:pPr>
        <w:numPr>
          <w:ilvl w:val="0"/>
          <w:numId w:val="37"/>
        </w:numPr>
        <w:pBdr>
          <w:top w:val="nil"/>
          <w:left w:val="nil"/>
          <w:bottom w:val="nil"/>
          <w:right w:val="nil"/>
          <w:between w:val="nil"/>
        </w:pBdr>
        <w:spacing w:after="0" w:line="240" w:lineRule="auto"/>
        <w:rPr>
          <w:rFonts w:ascii="Arial" w:hAnsi="Arial" w:cs="Arial"/>
        </w:rPr>
      </w:pPr>
      <w:r w:rsidRPr="0044584F">
        <w:rPr>
          <w:rFonts w:ascii="Arial" w:hAnsi="Arial" w:cs="Arial"/>
        </w:rPr>
        <w:t xml:space="preserve">How effectively has GP3 supported joint engagement: </w:t>
      </w:r>
    </w:p>
    <w:p w14:paraId="6547B35E" w14:textId="77777777" w:rsidR="00771DD2" w:rsidRPr="0044584F" w:rsidRDefault="00771DD2" w:rsidP="00567956">
      <w:pPr>
        <w:numPr>
          <w:ilvl w:val="1"/>
          <w:numId w:val="37"/>
        </w:numPr>
        <w:pBdr>
          <w:top w:val="nil"/>
          <w:left w:val="nil"/>
          <w:bottom w:val="nil"/>
          <w:right w:val="nil"/>
          <w:between w:val="nil"/>
        </w:pBdr>
        <w:spacing w:after="0" w:line="240" w:lineRule="auto"/>
        <w:rPr>
          <w:rFonts w:ascii="Arial" w:hAnsi="Arial" w:cs="Arial"/>
        </w:rPr>
      </w:pPr>
      <w:r w:rsidRPr="0044584F">
        <w:rPr>
          <w:rFonts w:ascii="Arial" w:hAnsi="Arial" w:cs="Arial"/>
        </w:rPr>
        <w:t xml:space="preserve">across different entities/agencies-funds-programmes within the UN (at HQ, regional and country level); </w:t>
      </w:r>
    </w:p>
    <w:p w14:paraId="0AB90EF8" w14:textId="77777777" w:rsidR="00771DD2" w:rsidRPr="0044584F" w:rsidRDefault="00771DD2" w:rsidP="00567956">
      <w:pPr>
        <w:numPr>
          <w:ilvl w:val="1"/>
          <w:numId w:val="37"/>
        </w:numPr>
        <w:pBdr>
          <w:top w:val="nil"/>
          <w:left w:val="nil"/>
          <w:bottom w:val="nil"/>
          <w:right w:val="nil"/>
          <w:between w:val="nil"/>
        </w:pBdr>
        <w:spacing w:after="0" w:line="240" w:lineRule="auto"/>
        <w:rPr>
          <w:rFonts w:ascii="Arial" w:hAnsi="Arial" w:cs="Arial"/>
        </w:rPr>
      </w:pPr>
      <w:r w:rsidRPr="0044584F">
        <w:rPr>
          <w:rFonts w:ascii="Arial" w:hAnsi="Arial" w:cs="Arial"/>
        </w:rPr>
        <w:t xml:space="preserve">across the “nexus” of political, development and humanitarian work; and </w:t>
      </w:r>
    </w:p>
    <w:p w14:paraId="787FF032" w14:textId="77777777" w:rsidR="00771DD2" w:rsidRPr="0044584F" w:rsidRDefault="00771DD2" w:rsidP="00567956">
      <w:pPr>
        <w:numPr>
          <w:ilvl w:val="1"/>
          <w:numId w:val="37"/>
        </w:numPr>
        <w:pBdr>
          <w:top w:val="nil"/>
          <w:left w:val="nil"/>
          <w:bottom w:val="nil"/>
          <w:right w:val="nil"/>
          <w:between w:val="nil"/>
        </w:pBdr>
        <w:shd w:val="clear" w:color="auto" w:fill="FFFFFF" w:themeFill="background1"/>
        <w:spacing w:after="0" w:line="240" w:lineRule="auto"/>
        <w:rPr>
          <w:rFonts w:ascii="Arial" w:hAnsi="Arial" w:cs="Arial"/>
          <w:lang w:val="fr-HT"/>
        </w:rPr>
      </w:pPr>
      <w:r w:rsidRPr="0044584F">
        <w:rPr>
          <w:rFonts w:ascii="Arial" w:hAnsi="Arial" w:cs="Arial"/>
          <w:color w:val="000000"/>
          <w:shd w:val="clear" w:color="auto" w:fill="FFFFFF" w:themeFill="background1"/>
          <w:lang w:val="fr-HT"/>
        </w:rPr>
        <w:t xml:space="preserve">vis-à-vis international donors </w:t>
      </w:r>
    </w:p>
    <w:p w14:paraId="5F2E9F87" w14:textId="77777777" w:rsidR="00771DD2" w:rsidRPr="0044584F" w:rsidRDefault="00771DD2" w:rsidP="00567956">
      <w:pPr>
        <w:numPr>
          <w:ilvl w:val="1"/>
          <w:numId w:val="37"/>
        </w:numPr>
        <w:pBdr>
          <w:top w:val="nil"/>
          <w:left w:val="nil"/>
          <w:bottom w:val="nil"/>
          <w:right w:val="nil"/>
          <w:between w:val="nil"/>
        </w:pBdr>
        <w:spacing w:after="0" w:line="240" w:lineRule="auto"/>
        <w:rPr>
          <w:rFonts w:ascii="Arial" w:hAnsi="Arial" w:cs="Arial"/>
        </w:rPr>
      </w:pPr>
      <w:r w:rsidRPr="0044584F">
        <w:rPr>
          <w:rFonts w:ascii="Arial" w:hAnsi="Arial" w:cs="Arial"/>
        </w:rPr>
        <w:t>What about coordination and partnership with national counterparts and donor partners? </w:t>
      </w:r>
    </w:p>
    <w:p w14:paraId="1AAAF781" w14:textId="77777777" w:rsidR="00771DD2" w:rsidRPr="0044584F" w:rsidRDefault="00771DD2" w:rsidP="00567956">
      <w:pPr>
        <w:pStyle w:val="ListParagraph"/>
        <w:numPr>
          <w:ilvl w:val="0"/>
          <w:numId w:val="37"/>
        </w:numPr>
        <w:spacing w:after="0" w:line="240" w:lineRule="auto"/>
        <w:rPr>
          <w:rFonts w:ascii="Arial" w:eastAsia="Arial" w:hAnsi="Arial" w:cs="Arial"/>
        </w:rPr>
      </w:pPr>
      <w:r w:rsidRPr="0044584F">
        <w:rPr>
          <w:rFonts w:ascii="Arial" w:hAnsi="Arial" w:cs="Arial"/>
        </w:rPr>
        <w:t xml:space="preserve">To what extent is the GP complementary to the ROL/SHR work of your organization (and others)? What are the dynamics across these platforms/entities in terms of synergies, catalytic effects, but potentially also rivalry!? </w:t>
      </w:r>
    </w:p>
    <w:p w14:paraId="2BE5D433" w14:textId="77777777" w:rsidR="00771DD2" w:rsidRPr="0044584F" w:rsidRDefault="00771DD2" w:rsidP="00567956">
      <w:pPr>
        <w:pStyle w:val="ListParagraph"/>
        <w:numPr>
          <w:ilvl w:val="1"/>
          <w:numId w:val="37"/>
        </w:numPr>
        <w:spacing w:after="0" w:line="240" w:lineRule="auto"/>
        <w:rPr>
          <w:rFonts w:ascii="Arial" w:eastAsia="Arial" w:hAnsi="Arial" w:cs="Arial"/>
        </w:rPr>
      </w:pPr>
      <w:r w:rsidRPr="0044584F">
        <w:rPr>
          <w:rFonts w:ascii="Arial" w:hAnsi="Arial" w:cs="Arial"/>
        </w:rPr>
        <w:t>How have these been affected by recent structural changes in the UN system?</w:t>
      </w:r>
    </w:p>
    <w:p w14:paraId="2B0A752E" w14:textId="77777777" w:rsidR="00771DD2" w:rsidRPr="0044584F" w:rsidRDefault="00771DD2" w:rsidP="00567956">
      <w:pPr>
        <w:numPr>
          <w:ilvl w:val="1"/>
          <w:numId w:val="37"/>
        </w:numPr>
        <w:pBdr>
          <w:top w:val="nil"/>
          <w:left w:val="nil"/>
          <w:bottom w:val="nil"/>
          <w:right w:val="nil"/>
          <w:between w:val="nil"/>
        </w:pBdr>
        <w:spacing w:after="0" w:line="240" w:lineRule="auto"/>
        <w:rPr>
          <w:rFonts w:ascii="Arial" w:hAnsi="Arial" w:cs="Arial"/>
        </w:rPr>
      </w:pPr>
      <w:r w:rsidRPr="0044584F">
        <w:rPr>
          <w:rFonts w:ascii="Arial" w:hAnsi="Arial" w:cs="Arial"/>
        </w:rPr>
        <w:t>How effective has GP3 been as a platform for financially and operationally supporting the GFP for Rule of Law (with DPO and other UN partners)? (usefulness and any drawbacks of the GFP mechanism)</w:t>
      </w:r>
    </w:p>
    <w:p w14:paraId="4B3E3895" w14:textId="77777777" w:rsidR="00771DD2" w:rsidRPr="0044584F" w:rsidRDefault="00771DD2" w:rsidP="00567956">
      <w:pPr>
        <w:numPr>
          <w:ilvl w:val="0"/>
          <w:numId w:val="37"/>
        </w:numPr>
        <w:pBdr>
          <w:top w:val="nil"/>
          <w:left w:val="nil"/>
          <w:bottom w:val="nil"/>
          <w:right w:val="nil"/>
          <w:between w:val="nil"/>
        </w:pBdr>
        <w:spacing w:after="0" w:line="259" w:lineRule="auto"/>
        <w:rPr>
          <w:rFonts w:ascii="Arial" w:hAnsi="Arial" w:cs="Arial"/>
        </w:rPr>
      </w:pPr>
      <w:r w:rsidRPr="0044584F">
        <w:rPr>
          <w:rFonts w:ascii="Arial" w:hAnsi="Arial" w:cs="Arial"/>
        </w:rPr>
        <w:t>Is GP financial support to countries/contexts used more as a booster/catalyst, a complementary mechanism, to fill gaps, for testing out new innovative ideas… or all of the above?</w:t>
      </w:r>
    </w:p>
    <w:p w14:paraId="2D0D81EC" w14:textId="77777777" w:rsidR="00771DD2" w:rsidRPr="0044584F" w:rsidRDefault="00771DD2" w:rsidP="00567956">
      <w:pPr>
        <w:pStyle w:val="ListParagraph"/>
        <w:numPr>
          <w:ilvl w:val="0"/>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What is your view of GP’s work on resource mobilization for the ROLSHR sector? </w:t>
      </w:r>
    </w:p>
    <w:p w14:paraId="7A3E13BF" w14:textId="77777777" w:rsidR="00771DD2" w:rsidRPr="0044584F" w:rsidRDefault="00771DD2" w:rsidP="00567956">
      <w:pPr>
        <w:pStyle w:val="ListParagraph"/>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To what extent has the idea of “seed funding” to catalyze other investments been successful? What has affected its success/failure? </w:t>
      </w:r>
    </w:p>
    <w:p w14:paraId="3A887E7F" w14:textId="77777777" w:rsidR="00771DD2" w:rsidRPr="0044584F" w:rsidRDefault="00771DD2" w:rsidP="00567956">
      <w:pPr>
        <w:pStyle w:val="ListParagraph"/>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How could limited amounts of funding per country have more impact?</w:t>
      </w:r>
    </w:p>
    <w:p w14:paraId="2169AE92" w14:textId="77777777" w:rsidR="00771DD2" w:rsidRPr="0044584F" w:rsidRDefault="00771DD2" w:rsidP="00567956">
      <w:pPr>
        <w:numPr>
          <w:ilvl w:val="0"/>
          <w:numId w:val="37"/>
        </w:numPr>
        <w:pBdr>
          <w:top w:val="nil"/>
          <w:left w:val="nil"/>
          <w:bottom w:val="nil"/>
          <w:right w:val="nil"/>
          <w:between w:val="nil"/>
        </w:pBdr>
        <w:spacing w:after="0" w:line="259" w:lineRule="auto"/>
        <w:rPr>
          <w:rFonts w:ascii="Arial" w:hAnsi="Arial" w:cs="Arial"/>
        </w:rPr>
      </w:pPr>
      <w:r w:rsidRPr="0044584F">
        <w:rPr>
          <w:rFonts w:ascii="Arial" w:hAnsi="Arial" w:cs="Arial"/>
          <w:highlight w:val="white"/>
        </w:rPr>
        <w:t xml:space="preserve">To what extent have GP3’s </w:t>
      </w:r>
      <w:r w:rsidRPr="0044584F">
        <w:rPr>
          <w:rFonts w:ascii="Arial" w:hAnsi="Arial" w:cs="Arial"/>
        </w:rPr>
        <w:t>management, operational, financial and administrative systems and structures positively or negatively affected programme implementation?  (SOPs, business processes, management of funds, etc.)</w:t>
      </w:r>
    </w:p>
    <w:p w14:paraId="6E5AE81C"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are there any key bottlenecks (describe these and respective effects)?</w:t>
      </w:r>
    </w:p>
    <w:p w14:paraId="3087688B"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What about best practices and lessons learned (describe these and their effects)? </w:t>
      </w:r>
    </w:p>
    <w:p w14:paraId="55C26566" w14:textId="77777777" w:rsidR="00771DD2" w:rsidRPr="0044584F" w:rsidRDefault="00771DD2" w:rsidP="00567956">
      <w:pPr>
        <w:numPr>
          <w:ilvl w:val="0"/>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How effectively does GP and broader UNDP reporting on ROLSHR present the results of the programming? (Has this evolved since 2015?) </w:t>
      </w:r>
    </w:p>
    <w:p w14:paraId="1DB8F025"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highlight w:val="white"/>
        </w:rPr>
        <w:t>To what extent does GP3 integrate results-based management?</w:t>
      </w:r>
    </w:p>
    <w:p w14:paraId="5AE1791B"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Follow-up: Do you see the value of a comprehensive ToC? please explain!</w:t>
      </w:r>
    </w:p>
    <w:p w14:paraId="16EFED75"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 xml:space="preserve">How could monitoring and reporting be improved or clarified?  </w:t>
      </w:r>
    </w:p>
    <w:p w14:paraId="0D756385" w14:textId="77777777" w:rsidR="00771DD2" w:rsidRPr="0044584F" w:rsidRDefault="00771DD2" w:rsidP="00567956">
      <w:pPr>
        <w:numPr>
          <w:ilvl w:val="1"/>
          <w:numId w:val="37"/>
        </w:numPr>
        <w:pBdr>
          <w:top w:val="nil"/>
          <w:left w:val="nil"/>
          <w:bottom w:val="nil"/>
          <w:right w:val="nil"/>
          <w:between w:val="nil"/>
        </w:pBdr>
        <w:spacing w:after="0" w:line="259" w:lineRule="auto"/>
        <w:rPr>
          <w:rFonts w:ascii="Arial" w:hAnsi="Arial" w:cs="Arial"/>
        </w:rPr>
      </w:pPr>
      <w:r w:rsidRPr="0044584F">
        <w:rPr>
          <w:rFonts w:ascii="Arial" w:hAnsi="Arial" w:cs="Arial"/>
        </w:rPr>
        <w:t>-Could KM and organizational learning be enhanced, and if so, how: and what role does the GP play in and for, the GPN/Global Policy Network?</w:t>
      </w:r>
    </w:p>
    <w:p w14:paraId="6B7799C4" w14:textId="77777777" w:rsidR="00771DD2" w:rsidRPr="0044584F" w:rsidRDefault="00771DD2" w:rsidP="00567956">
      <w:pPr>
        <w:numPr>
          <w:ilvl w:val="0"/>
          <w:numId w:val="37"/>
        </w:numPr>
        <w:pBdr>
          <w:top w:val="nil"/>
          <w:left w:val="nil"/>
          <w:bottom w:val="nil"/>
          <w:right w:val="nil"/>
          <w:between w:val="nil"/>
        </w:pBdr>
        <w:spacing w:after="160" w:line="259" w:lineRule="auto"/>
        <w:rPr>
          <w:rFonts w:ascii="Arial" w:hAnsi="Arial" w:cs="Arial"/>
        </w:rPr>
      </w:pPr>
      <w:r w:rsidRPr="0044584F">
        <w:rPr>
          <w:rFonts w:ascii="Arial" w:hAnsi="Arial" w:cs="Arial"/>
        </w:rPr>
        <w:t>Ideas on what should be enhanced/added in GP Ph. 4 – what should be the focus of the GP, considering its comparative strengths and the related work of other entities?</w:t>
      </w:r>
    </w:p>
    <w:p w14:paraId="6652D3BC" w14:textId="0ED2C2A8" w:rsidR="00771DD2" w:rsidRDefault="00771DD2" w:rsidP="00567956">
      <w:pPr>
        <w:numPr>
          <w:ilvl w:val="0"/>
          <w:numId w:val="37"/>
        </w:numPr>
        <w:pBdr>
          <w:top w:val="nil"/>
          <w:left w:val="nil"/>
          <w:bottom w:val="nil"/>
          <w:right w:val="nil"/>
          <w:between w:val="nil"/>
        </w:pBdr>
        <w:spacing w:after="160" w:line="259" w:lineRule="auto"/>
        <w:rPr>
          <w:rFonts w:ascii="Arial" w:hAnsi="Arial" w:cs="Arial"/>
        </w:rPr>
      </w:pPr>
      <w:r w:rsidRPr="0044584F">
        <w:rPr>
          <w:rFonts w:ascii="Arial" w:hAnsi="Arial" w:cs="Arial"/>
        </w:rPr>
        <w:t xml:space="preserve">Recommendations of other key informants that we should consider, documents to be reviewed, avenues of investigation… </w:t>
      </w:r>
    </w:p>
    <w:p w14:paraId="46826658" w14:textId="77777777" w:rsidR="003A2003" w:rsidRPr="0044584F" w:rsidRDefault="003A2003" w:rsidP="003A2003">
      <w:pPr>
        <w:pBdr>
          <w:top w:val="nil"/>
          <w:left w:val="nil"/>
          <w:bottom w:val="nil"/>
          <w:right w:val="nil"/>
          <w:between w:val="nil"/>
        </w:pBdr>
        <w:spacing w:after="160" w:line="259" w:lineRule="auto"/>
        <w:ind w:left="720"/>
        <w:rPr>
          <w:rFonts w:ascii="Arial" w:hAnsi="Arial" w:cs="Arial"/>
        </w:rPr>
      </w:pPr>
    </w:p>
    <w:p w14:paraId="7D15C211" w14:textId="0AC8A439" w:rsidR="00771DD2" w:rsidRPr="003A2003" w:rsidRDefault="00771DD2" w:rsidP="00567956">
      <w:pPr>
        <w:pStyle w:val="ListParagraph"/>
        <w:numPr>
          <w:ilvl w:val="0"/>
          <w:numId w:val="49"/>
        </w:numPr>
        <w:ind w:left="426"/>
        <w:rPr>
          <w:b/>
          <w:bCs/>
          <w:i/>
          <w:iCs/>
        </w:rPr>
      </w:pPr>
      <w:r w:rsidRPr="003A2003">
        <w:rPr>
          <w:b/>
          <w:bCs/>
          <w:i/>
          <w:iCs/>
        </w:rPr>
        <w:t>Questions for National Stakeholders (Case Study Countries)</w:t>
      </w:r>
    </w:p>
    <w:p w14:paraId="46C3131E" w14:textId="77777777" w:rsidR="00771DD2" w:rsidRPr="0044584F" w:rsidRDefault="00771DD2" w:rsidP="00771DD2">
      <w:pPr>
        <w:rPr>
          <w:rFonts w:ascii="Arial" w:hAnsi="Arial" w:cs="Arial"/>
        </w:rPr>
      </w:pPr>
      <w:r w:rsidRPr="0044584F">
        <w:rPr>
          <w:rFonts w:ascii="Arial" w:hAnsi="Arial" w:cs="Arial"/>
        </w:rPr>
        <w:t>(The following standard questions were adapted considerably to suit each context and each informant.)</w:t>
      </w:r>
    </w:p>
    <w:p w14:paraId="44C13300" w14:textId="77777777" w:rsidR="00771DD2" w:rsidRPr="0044584F" w:rsidRDefault="00771DD2" w:rsidP="00567956">
      <w:pPr>
        <w:numPr>
          <w:ilvl w:val="0"/>
          <w:numId w:val="38"/>
        </w:numPr>
        <w:pBdr>
          <w:top w:val="nil"/>
          <w:left w:val="nil"/>
          <w:bottom w:val="nil"/>
          <w:right w:val="nil"/>
          <w:between w:val="nil"/>
        </w:pBdr>
        <w:spacing w:line="259" w:lineRule="auto"/>
        <w:rPr>
          <w:rFonts w:ascii="Arial" w:hAnsi="Arial" w:cs="Arial"/>
        </w:rPr>
      </w:pPr>
      <w:r w:rsidRPr="0044584F">
        <w:rPr>
          <w:rFonts w:ascii="Arial" w:hAnsi="Arial" w:cs="Arial"/>
        </w:rPr>
        <w:t xml:space="preserve">What is your role in the ___ and how long have you held that position? </w:t>
      </w:r>
    </w:p>
    <w:p w14:paraId="42CE5D51" w14:textId="77777777" w:rsidR="00771DD2" w:rsidRPr="0044584F" w:rsidRDefault="00771DD2" w:rsidP="00567956">
      <w:pPr>
        <w:numPr>
          <w:ilvl w:val="0"/>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What is the scope of your/your entity’s involvement in ROLSHR in (country)? </w:t>
      </w:r>
    </w:p>
    <w:p w14:paraId="01DECFDC" w14:textId="77777777" w:rsidR="00771DD2" w:rsidRPr="0044584F" w:rsidRDefault="00771DD2" w:rsidP="00567956">
      <w:pPr>
        <w:numPr>
          <w:ilvl w:val="1"/>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what major areas of activity?</w:t>
      </w:r>
    </w:p>
    <w:p w14:paraId="5BD8DFD2" w14:textId="77777777" w:rsidR="00771DD2" w:rsidRPr="0044584F" w:rsidRDefault="00771DD2" w:rsidP="00567956">
      <w:pPr>
        <w:numPr>
          <w:ilvl w:val="1"/>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with which partners – national and otherwise? </w:t>
      </w:r>
    </w:p>
    <w:p w14:paraId="2A0F5E46" w14:textId="77777777" w:rsidR="00771DD2" w:rsidRPr="0044584F" w:rsidRDefault="00771DD2" w:rsidP="00567956">
      <w:pPr>
        <w:numPr>
          <w:ilvl w:val="0"/>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What has been your interaction with the UNDP during those years? </w:t>
      </w:r>
    </w:p>
    <w:p w14:paraId="2AA06BE3" w14:textId="77777777" w:rsidR="00771DD2" w:rsidRPr="0044584F" w:rsidRDefault="00771DD2" w:rsidP="00567956">
      <w:pPr>
        <w:numPr>
          <w:ilvl w:val="0"/>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How do you see the relevance of the UNDP’s ___ ROL project or activity? </w:t>
      </w:r>
    </w:p>
    <w:p w14:paraId="6757AFBD" w14:textId="77777777" w:rsidR="00771DD2" w:rsidRPr="0044584F" w:rsidRDefault="00771DD2" w:rsidP="00567956">
      <w:pPr>
        <w:numPr>
          <w:ilvl w:val="1"/>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does it respond to priorities of country? how do you know? </w:t>
      </w:r>
    </w:p>
    <w:p w14:paraId="29FDE26B" w14:textId="77777777" w:rsidR="00771DD2" w:rsidRPr="0044584F" w:rsidRDefault="00771DD2" w:rsidP="00567956">
      <w:pPr>
        <w:numPr>
          <w:ilvl w:val="1"/>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how do you perceive the national commitment to this project? </w:t>
      </w:r>
    </w:p>
    <w:p w14:paraId="0BE3E6E9" w14:textId="77777777" w:rsidR="00771DD2" w:rsidRPr="0044584F" w:rsidRDefault="00771DD2" w:rsidP="00567956">
      <w:pPr>
        <w:numPr>
          <w:ilvl w:val="1"/>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does it complement what others are doing? build on what was done before? </w:t>
      </w:r>
    </w:p>
    <w:p w14:paraId="411E296C" w14:textId="77777777" w:rsidR="00771DD2" w:rsidRPr="0044584F" w:rsidRDefault="00771DD2" w:rsidP="00567956">
      <w:pPr>
        <w:numPr>
          <w:ilvl w:val="1"/>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has it been flexible to respond to changing situations? </w:t>
      </w:r>
    </w:p>
    <w:p w14:paraId="3D27F797" w14:textId="77777777" w:rsidR="00771DD2" w:rsidRPr="0044584F" w:rsidRDefault="00771DD2" w:rsidP="00567956">
      <w:pPr>
        <w:numPr>
          <w:ilvl w:val="0"/>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What do you think of the quality of UNDP’s approach and implementation? </w:t>
      </w:r>
    </w:p>
    <w:p w14:paraId="41523026"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Is the project consistent with technical best practices? both design and implementation? </w:t>
      </w:r>
    </w:p>
    <w:p w14:paraId="090E08E9"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have any new lessons emerged, new effective practices? </w:t>
      </w:r>
    </w:p>
    <w:p w14:paraId="7A7883B8"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Is it consistent with gender equity and respect for human rights?</w:t>
      </w:r>
    </w:p>
    <w:p w14:paraId="7C622912"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Do you see any elements of innovation? </w:t>
      </w:r>
    </w:p>
    <w:p w14:paraId="5CCE81DC"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what could be improved? </w:t>
      </w:r>
    </w:p>
    <w:p w14:paraId="7958CB88" w14:textId="77777777" w:rsidR="00771DD2" w:rsidRPr="0044584F" w:rsidRDefault="00771DD2" w:rsidP="00567956">
      <w:pPr>
        <w:numPr>
          <w:ilvl w:val="0"/>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What has changed as a result of the UNDP’s work on this project? </w:t>
      </w:r>
    </w:p>
    <w:p w14:paraId="5E850ED9"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can we already see any long term change, something sustainable? </w:t>
      </w:r>
    </w:p>
    <w:p w14:paraId="31979125"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what will affect sustainability? </w:t>
      </w:r>
    </w:p>
    <w:p w14:paraId="1EA80B04"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have any new resources been identified or mobilized to continue the UNDP’s short term investment in this project? (ask for details – could be donor, government, etc.) </w:t>
      </w:r>
    </w:p>
    <w:p w14:paraId="2FBB5260"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what else is needed to ensure that these positive changes are not reversed? </w:t>
      </w:r>
    </w:p>
    <w:p w14:paraId="4053F003" w14:textId="77777777" w:rsidR="00771DD2" w:rsidRPr="0044584F" w:rsidRDefault="00771DD2" w:rsidP="00567956">
      <w:pPr>
        <w:numPr>
          <w:ilvl w:val="0"/>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How do you see the coordination by UNDP with other UN entities? </w:t>
      </w:r>
    </w:p>
    <w:p w14:paraId="6F2B7356"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what about with other donors and with government? </w:t>
      </w:r>
    </w:p>
    <w:p w14:paraId="70F498AF"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Is UNDP a focal point or leader of coordination bodies?</w:t>
      </w:r>
    </w:p>
    <w:p w14:paraId="729267E2" w14:textId="77777777" w:rsidR="00771DD2" w:rsidRPr="0044584F" w:rsidRDefault="00771DD2" w:rsidP="00567956">
      <w:pPr>
        <w:numPr>
          <w:ilvl w:val="1"/>
          <w:numId w:val="38"/>
        </w:numPr>
        <w:pBdr>
          <w:top w:val="nil"/>
          <w:left w:val="nil"/>
          <w:bottom w:val="nil"/>
          <w:right w:val="nil"/>
          <w:between w:val="nil"/>
        </w:pBdr>
        <w:spacing w:line="240" w:lineRule="auto"/>
        <w:ind w:hanging="357"/>
        <w:rPr>
          <w:rFonts w:ascii="Arial" w:hAnsi="Arial" w:cs="Arial"/>
        </w:rPr>
      </w:pPr>
      <w:r w:rsidRPr="0044584F">
        <w:rPr>
          <w:rFonts w:ascii="Arial" w:hAnsi="Arial" w:cs="Arial"/>
        </w:rPr>
        <w:t xml:space="preserve">Examples of positive coordination, or overlaps/confusion/competition? </w:t>
      </w:r>
    </w:p>
    <w:p w14:paraId="75A8421C" w14:textId="77777777" w:rsidR="00771DD2" w:rsidRPr="0044584F" w:rsidRDefault="00771DD2" w:rsidP="00567956">
      <w:pPr>
        <w:numPr>
          <w:ilvl w:val="0"/>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Ideas on what should be enhanced/added future UNDP programming in ROLSHR, considering its comparative strengths and the related work of other entities?</w:t>
      </w:r>
    </w:p>
    <w:p w14:paraId="23599251" w14:textId="171C0E6E" w:rsidR="00771DD2" w:rsidRDefault="00771DD2" w:rsidP="00567956">
      <w:pPr>
        <w:numPr>
          <w:ilvl w:val="0"/>
          <w:numId w:val="38"/>
        </w:numPr>
        <w:pBdr>
          <w:top w:val="nil"/>
          <w:left w:val="nil"/>
          <w:bottom w:val="nil"/>
          <w:right w:val="nil"/>
          <w:between w:val="nil"/>
        </w:pBdr>
        <w:spacing w:line="259" w:lineRule="auto"/>
        <w:ind w:hanging="357"/>
        <w:rPr>
          <w:rFonts w:ascii="Arial" w:hAnsi="Arial" w:cs="Arial"/>
        </w:rPr>
      </w:pPr>
      <w:r w:rsidRPr="0044584F">
        <w:rPr>
          <w:rFonts w:ascii="Arial" w:hAnsi="Arial" w:cs="Arial"/>
        </w:rPr>
        <w:t xml:space="preserve">Recommendations of other key informants that we should consider, avenues of investigation… </w:t>
      </w:r>
    </w:p>
    <w:p w14:paraId="2A6255FF" w14:textId="77777777" w:rsidR="00771DD2" w:rsidRDefault="00771DD2">
      <w:pPr>
        <w:rPr>
          <w:rFonts w:ascii="Arial" w:hAnsi="Arial" w:cs="Arial"/>
        </w:rPr>
      </w:pPr>
      <w:r>
        <w:rPr>
          <w:rFonts w:ascii="Arial" w:hAnsi="Arial" w:cs="Arial"/>
        </w:rPr>
        <w:br w:type="page"/>
      </w:r>
    </w:p>
    <w:p w14:paraId="3EF37DA7" w14:textId="77777777" w:rsidR="00771DD2" w:rsidRPr="00851AAA" w:rsidRDefault="00771DD2" w:rsidP="00771DD2">
      <w:pPr>
        <w:pStyle w:val="Heading2"/>
      </w:pPr>
      <w:bookmarkStart w:id="63" w:name="_Ref70154382"/>
      <w:bookmarkStart w:id="64" w:name="_Toc71701910"/>
      <w:r>
        <w:t xml:space="preserve">Annex 10: </w:t>
      </w:r>
      <w:r w:rsidRPr="00851AAA">
        <w:t>Documents Reviewed for Evaluation</w:t>
      </w:r>
      <w:bookmarkEnd w:id="63"/>
      <w:bookmarkEnd w:id="64"/>
    </w:p>
    <w:p w14:paraId="1E2836C8" w14:textId="77777777" w:rsidR="00771DD2" w:rsidRPr="0068529C" w:rsidRDefault="00771DD2" w:rsidP="00771DD2">
      <w:pPr>
        <w:rPr>
          <w:rFonts w:ascii="Arial" w:hAnsi="Arial" w:cs="Arial"/>
          <w:b/>
          <w:bCs/>
          <w:sz w:val="22"/>
          <w:szCs w:val="22"/>
        </w:rPr>
      </w:pPr>
      <w:r w:rsidRPr="0068529C">
        <w:rPr>
          <w:rFonts w:ascii="Arial" w:hAnsi="Arial" w:cs="Arial"/>
          <w:b/>
          <w:bCs/>
          <w:sz w:val="22"/>
          <w:szCs w:val="22"/>
        </w:rPr>
        <w:t>UNDP Documents</w:t>
      </w:r>
    </w:p>
    <w:p w14:paraId="07CA493D"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Prodoc for Global Programme Phase 3, 2015</w:t>
      </w:r>
    </w:p>
    <w:p w14:paraId="76684D93"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Prodoc for Global Programme Phase 2, 2011</w:t>
      </w:r>
    </w:p>
    <w:p w14:paraId="1A74E4E2"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 xml:space="preserve">Global Programme annual reports 2016-2019 </w:t>
      </w:r>
    </w:p>
    <w:p w14:paraId="117D7BE9"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UNDP Strategic Plans, 2014-17 and 2018-21</w:t>
      </w:r>
    </w:p>
    <w:p w14:paraId="160749E7"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Outcome summary report from online consultations on “The Future We Want To See: Re-imagining Rule Of Law, Security and Human Rights and the Inclusive Social Contract”</w:t>
      </w:r>
    </w:p>
    <w:p w14:paraId="30AAD57F"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Pipeline funding request templates (annex for and GFP-specific requests), 2021</w:t>
      </w:r>
    </w:p>
    <w:p w14:paraId="24CD33EB"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 xml:space="preserve">Pipeline allocations table by country, 2017-2020 </w:t>
      </w:r>
    </w:p>
    <w:p w14:paraId="6F4D7C7C"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Pipeline requests and approvals lists, 1</w:t>
      </w:r>
      <w:r w:rsidRPr="0068529C">
        <w:rPr>
          <w:rFonts w:ascii="Arial" w:eastAsia="Times New Roman" w:hAnsi="Arial" w:cs="Arial"/>
          <w:sz w:val="22"/>
          <w:szCs w:val="22"/>
          <w:vertAlign w:val="superscript"/>
          <w:lang w:val="en-US"/>
        </w:rPr>
        <w:t>st</w:t>
      </w:r>
      <w:r w:rsidRPr="0068529C">
        <w:rPr>
          <w:rFonts w:ascii="Arial" w:eastAsia="Times New Roman" w:hAnsi="Arial" w:cs="Arial"/>
          <w:sz w:val="22"/>
          <w:szCs w:val="22"/>
          <w:lang w:val="en-US"/>
        </w:rPr>
        <w:t xml:space="preserve"> quarter 2017 and January 2021</w:t>
      </w:r>
    </w:p>
    <w:p w14:paraId="0AAD9125"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Donor contribution table, 2016-2020</w:t>
      </w:r>
    </w:p>
    <w:p w14:paraId="3FA5E1BA"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ROLSHR Team Organigramme, as of 2020</w:t>
      </w:r>
    </w:p>
    <w:p w14:paraId="59D179A1"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ROLSHR Focal Points table</w:t>
      </w:r>
    </w:p>
    <w:p w14:paraId="54340641"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hAnsi="Arial" w:cs="Arial"/>
          <w:color w:val="000000"/>
          <w:sz w:val="22"/>
          <w:szCs w:val="22"/>
        </w:rPr>
      </w:pPr>
      <w:r w:rsidRPr="0068529C">
        <w:rPr>
          <w:rFonts w:ascii="Arial" w:eastAsia="Times New Roman" w:hAnsi="Arial" w:cs="Arial"/>
          <w:sz w:val="22"/>
          <w:szCs w:val="22"/>
          <w:lang w:val="en-US"/>
        </w:rPr>
        <w:t>Note on Financial Architecture of GP3, 2017</w:t>
      </w:r>
    </w:p>
    <w:p w14:paraId="6AE0D39D"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hAnsi="Arial" w:cs="Arial"/>
          <w:color w:val="000000"/>
          <w:sz w:val="22"/>
          <w:szCs w:val="22"/>
        </w:rPr>
      </w:pPr>
      <w:r w:rsidRPr="0068529C">
        <w:rPr>
          <w:rFonts w:ascii="Arial" w:hAnsi="Arial" w:cs="Arial"/>
          <w:color w:val="000000"/>
          <w:sz w:val="22"/>
          <w:szCs w:val="22"/>
        </w:rPr>
        <w:t xml:space="preserve">Standard Operating Procedures: Donor Contribution Agreements, 2020 </w:t>
      </w:r>
    </w:p>
    <w:p w14:paraId="4E230C5F"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hAnsi="Arial" w:cs="Arial"/>
          <w:color w:val="000000"/>
          <w:sz w:val="22"/>
          <w:szCs w:val="22"/>
        </w:rPr>
        <w:t>Standard Operating Procedures: Funding Allocations and Financial Authorizations, 2020</w:t>
      </w:r>
    </w:p>
    <w:p w14:paraId="319E665D"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Guidelines on Funding Decisions and Allocations, 2020</w:t>
      </w:r>
    </w:p>
    <w:p w14:paraId="24C9CD10"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Phase 3 GP and GFP priority country lists</w:t>
      </w:r>
    </w:p>
    <w:p w14:paraId="6CCC9908" w14:textId="77777777" w:rsidR="00771DD2" w:rsidRPr="0068529C" w:rsidRDefault="00771DD2" w:rsidP="00567956">
      <w:pPr>
        <w:pStyle w:val="ListParagraph"/>
        <w:numPr>
          <w:ilvl w:val="0"/>
          <w:numId w:val="40"/>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Annual GFP highlights brochures, 2019 and 2020</w:t>
      </w:r>
    </w:p>
    <w:p w14:paraId="0017A6EB"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Access to Justice Practice Note, 2004</w:t>
      </w:r>
    </w:p>
    <w:p w14:paraId="266B4523"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hAnsi="Arial" w:cs="Arial"/>
          <w:color w:val="000000"/>
          <w:sz w:val="22"/>
          <w:szCs w:val="22"/>
        </w:rPr>
      </w:pPr>
      <w:r w:rsidRPr="0068529C">
        <w:rPr>
          <w:rFonts w:ascii="Arial" w:hAnsi="Arial" w:cs="Arial"/>
          <w:color w:val="231F20"/>
          <w:sz w:val="22"/>
          <w:szCs w:val="22"/>
        </w:rPr>
        <w:t>UNDP Practitioner’s Guide, Programming for Justice: Access for All, 2005</w:t>
      </w:r>
    </w:p>
    <w:p w14:paraId="7C48194B"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hAnsi="Arial" w:cs="Arial"/>
          <w:sz w:val="22"/>
          <w:szCs w:val="22"/>
        </w:rPr>
      </w:pPr>
      <w:r w:rsidRPr="0068529C">
        <w:rPr>
          <w:rFonts w:ascii="Arial" w:eastAsia="Times New Roman" w:hAnsi="Arial" w:cs="Arial"/>
          <w:sz w:val="22"/>
          <w:szCs w:val="22"/>
          <w:lang w:val="en-US"/>
        </w:rPr>
        <w:t>Various guidance notes and thematic publications related to Covid-19 situation, 2020</w:t>
      </w:r>
    </w:p>
    <w:p w14:paraId="74FF47F5"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sz w:val="22"/>
          <w:szCs w:val="22"/>
        </w:rPr>
        <w:t>Results Oriented Analysis Report (ROAR) Guidance Note, updated 2018</w:t>
      </w:r>
    </w:p>
    <w:p w14:paraId="007869A2"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Methodological Notes for various UNDP Strategic Plan IRRF indicators, 2015 and 2018</w:t>
      </w:r>
    </w:p>
    <w:p w14:paraId="2679276C"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hAnsi="Arial" w:cs="Arial"/>
          <w:color w:val="000000"/>
          <w:sz w:val="22"/>
          <w:szCs w:val="22"/>
        </w:rPr>
      </w:pPr>
      <w:r w:rsidRPr="0068529C">
        <w:rPr>
          <w:rFonts w:ascii="Arial" w:hAnsi="Arial" w:cs="Arial"/>
          <w:color w:val="231F20"/>
          <w:sz w:val="22"/>
          <w:szCs w:val="22"/>
        </w:rPr>
        <w:t xml:space="preserve">Terms of Reference for Global Programme Project Board and Partner Advisory Group, </w:t>
      </w:r>
      <w:r w:rsidRPr="0068529C">
        <w:rPr>
          <w:rFonts w:ascii="Arial" w:hAnsi="Arial" w:cs="Arial"/>
          <w:color w:val="000000"/>
          <w:sz w:val="22"/>
          <w:szCs w:val="22"/>
        </w:rPr>
        <w:t>November 2016</w:t>
      </w:r>
    </w:p>
    <w:p w14:paraId="10EA1D3A"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color w:val="000000"/>
          <w:sz w:val="22"/>
          <w:szCs w:val="22"/>
        </w:rPr>
        <w:t>GP Partners Advisory Group meeting minutes, 1 July 2020</w:t>
      </w:r>
    </w:p>
    <w:p w14:paraId="006FE186"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Terms of Reference for Clingendael Institute for “</w:t>
      </w:r>
      <w:r w:rsidRPr="0068529C">
        <w:rPr>
          <w:rFonts w:ascii="Arial" w:hAnsi="Arial" w:cs="Arial"/>
          <w:sz w:val="22"/>
          <w:szCs w:val="22"/>
          <w:lang w:val="en-GB"/>
        </w:rPr>
        <w:t xml:space="preserve">Developing a theory of change for RoLJSHR Global Programme Phase 3”, 2016, and </w:t>
      </w:r>
      <w:r w:rsidRPr="0068529C">
        <w:rPr>
          <w:rFonts w:ascii="Arial" w:eastAsia="Times New Roman" w:hAnsi="Arial" w:cs="Arial"/>
          <w:sz w:val="22"/>
          <w:szCs w:val="22"/>
          <w:lang w:val="en-US"/>
        </w:rPr>
        <w:t>Report by Clingendael Institute, 2017</w:t>
      </w:r>
    </w:p>
    <w:p w14:paraId="5F2B8A49"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Terms of Reference for various ROLSHR team staff positions</w:t>
      </w:r>
    </w:p>
    <w:p w14:paraId="24650859"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sz w:val="22"/>
          <w:szCs w:val="22"/>
        </w:rPr>
        <w:t>Why, what and how to measure? A user’s guide to measuring rule of law, justice and security programmes, UNDP, undated</w:t>
      </w:r>
    </w:p>
    <w:p w14:paraId="52FE024B"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sz w:val="22"/>
          <w:szCs w:val="22"/>
        </w:rPr>
        <w:t>UNDP Evaluation Guidelines, 2019</w:t>
      </w:r>
    </w:p>
    <w:p w14:paraId="75AAC76B" w14:textId="77777777" w:rsidR="00771DD2" w:rsidRPr="0068529C" w:rsidRDefault="00771DD2" w:rsidP="00567956">
      <w:pPr>
        <w:pStyle w:val="ListParagraph"/>
        <w:numPr>
          <w:ilvl w:val="0"/>
          <w:numId w:val="40"/>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sz w:val="22"/>
          <w:szCs w:val="22"/>
        </w:rPr>
        <w:t xml:space="preserve">Various documents related to UNDP ROLSHR programming in case study countries, including but not limited to: Country Programme Documents, project documents for relevant interventions, reports to donors, GP funding request documents, annual workplans, etc. </w:t>
      </w:r>
    </w:p>
    <w:p w14:paraId="33B13B59" w14:textId="77777777" w:rsidR="00771DD2" w:rsidRPr="0068529C" w:rsidRDefault="00771DD2" w:rsidP="00771DD2">
      <w:pPr>
        <w:rPr>
          <w:rFonts w:ascii="Arial" w:hAnsi="Arial" w:cs="Arial"/>
          <w:sz w:val="22"/>
          <w:szCs w:val="22"/>
          <w:lang w:val="en-US"/>
        </w:rPr>
      </w:pPr>
    </w:p>
    <w:p w14:paraId="313E9954" w14:textId="77777777" w:rsidR="00771DD2" w:rsidRPr="0068529C" w:rsidRDefault="00771DD2" w:rsidP="00771DD2">
      <w:pPr>
        <w:rPr>
          <w:rFonts w:ascii="Arial" w:hAnsi="Arial" w:cs="Arial"/>
          <w:b/>
          <w:bCs/>
          <w:sz w:val="22"/>
          <w:szCs w:val="22"/>
          <w:lang w:val="en-US"/>
        </w:rPr>
      </w:pPr>
      <w:r w:rsidRPr="0068529C">
        <w:rPr>
          <w:rFonts w:ascii="Arial" w:hAnsi="Arial" w:cs="Arial"/>
          <w:b/>
          <w:bCs/>
          <w:sz w:val="22"/>
          <w:szCs w:val="22"/>
          <w:lang w:val="en-US"/>
        </w:rPr>
        <w:t>Other Documents</w:t>
      </w:r>
    </w:p>
    <w:p w14:paraId="498CF6BE"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Review of the Global Focal Point for Police, Justice, and Corrections, August 2018</w:t>
      </w:r>
    </w:p>
    <w:p w14:paraId="3FE2BEF3"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ISSAT reports on country evaluations in Colombia, CAR, Jordan, Palestine and Guinea Bissau, and terms of reference for second CAR evaluation (in process)</w:t>
      </w:r>
    </w:p>
    <w:p w14:paraId="78C447A4" w14:textId="77777777" w:rsidR="00771DD2" w:rsidRPr="0068529C" w:rsidRDefault="00771DD2" w:rsidP="00567956">
      <w:pPr>
        <w:pStyle w:val="ListParagraph"/>
        <w:numPr>
          <w:ilvl w:val="0"/>
          <w:numId w:val="39"/>
        </w:numPr>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ISSAT interim reports to GP management, 2018 and 2019</w:t>
      </w:r>
    </w:p>
    <w:p w14:paraId="1CFD56D7" w14:textId="77777777" w:rsidR="00771DD2" w:rsidRPr="0068529C" w:rsidRDefault="00771DD2" w:rsidP="00567956">
      <w:pPr>
        <w:pStyle w:val="ListParagraph"/>
        <w:numPr>
          <w:ilvl w:val="0"/>
          <w:numId w:val="39"/>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eastAsia="MyriadPro-Regular" w:hAnsi="Arial" w:cs="Arial"/>
          <w:sz w:val="22"/>
          <w:szCs w:val="22"/>
        </w:rPr>
        <w:t>United Nations Rule of Law Indicators, Implementation Guide and Tools, first edition 2011</w:t>
      </w:r>
    </w:p>
    <w:p w14:paraId="3DF93E1D" w14:textId="77777777" w:rsidR="00771DD2" w:rsidRPr="0068529C" w:rsidRDefault="00771DD2" w:rsidP="00567956">
      <w:pPr>
        <w:pStyle w:val="ListParagraph"/>
        <w:numPr>
          <w:ilvl w:val="0"/>
          <w:numId w:val="39"/>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sz w:val="22"/>
          <w:szCs w:val="22"/>
        </w:rPr>
        <w:t>Catalytic Programming and the Peacebuilding Fund: A Concept Note for the UNPBF Advisory Group: Final Draft, 2010</w:t>
      </w:r>
    </w:p>
    <w:p w14:paraId="1D4FA70E" w14:textId="77777777" w:rsidR="00DD6062" w:rsidRDefault="00771DD2" w:rsidP="00DD6062">
      <w:pPr>
        <w:pStyle w:val="Default"/>
        <w:numPr>
          <w:ilvl w:val="0"/>
          <w:numId w:val="39"/>
        </w:numPr>
        <w:rPr>
          <w:rFonts w:ascii="Arial" w:hAnsi="Arial" w:cs="Arial"/>
          <w:sz w:val="22"/>
          <w:szCs w:val="22"/>
        </w:rPr>
      </w:pPr>
      <w:r w:rsidRPr="0068529C">
        <w:rPr>
          <w:rFonts w:ascii="Arial" w:hAnsi="Arial" w:cs="Arial"/>
          <w:sz w:val="22"/>
          <w:szCs w:val="22"/>
        </w:rPr>
        <w:t>Peacebuilding Fund Strategy 2020-24</w:t>
      </w:r>
      <w:r w:rsidR="00DD6062" w:rsidRPr="00DD6062">
        <w:rPr>
          <w:rFonts w:ascii="Arial" w:hAnsi="Arial" w:cs="Arial"/>
          <w:sz w:val="22"/>
          <w:szCs w:val="22"/>
        </w:rPr>
        <w:t xml:space="preserve"> </w:t>
      </w:r>
    </w:p>
    <w:p w14:paraId="26AFE44E" w14:textId="6061A6FA" w:rsidR="00DD6062" w:rsidRPr="0068529C" w:rsidRDefault="00DD6062" w:rsidP="00DD6062">
      <w:pPr>
        <w:pStyle w:val="Default"/>
        <w:numPr>
          <w:ilvl w:val="0"/>
          <w:numId w:val="39"/>
        </w:numPr>
        <w:rPr>
          <w:rFonts w:ascii="Arial" w:hAnsi="Arial" w:cs="Arial"/>
          <w:sz w:val="22"/>
          <w:szCs w:val="22"/>
        </w:rPr>
      </w:pPr>
      <w:r w:rsidRPr="0068529C">
        <w:rPr>
          <w:rFonts w:ascii="Arial" w:hAnsi="Arial" w:cs="Arial"/>
          <w:sz w:val="22"/>
          <w:szCs w:val="22"/>
        </w:rPr>
        <w:t>Peacebuilding Fund Guidance Note on Gender Marker Scoring, 2019</w:t>
      </w:r>
    </w:p>
    <w:p w14:paraId="1DD0A75E" w14:textId="44D64B25" w:rsidR="00771DD2" w:rsidRPr="0068529C" w:rsidRDefault="00DD6062" w:rsidP="00DD6062">
      <w:pPr>
        <w:pStyle w:val="ListParagraph"/>
        <w:numPr>
          <w:ilvl w:val="0"/>
          <w:numId w:val="39"/>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sz w:val="22"/>
          <w:szCs w:val="22"/>
        </w:rPr>
        <w:t>Peacebuilding Fund concept note template, 2018</w:t>
      </w:r>
    </w:p>
    <w:p w14:paraId="4D4A7C63" w14:textId="77777777" w:rsidR="00771DD2" w:rsidRPr="0068529C" w:rsidRDefault="00771DD2" w:rsidP="00567956">
      <w:pPr>
        <w:pStyle w:val="ListParagraph"/>
        <w:numPr>
          <w:ilvl w:val="0"/>
          <w:numId w:val="39"/>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sz w:val="22"/>
          <w:szCs w:val="22"/>
        </w:rPr>
        <w:t>Standard Operating Procedures for the Management Committee of the Tri-Partite Partnership to support National Human Rights Institutions, 2018</w:t>
      </w:r>
    </w:p>
    <w:p w14:paraId="3D92B1FD" w14:textId="77777777" w:rsidR="00771DD2" w:rsidRPr="0068529C" w:rsidRDefault="00771DD2" w:rsidP="00567956">
      <w:pPr>
        <w:pStyle w:val="ListParagraph"/>
        <w:numPr>
          <w:ilvl w:val="0"/>
          <w:numId w:val="39"/>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sz w:val="22"/>
          <w:szCs w:val="22"/>
        </w:rPr>
        <w:t>Tri-Partite Partnership to support National Human Rights Institutions brochure, 2018</w:t>
      </w:r>
    </w:p>
    <w:p w14:paraId="3FC31073" w14:textId="77777777" w:rsidR="00771DD2" w:rsidRPr="0068529C" w:rsidRDefault="00771DD2" w:rsidP="00567956">
      <w:pPr>
        <w:pStyle w:val="ListParagraph"/>
        <w:numPr>
          <w:ilvl w:val="0"/>
          <w:numId w:val="39"/>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hAnsi="Arial" w:cs="Arial"/>
          <w:color w:val="2C2C2C"/>
          <w:sz w:val="22"/>
          <w:szCs w:val="22"/>
        </w:rPr>
        <w:t>Global Alliance for Reporting Progress on Peaceful, Just and Inclusive Societies brochure, undated</w:t>
      </w:r>
    </w:p>
    <w:p w14:paraId="395AE7F1" w14:textId="77777777" w:rsidR="00771DD2" w:rsidRPr="00A24EEB" w:rsidRDefault="00771DD2" w:rsidP="00567956">
      <w:pPr>
        <w:pStyle w:val="NormalWeb"/>
        <w:numPr>
          <w:ilvl w:val="0"/>
          <w:numId w:val="39"/>
        </w:numPr>
        <w:autoSpaceDE w:val="0"/>
        <w:autoSpaceDN w:val="0"/>
        <w:adjustRightInd w:val="0"/>
        <w:spacing w:after="0"/>
        <w:rPr>
          <w:rFonts w:ascii="Arial" w:hAnsi="Arial" w:cs="Arial"/>
          <w:color w:val="000000"/>
          <w:sz w:val="22"/>
          <w:szCs w:val="22"/>
          <w:lang w:val="en-US"/>
        </w:rPr>
      </w:pPr>
      <w:r w:rsidRPr="00A24EEB">
        <w:rPr>
          <w:rStyle w:val="Strong"/>
          <w:rFonts w:ascii="Arial" w:hAnsi="Arial" w:cs="Arial"/>
          <w:b w:val="0"/>
          <w:bCs w:val="0"/>
          <w:sz w:val="22"/>
          <w:szCs w:val="22"/>
          <w:lang w:val="en-US"/>
        </w:rPr>
        <w:t>The Evolving Role of Rule of Law Support in UN Peace Operations, article b</w:t>
      </w:r>
      <w:r w:rsidRPr="0068529C">
        <w:rPr>
          <w:rFonts w:ascii="Arial" w:hAnsi="Arial" w:cs="Arial"/>
          <w:sz w:val="22"/>
          <w:szCs w:val="22"/>
          <w:lang w:val="en"/>
        </w:rPr>
        <w:t>y Robert A. Pulver</w:t>
      </w:r>
    </w:p>
    <w:p w14:paraId="6F80CC0F" w14:textId="77777777" w:rsidR="00771DD2" w:rsidRPr="00A24EEB" w:rsidRDefault="00771DD2" w:rsidP="00567956">
      <w:pPr>
        <w:pStyle w:val="NormalWeb"/>
        <w:numPr>
          <w:ilvl w:val="0"/>
          <w:numId w:val="39"/>
        </w:numPr>
        <w:autoSpaceDE w:val="0"/>
        <w:autoSpaceDN w:val="0"/>
        <w:adjustRightInd w:val="0"/>
        <w:rPr>
          <w:rFonts w:ascii="Arial" w:hAnsi="Arial" w:cs="Arial"/>
          <w:color w:val="000000"/>
          <w:sz w:val="22"/>
          <w:szCs w:val="22"/>
          <w:lang w:val="en-US"/>
        </w:rPr>
      </w:pPr>
      <w:r w:rsidRPr="0068529C">
        <w:rPr>
          <w:rFonts w:ascii="Arial" w:eastAsiaTheme="minorHAnsi" w:hAnsi="Arial" w:cs="Arial"/>
          <w:color w:val="000000"/>
          <w:sz w:val="22"/>
          <w:szCs w:val="22"/>
          <w:lang w:val="en-CA"/>
        </w:rPr>
        <w:t xml:space="preserve">Report of the Secretary-General on </w:t>
      </w:r>
      <w:r w:rsidRPr="00A24EEB">
        <w:rPr>
          <w:rFonts w:ascii="Arial" w:hAnsi="Arial" w:cs="Arial"/>
          <w:color w:val="000000"/>
          <w:sz w:val="22"/>
          <w:szCs w:val="22"/>
          <w:lang w:val="en-US"/>
        </w:rPr>
        <w:t>Strengthening and Coordinating United Nations rule of law activities, July 2019</w:t>
      </w:r>
    </w:p>
    <w:p w14:paraId="3B214E8A" w14:textId="77777777" w:rsidR="00771DD2" w:rsidRPr="0068529C" w:rsidRDefault="00771DD2" w:rsidP="00567956">
      <w:pPr>
        <w:pStyle w:val="ListParagraph"/>
        <w:numPr>
          <w:ilvl w:val="0"/>
          <w:numId w:val="39"/>
        </w:numPr>
        <w:autoSpaceDE w:val="0"/>
        <w:autoSpaceDN w:val="0"/>
        <w:adjustRightInd w:val="0"/>
        <w:spacing w:after="0" w:line="240" w:lineRule="auto"/>
        <w:contextualSpacing w:val="0"/>
        <w:rPr>
          <w:rFonts w:ascii="Arial" w:eastAsia="Times New Roman" w:hAnsi="Arial" w:cs="Arial"/>
          <w:sz w:val="22"/>
          <w:szCs w:val="22"/>
          <w:lang w:val="en-US"/>
        </w:rPr>
      </w:pPr>
      <w:r w:rsidRPr="0068529C">
        <w:rPr>
          <w:rFonts w:ascii="Arial" w:eastAsia="Times New Roman" w:hAnsi="Arial" w:cs="Arial"/>
          <w:sz w:val="22"/>
          <w:szCs w:val="22"/>
          <w:lang w:val="en-US"/>
        </w:rPr>
        <w:t>Working with the United Nations in Fragile and Conflict-affected Situations: A Resource Note for World Bank Staff, 2015</w:t>
      </w:r>
    </w:p>
    <w:p w14:paraId="07CEDDFA" w14:textId="77777777" w:rsidR="00771DD2" w:rsidRPr="0068529C" w:rsidRDefault="00771DD2" w:rsidP="00567956">
      <w:pPr>
        <w:pStyle w:val="ListParagraph"/>
        <w:numPr>
          <w:ilvl w:val="0"/>
          <w:numId w:val="39"/>
        </w:numPr>
        <w:autoSpaceDE w:val="0"/>
        <w:autoSpaceDN w:val="0"/>
        <w:adjustRightInd w:val="0"/>
        <w:spacing w:after="0" w:line="240" w:lineRule="auto"/>
        <w:contextualSpacing w:val="0"/>
        <w:rPr>
          <w:rFonts w:ascii="Arial" w:eastAsia="Times New Roman" w:hAnsi="Arial" w:cs="Arial"/>
          <w:i/>
          <w:iCs/>
          <w:sz w:val="22"/>
          <w:szCs w:val="22"/>
          <w:lang w:val="en-US"/>
        </w:rPr>
      </w:pPr>
      <w:r w:rsidRPr="0068529C">
        <w:rPr>
          <w:rStyle w:val="A5"/>
          <w:rFonts w:ascii="Arial" w:hAnsi="Arial" w:cs="Arial"/>
          <w:i w:val="0"/>
          <w:iCs w:val="0"/>
          <w:sz w:val="22"/>
          <w:szCs w:val="22"/>
        </w:rPr>
        <w:t>Pathfinders for Peaceful, Just and Inclusive Societies, The Roadmap for Peaceful, Just and Inclusive Societies – A Call to Action to Change our World, 2019</w:t>
      </w:r>
    </w:p>
    <w:p w14:paraId="420F9AAF" w14:textId="64F529B0" w:rsidR="00771DD2" w:rsidRDefault="00771DD2" w:rsidP="00771DD2">
      <w:pPr>
        <w:pStyle w:val="Heading2"/>
        <w:rPr>
          <w:lang w:val="en-US"/>
        </w:rPr>
      </w:pPr>
      <w:r w:rsidRPr="0068529C">
        <w:rPr>
          <w:sz w:val="22"/>
          <w:szCs w:val="22"/>
          <w:lang w:val="en-US"/>
        </w:rPr>
        <w:br w:type="page"/>
      </w:r>
      <w:bookmarkStart w:id="65" w:name="_Ref70154337"/>
      <w:bookmarkStart w:id="66" w:name="_Toc71701911"/>
      <w:r>
        <w:rPr>
          <w:lang w:val="en-US"/>
        </w:rPr>
        <w:t>Annex 11: Terms of Reference for Evaluation</w:t>
      </w:r>
      <w:bookmarkEnd w:id="65"/>
      <w:bookmarkEnd w:id="66"/>
    </w:p>
    <w:tbl>
      <w:tblPr>
        <w:tblW w:w="9470" w:type="dxa"/>
        <w:tblInd w:w="28" w:type="dxa"/>
        <w:tblLayout w:type="fixed"/>
        <w:tblCellMar>
          <w:top w:w="28" w:type="dxa"/>
          <w:left w:w="28" w:type="dxa"/>
          <w:bottom w:w="28" w:type="dxa"/>
          <w:right w:w="28" w:type="dxa"/>
        </w:tblCellMar>
        <w:tblLook w:val="0000" w:firstRow="0" w:lastRow="0" w:firstColumn="0" w:lastColumn="0" w:noHBand="0" w:noVBand="0"/>
      </w:tblPr>
      <w:tblGrid>
        <w:gridCol w:w="9470"/>
      </w:tblGrid>
      <w:tr w:rsidR="00771DD2" w14:paraId="438CD4D6" w14:textId="77777777" w:rsidTr="00771DD2">
        <w:tc>
          <w:tcPr>
            <w:tcW w:w="9470" w:type="dxa"/>
            <w:shd w:val="clear" w:color="auto" w:fill="auto"/>
            <w:vAlign w:val="center"/>
          </w:tcPr>
          <w:p w14:paraId="3EC5C113" w14:textId="77777777" w:rsidR="00771DD2" w:rsidRPr="003A2003" w:rsidRDefault="00771DD2" w:rsidP="003A2003">
            <w:pPr>
              <w:jc w:val="center"/>
              <w:rPr>
                <w:b/>
                <w:bCs/>
                <w:sz w:val="24"/>
                <w:szCs w:val="24"/>
              </w:rPr>
            </w:pPr>
            <w:r w:rsidRPr="003A2003">
              <w:rPr>
                <w:b/>
                <w:bCs/>
                <w:sz w:val="24"/>
                <w:szCs w:val="24"/>
              </w:rPr>
              <w:t>ROLSHR GP Mid Term Evaluation, CB/UNDP</w:t>
            </w:r>
          </w:p>
        </w:tc>
      </w:tr>
      <w:tr w:rsidR="00771DD2" w14:paraId="4CBE2A2E" w14:textId="77777777" w:rsidTr="00771DD2">
        <w:tc>
          <w:tcPr>
            <w:tcW w:w="9470" w:type="dxa"/>
            <w:shd w:val="clear" w:color="auto" w:fill="auto"/>
            <w:vAlign w:val="center"/>
          </w:tcPr>
          <w:p w14:paraId="0CCDF4E8" w14:textId="77777777" w:rsidR="00771DD2" w:rsidRDefault="00771DD2" w:rsidP="00296A4A">
            <w:pPr>
              <w:pStyle w:val="TableContents"/>
              <w:spacing w:after="283"/>
              <w:jc w:val="both"/>
              <w:rPr>
                <w:rFonts w:hint="eastAsia"/>
              </w:rPr>
            </w:pPr>
            <w:r>
              <w:rPr>
                <w:rStyle w:val="Strong"/>
                <w:sz w:val="22"/>
                <w:szCs w:val="22"/>
              </w:rPr>
              <w:t xml:space="preserve">Objective: </w:t>
            </w:r>
            <w:r>
              <w:rPr>
                <w:sz w:val="22"/>
                <w:szCs w:val="22"/>
              </w:rPr>
              <w:t>The purpose of this procurement exercise is to contract two individual consultants who will conduct a mid-term evaluation of Phase III of the Global Programme on Strengthening the Rule of Law and Human Rights for Sustaining Peace and Fostering Development and will produce a comprehensive analytical report. The Mid Term evaluation itself is being undertaken to inform UNDP and its partners of lessons learned, results achieved and areas for improvements, and will also inform the development of the fourth phase of the Global Programme.</w:t>
            </w:r>
          </w:p>
          <w:p w14:paraId="54390F9E" w14:textId="77777777" w:rsidR="00771DD2" w:rsidRDefault="00771DD2" w:rsidP="00296A4A">
            <w:pPr>
              <w:pStyle w:val="TableContents"/>
              <w:spacing w:after="283"/>
              <w:jc w:val="both"/>
              <w:rPr>
                <w:rFonts w:hint="eastAsia"/>
              </w:rPr>
            </w:pPr>
            <w:r>
              <w:rPr>
                <w:rStyle w:val="Strong"/>
                <w:sz w:val="22"/>
                <w:szCs w:val="22"/>
              </w:rPr>
              <w:t xml:space="preserve">Background: </w:t>
            </w:r>
            <w:r>
              <w:rPr>
                <w:sz w:val="22"/>
                <w:szCs w:val="22"/>
              </w:rPr>
              <w:t>With an in-country presence before, during and after conflict or crisis, UNDP expects to provide increased assistance in providing rule of law, justice, security and human rights assistance to countries threatened or affected by crisis and fragility. In order to meet these demands, UNDP’s Global Policy Network (GPN) has made rule of law a priority area for programmatic support and policy development.</w:t>
            </w:r>
          </w:p>
          <w:p w14:paraId="2C19081A" w14:textId="77777777" w:rsidR="00771DD2" w:rsidRDefault="00771DD2" w:rsidP="00296A4A">
            <w:pPr>
              <w:pStyle w:val="TableContents"/>
              <w:spacing w:after="283"/>
              <w:jc w:val="both"/>
              <w:rPr>
                <w:rFonts w:hint="eastAsia"/>
              </w:rPr>
            </w:pPr>
            <w:r>
              <w:rPr>
                <w:sz w:val="22"/>
                <w:szCs w:val="22"/>
              </w:rPr>
              <w:t xml:space="preserve">To this end, the Rule of Law, Security and Human Rights (RoLSHR) team in the UNDP Crisis Bureau has bolstered its capacity to provide support to the field and articulated in a </w:t>
            </w:r>
            <w:r>
              <w:rPr>
                <w:rStyle w:val="Emphasis"/>
                <w:sz w:val="22"/>
                <w:szCs w:val="22"/>
              </w:rPr>
              <w:t>Global Programme for Strengthening the Rule of Law and Human Rights for Sustaining Peace and Fostering Development</w:t>
            </w:r>
            <w:r>
              <w:rPr>
                <w:sz w:val="22"/>
                <w:szCs w:val="22"/>
              </w:rPr>
              <w:t>. UNDP’s Global Programme has been the main operational and financial instrument for UNDP globally to engage on rule of law in crisis-affected contexts. Drawing on some of UNDP’s most innovative rule of law programmes, it seeks to expand such experiences to assist UNDP Country Offices to develop multi-year, comprehensive rule of law programmes that respond rapidly and effectively to the needs on the ground. The Global Programme is currently in its third phase, which commenced in 2016 and was given a 1-year extension; the current phase ends in December 2021.</w:t>
            </w:r>
          </w:p>
          <w:p w14:paraId="57588FE8" w14:textId="77777777" w:rsidR="00771DD2" w:rsidRDefault="00771DD2" w:rsidP="00296A4A">
            <w:pPr>
              <w:pStyle w:val="TableContents"/>
              <w:spacing w:after="283"/>
              <w:jc w:val="both"/>
              <w:rPr>
                <w:rFonts w:hint="eastAsia"/>
              </w:rPr>
            </w:pPr>
            <w:r>
              <w:rPr>
                <w:sz w:val="22"/>
                <w:szCs w:val="22"/>
              </w:rPr>
              <w:t xml:space="preserve">The RoLSHR programme and team now directly provide support to roughly 40 countries and have increasing responsibility to lead and support </w:t>
            </w:r>
            <w:r w:rsidRPr="00C01FC3">
              <w:rPr>
                <w:sz w:val="22"/>
                <w:szCs w:val="22"/>
              </w:rPr>
              <w:t>policy development and guidance in rule of law related areas, especially in the context of the SDG and Sustaining Peace agendas. The RoLSHR team also leads UNDP’s engagement with DPO, as the Global Focal Point of Justice, Police and Corrections (GFP), which was established in 2012. The ROLSHR programme also engages with OHCHR and the Global Alliance for National Human Rights Institutions (GANHRI) through the Tripartite Partnership to Support National Human Rights Institutions; with UNHCR to support rule of law and local governance</w:t>
            </w:r>
            <w:r>
              <w:rPr>
                <w:sz w:val="22"/>
                <w:szCs w:val="22"/>
              </w:rPr>
              <w:t xml:space="preserve"> solutions for displaced populations; and the Team of Experts (TOE) on the Rule of Law and Sexual Violence in Conflict; and recently launched The Saving Lives Entity (SALIENT) with UNODA.</w:t>
            </w:r>
          </w:p>
          <w:p w14:paraId="7B95958A" w14:textId="77777777" w:rsidR="00771DD2" w:rsidRDefault="00771DD2" w:rsidP="00296A4A">
            <w:pPr>
              <w:pStyle w:val="TableContents"/>
              <w:spacing w:after="283"/>
              <w:jc w:val="both"/>
              <w:rPr>
                <w:rFonts w:hint="eastAsia"/>
              </w:rPr>
            </w:pPr>
            <w:r w:rsidRPr="004355B5">
              <w:rPr>
                <w:sz w:val="22"/>
                <w:szCs w:val="22"/>
              </w:rPr>
              <w:t>7</w:t>
            </w:r>
            <w:r>
              <w:rPr>
                <w:sz w:val="22"/>
                <w:szCs w:val="22"/>
              </w:rPr>
              <w:t xml:space="preserve"> key interlinked programme areas form the blueprint for UNDP’s engagement on </w:t>
            </w:r>
            <w:r w:rsidRPr="004355B5">
              <w:rPr>
                <w:sz w:val="22"/>
                <w:szCs w:val="22"/>
              </w:rPr>
              <w:t>RoL</w:t>
            </w:r>
            <w:r>
              <w:rPr>
                <w:sz w:val="22"/>
                <w:szCs w:val="22"/>
              </w:rPr>
              <w:t xml:space="preserve"> and human rights assistance:</w:t>
            </w:r>
          </w:p>
          <w:p w14:paraId="3496BC4E" w14:textId="77777777" w:rsidR="00771DD2" w:rsidRDefault="00771DD2" w:rsidP="00567956">
            <w:pPr>
              <w:pStyle w:val="TableContents"/>
              <w:numPr>
                <w:ilvl w:val="0"/>
                <w:numId w:val="41"/>
              </w:numPr>
              <w:tabs>
                <w:tab w:val="left" w:pos="707"/>
              </w:tabs>
              <w:jc w:val="both"/>
              <w:rPr>
                <w:rFonts w:hint="eastAsia"/>
              </w:rPr>
            </w:pPr>
            <w:r>
              <w:rPr>
                <w:sz w:val="22"/>
                <w:szCs w:val="22"/>
              </w:rPr>
              <w:t>Political Engagement</w:t>
            </w:r>
          </w:p>
          <w:p w14:paraId="15C2C8D7" w14:textId="77777777" w:rsidR="00771DD2" w:rsidRDefault="00771DD2" w:rsidP="00567956">
            <w:pPr>
              <w:pStyle w:val="TableContents"/>
              <w:numPr>
                <w:ilvl w:val="0"/>
                <w:numId w:val="41"/>
              </w:numPr>
              <w:tabs>
                <w:tab w:val="left" w:pos="707"/>
              </w:tabs>
              <w:jc w:val="both"/>
              <w:rPr>
                <w:rFonts w:hint="eastAsia"/>
              </w:rPr>
            </w:pPr>
            <w:r>
              <w:rPr>
                <w:sz w:val="22"/>
                <w:szCs w:val="22"/>
              </w:rPr>
              <w:t>Institution Building</w:t>
            </w:r>
          </w:p>
          <w:p w14:paraId="6C9FA509" w14:textId="77777777" w:rsidR="00771DD2" w:rsidRDefault="00771DD2" w:rsidP="00567956">
            <w:pPr>
              <w:pStyle w:val="TableContents"/>
              <w:numPr>
                <w:ilvl w:val="0"/>
                <w:numId w:val="41"/>
              </w:numPr>
              <w:tabs>
                <w:tab w:val="left" w:pos="707"/>
              </w:tabs>
              <w:jc w:val="both"/>
              <w:rPr>
                <w:rFonts w:hint="eastAsia"/>
              </w:rPr>
            </w:pPr>
            <w:r>
              <w:rPr>
                <w:sz w:val="22"/>
                <w:szCs w:val="22"/>
              </w:rPr>
              <w:t>Community Security</w:t>
            </w:r>
          </w:p>
          <w:p w14:paraId="438B4EAB" w14:textId="77777777" w:rsidR="00771DD2" w:rsidRDefault="00771DD2" w:rsidP="00567956">
            <w:pPr>
              <w:pStyle w:val="TableContents"/>
              <w:numPr>
                <w:ilvl w:val="0"/>
                <w:numId w:val="41"/>
              </w:numPr>
              <w:tabs>
                <w:tab w:val="left" w:pos="707"/>
              </w:tabs>
              <w:jc w:val="both"/>
              <w:rPr>
                <w:rFonts w:hint="eastAsia"/>
              </w:rPr>
            </w:pPr>
            <w:r>
              <w:rPr>
                <w:sz w:val="22"/>
                <w:szCs w:val="22"/>
              </w:rPr>
              <w:t>Human Rights Systems</w:t>
            </w:r>
          </w:p>
          <w:p w14:paraId="5255CE76" w14:textId="77777777" w:rsidR="00771DD2" w:rsidRDefault="00771DD2" w:rsidP="00567956">
            <w:pPr>
              <w:pStyle w:val="TableContents"/>
              <w:numPr>
                <w:ilvl w:val="0"/>
                <w:numId w:val="41"/>
              </w:numPr>
              <w:tabs>
                <w:tab w:val="left" w:pos="707"/>
              </w:tabs>
              <w:jc w:val="both"/>
              <w:rPr>
                <w:rFonts w:hint="eastAsia"/>
              </w:rPr>
            </w:pPr>
            <w:r>
              <w:rPr>
                <w:sz w:val="22"/>
                <w:szCs w:val="22"/>
              </w:rPr>
              <w:t>Access to Justice</w:t>
            </w:r>
          </w:p>
          <w:p w14:paraId="40DE64A0" w14:textId="77777777" w:rsidR="00771DD2" w:rsidRDefault="00771DD2" w:rsidP="00567956">
            <w:pPr>
              <w:pStyle w:val="TableContents"/>
              <w:numPr>
                <w:ilvl w:val="0"/>
                <w:numId w:val="41"/>
              </w:numPr>
              <w:tabs>
                <w:tab w:val="left" w:pos="707"/>
              </w:tabs>
              <w:jc w:val="both"/>
              <w:rPr>
                <w:rFonts w:hint="eastAsia"/>
              </w:rPr>
            </w:pPr>
            <w:r>
              <w:rPr>
                <w:sz w:val="22"/>
                <w:szCs w:val="22"/>
              </w:rPr>
              <w:t>Transitional Justice</w:t>
            </w:r>
          </w:p>
          <w:p w14:paraId="2EC72D36" w14:textId="77777777" w:rsidR="00771DD2" w:rsidRDefault="00771DD2" w:rsidP="00567956">
            <w:pPr>
              <w:pStyle w:val="TableContents"/>
              <w:numPr>
                <w:ilvl w:val="0"/>
                <w:numId w:val="41"/>
              </w:numPr>
              <w:tabs>
                <w:tab w:val="left" w:pos="707"/>
              </w:tabs>
              <w:spacing w:after="283"/>
              <w:jc w:val="both"/>
              <w:rPr>
                <w:rFonts w:hint="eastAsia"/>
              </w:rPr>
            </w:pPr>
            <w:r>
              <w:rPr>
                <w:sz w:val="22"/>
                <w:szCs w:val="22"/>
              </w:rPr>
              <w:t>Gender Justice</w:t>
            </w:r>
          </w:p>
          <w:p w14:paraId="2A1E375A" w14:textId="77777777" w:rsidR="00771DD2" w:rsidRDefault="00771DD2" w:rsidP="00296A4A">
            <w:pPr>
              <w:pStyle w:val="TableContents"/>
              <w:spacing w:after="283"/>
              <w:jc w:val="both"/>
              <w:rPr>
                <w:rFonts w:hint="eastAsia"/>
              </w:rPr>
            </w:pPr>
            <w:r>
              <w:rPr>
                <w:sz w:val="22"/>
                <w:szCs w:val="22"/>
              </w:rPr>
              <w:t>Current donor partners of the Global Programme include the Netherlands, Norway, Sweden, Switzerland, the United Kingdom, and the United States among others. In the last two years, the Global Programme has enhanced partnerships with Sweden’s Folke Bernadotte Academy and Prison and Probation Service, the Ministry of Justice of Japan, and the UNV programme to strengthen the technical capacities within the UNDP team and to support the GFP.      </w:t>
            </w:r>
          </w:p>
          <w:p w14:paraId="643E3D27" w14:textId="77777777" w:rsidR="00771DD2" w:rsidRDefault="00771DD2" w:rsidP="00296A4A">
            <w:pPr>
              <w:pStyle w:val="TableContents"/>
              <w:spacing w:after="283"/>
              <w:jc w:val="both"/>
              <w:rPr>
                <w:rFonts w:hint="eastAsia"/>
              </w:rPr>
            </w:pPr>
            <w:r>
              <w:rPr>
                <w:sz w:val="22"/>
                <w:szCs w:val="22"/>
              </w:rPr>
              <w:t>The third phase of the Global Programme commenced implementation in October 2016. The programme engages in multiple rule of law and human rights initiatives at the country level and regularly receives positive feedback from the Country Teams on the ground. It also forms the basis for multiple global and policy development initiatives and has a broad range of substantive partners. The Global Programme management team periodically reviews and adjusts the standard operating procedures of the programme to address any inefficiencies in the programme implementation.</w:t>
            </w:r>
          </w:p>
          <w:p w14:paraId="42BCE99E" w14:textId="77777777" w:rsidR="00771DD2" w:rsidRDefault="00771DD2" w:rsidP="00296A4A">
            <w:pPr>
              <w:pStyle w:val="TableContents"/>
              <w:spacing w:after="283"/>
              <w:jc w:val="both"/>
              <w:rPr>
                <w:rFonts w:hint="eastAsia"/>
              </w:rPr>
            </w:pPr>
            <w:r>
              <w:rPr>
                <w:sz w:val="22"/>
                <w:szCs w:val="22"/>
              </w:rPr>
              <w:t>Currently the Global Programme is being implemented in the following five regions: Europe, Asia Pacific, Africa, Arab States, Latin America/Americas, with the majority of priority contexts located in Africa.</w:t>
            </w:r>
          </w:p>
          <w:p w14:paraId="645B342E" w14:textId="77777777" w:rsidR="00771DD2" w:rsidRDefault="00771DD2" w:rsidP="00296A4A">
            <w:pPr>
              <w:pStyle w:val="TableContents"/>
              <w:spacing w:after="283"/>
              <w:jc w:val="both"/>
              <w:rPr>
                <w:rFonts w:hint="eastAsia"/>
              </w:rPr>
            </w:pPr>
            <w:r>
              <w:rPr>
                <w:sz w:val="22"/>
                <w:szCs w:val="22"/>
              </w:rPr>
              <w:t>The Global Programme has also engaged DCAF - International Security Sector Advisory Team (ISSAT) to undertake various country evaluations to support the development of enhanced M&amp;E capabilities.  The core component of support from ISSAT to UNDP’s Global Programme is the conduct of high quality learning evaluations of individual country level programmes. As such, each evaluation will engage with the specific context and activities of the programme, and identify what has been achieved, what aspects could usefully be considered by other programmes, and what types of evidence contribute to knowledge of programme success.</w:t>
            </w:r>
          </w:p>
          <w:p w14:paraId="19EDA420" w14:textId="77777777" w:rsidR="00771DD2" w:rsidRDefault="00771DD2" w:rsidP="00296A4A">
            <w:pPr>
              <w:pStyle w:val="TableContents"/>
              <w:spacing w:after="283"/>
              <w:jc w:val="both"/>
              <w:rPr>
                <w:rFonts w:hint="eastAsia"/>
              </w:rPr>
            </w:pPr>
            <w:r>
              <w:rPr>
                <w:sz w:val="22"/>
                <w:szCs w:val="22"/>
              </w:rPr>
              <w:t>Three ISSAT evaluations have been undertaken in Colombia, Guinea Bissau and Central African Republic and several others such as Palestine are currently in preparation phase. These evaluations will feed into the mid-term evaluation to highlight impact, added value and lessons learned from the specific country settings and the Global Programme overall.</w:t>
            </w:r>
          </w:p>
        </w:tc>
      </w:tr>
      <w:tr w:rsidR="00771DD2" w14:paraId="5A49249C" w14:textId="77777777" w:rsidTr="00771DD2">
        <w:tc>
          <w:tcPr>
            <w:tcW w:w="9470" w:type="dxa"/>
            <w:shd w:val="clear" w:color="auto" w:fill="auto"/>
            <w:vAlign w:val="center"/>
          </w:tcPr>
          <w:p w14:paraId="3664F649" w14:textId="77777777" w:rsidR="00771DD2" w:rsidRDefault="00771DD2" w:rsidP="00567956">
            <w:pPr>
              <w:pStyle w:val="Heading5"/>
              <w:keepLines w:val="0"/>
              <w:numPr>
                <w:ilvl w:val="4"/>
                <w:numId w:val="48"/>
              </w:numPr>
              <w:suppressAutoHyphens/>
              <w:spacing w:before="120" w:after="60" w:line="240" w:lineRule="auto"/>
              <w:jc w:val="both"/>
            </w:pPr>
            <w:r>
              <w:t>Duties and Responsibilities</w:t>
            </w:r>
          </w:p>
        </w:tc>
      </w:tr>
      <w:tr w:rsidR="00771DD2" w14:paraId="2E52E136" w14:textId="77777777" w:rsidTr="00771DD2">
        <w:tc>
          <w:tcPr>
            <w:tcW w:w="9470" w:type="dxa"/>
            <w:shd w:val="clear" w:color="auto" w:fill="auto"/>
            <w:vAlign w:val="center"/>
          </w:tcPr>
          <w:p w14:paraId="430E698F" w14:textId="77777777" w:rsidR="00771DD2" w:rsidRPr="00C01FC3" w:rsidRDefault="00771DD2" w:rsidP="00296A4A">
            <w:pPr>
              <w:pStyle w:val="TableContents"/>
              <w:spacing w:after="283"/>
              <w:jc w:val="both"/>
              <w:rPr>
                <w:rFonts w:hint="eastAsia"/>
              </w:rPr>
            </w:pPr>
            <w:r w:rsidRPr="00C01FC3">
              <w:rPr>
                <w:rStyle w:val="Strong"/>
                <w:sz w:val="22"/>
                <w:szCs w:val="22"/>
              </w:rPr>
              <w:t>Purpose and audience: </w:t>
            </w:r>
            <w:r w:rsidRPr="00C01FC3">
              <w:rPr>
                <w:sz w:val="22"/>
                <w:szCs w:val="22"/>
              </w:rPr>
              <w:t>This mid-term evaluation is being undertaken to inform UNDP and its partners of lessons learned, results achieved and areas for improvements. The finding of this mid-term evaluation will inform the development of the fourth phase of the Global Programme along with the final evaluation.</w:t>
            </w:r>
          </w:p>
          <w:p w14:paraId="1AF47A94" w14:textId="77777777" w:rsidR="00771DD2" w:rsidRPr="00C01FC3" w:rsidRDefault="00771DD2" w:rsidP="00296A4A">
            <w:pPr>
              <w:pStyle w:val="TableContents"/>
              <w:spacing w:after="283"/>
              <w:jc w:val="both"/>
              <w:rPr>
                <w:rFonts w:hint="eastAsia"/>
              </w:rPr>
            </w:pPr>
            <w:r w:rsidRPr="00C01FC3">
              <w:rPr>
                <w:rStyle w:val="Strong"/>
                <w:sz w:val="22"/>
                <w:szCs w:val="22"/>
              </w:rPr>
              <w:t>Evaluation Objectives: </w:t>
            </w:r>
            <w:r w:rsidRPr="00C01FC3">
              <w:rPr>
                <w:sz w:val="22"/>
                <w:szCs w:val="22"/>
              </w:rPr>
              <w:t>The main purpose of this this mid-term evaluation is to draw out lessons learned and identify further support and/or action needed to ensure proper implementation and performance of the Global Programme through the end of this programmatic phase in December 2021, as well as to develop the methodology/measurement framework that will be used for both the mid-term and final evaluation.</w:t>
            </w:r>
          </w:p>
          <w:p w14:paraId="300F3B43" w14:textId="77777777" w:rsidR="00771DD2" w:rsidRPr="00C01FC3" w:rsidRDefault="00771DD2" w:rsidP="00567956">
            <w:pPr>
              <w:pStyle w:val="TableContents"/>
              <w:numPr>
                <w:ilvl w:val="0"/>
                <w:numId w:val="42"/>
              </w:numPr>
              <w:tabs>
                <w:tab w:val="left" w:pos="707"/>
              </w:tabs>
              <w:jc w:val="both"/>
              <w:rPr>
                <w:rFonts w:hint="eastAsia"/>
              </w:rPr>
            </w:pPr>
            <w:r w:rsidRPr="00C01FC3">
              <w:rPr>
                <w:sz w:val="22"/>
                <w:szCs w:val="22"/>
              </w:rPr>
              <w:t>This mid-term evaluation is being undertaken to assess the performance of the Global Programme in achieving its intended results as stated in the above programme areas, as well in meeting its objectives, specifically also at the outcome level and impact achieved. The mid-term evaluation will review the Global Programme from January 2016-December 2019. Furthermore, this evaluation will inform the development of the fourth phase of the programme starting in January 2022.</w:t>
            </w:r>
          </w:p>
          <w:p w14:paraId="5361355B" w14:textId="77777777" w:rsidR="00771DD2" w:rsidRPr="00C01FC3" w:rsidRDefault="00771DD2" w:rsidP="00567956">
            <w:pPr>
              <w:pStyle w:val="TableContents"/>
              <w:numPr>
                <w:ilvl w:val="0"/>
                <w:numId w:val="42"/>
              </w:numPr>
              <w:tabs>
                <w:tab w:val="left" w:pos="707"/>
              </w:tabs>
              <w:spacing w:after="283"/>
              <w:jc w:val="both"/>
              <w:rPr>
                <w:rFonts w:hint="eastAsia"/>
              </w:rPr>
            </w:pPr>
            <w:r w:rsidRPr="00C01FC3">
              <w:rPr>
                <w:sz w:val="22"/>
                <w:szCs w:val="22"/>
              </w:rPr>
              <w:t>Additionally, this mid-term evaluation will provide general insights on:</w:t>
            </w:r>
          </w:p>
          <w:p w14:paraId="5348D0DB" w14:textId="77777777" w:rsidR="00771DD2" w:rsidRPr="00C01FC3" w:rsidRDefault="00771DD2" w:rsidP="00567956">
            <w:pPr>
              <w:pStyle w:val="TableContents"/>
              <w:numPr>
                <w:ilvl w:val="0"/>
                <w:numId w:val="20"/>
              </w:numPr>
              <w:tabs>
                <w:tab w:val="left" w:pos="707"/>
              </w:tabs>
              <w:jc w:val="both"/>
              <w:rPr>
                <w:rFonts w:hint="eastAsia"/>
              </w:rPr>
            </w:pPr>
            <w:r w:rsidRPr="00C01FC3">
              <w:rPr>
                <w:sz w:val="22"/>
                <w:szCs w:val="22"/>
              </w:rPr>
              <w:t>The ability of UNDP to function as an effective provider of rule of law, security and human rights programming support; in particular, the extent to which the Global Programme is able to respond to the needs of UNDP Country Offices; UN Resident Coordinator Offices; UNCTs; and peacekeeping Missions as relevant.</w:t>
            </w:r>
          </w:p>
          <w:p w14:paraId="2B813182" w14:textId="77777777" w:rsidR="00771DD2" w:rsidRPr="00C01FC3" w:rsidRDefault="00771DD2" w:rsidP="00567956">
            <w:pPr>
              <w:pStyle w:val="TableContents"/>
              <w:numPr>
                <w:ilvl w:val="0"/>
                <w:numId w:val="20"/>
              </w:numPr>
              <w:tabs>
                <w:tab w:val="left" w:pos="707"/>
              </w:tabs>
              <w:jc w:val="both"/>
              <w:rPr>
                <w:rFonts w:hint="eastAsia"/>
              </w:rPr>
            </w:pPr>
            <w:r w:rsidRPr="00C01FC3">
              <w:rPr>
                <w:sz w:val="22"/>
                <w:szCs w:val="22"/>
              </w:rPr>
              <w:t>The ability of the Global Programme to leverage UNDP’s role as an international policy maker and thought leader on rule of law, security and human rights.</w:t>
            </w:r>
          </w:p>
          <w:p w14:paraId="16551ACD" w14:textId="77777777" w:rsidR="00771DD2" w:rsidRPr="00C01FC3" w:rsidRDefault="00771DD2" w:rsidP="00567956">
            <w:pPr>
              <w:pStyle w:val="TableContents"/>
              <w:numPr>
                <w:ilvl w:val="0"/>
                <w:numId w:val="20"/>
              </w:numPr>
              <w:tabs>
                <w:tab w:val="left" w:pos="707"/>
              </w:tabs>
              <w:jc w:val="both"/>
              <w:rPr>
                <w:rFonts w:hint="eastAsia"/>
              </w:rPr>
            </w:pPr>
            <w:r w:rsidRPr="00C01FC3">
              <w:rPr>
                <w:sz w:val="22"/>
                <w:szCs w:val="22"/>
              </w:rPr>
              <w:t>The effectiveness and achievements of UNDP in forging interagency cooperation and implementation across the UN system vis a vis the Global Focal Point, the Tripartite Partnership to Support NHRIs, and other important initiatives, including with UN Women, UNODC, etc.</w:t>
            </w:r>
          </w:p>
          <w:p w14:paraId="59F1E464" w14:textId="77777777" w:rsidR="00771DD2" w:rsidRPr="00C01FC3" w:rsidRDefault="00771DD2" w:rsidP="00567956">
            <w:pPr>
              <w:pStyle w:val="TableContents"/>
              <w:numPr>
                <w:ilvl w:val="0"/>
                <w:numId w:val="20"/>
              </w:numPr>
              <w:tabs>
                <w:tab w:val="left" w:pos="707"/>
              </w:tabs>
              <w:jc w:val="both"/>
              <w:rPr>
                <w:rFonts w:hint="eastAsia"/>
              </w:rPr>
            </w:pPr>
            <w:r w:rsidRPr="00C01FC3">
              <w:rPr>
                <w:sz w:val="22"/>
                <w:szCs w:val="22"/>
              </w:rPr>
              <w:t>The Global Programme’s contributions to UNDP’s Integrated Results and Resources Framework for the 2014-2017 and the 2018-2021 UNDP Strategic Plan. </w:t>
            </w:r>
          </w:p>
          <w:p w14:paraId="2FD3B9D4" w14:textId="77777777" w:rsidR="00771DD2" w:rsidRPr="00C01FC3" w:rsidRDefault="00771DD2" w:rsidP="00567956">
            <w:pPr>
              <w:pStyle w:val="TableContents"/>
              <w:numPr>
                <w:ilvl w:val="0"/>
                <w:numId w:val="20"/>
              </w:numPr>
              <w:tabs>
                <w:tab w:val="left" w:pos="707"/>
              </w:tabs>
              <w:spacing w:after="283"/>
              <w:jc w:val="both"/>
              <w:rPr>
                <w:rFonts w:hint="eastAsia"/>
              </w:rPr>
            </w:pPr>
            <w:r w:rsidRPr="00C01FC3">
              <w:rPr>
                <w:sz w:val="22"/>
                <w:szCs w:val="22"/>
              </w:rPr>
              <w:t>The ability of the current structure of the Global Programme to manage finances and operations, meet partner expectations, and respond to the needs of priority countries.</w:t>
            </w:r>
          </w:p>
          <w:p w14:paraId="688CCA43" w14:textId="77777777" w:rsidR="00771DD2" w:rsidRPr="00C01FC3" w:rsidRDefault="00771DD2" w:rsidP="00296A4A">
            <w:pPr>
              <w:pStyle w:val="TableContents"/>
              <w:spacing w:after="283"/>
              <w:jc w:val="both"/>
              <w:rPr>
                <w:rFonts w:hint="eastAsia"/>
              </w:rPr>
            </w:pPr>
            <w:r w:rsidRPr="00C01FC3">
              <w:rPr>
                <w:rStyle w:val="Strong"/>
                <w:sz w:val="22"/>
                <w:szCs w:val="22"/>
              </w:rPr>
              <w:t>General Evaluation Questions:</w:t>
            </w:r>
            <w:r w:rsidRPr="00C01FC3">
              <w:rPr>
                <w:sz w:val="22"/>
                <w:szCs w:val="22"/>
              </w:rPr>
              <w:t> The mid-term evaluation will cover the period January 2016 – December 2019 and shall cover the following central evaluation focus areas:</w:t>
            </w:r>
          </w:p>
          <w:p w14:paraId="7C385AC8" w14:textId="77777777" w:rsidR="00771DD2" w:rsidRPr="00C01FC3" w:rsidRDefault="00771DD2" w:rsidP="00296A4A">
            <w:pPr>
              <w:pStyle w:val="TableContents"/>
              <w:spacing w:after="283"/>
              <w:jc w:val="both"/>
              <w:rPr>
                <w:rFonts w:hint="eastAsia"/>
              </w:rPr>
            </w:pPr>
            <w:r w:rsidRPr="00C01FC3">
              <w:rPr>
                <w:sz w:val="22"/>
                <w:szCs w:val="22"/>
              </w:rPr>
              <w:t>At the country level:</w:t>
            </w:r>
          </w:p>
          <w:p w14:paraId="18FFA0D2" w14:textId="77777777" w:rsidR="00771DD2" w:rsidRPr="00C01FC3" w:rsidRDefault="00771DD2" w:rsidP="00567956">
            <w:pPr>
              <w:pStyle w:val="TableContents"/>
              <w:numPr>
                <w:ilvl w:val="0"/>
                <w:numId w:val="43"/>
              </w:numPr>
              <w:tabs>
                <w:tab w:val="left" w:pos="707"/>
              </w:tabs>
              <w:jc w:val="both"/>
              <w:rPr>
                <w:rFonts w:hint="eastAsia"/>
              </w:rPr>
            </w:pPr>
            <w:r w:rsidRPr="00C01FC3">
              <w:rPr>
                <w:sz w:val="22"/>
                <w:szCs w:val="22"/>
              </w:rPr>
              <w:t>Programmatic support: Has the Global Programme’s technical, financial, operational and strategic support been relevant and responsive to the needs and priorities of UNDP Country Offices in the field to engage on rule of law, security and human rights programming?</w:t>
            </w:r>
          </w:p>
          <w:p w14:paraId="21C95D00" w14:textId="77777777" w:rsidR="00771DD2" w:rsidRPr="00C01FC3" w:rsidRDefault="00771DD2" w:rsidP="00567956">
            <w:pPr>
              <w:pStyle w:val="TableContents"/>
              <w:numPr>
                <w:ilvl w:val="0"/>
                <w:numId w:val="43"/>
              </w:numPr>
              <w:tabs>
                <w:tab w:val="left" w:pos="707"/>
              </w:tabs>
              <w:jc w:val="both"/>
              <w:rPr>
                <w:rFonts w:hint="eastAsia"/>
              </w:rPr>
            </w:pPr>
            <w:r w:rsidRPr="00C01FC3">
              <w:rPr>
                <w:sz w:val="22"/>
                <w:szCs w:val="22"/>
              </w:rPr>
              <w:t>Added value: Has the Global Programme modality added value to UNDP’s offer on rule of law, security and human rights in the field and in what way i.e. in flexible funding, expertise, comprehensive programming, coordination with the UN system, etc.?</w:t>
            </w:r>
          </w:p>
          <w:p w14:paraId="45019221" w14:textId="77777777" w:rsidR="00771DD2" w:rsidRPr="00C01FC3" w:rsidRDefault="00771DD2" w:rsidP="00567956">
            <w:pPr>
              <w:pStyle w:val="TableContents"/>
              <w:numPr>
                <w:ilvl w:val="0"/>
                <w:numId w:val="43"/>
              </w:numPr>
              <w:tabs>
                <w:tab w:val="left" w:pos="707"/>
              </w:tabs>
              <w:jc w:val="both"/>
              <w:rPr>
                <w:rFonts w:hint="eastAsia"/>
              </w:rPr>
            </w:pPr>
            <w:r w:rsidRPr="00C01FC3">
              <w:rPr>
                <w:sz w:val="22"/>
                <w:szCs w:val="22"/>
              </w:rPr>
              <w:t>Impact: To what extent has the Global Programme contributed to improving the overall rule of law, security and human rights situation in priority countries? What examples can be shared?</w:t>
            </w:r>
          </w:p>
          <w:p w14:paraId="684FE09D" w14:textId="77777777" w:rsidR="00771DD2" w:rsidRPr="00C01FC3" w:rsidRDefault="00771DD2" w:rsidP="00567956">
            <w:pPr>
              <w:pStyle w:val="TableContents"/>
              <w:numPr>
                <w:ilvl w:val="0"/>
                <w:numId w:val="43"/>
              </w:numPr>
              <w:tabs>
                <w:tab w:val="left" w:pos="707"/>
              </w:tabs>
              <w:jc w:val="both"/>
              <w:rPr>
                <w:rFonts w:hint="eastAsia"/>
              </w:rPr>
            </w:pPr>
            <w:r w:rsidRPr="00C01FC3">
              <w:rPr>
                <w:sz w:val="22"/>
                <w:szCs w:val="22"/>
              </w:rPr>
              <w:t>Way of working: How consistent has Global Programme support been with UNDP corporate standards of practice (e.g., prioritizing Leave No One Behind, human rights-based, nationally-owned, based on analytical assessment, adapted to country context, gender sensitive and conflict-sensitive, supportive of innovation)?  How sustainable are the results?</w:t>
            </w:r>
          </w:p>
          <w:p w14:paraId="5B68E510" w14:textId="77777777" w:rsidR="00771DD2" w:rsidRPr="00C01FC3" w:rsidRDefault="00771DD2" w:rsidP="00567956">
            <w:pPr>
              <w:pStyle w:val="TableContents"/>
              <w:numPr>
                <w:ilvl w:val="0"/>
                <w:numId w:val="43"/>
              </w:numPr>
              <w:tabs>
                <w:tab w:val="left" w:pos="707"/>
              </w:tabs>
              <w:spacing w:after="283"/>
              <w:jc w:val="both"/>
              <w:rPr>
                <w:rFonts w:hint="eastAsia"/>
              </w:rPr>
            </w:pPr>
            <w:r w:rsidRPr="00C01FC3">
              <w:rPr>
                <w:sz w:val="22"/>
                <w:szCs w:val="22"/>
              </w:rPr>
              <w:t>Lessons learned: Identify lessons learned, best practices and innovative approaches at the field level that can inform other programmatic engagements supported by the Global Programme.</w:t>
            </w:r>
          </w:p>
          <w:p w14:paraId="62288495" w14:textId="77777777" w:rsidR="00771DD2" w:rsidRPr="00C01FC3" w:rsidRDefault="00771DD2" w:rsidP="00296A4A">
            <w:pPr>
              <w:pStyle w:val="TableContents"/>
              <w:spacing w:after="283"/>
              <w:jc w:val="both"/>
              <w:rPr>
                <w:rFonts w:hint="eastAsia"/>
              </w:rPr>
            </w:pPr>
            <w:r w:rsidRPr="00C01FC3">
              <w:rPr>
                <w:sz w:val="22"/>
                <w:szCs w:val="22"/>
              </w:rPr>
              <w:t>At the global level:</w:t>
            </w:r>
          </w:p>
          <w:p w14:paraId="477325F0" w14:textId="77777777" w:rsidR="00771DD2" w:rsidRPr="00C01FC3" w:rsidRDefault="00771DD2" w:rsidP="00567956">
            <w:pPr>
              <w:pStyle w:val="TableContents"/>
              <w:numPr>
                <w:ilvl w:val="0"/>
                <w:numId w:val="44"/>
              </w:numPr>
              <w:tabs>
                <w:tab w:val="left" w:pos="707"/>
              </w:tabs>
              <w:jc w:val="both"/>
              <w:rPr>
                <w:rFonts w:hint="eastAsia"/>
              </w:rPr>
            </w:pPr>
            <w:r w:rsidRPr="00C01FC3">
              <w:rPr>
                <w:sz w:val="22"/>
                <w:szCs w:val="22"/>
              </w:rPr>
              <w:t>Coordination and partnership: To what extent has the Global Programme promoted coordination and partnership with national counterparts, donor partners, and across the UN system? How does the Global Programme support joint engagement across the UN pillars? Is the Global Programme an effective platform for financially and operationally supporting the Global Focal Point for Rule of Law (with DPO and other UN partners)?</w:t>
            </w:r>
          </w:p>
          <w:p w14:paraId="278351EA" w14:textId="77777777" w:rsidR="00771DD2" w:rsidRPr="00C01FC3" w:rsidRDefault="00771DD2" w:rsidP="00567956">
            <w:pPr>
              <w:pStyle w:val="TableContents"/>
              <w:numPr>
                <w:ilvl w:val="0"/>
                <w:numId w:val="44"/>
              </w:numPr>
              <w:tabs>
                <w:tab w:val="left" w:pos="707"/>
              </w:tabs>
              <w:jc w:val="both"/>
              <w:rPr>
                <w:rFonts w:hint="eastAsia"/>
              </w:rPr>
            </w:pPr>
            <w:r w:rsidRPr="00C01FC3">
              <w:rPr>
                <w:sz w:val="22"/>
                <w:szCs w:val="22"/>
              </w:rPr>
              <w:t>Strategic positioning and policy development: How has the Global Programme shaped UNDP's relevance as an international leader and/or partner in the rule of law and human rights field(s)? Is UNDP recognized as a key actor on rule of law, security and human rights programming in complex contexts and what has the impact of this been on the organization? What is the contribution of the Global Programme to the Sustaining Peace and Prevention agendas of the Secretary-General?</w:t>
            </w:r>
          </w:p>
          <w:p w14:paraId="73EA3CCB" w14:textId="77777777" w:rsidR="00771DD2" w:rsidRPr="00C01FC3" w:rsidRDefault="00771DD2" w:rsidP="00567956">
            <w:pPr>
              <w:pStyle w:val="TableContents"/>
              <w:numPr>
                <w:ilvl w:val="0"/>
                <w:numId w:val="44"/>
              </w:numPr>
              <w:tabs>
                <w:tab w:val="left" w:pos="707"/>
              </w:tabs>
              <w:jc w:val="both"/>
              <w:rPr>
                <w:rFonts w:hint="eastAsia"/>
              </w:rPr>
            </w:pPr>
            <w:r w:rsidRPr="00C01FC3">
              <w:rPr>
                <w:sz w:val="22"/>
                <w:szCs w:val="22"/>
              </w:rPr>
              <w:t>Added value: To what extent has UNDP leveraged the Global Programme to strengthen or add value to its corporate offer on rule of law, security and human rights, i.e. influencing strategic plan priorities, contributing to signature solutions through comprehensive programming, strengthening corporate monitoring, reporting, quality assurance, and communications, etc.?</w:t>
            </w:r>
          </w:p>
          <w:p w14:paraId="7C2B4030" w14:textId="77777777" w:rsidR="00771DD2" w:rsidRPr="00C01FC3" w:rsidRDefault="00771DD2" w:rsidP="00567956">
            <w:pPr>
              <w:pStyle w:val="TableContents"/>
              <w:numPr>
                <w:ilvl w:val="0"/>
                <w:numId w:val="44"/>
              </w:numPr>
              <w:tabs>
                <w:tab w:val="left" w:pos="707"/>
              </w:tabs>
              <w:spacing w:after="283"/>
              <w:jc w:val="both"/>
              <w:rPr>
                <w:rFonts w:hint="eastAsia"/>
              </w:rPr>
            </w:pPr>
            <w:r w:rsidRPr="00C01FC3">
              <w:rPr>
                <w:sz w:val="22"/>
                <w:szCs w:val="22"/>
              </w:rPr>
              <w:t>Lessons learned: Identify lessons learned, best practices and innovative approaches from the field that can be scaled up to inform Global Programme-supported policy development.</w:t>
            </w:r>
          </w:p>
          <w:p w14:paraId="224A68CD" w14:textId="77777777" w:rsidR="00771DD2" w:rsidRPr="00C01FC3" w:rsidRDefault="00771DD2" w:rsidP="00296A4A">
            <w:pPr>
              <w:pStyle w:val="TableContents"/>
              <w:spacing w:after="283"/>
              <w:jc w:val="both"/>
              <w:rPr>
                <w:rFonts w:hint="eastAsia"/>
              </w:rPr>
            </w:pPr>
            <w:r w:rsidRPr="00C01FC3">
              <w:rPr>
                <w:sz w:val="22"/>
                <w:szCs w:val="22"/>
              </w:rPr>
              <w:t>At the programme management level:</w:t>
            </w:r>
          </w:p>
          <w:p w14:paraId="1BA34196" w14:textId="77777777" w:rsidR="00771DD2" w:rsidRPr="00C01FC3" w:rsidRDefault="00771DD2" w:rsidP="00567956">
            <w:pPr>
              <w:pStyle w:val="TableContents"/>
              <w:numPr>
                <w:ilvl w:val="0"/>
                <w:numId w:val="45"/>
              </w:numPr>
              <w:tabs>
                <w:tab w:val="left" w:pos="707"/>
              </w:tabs>
              <w:jc w:val="both"/>
              <w:rPr>
                <w:rFonts w:hint="eastAsia"/>
              </w:rPr>
            </w:pPr>
            <w:r w:rsidRPr="00C01FC3">
              <w:rPr>
                <w:sz w:val="22"/>
                <w:szCs w:val="22"/>
              </w:rPr>
              <w:t>Are the management, operational, financial and administrative structures, including SOPs and business processes of the Global Programme fit for purpose? Where are the current challenges and what improvements could be made?</w:t>
            </w:r>
          </w:p>
          <w:p w14:paraId="6117EB69" w14:textId="77777777" w:rsidR="00771DD2" w:rsidRPr="00C01FC3" w:rsidRDefault="00771DD2" w:rsidP="00567956">
            <w:pPr>
              <w:pStyle w:val="TableContents"/>
              <w:numPr>
                <w:ilvl w:val="0"/>
                <w:numId w:val="45"/>
              </w:numPr>
              <w:tabs>
                <w:tab w:val="left" w:pos="707"/>
              </w:tabs>
              <w:jc w:val="both"/>
              <w:rPr>
                <w:rFonts w:hint="eastAsia"/>
              </w:rPr>
            </w:pPr>
            <w:r w:rsidRPr="00C01FC3">
              <w:rPr>
                <w:sz w:val="22"/>
                <w:szCs w:val="22"/>
              </w:rPr>
              <w:t>Does the Global Programme have the required resources (human and financial) to achieve its intended programme objectives? If not, where is more investment needed?</w:t>
            </w:r>
          </w:p>
          <w:p w14:paraId="6DAF05C4" w14:textId="77777777" w:rsidR="00771DD2" w:rsidRPr="00C01FC3" w:rsidRDefault="00771DD2" w:rsidP="00567956">
            <w:pPr>
              <w:pStyle w:val="TableContents"/>
              <w:numPr>
                <w:ilvl w:val="0"/>
                <w:numId w:val="45"/>
              </w:numPr>
              <w:tabs>
                <w:tab w:val="left" w:pos="707"/>
              </w:tabs>
              <w:jc w:val="both"/>
              <w:rPr>
                <w:rFonts w:hint="eastAsia"/>
              </w:rPr>
            </w:pPr>
            <w:r w:rsidRPr="00C01FC3">
              <w:rPr>
                <w:sz w:val="22"/>
                <w:szCs w:val="22"/>
              </w:rPr>
              <w:t>Does the Global Programme management meet partners’ expectations? If not, what can be done to facilitate this?</w:t>
            </w:r>
          </w:p>
          <w:p w14:paraId="6E7D1C3F" w14:textId="77777777" w:rsidR="00771DD2" w:rsidRPr="00C01FC3" w:rsidRDefault="00771DD2" w:rsidP="00567956">
            <w:pPr>
              <w:pStyle w:val="TableContents"/>
              <w:numPr>
                <w:ilvl w:val="0"/>
                <w:numId w:val="45"/>
              </w:numPr>
              <w:tabs>
                <w:tab w:val="left" w:pos="707"/>
              </w:tabs>
              <w:jc w:val="both"/>
              <w:rPr>
                <w:rFonts w:hint="eastAsia"/>
              </w:rPr>
            </w:pPr>
            <w:r w:rsidRPr="00C01FC3">
              <w:rPr>
                <w:sz w:val="22"/>
                <w:szCs w:val="22"/>
              </w:rPr>
              <w:t>Is the trajectory of the Global Programme sustainable, assuming it should stay or grow beyond its current portfolio?  What else might be needed to ensure the Global Programme can continue to perform at a high-level?</w:t>
            </w:r>
          </w:p>
          <w:p w14:paraId="50B19A64" w14:textId="77777777" w:rsidR="00771DD2" w:rsidRPr="00C01FC3" w:rsidRDefault="00771DD2" w:rsidP="00567956">
            <w:pPr>
              <w:pStyle w:val="TableContents"/>
              <w:numPr>
                <w:ilvl w:val="0"/>
                <w:numId w:val="45"/>
              </w:numPr>
              <w:tabs>
                <w:tab w:val="left" w:pos="707"/>
              </w:tabs>
              <w:spacing w:after="283"/>
              <w:jc w:val="both"/>
              <w:rPr>
                <w:rFonts w:hint="eastAsia"/>
              </w:rPr>
            </w:pPr>
            <w:r w:rsidRPr="00C01FC3">
              <w:rPr>
                <w:sz w:val="22"/>
                <w:szCs w:val="22"/>
              </w:rPr>
              <w:t>Is the Monitoring, Evaluation and Learning capacity in the Global Programme sufficient and how could it be improved? How does the Global programme integrate results-based management? </w:t>
            </w:r>
          </w:p>
          <w:p w14:paraId="487CD1C2" w14:textId="77777777" w:rsidR="00771DD2" w:rsidRPr="00C01FC3" w:rsidRDefault="00771DD2" w:rsidP="00296A4A">
            <w:pPr>
              <w:pStyle w:val="TableContents"/>
              <w:spacing w:after="283"/>
              <w:jc w:val="both"/>
              <w:rPr>
                <w:rFonts w:hint="eastAsia"/>
              </w:rPr>
            </w:pPr>
            <w:r w:rsidRPr="00C01FC3">
              <w:rPr>
                <w:rStyle w:val="Strong"/>
                <w:sz w:val="22"/>
                <w:szCs w:val="22"/>
              </w:rPr>
              <w:t>Scope of Work:</w:t>
            </w:r>
            <w:r w:rsidRPr="00C01FC3">
              <w:rPr>
                <w:sz w:val="22"/>
                <w:szCs w:val="22"/>
              </w:rPr>
              <w:t> This evaluation will be carried out by a team of two consultants with the support of the Global Programme management team and with the UNDP Rule of Law, Security and Human Rights team in New York and in the Regional Hubs as necessary. The evaluators will jointly undertake the following tasks:</w:t>
            </w:r>
          </w:p>
          <w:p w14:paraId="7787DABC" w14:textId="77777777" w:rsidR="00771DD2" w:rsidRPr="00C01FC3" w:rsidRDefault="00771DD2" w:rsidP="00567956">
            <w:pPr>
              <w:pStyle w:val="TableContents"/>
              <w:numPr>
                <w:ilvl w:val="0"/>
                <w:numId w:val="46"/>
              </w:numPr>
              <w:tabs>
                <w:tab w:val="left" w:pos="707"/>
              </w:tabs>
              <w:jc w:val="both"/>
              <w:rPr>
                <w:rFonts w:hint="eastAsia"/>
              </w:rPr>
            </w:pPr>
            <w:r w:rsidRPr="00C01FC3">
              <w:rPr>
                <w:sz w:val="22"/>
                <w:szCs w:val="22"/>
              </w:rPr>
              <w:t>Consult with the Global Programme management team in New York on the scope of work, methodology and country case studies to be selected;</w:t>
            </w:r>
          </w:p>
          <w:p w14:paraId="31DF67A4" w14:textId="77777777" w:rsidR="00771DD2" w:rsidRPr="00C01FC3" w:rsidRDefault="00771DD2" w:rsidP="00567956">
            <w:pPr>
              <w:pStyle w:val="TableContents"/>
              <w:numPr>
                <w:ilvl w:val="0"/>
                <w:numId w:val="46"/>
              </w:numPr>
              <w:tabs>
                <w:tab w:val="left" w:pos="707"/>
              </w:tabs>
              <w:jc w:val="both"/>
              <w:rPr>
                <w:rFonts w:hint="eastAsia"/>
              </w:rPr>
            </w:pPr>
            <w:r w:rsidRPr="00C01FC3">
              <w:rPr>
                <w:sz w:val="22"/>
                <w:szCs w:val="22"/>
              </w:rPr>
              <w:t>Draft the inception report outlining the evaluation methodology as well as interview and mission plan and schedule (each consultant should be expected to travel to three countries each (Dependent on COVID-19 travel restrictions and UN guidance);</w:t>
            </w:r>
          </w:p>
          <w:p w14:paraId="6297D678" w14:textId="77777777" w:rsidR="00771DD2" w:rsidRPr="00C01FC3" w:rsidRDefault="00771DD2" w:rsidP="00567956">
            <w:pPr>
              <w:pStyle w:val="TableContents"/>
              <w:numPr>
                <w:ilvl w:val="0"/>
                <w:numId w:val="46"/>
              </w:numPr>
              <w:tabs>
                <w:tab w:val="left" w:pos="707"/>
              </w:tabs>
              <w:jc w:val="both"/>
              <w:rPr>
                <w:rFonts w:hint="eastAsia"/>
              </w:rPr>
            </w:pPr>
            <w:r w:rsidRPr="00C01FC3">
              <w:rPr>
                <w:sz w:val="22"/>
                <w:szCs w:val="22"/>
              </w:rPr>
              <w:t>Develop the research questions and interview questionnaires based on the agreed evaluation plan and methodology;</w:t>
            </w:r>
          </w:p>
          <w:p w14:paraId="760B95E7" w14:textId="77777777" w:rsidR="00771DD2" w:rsidRPr="00C01FC3" w:rsidRDefault="00771DD2" w:rsidP="00567956">
            <w:pPr>
              <w:pStyle w:val="TableContents"/>
              <w:numPr>
                <w:ilvl w:val="0"/>
                <w:numId w:val="46"/>
              </w:numPr>
              <w:tabs>
                <w:tab w:val="left" w:pos="707"/>
              </w:tabs>
              <w:jc w:val="both"/>
              <w:rPr>
                <w:rFonts w:hint="eastAsia"/>
              </w:rPr>
            </w:pPr>
            <w:r w:rsidRPr="00C01FC3">
              <w:rPr>
                <w:sz w:val="22"/>
                <w:szCs w:val="22"/>
              </w:rPr>
              <w:t>Conduct interviews with the relevant UN colleagues (including UNDP staff, DPO/OROLSI and GFP entities), donors, Resident Representatives, and other selected stakeholders;</w:t>
            </w:r>
          </w:p>
          <w:p w14:paraId="3582B6BB" w14:textId="77777777" w:rsidR="00771DD2" w:rsidRPr="00C01FC3" w:rsidRDefault="00771DD2" w:rsidP="00567956">
            <w:pPr>
              <w:pStyle w:val="TableContents"/>
              <w:numPr>
                <w:ilvl w:val="0"/>
                <w:numId w:val="46"/>
              </w:numPr>
              <w:tabs>
                <w:tab w:val="left" w:pos="707"/>
              </w:tabs>
              <w:jc w:val="both"/>
              <w:rPr>
                <w:rFonts w:hint="eastAsia"/>
              </w:rPr>
            </w:pPr>
            <w:r w:rsidRPr="00C01FC3">
              <w:rPr>
                <w:sz w:val="22"/>
                <w:szCs w:val="22"/>
              </w:rPr>
              <w:t>Undertake (virtual and where possible in person) missions to the selected countries to evaluate the effectiveness of the programme at the country level, including through interviews with stakeholders, partners and other relevant actors.</w:t>
            </w:r>
          </w:p>
          <w:p w14:paraId="72A8E87D" w14:textId="77777777" w:rsidR="00771DD2" w:rsidRPr="00C01FC3" w:rsidRDefault="00771DD2" w:rsidP="00567956">
            <w:pPr>
              <w:pStyle w:val="TableContents"/>
              <w:numPr>
                <w:ilvl w:val="0"/>
                <w:numId w:val="46"/>
              </w:numPr>
              <w:tabs>
                <w:tab w:val="left" w:pos="707"/>
              </w:tabs>
              <w:jc w:val="both"/>
              <w:rPr>
                <w:rFonts w:hint="eastAsia"/>
              </w:rPr>
            </w:pPr>
            <w:r w:rsidRPr="00C01FC3">
              <w:rPr>
                <w:sz w:val="22"/>
                <w:szCs w:val="22"/>
              </w:rPr>
              <w:t>Conduct phone interviews with at least two countries agreed with the Global Programme management that do not currently receive Global Programme support to assess needs in these countries;</w:t>
            </w:r>
          </w:p>
          <w:p w14:paraId="54EC0B54" w14:textId="77777777" w:rsidR="00771DD2" w:rsidRPr="00C01FC3" w:rsidRDefault="00771DD2" w:rsidP="00567956">
            <w:pPr>
              <w:pStyle w:val="TableContents"/>
              <w:numPr>
                <w:ilvl w:val="0"/>
                <w:numId w:val="46"/>
              </w:numPr>
              <w:tabs>
                <w:tab w:val="left" w:pos="707"/>
              </w:tabs>
              <w:jc w:val="both"/>
              <w:rPr>
                <w:rFonts w:hint="eastAsia"/>
              </w:rPr>
            </w:pPr>
            <w:r w:rsidRPr="00C01FC3">
              <w:rPr>
                <w:sz w:val="22"/>
                <w:szCs w:val="22"/>
              </w:rPr>
              <w:t>Draft the evaluation report based on the findings for the review of the Global Programme management team;</w:t>
            </w:r>
          </w:p>
          <w:p w14:paraId="7E7B8288" w14:textId="77777777" w:rsidR="00771DD2" w:rsidRPr="00C01FC3" w:rsidRDefault="00771DD2" w:rsidP="00567956">
            <w:pPr>
              <w:pStyle w:val="TableContents"/>
              <w:numPr>
                <w:ilvl w:val="0"/>
                <w:numId w:val="46"/>
              </w:numPr>
              <w:tabs>
                <w:tab w:val="left" w:pos="707"/>
              </w:tabs>
              <w:jc w:val="both"/>
              <w:rPr>
                <w:rFonts w:hint="eastAsia"/>
              </w:rPr>
            </w:pPr>
            <w:r w:rsidRPr="00C01FC3">
              <w:rPr>
                <w:sz w:val="22"/>
                <w:szCs w:val="22"/>
              </w:rPr>
              <w:t>Consult with the Global Programme management team and adjust the report based on feedback;</w:t>
            </w:r>
          </w:p>
          <w:p w14:paraId="634BA69F" w14:textId="77777777" w:rsidR="00771DD2" w:rsidRPr="00C01FC3" w:rsidRDefault="00771DD2" w:rsidP="00567956">
            <w:pPr>
              <w:pStyle w:val="TableContents"/>
              <w:numPr>
                <w:ilvl w:val="0"/>
                <w:numId w:val="46"/>
              </w:numPr>
              <w:tabs>
                <w:tab w:val="left" w:pos="707"/>
              </w:tabs>
              <w:spacing w:after="283"/>
              <w:jc w:val="both"/>
              <w:rPr>
                <w:rFonts w:hint="eastAsia"/>
              </w:rPr>
            </w:pPr>
            <w:r w:rsidRPr="00C01FC3">
              <w:rPr>
                <w:sz w:val="22"/>
                <w:szCs w:val="22"/>
              </w:rPr>
              <w:t>Submit final evaluation report to the Global Programme Management team.</w:t>
            </w:r>
          </w:p>
          <w:p w14:paraId="68440E7B" w14:textId="77777777" w:rsidR="00771DD2" w:rsidRPr="00C01FC3" w:rsidRDefault="00771DD2" w:rsidP="00296A4A">
            <w:pPr>
              <w:pStyle w:val="TableContents"/>
              <w:spacing w:after="283"/>
              <w:jc w:val="both"/>
              <w:rPr>
                <w:rFonts w:hint="eastAsia"/>
              </w:rPr>
            </w:pPr>
            <w:r w:rsidRPr="00C01FC3">
              <w:rPr>
                <w:rStyle w:val="Strong"/>
                <w:sz w:val="22"/>
                <w:szCs w:val="22"/>
              </w:rPr>
              <w:t>Management Arrangements and Reporting:</w:t>
            </w:r>
            <w:r w:rsidRPr="00C01FC3">
              <w:rPr>
                <w:sz w:val="22"/>
                <w:szCs w:val="22"/>
              </w:rPr>
              <w:t> The consultant will report to the Global Programme Project Manager and will liaise with the whole ROLSHR team during the assignment.</w:t>
            </w:r>
          </w:p>
          <w:p w14:paraId="15EC7408" w14:textId="77777777" w:rsidR="00771DD2" w:rsidRPr="00C01FC3" w:rsidRDefault="00771DD2" w:rsidP="00296A4A">
            <w:pPr>
              <w:pStyle w:val="TableContents"/>
              <w:spacing w:after="283"/>
              <w:jc w:val="both"/>
              <w:rPr>
                <w:rFonts w:hint="eastAsia"/>
              </w:rPr>
            </w:pPr>
            <w:r w:rsidRPr="00C01FC3">
              <w:rPr>
                <w:rStyle w:val="Strong"/>
                <w:sz w:val="22"/>
                <w:szCs w:val="22"/>
              </w:rPr>
              <w:t>General Methodology:</w:t>
            </w:r>
            <w:r w:rsidRPr="00C01FC3">
              <w:rPr>
                <w:sz w:val="22"/>
                <w:szCs w:val="22"/>
              </w:rPr>
              <w:t> The evaluators will rely mainly on the following methods for obtaining the necessary information: </w:t>
            </w:r>
          </w:p>
          <w:p w14:paraId="2B2C073D" w14:textId="77777777" w:rsidR="00771DD2" w:rsidRPr="00C01FC3" w:rsidRDefault="00771DD2" w:rsidP="00567956">
            <w:pPr>
              <w:pStyle w:val="TableContents"/>
              <w:numPr>
                <w:ilvl w:val="0"/>
                <w:numId w:val="47"/>
              </w:numPr>
              <w:tabs>
                <w:tab w:val="left" w:pos="707"/>
              </w:tabs>
              <w:jc w:val="both"/>
              <w:rPr>
                <w:rFonts w:hint="eastAsia"/>
              </w:rPr>
            </w:pPr>
            <w:r w:rsidRPr="00C01FC3">
              <w:rPr>
                <w:sz w:val="22"/>
                <w:szCs w:val="22"/>
              </w:rPr>
              <w:t>Desk review of relevant programme and policy documents; Summary and outcome document of the Consultations for the Future We Want to See – Re-imaging Rule of law, Security and Human Rights</w:t>
            </w:r>
          </w:p>
          <w:p w14:paraId="531E68B4" w14:textId="77777777" w:rsidR="00771DD2" w:rsidRPr="00C87F53" w:rsidRDefault="00771DD2" w:rsidP="00567956">
            <w:pPr>
              <w:pStyle w:val="TableContents"/>
              <w:numPr>
                <w:ilvl w:val="0"/>
                <w:numId w:val="47"/>
              </w:numPr>
              <w:tabs>
                <w:tab w:val="left" w:pos="707"/>
              </w:tabs>
              <w:suppressAutoHyphens w:val="0"/>
              <w:autoSpaceDE w:val="0"/>
              <w:autoSpaceDN w:val="0"/>
              <w:adjustRightInd w:val="0"/>
              <w:jc w:val="both"/>
              <w:rPr>
                <w:rFonts w:ascii="Times New Roman" w:hAnsi="Times New Roman" w:cs="Times New Roman"/>
                <w:sz w:val="22"/>
                <w:szCs w:val="22"/>
              </w:rPr>
            </w:pPr>
            <w:r w:rsidRPr="00C87F53">
              <w:rPr>
                <w:sz w:val="22"/>
                <w:szCs w:val="22"/>
              </w:rPr>
              <w:t xml:space="preserve">Interviews with a </w:t>
            </w:r>
            <w:r w:rsidRPr="00C87F53">
              <w:rPr>
                <w:rFonts w:ascii="Times New Roman" w:hAnsi="Times New Roman" w:cs="Times New Roman"/>
                <w:sz w:val="22"/>
                <w:szCs w:val="22"/>
              </w:rPr>
              <w:t>wide range of stakeholders and partners (including but not limited to UNDP HQ, regional and country level colleagues, GFP partners as relevant such as DPO, UN Women, EOSG, etc., and key partners in government and civil society);</w:t>
            </w:r>
          </w:p>
          <w:p w14:paraId="50A3AE69" w14:textId="77777777" w:rsidR="00771DD2" w:rsidRPr="00C87F53" w:rsidRDefault="00771DD2" w:rsidP="00567956">
            <w:pPr>
              <w:pStyle w:val="TableContents"/>
              <w:numPr>
                <w:ilvl w:val="0"/>
                <w:numId w:val="47"/>
              </w:numPr>
              <w:tabs>
                <w:tab w:val="left" w:pos="707"/>
              </w:tabs>
              <w:suppressAutoHyphens w:val="0"/>
              <w:autoSpaceDE w:val="0"/>
              <w:autoSpaceDN w:val="0"/>
              <w:adjustRightInd w:val="0"/>
              <w:jc w:val="both"/>
              <w:rPr>
                <w:rFonts w:ascii="Times New Roman" w:hAnsi="Times New Roman" w:cs="Times New Roman"/>
                <w:sz w:val="22"/>
                <w:szCs w:val="22"/>
              </w:rPr>
            </w:pPr>
            <w:r w:rsidRPr="00C87F53">
              <w:rPr>
                <w:rFonts w:ascii="Times New Roman" w:eastAsia="Times New Roman" w:hAnsi="Times New Roman" w:cs="Times New Roman"/>
                <w:kern w:val="0"/>
                <w:sz w:val="22"/>
                <w:szCs w:val="22"/>
                <w:lang w:val="en-CA" w:eastAsia="en-CA" w:bidi="ar-SA"/>
              </w:rPr>
              <w:t>Direct observation via missions to three countries with initiatives supported by the Global Programme (Dependent on COVID-19 travel restrictions and UN Guidance).</w:t>
            </w:r>
          </w:p>
          <w:p w14:paraId="3266D700" w14:textId="77777777" w:rsidR="00771DD2" w:rsidRPr="00C01FC3" w:rsidRDefault="00771DD2" w:rsidP="00296A4A">
            <w:pPr>
              <w:pStyle w:val="TableContents"/>
              <w:spacing w:after="283"/>
              <w:ind w:left="707"/>
              <w:jc w:val="both"/>
              <w:rPr>
                <w:rFonts w:hint="eastAsia"/>
              </w:rPr>
            </w:pPr>
          </w:p>
        </w:tc>
      </w:tr>
    </w:tbl>
    <w:p w14:paraId="1424DB13" w14:textId="77777777" w:rsidR="00771DD2" w:rsidRPr="00771DD2" w:rsidRDefault="00771DD2" w:rsidP="00771DD2">
      <w:pPr>
        <w:rPr>
          <w:rFonts w:asciiTheme="majorHAnsi" w:eastAsiaTheme="majorEastAsia" w:hAnsiTheme="majorHAnsi" w:cstheme="majorBidi"/>
          <w:b/>
          <w:color w:val="404040" w:themeColor="text1" w:themeTint="BF"/>
          <w:sz w:val="28"/>
          <w:szCs w:val="28"/>
        </w:rPr>
      </w:pPr>
    </w:p>
    <w:sectPr w:rsidR="00771DD2" w:rsidRPr="00771DD2" w:rsidSect="00F07870">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AA3C" w14:textId="77777777" w:rsidR="00CF0A53" w:rsidRDefault="00CF0A53" w:rsidP="007C7BD4">
      <w:pPr>
        <w:spacing w:after="0" w:line="240" w:lineRule="auto"/>
      </w:pPr>
      <w:r>
        <w:separator/>
      </w:r>
    </w:p>
  </w:endnote>
  <w:endnote w:type="continuationSeparator" w:id="0">
    <w:p w14:paraId="7E2398E9" w14:textId="77777777" w:rsidR="00CF0A53" w:rsidRDefault="00CF0A53" w:rsidP="007C7BD4">
      <w:pPr>
        <w:spacing w:after="0" w:line="240" w:lineRule="auto"/>
      </w:pPr>
      <w:r>
        <w:continuationSeparator/>
      </w:r>
    </w:p>
  </w:endnote>
  <w:endnote w:type="continuationNotice" w:id="1">
    <w:p w14:paraId="51817052" w14:textId="77777777" w:rsidR="00CF0A53" w:rsidRDefault="00CF0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yriadPro-Regular">
    <w:altName w:val="Yu Gothic"/>
    <w:panose1 w:val="020B0503030403020204"/>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8189C" w14:textId="0C56515B" w:rsidR="002F2346" w:rsidRDefault="002F2346">
    <w:pPr>
      <w:pStyle w:val="Footer"/>
      <w:jc w:val="center"/>
    </w:pPr>
  </w:p>
  <w:p w14:paraId="004ABC42" w14:textId="77777777" w:rsidR="002F2346" w:rsidRDefault="002F2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251768"/>
      <w:docPartObj>
        <w:docPartGallery w:val="Page Numbers (Bottom of Page)"/>
        <w:docPartUnique/>
      </w:docPartObj>
    </w:sdtPr>
    <w:sdtEndPr>
      <w:rPr>
        <w:noProof/>
      </w:rPr>
    </w:sdtEndPr>
    <w:sdtContent>
      <w:p w14:paraId="1D3CD639" w14:textId="77777777" w:rsidR="002F2346" w:rsidRDefault="002F234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1F301E1" w14:textId="77777777" w:rsidR="002F2346" w:rsidRDefault="002F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84BC9" w14:textId="77777777" w:rsidR="00CF0A53" w:rsidRDefault="00CF0A53" w:rsidP="007C7BD4">
      <w:pPr>
        <w:spacing w:after="0" w:line="240" w:lineRule="auto"/>
      </w:pPr>
      <w:r>
        <w:separator/>
      </w:r>
    </w:p>
  </w:footnote>
  <w:footnote w:type="continuationSeparator" w:id="0">
    <w:p w14:paraId="532A855E" w14:textId="77777777" w:rsidR="00CF0A53" w:rsidRDefault="00CF0A53" w:rsidP="007C7BD4">
      <w:pPr>
        <w:spacing w:after="0" w:line="240" w:lineRule="auto"/>
      </w:pPr>
      <w:r>
        <w:continuationSeparator/>
      </w:r>
    </w:p>
  </w:footnote>
  <w:footnote w:type="continuationNotice" w:id="1">
    <w:p w14:paraId="62AC51AE" w14:textId="77777777" w:rsidR="00CF0A53" w:rsidRDefault="00CF0A53">
      <w:pPr>
        <w:spacing w:after="0" w:line="240" w:lineRule="auto"/>
      </w:pPr>
    </w:p>
  </w:footnote>
  <w:footnote w:id="2">
    <w:p w14:paraId="1679EA3C" w14:textId="7A776D90" w:rsidR="002F2346" w:rsidRPr="00E80114" w:rsidRDefault="002F2346">
      <w:pPr>
        <w:pStyle w:val="FootnoteText"/>
        <w:rPr>
          <w:rFonts w:ascii="Arial" w:hAnsi="Arial" w:cs="Arial"/>
        </w:rPr>
      </w:pPr>
      <w:r w:rsidRPr="00E80114">
        <w:rPr>
          <w:rStyle w:val="FootnoteReference"/>
          <w:rFonts w:ascii="Arial" w:hAnsi="Arial" w:cs="Arial"/>
        </w:rPr>
        <w:footnoteRef/>
      </w:r>
      <w:r w:rsidRPr="00E80114">
        <w:rPr>
          <w:rFonts w:ascii="Arial" w:hAnsi="Arial" w:cs="Arial"/>
        </w:rPr>
        <w:t xml:space="preserve"> More information </w:t>
      </w:r>
      <w:r w:rsidR="00E74333">
        <w:rPr>
          <w:rFonts w:ascii="Arial" w:hAnsi="Arial" w:cs="Arial"/>
        </w:rPr>
        <w:t xml:space="preserve">is </w:t>
      </w:r>
      <w:r w:rsidRPr="00E80114">
        <w:rPr>
          <w:rFonts w:ascii="Arial" w:hAnsi="Arial" w:cs="Arial"/>
        </w:rPr>
        <w:t xml:space="preserve">available at this link: </w:t>
      </w:r>
      <w:hyperlink r:id="rId1" w:history="1">
        <w:r w:rsidRPr="00E80114">
          <w:rPr>
            <w:rStyle w:val="Hyperlink"/>
            <w:rFonts w:ascii="Arial" w:hAnsi="Arial" w:cs="Arial"/>
          </w:rPr>
          <w:t>https://www.un.org/disarmament/salient/</w:t>
        </w:r>
      </w:hyperlink>
      <w:r w:rsidRPr="00E80114">
        <w:rPr>
          <w:rFonts w:ascii="Arial" w:hAnsi="Arial" w:cs="Arial"/>
        </w:rPr>
        <w:t xml:space="preserve"> </w:t>
      </w:r>
    </w:p>
  </w:footnote>
  <w:footnote w:id="3">
    <w:p w14:paraId="5E5F0F9B" w14:textId="2C750A91" w:rsidR="00C30FEB" w:rsidRPr="00D36FF0" w:rsidRDefault="00C30FEB">
      <w:pPr>
        <w:pStyle w:val="FootnoteText"/>
        <w:rPr>
          <w:rFonts w:ascii="Arial" w:hAnsi="Arial" w:cs="Arial"/>
        </w:rPr>
      </w:pPr>
      <w:r w:rsidRPr="00D36FF0">
        <w:rPr>
          <w:rStyle w:val="FootnoteReference"/>
          <w:rFonts w:ascii="Arial" w:hAnsi="Arial" w:cs="Arial"/>
        </w:rPr>
        <w:footnoteRef/>
      </w:r>
      <w:r w:rsidRPr="00D36FF0">
        <w:rPr>
          <w:rFonts w:ascii="Arial" w:hAnsi="Arial" w:cs="Arial"/>
        </w:rPr>
        <w:t xml:space="preserve"> The full list of GP donors during the period under evaluation is</w:t>
      </w:r>
      <w:r w:rsidR="00E67A89" w:rsidRPr="00D36FF0">
        <w:rPr>
          <w:rFonts w:ascii="Arial" w:hAnsi="Arial" w:cs="Arial"/>
        </w:rPr>
        <w:t xml:space="preserve">: </w:t>
      </w:r>
      <w:r w:rsidR="00FC64C0" w:rsidRPr="00D36FF0">
        <w:rPr>
          <w:rFonts w:ascii="Arial" w:hAnsi="Arial" w:cs="Arial"/>
        </w:rPr>
        <w:t xml:space="preserve">Belgium, Canada, Germany, Ireland, The Netherlands, </w:t>
      </w:r>
      <w:r w:rsidR="00C02511" w:rsidRPr="00D36FF0">
        <w:rPr>
          <w:rFonts w:ascii="Arial" w:hAnsi="Arial" w:cs="Arial"/>
        </w:rPr>
        <w:t>Norway, Sweden, Switzerland</w:t>
      </w:r>
      <w:r w:rsidR="008E5168" w:rsidRPr="00D36FF0">
        <w:rPr>
          <w:rFonts w:ascii="Arial" w:hAnsi="Arial" w:cs="Arial"/>
        </w:rPr>
        <w:t xml:space="preserve">, </w:t>
      </w:r>
      <w:r w:rsidR="00F374F7" w:rsidRPr="00D36FF0">
        <w:rPr>
          <w:rFonts w:ascii="Arial" w:hAnsi="Arial" w:cs="Arial"/>
        </w:rPr>
        <w:t xml:space="preserve">UNDP Core Resources, </w:t>
      </w:r>
      <w:r w:rsidR="00C02511" w:rsidRPr="00D36FF0">
        <w:rPr>
          <w:rFonts w:ascii="Arial" w:hAnsi="Arial" w:cs="Arial"/>
        </w:rPr>
        <w:t xml:space="preserve">United Kingdom, </w:t>
      </w:r>
      <w:r w:rsidR="008E5168" w:rsidRPr="00D36FF0">
        <w:rPr>
          <w:rFonts w:ascii="Arial" w:hAnsi="Arial" w:cs="Arial"/>
        </w:rPr>
        <w:t>United States/INL, United States Department of State</w:t>
      </w:r>
      <w:r w:rsidR="00C16987" w:rsidRPr="00D36FF0">
        <w:rPr>
          <w:rFonts w:ascii="Arial" w:hAnsi="Arial" w:cs="Arial"/>
        </w:rPr>
        <w:t>,</w:t>
      </w:r>
      <w:r w:rsidR="00E70D06" w:rsidRPr="00D36FF0">
        <w:rPr>
          <w:rFonts w:ascii="Arial" w:hAnsi="Arial" w:cs="Arial"/>
        </w:rPr>
        <w:t xml:space="preserve"> and</w:t>
      </w:r>
      <w:r w:rsidR="000E3555" w:rsidRPr="00D36FF0">
        <w:rPr>
          <w:rFonts w:ascii="Arial" w:hAnsi="Arial" w:cs="Arial"/>
        </w:rPr>
        <w:t xml:space="preserve"> UNHCR</w:t>
      </w:r>
      <w:r w:rsidR="00F92308" w:rsidRPr="00D36FF0">
        <w:rPr>
          <w:rFonts w:ascii="Arial" w:hAnsi="Arial" w:cs="Arial"/>
        </w:rPr>
        <w:t>.</w:t>
      </w:r>
    </w:p>
  </w:footnote>
  <w:footnote w:id="4">
    <w:p w14:paraId="6BFD85DF" w14:textId="73922270" w:rsidR="002F2346" w:rsidRPr="00E32626" w:rsidRDefault="002F2346" w:rsidP="00FB015E">
      <w:pPr>
        <w:pStyle w:val="FootnoteText"/>
        <w:jc w:val="both"/>
        <w:rPr>
          <w:rFonts w:ascii="Arial" w:hAnsi="Arial" w:cs="Arial"/>
        </w:rPr>
      </w:pPr>
      <w:r w:rsidRPr="00E32626">
        <w:rPr>
          <w:rStyle w:val="FootnoteReference"/>
          <w:rFonts w:ascii="Arial" w:hAnsi="Arial" w:cs="Arial"/>
        </w:rPr>
        <w:footnoteRef/>
      </w:r>
      <w:r w:rsidRPr="00E32626">
        <w:rPr>
          <w:rFonts w:ascii="Arial" w:hAnsi="Arial" w:cs="Arial"/>
        </w:rPr>
        <w:t xml:space="preserve"> In CAR, local stakeholder interviews were carried out by local experts contracted by ISSAT. To ensure that their data could also effectively inform this evaluation, the GP3 evaluation team closely vetted the ISSAT methodology and data collection tools (including the interviewee list</w:t>
      </w:r>
      <w:r>
        <w:rPr>
          <w:rFonts w:ascii="Arial" w:hAnsi="Arial" w:cs="Arial"/>
        </w:rPr>
        <w:t>,</w:t>
      </w:r>
      <w:r w:rsidRPr="00E32626">
        <w:rPr>
          <w:rFonts w:ascii="Arial" w:hAnsi="Arial" w:cs="Arial"/>
        </w:rPr>
        <w:t xml:space="preserve"> </w:t>
      </w:r>
      <w:r w:rsidRPr="009730E7">
        <w:rPr>
          <w:rFonts w:ascii="Arial" w:hAnsi="Arial" w:cs="Arial"/>
        </w:rPr>
        <w:t>evaluation matrix</w:t>
      </w:r>
      <w:r>
        <w:rPr>
          <w:rFonts w:ascii="Arial" w:hAnsi="Arial" w:cs="Arial"/>
        </w:rPr>
        <w:t>,</w:t>
      </w:r>
      <w:r w:rsidRPr="009730E7">
        <w:rPr>
          <w:rFonts w:ascii="Arial" w:hAnsi="Arial" w:cs="Arial"/>
        </w:rPr>
        <w:t xml:space="preserve"> and key elements of interview template). The interview data subsequently shared by ISSAT was taken into account by this evaluation to complement other primary and secondary data in relation to CAR.</w:t>
      </w:r>
      <w:r w:rsidRPr="00E32626">
        <w:rPr>
          <w:rFonts w:ascii="Arial" w:hAnsi="Arial" w:cs="Arial"/>
        </w:rPr>
        <w:t xml:space="preserve"> </w:t>
      </w:r>
    </w:p>
  </w:footnote>
  <w:footnote w:id="5">
    <w:p w14:paraId="78059E2A" w14:textId="77777777" w:rsidR="002F2346" w:rsidRPr="004D2AB8" w:rsidRDefault="002F2346" w:rsidP="00FB015E">
      <w:pPr>
        <w:pStyle w:val="FootnoteText"/>
        <w:jc w:val="both"/>
        <w:rPr>
          <w:rFonts w:ascii="Arial" w:hAnsi="Arial" w:cs="Arial"/>
        </w:rPr>
      </w:pPr>
      <w:r w:rsidRPr="004D2AB8">
        <w:rPr>
          <w:rStyle w:val="FootnoteReference"/>
          <w:rFonts w:ascii="Arial" w:hAnsi="Arial" w:cs="Arial"/>
        </w:rPr>
        <w:footnoteRef/>
      </w:r>
      <w:r w:rsidRPr="004D2AB8">
        <w:rPr>
          <w:rFonts w:ascii="Arial" w:hAnsi="Arial" w:cs="Arial"/>
        </w:rPr>
        <w:t xml:space="preserve"> The Prodoc included this footnote: “a comprehensive, evidence-based Theory of Change to underscore the Global Programme is currently under formulation in partnership with the Clingendael Institute.” However, a revised theory of change has </w:t>
      </w:r>
      <w:r>
        <w:rPr>
          <w:rFonts w:ascii="Arial" w:hAnsi="Arial" w:cs="Arial"/>
        </w:rPr>
        <w:t>not</w:t>
      </w:r>
      <w:r w:rsidRPr="004D2AB8">
        <w:rPr>
          <w:rFonts w:ascii="Arial" w:hAnsi="Arial" w:cs="Arial"/>
        </w:rPr>
        <w:t xml:space="preserve"> been completed</w:t>
      </w:r>
      <w:r>
        <w:rPr>
          <w:rFonts w:ascii="Arial" w:hAnsi="Arial" w:cs="Arial"/>
        </w:rPr>
        <w:t xml:space="preserve"> as of the time of this evaluation</w:t>
      </w:r>
      <w:r w:rsidRPr="004D2AB8">
        <w:rPr>
          <w:rFonts w:ascii="Arial" w:hAnsi="Arial" w:cs="Arial"/>
        </w:rPr>
        <w:t>.</w:t>
      </w:r>
    </w:p>
  </w:footnote>
  <w:footnote w:id="6">
    <w:p w14:paraId="42C92B9F" w14:textId="3AF98282" w:rsidR="002F2346" w:rsidRDefault="002F2346" w:rsidP="00BF5977">
      <w:pPr>
        <w:spacing w:after="0" w:line="240" w:lineRule="auto"/>
      </w:pPr>
      <w:r w:rsidRPr="00845F43">
        <w:rPr>
          <w:rStyle w:val="FootnoteReference"/>
          <w:rFonts w:ascii="Arial" w:hAnsi="Arial" w:cs="Arial"/>
        </w:rPr>
        <w:footnoteRef/>
      </w:r>
      <w:r w:rsidRPr="00845F43">
        <w:rPr>
          <w:rFonts w:ascii="Arial" w:hAnsi="Arial" w:cs="Arial"/>
        </w:rPr>
        <w:t xml:space="preserve"> It was not possible to assess</w:t>
      </w:r>
      <w:r w:rsidRPr="00845F43">
        <w:rPr>
          <w:rFonts w:ascii="Arial" w:hAnsi="Arial" w:cs="Arial"/>
          <w:color w:val="000000"/>
        </w:rPr>
        <w:t xml:space="preserve"> to what extent these countries have been prioritized for technical assistance, as there is no </w:t>
      </w:r>
      <w:r>
        <w:rPr>
          <w:rFonts w:ascii="Arial" w:hAnsi="Arial" w:cs="Arial"/>
          <w:color w:val="000000"/>
        </w:rPr>
        <w:t>programme-wide</w:t>
      </w:r>
      <w:r w:rsidRPr="00845F43">
        <w:rPr>
          <w:rFonts w:ascii="Arial" w:hAnsi="Arial" w:cs="Arial"/>
          <w:color w:val="000000"/>
        </w:rPr>
        <w:t xml:space="preserve"> system to document this type of GP service (which countries, how often, type of advice/expertise, source of advice, outcomes, etc.) </w:t>
      </w:r>
    </w:p>
  </w:footnote>
  <w:footnote w:id="7">
    <w:p w14:paraId="6F1A349A" w14:textId="2C1002C2" w:rsidR="002F2346" w:rsidRPr="0096171B" w:rsidRDefault="002F2346" w:rsidP="00A12C6E">
      <w:pPr>
        <w:pStyle w:val="Default"/>
        <w:rPr>
          <w:rFonts w:ascii="Arial" w:hAnsi="Arial" w:cs="Arial"/>
          <w:sz w:val="20"/>
          <w:szCs w:val="20"/>
        </w:rPr>
      </w:pPr>
      <w:r w:rsidRPr="00A12C6E">
        <w:rPr>
          <w:rStyle w:val="FootnoteReference"/>
          <w:rFonts w:ascii="Arial" w:hAnsi="Arial" w:cs="Arial"/>
          <w:sz w:val="20"/>
          <w:szCs w:val="20"/>
        </w:rPr>
        <w:footnoteRef/>
      </w:r>
      <w:r w:rsidRPr="00A12C6E">
        <w:rPr>
          <w:rFonts w:ascii="Arial" w:hAnsi="Arial" w:cs="Arial"/>
          <w:sz w:val="20"/>
          <w:szCs w:val="20"/>
        </w:rPr>
        <w:t xml:space="preserve"> The original list of 30 contexts </w:t>
      </w:r>
      <w:r>
        <w:rPr>
          <w:rFonts w:ascii="Arial" w:hAnsi="Arial" w:cs="Arial"/>
          <w:sz w:val="20"/>
          <w:szCs w:val="20"/>
        </w:rPr>
        <w:t>in the Prodoc list</w:t>
      </w:r>
      <w:r w:rsidR="003D76A2">
        <w:rPr>
          <w:rFonts w:ascii="Arial" w:hAnsi="Arial" w:cs="Arial"/>
          <w:sz w:val="20"/>
          <w:szCs w:val="20"/>
        </w:rPr>
        <w:t>, developed in consultation with the Project Board,</w:t>
      </w:r>
      <w:r>
        <w:rPr>
          <w:rFonts w:ascii="Arial" w:hAnsi="Arial" w:cs="Arial"/>
          <w:sz w:val="20"/>
          <w:szCs w:val="20"/>
        </w:rPr>
        <w:t xml:space="preserve"> was</w:t>
      </w:r>
      <w:r w:rsidRPr="00A12C6E">
        <w:rPr>
          <w:rFonts w:ascii="Arial" w:hAnsi="Arial" w:cs="Arial"/>
          <w:sz w:val="20"/>
          <w:szCs w:val="20"/>
        </w:rPr>
        <w:t xml:space="preserve">: Afghanistan, Bosnia and Herzegovina, Burundi, Central African Republic, Colombia, Democratic Republic of the Congo, Guatemala, Guinea-Bissau, Guinea (Conakry), Haiti, Iraq, Kosovo (UN Administered Territory),50 Kyrgyzstan, Liberia, Libya, Mali, Myanmar, Nepal, Pakistan, Sierra Leone, Somalia, South Sudan, Sri Lanka, State of Palestine, Sudan, Syria, Timor-Leste, Tunisia, </w:t>
      </w:r>
      <w:r w:rsidRPr="0096171B">
        <w:rPr>
          <w:rFonts w:ascii="Arial" w:hAnsi="Arial" w:cs="Arial"/>
          <w:sz w:val="20"/>
          <w:szCs w:val="20"/>
        </w:rPr>
        <w:t>Ukraine, and Yemen. The list was subsequently expanded to 32 with the addition of Jordan and Lebanon. According to the Prodoc: “</w:t>
      </w:r>
      <w:r w:rsidRPr="0096171B">
        <w:rPr>
          <w:rFonts w:ascii="Arial" w:hAnsi="Arial" w:cs="Arial"/>
          <w:i/>
          <w:iCs/>
          <w:sz w:val="20"/>
          <w:szCs w:val="20"/>
        </w:rPr>
        <w:t>These priority countries and territories have been selected based on previous government request for UNDP engagement on rule of law and/or human rights strengthening, as well the countries on the agenda of the Security Council, as well as demonstrated needs for: Sector-wide planning and engagement; Targeted financial support and strong technical investment from UNDP and UN partners; Donor coordination to guarantee maximum aid effectiveness; Sustained commitment and engagement with national and community-level stakeholders to ensure lasting, transformational change</w:t>
      </w:r>
      <w:r w:rsidRPr="0096171B">
        <w:rPr>
          <w:rFonts w:ascii="Arial" w:hAnsi="Arial" w:cs="Arial"/>
          <w:sz w:val="20"/>
          <w:szCs w:val="20"/>
        </w:rPr>
        <w:t>.”</w:t>
      </w:r>
    </w:p>
  </w:footnote>
  <w:footnote w:id="8">
    <w:p w14:paraId="2F27DB97" w14:textId="5430709E" w:rsidR="002F2346" w:rsidRPr="0096171B" w:rsidRDefault="002F2346">
      <w:pPr>
        <w:pStyle w:val="FootnoteText"/>
      </w:pPr>
      <w:r w:rsidRPr="0096171B">
        <w:rPr>
          <w:rStyle w:val="FootnoteReference"/>
        </w:rPr>
        <w:footnoteRef/>
      </w:r>
      <w:r w:rsidRPr="0096171B">
        <w:t xml:space="preserve"> </w:t>
      </w:r>
      <w:r w:rsidRPr="0096171B">
        <w:rPr>
          <w:rFonts w:ascii="Arial" w:hAnsi="Arial" w:cs="Arial"/>
        </w:rPr>
        <w:t xml:space="preserve">The four priority countries that had not previously received a funding allocation (Yemen, Guinea Bissau, Liberia, Bosnia and Herzegovina) were included in the pipeline financing of 2020. </w:t>
      </w:r>
    </w:p>
  </w:footnote>
  <w:footnote w:id="9">
    <w:p w14:paraId="2FDEE822" w14:textId="506B47BA" w:rsidR="002F2346" w:rsidRDefault="002F2346">
      <w:pPr>
        <w:pStyle w:val="FootnoteText"/>
      </w:pPr>
      <w:r w:rsidRPr="0096171B">
        <w:rPr>
          <w:rStyle w:val="FootnoteReference"/>
        </w:rPr>
        <w:footnoteRef/>
      </w:r>
      <w:r w:rsidRPr="0096171B">
        <w:t xml:space="preserve"> </w:t>
      </w:r>
      <w:r w:rsidRPr="0096171B">
        <w:rPr>
          <w:rFonts w:ascii="Arial" w:hAnsi="Arial" w:cs="Arial"/>
        </w:rPr>
        <w:t>The Prodoc contemplated this</w:t>
      </w:r>
      <w:r>
        <w:rPr>
          <w:rFonts w:ascii="Arial" w:hAnsi="Arial" w:cs="Arial"/>
        </w:rPr>
        <w:t xml:space="preserve"> targeting </w:t>
      </w:r>
      <w:r w:rsidRPr="0096171B">
        <w:rPr>
          <w:rFonts w:ascii="Arial" w:hAnsi="Arial" w:cs="Arial"/>
        </w:rPr>
        <w:t>flexibility</w:t>
      </w:r>
      <w:r>
        <w:rPr>
          <w:rFonts w:ascii="Arial" w:hAnsi="Arial" w:cs="Arial"/>
        </w:rPr>
        <w:t>, as follows</w:t>
      </w:r>
      <w:r w:rsidRPr="0096171B">
        <w:rPr>
          <w:rFonts w:ascii="Arial" w:hAnsi="Arial" w:cs="Arial"/>
        </w:rPr>
        <w:t>: “</w:t>
      </w:r>
      <w:r w:rsidRPr="0096171B">
        <w:rPr>
          <w:rFonts w:ascii="Arial" w:hAnsi="Arial" w:cs="Arial"/>
          <w:i/>
          <w:iCs/>
        </w:rPr>
        <w:t>Phase 3… will focus on strengthening country-level technical support and seed-funding to a designated set of 30 priority countries and territories..</w:t>
      </w:r>
      <w:r w:rsidRPr="0096171B">
        <w:rPr>
          <w:rFonts w:ascii="Arial" w:hAnsi="Arial" w:cs="Arial"/>
        </w:rPr>
        <w:t>.”, going on to state that “…</w:t>
      </w:r>
      <w:r w:rsidRPr="0096171B">
        <w:rPr>
          <w:rFonts w:ascii="Arial" w:hAnsi="Arial" w:cs="Arial"/>
          <w:i/>
          <w:iCs/>
        </w:rPr>
        <w:t xml:space="preserve">UNDP maintains the capability to designate funding through the Global Programme to non-priority </w:t>
      </w:r>
      <w:r>
        <w:rPr>
          <w:rFonts w:ascii="Arial" w:hAnsi="Arial" w:cs="Arial"/>
          <w:i/>
          <w:iCs/>
        </w:rPr>
        <w:t xml:space="preserve">[contexts] </w:t>
      </w:r>
      <w:r w:rsidRPr="0096171B">
        <w:rPr>
          <w:rFonts w:ascii="Arial" w:hAnsi="Arial" w:cs="Arial"/>
          <w:i/>
          <w:iCs/>
        </w:rPr>
        <w:t>upon request and as deemed necessary – for instance, special development situations requiring rapid and targeted support, or smaller monetary investments. The Global Programme will also support regional-level programming that responds to country priorities on rule of law”</w:t>
      </w:r>
      <w:r w:rsidRPr="0096171B">
        <w:rPr>
          <w:rFonts w:ascii="Arial" w:hAnsi="Arial" w:cs="Arial"/>
        </w:rPr>
        <w:t>.</w:t>
      </w:r>
    </w:p>
  </w:footnote>
  <w:footnote w:id="10">
    <w:p w14:paraId="451DDBBE" w14:textId="4A050AC5" w:rsidR="00520966" w:rsidRPr="00520966" w:rsidRDefault="00520966" w:rsidP="00520966">
      <w:pPr>
        <w:pStyle w:val="CommentText"/>
        <w:rPr>
          <w:rFonts w:ascii="Arial" w:hAnsi="Arial" w:cs="Arial"/>
        </w:rPr>
      </w:pPr>
      <w:r w:rsidRPr="00520966">
        <w:rPr>
          <w:rStyle w:val="FootnoteReference"/>
          <w:rFonts w:ascii="Arial" w:hAnsi="Arial" w:cs="Arial"/>
        </w:rPr>
        <w:footnoteRef/>
      </w:r>
      <w:r w:rsidRPr="00520966">
        <w:rPr>
          <w:rFonts w:ascii="Arial" w:hAnsi="Arial" w:cs="Arial"/>
        </w:rPr>
        <w:t xml:space="preserve"> </w:t>
      </w:r>
      <w:r>
        <w:rPr>
          <w:rFonts w:ascii="Arial" w:hAnsi="Arial" w:cs="Arial"/>
        </w:rPr>
        <w:t>For example,</w:t>
      </w:r>
      <w:hyperlink r:id="rId2">
        <w:r w:rsidRPr="008837C2">
          <w:rPr>
            <w:rStyle w:val="Hyperlink"/>
            <w:rFonts w:ascii="Arial" w:hAnsi="Arial" w:cs="Arial"/>
            <w:color w:val="auto"/>
            <w:u w:val="none"/>
          </w:rPr>
          <w:t xml:space="preserve"> </w:t>
        </w:r>
        <w:r w:rsidRPr="008837C2">
          <w:rPr>
            <w:rFonts w:ascii="Arial" w:hAnsi="Arial" w:cs="Arial"/>
          </w:rPr>
          <w:t xml:space="preserve">in October 2020 </w:t>
        </w:r>
        <w:r w:rsidRPr="008837C2">
          <w:rPr>
            <w:rStyle w:val="Hyperlink"/>
            <w:rFonts w:ascii="Arial" w:hAnsi="Arial" w:cs="Arial"/>
            <w:color w:val="auto"/>
            <w:u w:val="none"/>
          </w:rPr>
          <w:t>at the 45th session of the Human Rights Council: Resolutions, decisions and President’s statements</w:t>
        </w:r>
      </w:hyperlink>
      <w:r>
        <w:rPr>
          <w:rFonts w:ascii="Arial" w:hAnsi="Arial" w:cs="Arial"/>
        </w:rPr>
        <w:t>.</w:t>
      </w:r>
      <w:r w:rsidRPr="00520966">
        <w:rPr>
          <w:rFonts w:ascii="Arial" w:hAnsi="Arial" w:cs="Arial"/>
        </w:rPr>
        <w:t xml:space="preserve"> A/HRC/RES/45/22</w:t>
      </w:r>
      <w:r>
        <w:rPr>
          <w:rFonts w:ascii="Arial" w:hAnsi="Arial" w:cs="Arial"/>
        </w:rPr>
        <w:t xml:space="preserve"> </w:t>
      </w:r>
      <w:r w:rsidRPr="00520966">
        <w:rPr>
          <w:rFonts w:ascii="Arial" w:hAnsi="Arial" w:cs="Arial"/>
        </w:rPr>
        <w:t xml:space="preserve">Preambular paragraph: </w:t>
      </w:r>
      <w:r w:rsidRPr="00520966">
        <w:rPr>
          <w:rFonts w:ascii="Arial" w:hAnsi="Arial" w:cs="Arial"/>
          <w:i/>
          <w:iCs/>
        </w:rPr>
        <w:t>"Welcoming efforts to strengthen United Nations system-wide coordination in support of national human rights institutions and their networks, including the tripartite partnership between the United Nations Development Programme, the Office of the High Commissioner and the Global Alliance of National Human Rights Institutions,2 and encouraging further cooperation in this regard between United Nations mechanisms and processes and with national human rights institutions, the Global Alliance of National Human Rights Institutions and its regional networks</w:t>
      </w:r>
      <w:r w:rsidRPr="00520966">
        <w:rPr>
          <w:rFonts w:ascii="Arial" w:hAnsi="Arial" w:cs="Arial"/>
        </w:rPr>
        <w:t>"</w:t>
      </w:r>
    </w:p>
  </w:footnote>
  <w:footnote w:id="11">
    <w:p w14:paraId="58F1B256" w14:textId="19EFE912" w:rsidR="002F2346" w:rsidRPr="007F3959" w:rsidRDefault="002F2346" w:rsidP="0029366C">
      <w:pPr>
        <w:pStyle w:val="FootnoteText"/>
        <w:jc w:val="both"/>
        <w:rPr>
          <w:rFonts w:ascii="Arial" w:hAnsi="Arial" w:cs="Arial"/>
          <w:lang w:val="en-US"/>
        </w:rPr>
      </w:pPr>
      <w:r w:rsidRPr="007F3959">
        <w:rPr>
          <w:rStyle w:val="FootnoteReference"/>
          <w:rFonts w:ascii="Arial" w:hAnsi="Arial" w:cs="Arial"/>
        </w:rPr>
        <w:footnoteRef/>
      </w:r>
      <w:r w:rsidRPr="007F3959">
        <w:rPr>
          <w:rFonts w:ascii="Arial" w:hAnsi="Arial" w:cs="Arial"/>
          <w:lang w:val="en-US"/>
        </w:rPr>
        <w:t xml:space="preserve"> </w:t>
      </w:r>
      <w:r w:rsidRPr="007F3959">
        <w:rPr>
          <w:rFonts w:ascii="Arial" w:hAnsi="Arial" w:cs="Arial"/>
          <w:color w:val="222222"/>
          <w:shd w:val="clear" w:color="auto" w:fill="FBFBFB"/>
          <w:lang w:val="en-US"/>
        </w:rPr>
        <w:t xml:space="preserve">In May 2018 the UN General Assembly approved a set of changes for “repositioning” the UN development system, including reforms to the RC system. The changes and accompanying new funding scheme aim to ensure the RC system is independent from any </w:t>
      </w:r>
      <w:r>
        <w:rPr>
          <w:rFonts w:ascii="Arial" w:hAnsi="Arial" w:cs="Arial"/>
          <w:color w:val="222222"/>
          <w:shd w:val="clear" w:color="auto" w:fill="FBFBFB"/>
          <w:lang w:val="en-US"/>
        </w:rPr>
        <w:t xml:space="preserve">UN </w:t>
      </w:r>
      <w:r w:rsidRPr="007F3959">
        <w:rPr>
          <w:rFonts w:ascii="Arial" w:hAnsi="Arial" w:cs="Arial"/>
          <w:color w:val="222222"/>
          <w:shd w:val="clear" w:color="auto" w:fill="FBFBFB"/>
          <w:lang w:val="en-US"/>
        </w:rPr>
        <w:t>agency, more transparent and accountable to Member States, and fully dedicated to the 2030 Agenda.</w:t>
      </w:r>
    </w:p>
  </w:footnote>
  <w:footnote w:id="12">
    <w:p w14:paraId="4B53795D" w14:textId="049B23DE" w:rsidR="002F2346" w:rsidRPr="007F3959" w:rsidRDefault="002F2346" w:rsidP="0029366C">
      <w:pPr>
        <w:pStyle w:val="FootnoteText"/>
        <w:jc w:val="both"/>
        <w:rPr>
          <w:lang w:val="en-US"/>
        </w:rPr>
      </w:pPr>
      <w:r>
        <w:rPr>
          <w:rStyle w:val="FootnoteReference"/>
        </w:rPr>
        <w:footnoteRef/>
      </w:r>
      <w:r w:rsidRPr="007F3959">
        <w:rPr>
          <w:lang w:val="en-US"/>
        </w:rPr>
        <w:t xml:space="preserve"> </w:t>
      </w:r>
      <w:r w:rsidRPr="007F3959">
        <w:rPr>
          <w:rFonts w:ascii="Arial" w:hAnsi="Arial" w:cs="Arial"/>
          <w:color w:val="212529"/>
          <w:shd w:val="clear" w:color="auto" w:fill="FFFFFF"/>
          <w:lang w:val="en-US"/>
        </w:rPr>
        <w:t xml:space="preserve"> Under the new peace and security architecture, OROLSI is mandated to serve as a UN system-wide service provider for mission and non-mission settings and on all issues related to rule of law and security institutions. It works closely with the Department of Political and Peacebuilding Affairs, particularly the Peacebuilding Support Office and the regional structure, as well as with the Department of Peace Operations, the Department of Operational Support and other United Nations entities, including through inter-agency arrangements such as the </w:t>
      </w:r>
      <w:r>
        <w:rPr>
          <w:rFonts w:ascii="Arial" w:hAnsi="Arial" w:cs="Arial"/>
          <w:color w:val="212529"/>
          <w:shd w:val="clear" w:color="auto" w:fill="FFFFFF"/>
          <w:lang w:val="en-US"/>
        </w:rPr>
        <w:t>GFP</w:t>
      </w:r>
      <w:r w:rsidRPr="007F3959">
        <w:rPr>
          <w:rFonts w:ascii="Arial" w:hAnsi="Arial" w:cs="Arial"/>
          <w:color w:val="212529"/>
          <w:shd w:val="clear" w:color="auto" w:fill="FFFFFF"/>
          <w:lang w:val="en-US"/>
        </w:rPr>
        <w:t xml:space="preserve">. Thematic policy issues covered by </w:t>
      </w:r>
      <w:r>
        <w:rPr>
          <w:rFonts w:ascii="Arial" w:hAnsi="Arial" w:cs="Arial"/>
          <w:color w:val="212529"/>
          <w:shd w:val="clear" w:color="auto" w:fill="FFFFFF"/>
          <w:lang w:val="en-US"/>
        </w:rPr>
        <w:t>OROLSI</w:t>
      </w:r>
      <w:r w:rsidRPr="007F3959">
        <w:rPr>
          <w:rFonts w:ascii="Arial" w:hAnsi="Arial" w:cs="Arial"/>
          <w:color w:val="212529"/>
          <w:shd w:val="clear" w:color="auto" w:fill="FFFFFF"/>
          <w:lang w:val="en-US"/>
        </w:rPr>
        <w:t xml:space="preserve"> include: Prevention of Violent Extremism &amp; Counter-Terrorism (PVE-CT); Sustaining Peace; Conflict Prevention; Women, Peace and Security; Youth, Peace and Security; and, Communications.</w:t>
      </w:r>
    </w:p>
  </w:footnote>
  <w:footnote w:id="13">
    <w:p w14:paraId="03563C95" w14:textId="090D66ED" w:rsidR="002F2346" w:rsidRPr="00D06B8D" w:rsidRDefault="002F2346">
      <w:pPr>
        <w:pStyle w:val="FootnoteText"/>
        <w:rPr>
          <w:rFonts w:ascii="Arial" w:hAnsi="Arial" w:cs="Arial"/>
        </w:rPr>
      </w:pPr>
      <w:r w:rsidRPr="00D06B8D">
        <w:rPr>
          <w:rStyle w:val="FootnoteReference"/>
          <w:rFonts w:ascii="Arial" w:hAnsi="Arial" w:cs="Arial"/>
        </w:rPr>
        <w:footnoteRef/>
      </w:r>
      <w:r w:rsidRPr="00D06B8D">
        <w:rPr>
          <w:rFonts w:ascii="Arial" w:hAnsi="Arial" w:cs="Arial"/>
        </w:rPr>
        <w:t xml:space="preserve"> These calculations do not include INL earmarked funding handled by the GP in this period. </w:t>
      </w:r>
    </w:p>
  </w:footnote>
  <w:footnote w:id="14">
    <w:p w14:paraId="428D3A17" w14:textId="7C4746E5" w:rsidR="002F2346" w:rsidRDefault="002F2346">
      <w:pPr>
        <w:pStyle w:val="FootnoteText"/>
      </w:pPr>
      <w:r>
        <w:rPr>
          <w:rStyle w:val="FootnoteReference"/>
        </w:rPr>
        <w:footnoteRef/>
      </w:r>
      <w:r>
        <w:t xml:space="preserve"> </w:t>
      </w:r>
      <w:r w:rsidRPr="009F52C7">
        <w:rPr>
          <w:rFonts w:ascii="Arial" w:hAnsi="Arial" w:cs="Arial"/>
        </w:rPr>
        <w:t>The Project Board is chaired by the Head of the ROLSHR team, and comprised of representatives from each of the UNDP Regional Bureaus and the Bureau for External Relations and Advocacy.</w:t>
      </w:r>
    </w:p>
  </w:footnote>
  <w:footnote w:id="15">
    <w:p w14:paraId="717D2F14" w14:textId="160FF15E" w:rsidR="002F2346" w:rsidRPr="00512D35" w:rsidRDefault="002F2346">
      <w:pPr>
        <w:pStyle w:val="FootnoteText"/>
        <w:rPr>
          <w:rFonts w:ascii="Arial" w:hAnsi="Arial" w:cs="Arial"/>
        </w:rPr>
      </w:pPr>
      <w:r w:rsidRPr="00512D35">
        <w:rPr>
          <w:rStyle w:val="FootnoteReference"/>
          <w:rFonts w:ascii="Arial" w:hAnsi="Arial" w:cs="Arial"/>
        </w:rPr>
        <w:footnoteRef/>
      </w:r>
      <w:r w:rsidRPr="00512D35">
        <w:rPr>
          <w:rFonts w:ascii="Arial" w:hAnsi="Arial" w:cs="Arial"/>
        </w:rPr>
        <w:t xml:space="preserve"> A sample of these multilingual discussions facilitated by the ROLSHR team can be viewed at this link: </w:t>
      </w:r>
      <w:hyperlink r:id="rId3" w:history="1">
        <w:r w:rsidRPr="00512D35">
          <w:rPr>
            <w:rStyle w:val="Hyperlink"/>
            <w:rFonts w:ascii="Arial" w:hAnsi="Arial" w:cs="Arial"/>
          </w:rPr>
          <w:t>https://www.sparkblue.org/GlobalprogrammeROLSHR/discussion/reflecting-undps-focus-rule-law-security-and-human-rights-what-has</w:t>
        </w:r>
      </w:hyperlink>
      <w:r w:rsidRPr="00512D35">
        <w:rPr>
          <w:rFonts w:ascii="Arial" w:hAnsi="Arial" w:cs="Arial"/>
        </w:rPr>
        <w:t xml:space="preserve"> </w:t>
      </w:r>
    </w:p>
  </w:footnote>
  <w:footnote w:id="16">
    <w:p w14:paraId="6D43806C" w14:textId="77777777" w:rsidR="002F2346" w:rsidRDefault="002F2346" w:rsidP="00532161">
      <w:pPr>
        <w:pStyle w:val="FootnoteText"/>
      </w:pPr>
      <w:r>
        <w:rPr>
          <w:rStyle w:val="FootnoteReference"/>
        </w:rPr>
        <w:footnoteRef/>
      </w:r>
      <w:r>
        <w:t xml:space="preserve"> </w:t>
      </w:r>
      <w:r w:rsidRPr="000916BA">
        <w:rPr>
          <w:rFonts w:ascii="Arial" w:hAnsi="Arial" w:cs="Arial"/>
        </w:rPr>
        <w:t xml:space="preserve">For more information, see the PBF’s 2020-2024 Strategy, available for download at </w:t>
      </w:r>
      <w:hyperlink r:id="rId4" w:history="1">
        <w:r w:rsidRPr="000916BA">
          <w:rPr>
            <w:rStyle w:val="Hyperlink"/>
            <w:rFonts w:ascii="Arial" w:hAnsi="Arial" w:cs="Arial"/>
          </w:rPr>
          <w:t>https://www.un.org/peacebuilding/fund/documents/investments</w:t>
        </w:r>
      </w:hyperlink>
      <w:r w:rsidRPr="000916BA">
        <w:rPr>
          <w:rFonts w:ascii="Arial" w:hAnsi="Arial" w:cs="Arial"/>
        </w:rPr>
        <w:t>. More detailed recent guidance on measuring catalytic effects was mentioned by informants, but not available to the evaluators in time for this report.</w:t>
      </w:r>
      <w:r>
        <w:t xml:space="preserve"> </w:t>
      </w:r>
    </w:p>
  </w:footnote>
  <w:footnote w:id="17">
    <w:p w14:paraId="5943448D" w14:textId="77777777" w:rsidR="002F2346" w:rsidRPr="00772F62" w:rsidRDefault="002F2346" w:rsidP="00827A19">
      <w:pPr>
        <w:pStyle w:val="FootnoteText"/>
        <w:rPr>
          <w:rFonts w:ascii="Arial" w:hAnsi="Arial" w:cs="Arial"/>
        </w:rPr>
      </w:pPr>
      <w:r w:rsidRPr="00772F62">
        <w:rPr>
          <w:rStyle w:val="FootnoteReference"/>
          <w:rFonts w:ascii="Arial" w:hAnsi="Arial" w:cs="Arial"/>
        </w:rPr>
        <w:footnoteRef/>
      </w:r>
      <w:r w:rsidRPr="00772F62">
        <w:rPr>
          <w:rFonts w:ascii="Arial" w:hAnsi="Arial" w:cs="Arial"/>
        </w:rPr>
        <w:t xml:space="preserve"> General information about the INL is available at </w:t>
      </w:r>
      <w:hyperlink r:id="rId5" w:history="1">
        <w:r w:rsidRPr="00772F62">
          <w:rPr>
            <w:rStyle w:val="Hyperlink"/>
            <w:rFonts w:ascii="Arial" w:hAnsi="Arial" w:cs="Arial"/>
          </w:rPr>
          <w:t>https://www.state.gov/bureaus-offices/under-secretary-for-civilian-security-democracy-and-human-rights/bureau-of-international-narcotics-and-law-enforcement-affairs/</w:t>
        </w:r>
      </w:hyperlink>
      <w:r w:rsidRPr="00772F62">
        <w:rPr>
          <w:rFonts w:ascii="Arial" w:hAnsi="Arial" w:cs="Arial"/>
        </w:rPr>
        <w:t xml:space="preserve"> </w:t>
      </w:r>
    </w:p>
  </w:footnote>
  <w:footnote w:id="18">
    <w:p w14:paraId="21E4717E" w14:textId="6A9A72CD" w:rsidR="002F2346" w:rsidRPr="00C0670E" w:rsidRDefault="002F2346" w:rsidP="002A2C68">
      <w:pPr>
        <w:pStyle w:val="FootnoteText"/>
        <w:rPr>
          <w:rFonts w:ascii="Arial" w:hAnsi="Arial" w:cs="Arial"/>
        </w:rPr>
      </w:pPr>
      <w:r w:rsidRPr="00C0670E">
        <w:rPr>
          <w:rStyle w:val="FootnoteReference"/>
          <w:rFonts w:ascii="Arial" w:hAnsi="Arial" w:cs="Arial"/>
        </w:rPr>
        <w:footnoteRef/>
      </w:r>
      <w:r w:rsidRPr="00C0670E">
        <w:rPr>
          <w:rFonts w:ascii="Arial" w:hAnsi="Arial" w:cs="Arial"/>
        </w:rPr>
        <w:t xml:space="preserve"> The Ibrahim Index of African Governance is an annual statistical assessment of the quality of governance in every African country. As such, scores are not calculated for countries located on other continents. Scores range from 0 (lowest) to 100 (highest).</w:t>
      </w:r>
    </w:p>
  </w:footnote>
  <w:footnote w:id="19">
    <w:p w14:paraId="53E2A685" w14:textId="77777777" w:rsidR="002F2346" w:rsidRPr="00C0670E" w:rsidRDefault="002F2346" w:rsidP="002A2C68">
      <w:pPr>
        <w:pStyle w:val="FootnoteText"/>
        <w:rPr>
          <w:rFonts w:ascii="Arial" w:hAnsi="Arial" w:cs="Arial"/>
        </w:rPr>
      </w:pPr>
      <w:r w:rsidRPr="00C0670E">
        <w:rPr>
          <w:rStyle w:val="FootnoteReference"/>
          <w:rFonts w:ascii="Arial" w:hAnsi="Arial" w:cs="Arial"/>
        </w:rPr>
        <w:footnoteRef/>
      </w:r>
      <w:r w:rsidRPr="00C0670E">
        <w:rPr>
          <w:rFonts w:ascii="Arial" w:hAnsi="Arial" w:cs="Arial"/>
        </w:rPr>
        <w:t xml:space="preserve"> In 2015, scores and rankings were available for 102 countries across 8 primary rule of law indicators and 47 sub-factors. Scores range from 0 (lowest) to 1 (highest). For more information, see http://worldjusticeproject.org/rule-of-law-index.</w:t>
      </w:r>
    </w:p>
  </w:footnote>
  <w:footnote w:id="20">
    <w:p w14:paraId="391B1B8D" w14:textId="77777777" w:rsidR="002F2346" w:rsidRPr="00A96844" w:rsidRDefault="002F2346" w:rsidP="002A2C68">
      <w:pPr>
        <w:pStyle w:val="FootnoteText"/>
        <w:rPr>
          <w:rFonts w:ascii="Arial" w:hAnsi="Arial" w:cs="Arial"/>
        </w:rPr>
      </w:pPr>
      <w:r w:rsidRPr="00C0670E">
        <w:rPr>
          <w:rStyle w:val="FootnoteReference"/>
          <w:rFonts w:ascii="Arial" w:hAnsi="Arial" w:cs="Arial"/>
        </w:rPr>
        <w:footnoteRef/>
      </w:r>
      <w:r w:rsidRPr="00C0670E">
        <w:rPr>
          <w:rFonts w:ascii="Arial" w:hAnsi="Arial" w:cs="Arial"/>
        </w:rPr>
        <w:t xml:space="preserve"> According to the Transparency International website, “A country or territory’s score indicates the </w:t>
      </w:r>
      <w:r w:rsidRPr="00A96844">
        <w:rPr>
          <w:rFonts w:ascii="Arial" w:hAnsi="Arial" w:cs="Arial"/>
        </w:rPr>
        <w:t>perceived level of public sector corruption on a scale of 0 (highly corrupt) to 100 (very clean).”</w:t>
      </w:r>
    </w:p>
  </w:footnote>
  <w:footnote w:id="21">
    <w:p w14:paraId="5FFCC4E4" w14:textId="203D2038" w:rsidR="002F2346" w:rsidRDefault="002F2346" w:rsidP="002A2C68">
      <w:pPr>
        <w:pStyle w:val="FootnoteText"/>
      </w:pPr>
      <w:r w:rsidRPr="00A96844">
        <w:rPr>
          <w:rStyle w:val="FootnoteReference"/>
          <w:rFonts w:ascii="Arial" w:hAnsi="Arial" w:cs="Arial"/>
        </w:rPr>
        <w:footnoteRef/>
      </w:r>
      <w:r w:rsidRPr="00A96844">
        <w:rPr>
          <w:rFonts w:ascii="Arial" w:hAnsi="Arial" w:cs="Arial"/>
        </w:rPr>
        <w:t xml:space="preserve"> </w:t>
      </w:r>
      <w:r w:rsidRPr="002B6235">
        <w:rPr>
          <w:rFonts w:ascii="Arial" w:hAnsi="Arial" w:cs="Arial"/>
        </w:rPr>
        <w:t>Allocation data was recorded in a different way in 2016 and thus has not been included in this table. Allocations to regional projects are also not included, to limit th</w:t>
      </w:r>
      <w:r w:rsidR="002B6235">
        <w:rPr>
          <w:rFonts w:ascii="Arial" w:hAnsi="Arial" w:cs="Arial"/>
        </w:rPr>
        <w:t>is particular</w:t>
      </w:r>
      <w:r w:rsidRPr="002B6235">
        <w:rPr>
          <w:rFonts w:ascii="Arial" w:hAnsi="Arial" w:cs="Arial"/>
        </w:rPr>
        <w:t xml:space="preserve"> analysis to country-specific funding. </w:t>
      </w:r>
      <w:r w:rsidR="002B6235" w:rsidRPr="002B6235">
        <w:rPr>
          <w:rFonts w:ascii="Arial" w:hAnsi="Arial" w:cs="Arial"/>
        </w:rPr>
        <w:t xml:space="preserve">Regional allocations have included funds channeled to COs in both </w:t>
      </w:r>
      <w:r w:rsidR="002B6235">
        <w:rPr>
          <w:rFonts w:ascii="Arial" w:hAnsi="Arial" w:cs="Arial"/>
        </w:rPr>
        <w:t xml:space="preserve">GP </w:t>
      </w:r>
      <w:r w:rsidR="002B6235" w:rsidRPr="002B6235">
        <w:rPr>
          <w:rFonts w:ascii="Arial" w:hAnsi="Arial" w:cs="Arial"/>
        </w:rPr>
        <w:t>priority and non-priority countries.</w:t>
      </w:r>
    </w:p>
  </w:footnote>
  <w:footnote w:id="22">
    <w:p w14:paraId="7F1A4268" w14:textId="77777777" w:rsidR="002F2346" w:rsidRDefault="002F2346" w:rsidP="002A2C68">
      <w:pPr>
        <w:pStyle w:val="FootnoteText"/>
      </w:pPr>
      <w:r w:rsidRPr="00DA0C8A">
        <w:rPr>
          <w:rStyle w:val="FootnoteReference"/>
          <w:rFonts w:ascii="Arial" w:hAnsi="Arial" w:cs="Arial"/>
        </w:rPr>
        <w:footnoteRef/>
      </w:r>
      <w:r w:rsidRPr="00DA0C8A">
        <w:rPr>
          <w:rFonts w:ascii="Arial" w:hAnsi="Arial" w:cs="Arial"/>
        </w:rPr>
        <w:t xml:space="preserve"> </w:t>
      </w:r>
      <w:r w:rsidRPr="00DA0C8A">
        <w:rPr>
          <w:rFonts w:ascii="Arial" w:hAnsi="Arial" w:cs="Arial"/>
          <w:color w:val="26282A"/>
        </w:rPr>
        <w:t>SP Indicator 2.2.3.3 - similar to GP indicator 1.1; SP Indicator 3.2.2.1 - adapted to GP indicators 1.2, 3.1 and 6.2; SP Indicator 1.6.2.2 - adapted to GP 7.2 and 7.3; SP Indicator 2.2.3.1 - similar to GP 4.1; SP Indicator 2.2.3.2 - similar to GP 5.1.</w:t>
      </w:r>
    </w:p>
  </w:footnote>
  <w:footnote w:id="23">
    <w:p w14:paraId="2D7278FB" w14:textId="77777777" w:rsidR="002F2346" w:rsidRDefault="002F2346" w:rsidP="002A2C68">
      <w:pPr>
        <w:pStyle w:val="FootnoteText"/>
      </w:pPr>
      <w:r>
        <w:rPr>
          <w:rStyle w:val="FootnoteReference"/>
        </w:rPr>
        <w:footnoteRef/>
      </w:r>
      <w:r>
        <w:t xml:space="preserve"> </w:t>
      </w:r>
      <w:r w:rsidRPr="002732E3">
        <w:rPr>
          <w:rFonts w:ascii="Arial" w:hAnsi="Arial" w:cs="Arial"/>
        </w:rPr>
        <w:t>These phrases are drawn from the narrative reporting template sent by GP management in March 2021 to focal points for distribution to country offices, which did not request any information related to challenges, problems or lessons learned.</w:t>
      </w:r>
      <w:r>
        <w:t xml:space="preserve"> </w:t>
      </w:r>
    </w:p>
  </w:footnote>
  <w:footnote w:id="24">
    <w:p w14:paraId="796DA14A" w14:textId="36DBE8E3" w:rsidR="002F2346" w:rsidRDefault="002F2346">
      <w:pPr>
        <w:pStyle w:val="FootnoteText"/>
      </w:pPr>
      <w:r>
        <w:rPr>
          <w:rStyle w:val="FootnoteReference"/>
        </w:rPr>
        <w:footnoteRef/>
      </w:r>
      <w:r>
        <w:t xml:space="preserve"> </w:t>
      </w:r>
      <w:r>
        <w:rPr>
          <w:rStyle w:val="acopre"/>
        </w:rPr>
        <w:t>United Nations Multidimensional Integrated Stabilization Mission in the Central African Republic</w:t>
      </w:r>
    </w:p>
  </w:footnote>
  <w:footnote w:id="25">
    <w:p w14:paraId="0A1AE910" w14:textId="77777777" w:rsidR="002F2346" w:rsidRPr="0068529C" w:rsidRDefault="002F2346" w:rsidP="00051257">
      <w:pPr>
        <w:pStyle w:val="FootnoteText"/>
        <w:rPr>
          <w:rFonts w:ascii="Arial" w:hAnsi="Arial" w:cs="Arial"/>
        </w:rPr>
      </w:pPr>
      <w:r w:rsidRPr="0068529C">
        <w:rPr>
          <w:rStyle w:val="FootnoteReference"/>
          <w:rFonts w:ascii="Arial" w:hAnsi="Arial" w:cs="Arial"/>
        </w:rPr>
        <w:footnoteRef/>
      </w:r>
      <w:r w:rsidRPr="0068529C">
        <w:rPr>
          <w:rFonts w:ascii="Arial" w:hAnsi="Arial" w:cs="Arial"/>
        </w:rPr>
        <w:t xml:space="preserve"> Sourced from UNSOM/OROLSI staff in 2021</w:t>
      </w:r>
    </w:p>
  </w:footnote>
  <w:footnote w:id="26">
    <w:p w14:paraId="456BBE4A" w14:textId="77777777" w:rsidR="002F2346" w:rsidRPr="0068529C" w:rsidRDefault="002F2346" w:rsidP="00051257">
      <w:pPr>
        <w:pStyle w:val="FootnoteText"/>
        <w:jc w:val="both"/>
        <w:rPr>
          <w:rFonts w:ascii="Arial" w:hAnsi="Arial" w:cs="Arial"/>
          <w:lang w:val="en-US"/>
        </w:rPr>
      </w:pPr>
      <w:r w:rsidRPr="0068529C">
        <w:rPr>
          <w:rStyle w:val="FootnoteReference"/>
          <w:rFonts w:ascii="Arial" w:hAnsi="Arial" w:cs="Arial"/>
        </w:rPr>
        <w:footnoteRef/>
      </w:r>
      <w:r w:rsidRPr="0068529C">
        <w:rPr>
          <w:rFonts w:ascii="Arial" w:hAnsi="Arial" w:cs="Arial"/>
          <w:lang w:val="en-US"/>
        </w:rPr>
        <w:t xml:space="preserve">Decision 2013/2 of the United Nations Secretary-General, Policy Committee on 29 January 2013. </w:t>
      </w:r>
    </w:p>
  </w:footnote>
  <w:footnote w:id="27">
    <w:p w14:paraId="516FEE8E" w14:textId="77777777" w:rsidR="002F2346" w:rsidRPr="0068529C" w:rsidRDefault="002F2346" w:rsidP="00051257">
      <w:pPr>
        <w:pStyle w:val="FootnoteText"/>
        <w:jc w:val="both"/>
        <w:rPr>
          <w:rFonts w:ascii="Arial" w:hAnsi="Arial" w:cs="Arial"/>
          <w:lang w:val="en-US"/>
        </w:rPr>
      </w:pPr>
      <w:r w:rsidRPr="0068529C">
        <w:rPr>
          <w:rStyle w:val="FootnoteReference"/>
          <w:rFonts w:ascii="Arial" w:hAnsi="Arial" w:cs="Arial"/>
        </w:rPr>
        <w:footnoteRef/>
      </w:r>
      <w:r w:rsidRPr="0068529C">
        <w:rPr>
          <w:rFonts w:ascii="Arial" w:hAnsi="Arial" w:cs="Arial"/>
          <w:lang w:val="en-US"/>
        </w:rPr>
        <w:t>S/2013/69 para. 70.</w:t>
      </w:r>
    </w:p>
  </w:footnote>
  <w:footnote w:id="28">
    <w:p w14:paraId="4E1F96FA" w14:textId="77777777" w:rsidR="002F2346" w:rsidRPr="0068529C" w:rsidRDefault="002F2346" w:rsidP="00051257">
      <w:pPr>
        <w:pStyle w:val="FootnoteText"/>
        <w:jc w:val="both"/>
        <w:rPr>
          <w:rFonts w:ascii="Arial" w:hAnsi="Arial" w:cs="Arial"/>
          <w:lang w:val="en-US"/>
        </w:rPr>
      </w:pPr>
      <w:r w:rsidRPr="0068529C">
        <w:rPr>
          <w:rStyle w:val="FootnoteReference"/>
          <w:rFonts w:ascii="Arial" w:hAnsi="Arial" w:cs="Arial"/>
        </w:rPr>
        <w:footnoteRef/>
      </w:r>
      <w:r w:rsidRPr="0068529C">
        <w:rPr>
          <w:rFonts w:ascii="Arial" w:hAnsi="Arial" w:cs="Arial"/>
          <w:lang w:val="en-US"/>
        </w:rPr>
        <w:t>In para. 2 b) (ii), the Security Council decided that support to the police, justice and corrections institutions should be provided within the framework of the Global Focal Point for Rule of Law.</w:t>
      </w:r>
    </w:p>
  </w:footnote>
  <w:footnote w:id="29">
    <w:p w14:paraId="2CEFC30C" w14:textId="77777777" w:rsidR="002F2346" w:rsidRPr="00606ECA" w:rsidRDefault="002F2346" w:rsidP="00051257">
      <w:pPr>
        <w:pStyle w:val="FootnoteText"/>
        <w:jc w:val="both"/>
        <w:rPr>
          <w:lang w:val="en-US"/>
        </w:rPr>
      </w:pPr>
      <w:r w:rsidRPr="0068529C">
        <w:rPr>
          <w:rStyle w:val="FootnoteReference"/>
          <w:rFonts w:ascii="Arial" w:hAnsi="Arial" w:cs="Arial"/>
        </w:rPr>
        <w:footnoteRef/>
      </w:r>
      <w:r w:rsidRPr="0068529C">
        <w:rPr>
          <w:rFonts w:ascii="Arial" w:hAnsi="Arial" w:cs="Arial"/>
          <w:lang w:val="en-US"/>
        </w:rPr>
        <w:t xml:space="preserve"> Terms of reference were developed, consulted widely and agreed.  The decision was made to advertise the positions on the UNDP website and the funding for the positions to come from the UNSOM budget.  After a full recruitment process, candidates were selected; however, there were no feasible human resources and financial arrangements in place to recruit the selected candidates.  These issues were not resolved by April 2014, with a decision made to move ahead with the recruitments without the planned financial agreements in place. By this time the candidate selected for the Senior Police Advisor decided on employment elsewhere, and the candidate selected for the Senior Rule of Law Advisor was contracted by UNDP for 12 months to commence 1 July 2014.</w:t>
      </w:r>
    </w:p>
  </w:footnote>
  <w:footnote w:id="30">
    <w:p w14:paraId="7B252990" w14:textId="77777777" w:rsidR="002F2346" w:rsidRPr="006D67B4" w:rsidRDefault="002F2346" w:rsidP="00275D5B">
      <w:pPr>
        <w:pStyle w:val="FootnoteText"/>
        <w:jc w:val="both"/>
      </w:pPr>
      <w:r>
        <w:rPr>
          <w:rStyle w:val="FootnoteReference"/>
        </w:rPr>
        <w:footnoteRef/>
      </w:r>
      <w:r>
        <w:t xml:space="preserve"> Data collection among stakeholders in the Central African Republic heavily relied on interviews carried out by local survey experts contracted by ISSAT-DCAF as part of an ongoing country-level evaluation for the Global Programme.</w:t>
      </w:r>
    </w:p>
  </w:footnote>
  <w:footnote w:id="31">
    <w:p w14:paraId="5BB87E89" w14:textId="77777777" w:rsidR="002F2346" w:rsidRDefault="002F2346" w:rsidP="00275D5B">
      <w:pPr>
        <w:pStyle w:val="FootnoteText"/>
        <w:jc w:val="both"/>
      </w:pPr>
      <w:r>
        <w:rPr>
          <w:rStyle w:val="FootnoteReference"/>
        </w:rPr>
        <w:footnoteRef/>
      </w:r>
      <w:r>
        <w:t xml:space="preserve"> In the case of Pakistan, where the time difference and short working hours of some informants made it difficult to arrange interviews, some data collection was done via exchange of emails and/or Whatsapp audio responses. These methods enabled a high response rate from a wide cross-section of informants, although the inputs received were less in-depth compared to oral interviews.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F82A3C2" w14:paraId="645AE163" w14:textId="77777777" w:rsidTr="00E52345">
      <w:tc>
        <w:tcPr>
          <w:tcW w:w="3120" w:type="dxa"/>
        </w:tcPr>
        <w:p w14:paraId="6ADD2C1D" w14:textId="1ED3AE21" w:rsidR="4F82A3C2" w:rsidRDefault="4F82A3C2" w:rsidP="00E52345">
          <w:pPr>
            <w:pStyle w:val="Header"/>
            <w:ind w:left="-115"/>
          </w:pPr>
        </w:p>
      </w:tc>
      <w:tc>
        <w:tcPr>
          <w:tcW w:w="3120" w:type="dxa"/>
        </w:tcPr>
        <w:p w14:paraId="75668351" w14:textId="34A36806" w:rsidR="4F82A3C2" w:rsidRDefault="4F82A3C2" w:rsidP="00E52345">
          <w:pPr>
            <w:pStyle w:val="Header"/>
            <w:jc w:val="center"/>
          </w:pPr>
        </w:p>
      </w:tc>
      <w:tc>
        <w:tcPr>
          <w:tcW w:w="3120" w:type="dxa"/>
        </w:tcPr>
        <w:p w14:paraId="0D70ED73" w14:textId="5E8ADBA7" w:rsidR="4F82A3C2" w:rsidRDefault="4F82A3C2" w:rsidP="00E52345">
          <w:pPr>
            <w:pStyle w:val="Header"/>
            <w:ind w:right="-115"/>
            <w:jc w:val="right"/>
          </w:pPr>
        </w:p>
      </w:tc>
    </w:tr>
  </w:tbl>
  <w:p w14:paraId="3461A0CE" w14:textId="12486B58" w:rsidR="4F82A3C2" w:rsidRDefault="4F82A3C2" w:rsidP="00E52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F82A3C2" w14:paraId="018FF17D" w14:textId="77777777" w:rsidTr="00E52345">
      <w:tc>
        <w:tcPr>
          <w:tcW w:w="3120" w:type="dxa"/>
        </w:tcPr>
        <w:p w14:paraId="23AF2A1F" w14:textId="06637949" w:rsidR="4F82A3C2" w:rsidRDefault="4F82A3C2" w:rsidP="00E52345">
          <w:pPr>
            <w:pStyle w:val="Header"/>
            <w:ind w:left="-115"/>
          </w:pPr>
        </w:p>
      </w:tc>
      <w:tc>
        <w:tcPr>
          <w:tcW w:w="3120" w:type="dxa"/>
        </w:tcPr>
        <w:p w14:paraId="2BE3DDD7" w14:textId="22FC99A0" w:rsidR="4F82A3C2" w:rsidRDefault="4F82A3C2" w:rsidP="00E52345">
          <w:pPr>
            <w:pStyle w:val="Header"/>
            <w:jc w:val="center"/>
          </w:pPr>
        </w:p>
      </w:tc>
      <w:tc>
        <w:tcPr>
          <w:tcW w:w="3120" w:type="dxa"/>
        </w:tcPr>
        <w:p w14:paraId="783D5FDE" w14:textId="39751EEA" w:rsidR="4F82A3C2" w:rsidRDefault="4F82A3C2" w:rsidP="00E52345">
          <w:pPr>
            <w:pStyle w:val="Header"/>
            <w:ind w:right="-115"/>
            <w:jc w:val="right"/>
          </w:pPr>
        </w:p>
      </w:tc>
    </w:tr>
  </w:tbl>
  <w:p w14:paraId="55561440" w14:textId="5AE6FE87" w:rsidR="4F82A3C2" w:rsidRDefault="4F82A3C2" w:rsidP="00E52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F82A3C2" w14:paraId="521169D4" w14:textId="77777777" w:rsidTr="00E52345">
      <w:tc>
        <w:tcPr>
          <w:tcW w:w="3120" w:type="dxa"/>
        </w:tcPr>
        <w:p w14:paraId="5662E2CD" w14:textId="06794005" w:rsidR="4F82A3C2" w:rsidRDefault="4F82A3C2" w:rsidP="00E52345">
          <w:pPr>
            <w:pStyle w:val="Header"/>
            <w:ind w:left="-115"/>
          </w:pPr>
        </w:p>
      </w:tc>
      <w:tc>
        <w:tcPr>
          <w:tcW w:w="3120" w:type="dxa"/>
        </w:tcPr>
        <w:p w14:paraId="170B8084" w14:textId="69210B5D" w:rsidR="4F82A3C2" w:rsidRDefault="4F82A3C2" w:rsidP="00E52345">
          <w:pPr>
            <w:pStyle w:val="Header"/>
            <w:jc w:val="center"/>
          </w:pPr>
        </w:p>
      </w:tc>
      <w:tc>
        <w:tcPr>
          <w:tcW w:w="3120" w:type="dxa"/>
        </w:tcPr>
        <w:p w14:paraId="2F7B6754" w14:textId="6515964B" w:rsidR="4F82A3C2" w:rsidRDefault="4F82A3C2" w:rsidP="00E52345">
          <w:pPr>
            <w:pStyle w:val="Header"/>
            <w:ind w:right="-115"/>
            <w:jc w:val="right"/>
          </w:pPr>
        </w:p>
      </w:tc>
    </w:tr>
  </w:tbl>
  <w:p w14:paraId="7EEA9EE6" w14:textId="2A2F2778" w:rsidR="4F82A3C2" w:rsidRDefault="4F82A3C2" w:rsidP="00E52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F82A3C2" w14:paraId="47EF0C2F" w14:textId="77777777" w:rsidTr="00E52345">
      <w:tc>
        <w:tcPr>
          <w:tcW w:w="3120" w:type="dxa"/>
        </w:tcPr>
        <w:p w14:paraId="25013A32" w14:textId="212C1388" w:rsidR="4F82A3C2" w:rsidRDefault="4F82A3C2" w:rsidP="00E52345">
          <w:pPr>
            <w:pStyle w:val="Header"/>
            <w:ind w:left="-115"/>
          </w:pPr>
        </w:p>
      </w:tc>
      <w:tc>
        <w:tcPr>
          <w:tcW w:w="3120" w:type="dxa"/>
        </w:tcPr>
        <w:p w14:paraId="702CE511" w14:textId="325DB637" w:rsidR="4F82A3C2" w:rsidRDefault="4F82A3C2" w:rsidP="00E52345">
          <w:pPr>
            <w:pStyle w:val="Header"/>
            <w:jc w:val="center"/>
          </w:pPr>
        </w:p>
      </w:tc>
      <w:tc>
        <w:tcPr>
          <w:tcW w:w="3120" w:type="dxa"/>
        </w:tcPr>
        <w:p w14:paraId="42BA8A39" w14:textId="22C17F1A" w:rsidR="4F82A3C2" w:rsidRDefault="4F82A3C2" w:rsidP="00E52345">
          <w:pPr>
            <w:pStyle w:val="Header"/>
            <w:ind w:right="-115"/>
            <w:jc w:val="right"/>
          </w:pPr>
        </w:p>
      </w:tc>
    </w:tr>
  </w:tbl>
  <w:p w14:paraId="61841BFD" w14:textId="272F78F7" w:rsidR="4F82A3C2" w:rsidRDefault="4F82A3C2" w:rsidP="00E523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4F82A3C2" w14:paraId="0AE96329" w14:textId="77777777" w:rsidTr="00E52345">
      <w:tc>
        <w:tcPr>
          <w:tcW w:w="4320" w:type="dxa"/>
        </w:tcPr>
        <w:p w14:paraId="0BE04672" w14:textId="43735285" w:rsidR="4F82A3C2" w:rsidRDefault="4F82A3C2" w:rsidP="00E52345">
          <w:pPr>
            <w:pStyle w:val="Header"/>
            <w:ind w:left="-115"/>
          </w:pPr>
        </w:p>
      </w:tc>
      <w:tc>
        <w:tcPr>
          <w:tcW w:w="4320" w:type="dxa"/>
        </w:tcPr>
        <w:p w14:paraId="78CC4A78" w14:textId="4856E72C" w:rsidR="4F82A3C2" w:rsidRDefault="4F82A3C2" w:rsidP="00E52345">
          <w:pPr>
            <w:pStyle w:val="Header"/>
            <w:jc w:val="center"/>
          </w:pPr>
        </w:p>
      </w:tc>
      <w:tc>
        <w:tcPr>
          <w:tcW w:w="4320" w:type="dxa"/>
        </w:tcPr>
        <w:p w14:paraId="5E9D1604" w14:textId="66C25559" w:rsidR="4F82A3C2" w:rsidRDefault="4F82A3C2" w:rsidP="00E52345">
          <w:pPr>
            <w:pStyle w:val="Header"/>
            <w:ind w:right="-115"/>
            <w:jc w:val="right"/>
          </w:pPr>
        </w:p>
      </w:tc>
    </w:tr>
  </w:tbl>
  <w:p w14:paraId="44DEF03B" w14:textId="27EF36B9" w:rsidR="4F82A3C2" w:rsidRDefault="4F82A3C2" w:rsidP="00E71C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F82A3C2" w14:paraId="4F4EFDF5" w14:textId="77777777" w:rsidTr="002C5CE0">
      <w:tc>
        <w:tcPr>
          <w:tcW w:w="3120" w:type="dxa"/>
        </w:tcPr>
        <w:p w14:paraId="44EDA033" w14:textId="3F4D6F6A" w:rsidR="4F82A3C2" w:rsidRDefault="4F82A3C2" w:rsidP="002C5CE0">
          <w:pPr>
            <w:pStyle w:val="Header"/>
            <w:ind w:left="-115"/>
          </w:pPr>
        </w:p>
      </w:tc>
      <w:tc>
        <w:tcPr>
          <w:tcW w:w="3120" w:type="dxa"/>
        </w:tcPr>
        <w:p w14:paraId="30C1B234" w14:textId="0D2BFF58" w:rsidR="4F82A3C2" w:rsidRDefault="4F82A3C2" w:rsidP="002C5CE0">
          <w:pPr>
            <w:pStyle w:val="Header"/>
            <w:jc w:val="center"/>
          </w:pPr>
        </w:p>
      </w:tc>
      <w:tc>
        <w:tcPr>
          <w:tcW w:w="3120" w:type="dxa"/>
        </w:tcPr>
        <w:p w14:paraId="32476828" w14:textId="0DE15927" w:rsidR="4F82A3C2" w:rsidRDefault="4F82A3C2" w:rsidP="002C5CE0">
          <w:pPr>
            <w:pStyle w:val="Header"/>
            <w:ind w:right="-115"/>
            <w:jc w:val="right"/>
          </w:pPr>
        </w:p>
      </w:tc>
    </w:tr>
  </w:tbl>
  <w:p w14:paraId="41667FAD" w14:textId="63A68272" w:rsidR="4F82A3C2" w:rsidRDefault="4F82A3C2" w:rsidP="00E12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D32D4B"/>
    <w:multiLevelType w:val="hybridMultilevel"/>
    <w:tmpl w:val="935CB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4AE49C4"/>
    <w:multiLevelType w:val="hybridMultilevel"/>
    <w:tmpl w:val="2B1663CA"/>
    <w:lvl w:ilvl="0" w:tplc="10090009">
      <w:start w:val="1"/>
      <w:numFmt w:val="bullet"/>
      <w:lvlText w:val=""/>
      <w:lvlJc w:val="left"/>
      <w:pPr>
        <w:ind w:left="718" w:hanging="360"/>
      </w:pPr>
      <w:rPr>
        <w:rFonts w:ascii="Wingdings" w:hAnsi="Wingdings"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11" w15:restartNumberingAfterBreak="0">
    <w:nsid w:val="057330E9"/>
    <w:multiLevelType w:val="hybridMultilevel"/>
    <w:tmpl w:val="764A9882"/>
    <w:lvl w:ilvl="0" w:tplc="04660D88">
      <w:start w:val="1"/>
      <w:numFmt w:val="lowerLetter"/>
      <w:lvlText w:val="%1)"/>
      <w:lvlJc w:val="left"/>
      <w:pPr>
        <w:ind w:left="1078" w:hanging="360"/>
      </w:pPr>
      <w:rPr>
        <w:rFonts w:hint="default"/>
      </w:rPr>
    </w:lvl>
    <w:lvl w:ilvl="1" w:tplc="04070019" w:tentative="1">
      <w:start w:val="1"/>
      <w:numFmt w:val="lowerLetter"/>
      <w:lvlText w:val="%2."/>
      <w:lvlJc w:val="left"/>
      <w:pPr>
        <w:ind w:left="1798" w:hanging="360"/>
      </w:pPr>
    </w:lvl>
    <w:lvl w:ilvl="2" w:tplc="0407001B" w:tentative="1">
      <w:start w:val="1"/>
      <w:numFmt w:val="lowerRoman"/>
      <w:lvlText w:val="%3."/>
      <w:lvlJc w:val="right"/>
      <w:pPr>
        <w:ind w:left="2518" w:hanging="180"/>
      </w:pPr>
    </w:lvl>
    <w:lvl w:ilvl="3" w:tplc="0407000F" w:tentative="1">
      <w:start w:val="1"/>
      <w:numFmt w:val="decimal"/>
      <w:lvlText w:val="%4."/>
      <w:lvlJc w:val="left"/>
      <w:pPr>
        <w:ind w:left="3238" w:hanging="360"/>
      </w:pPr>
    </w:lvl>
    <w:lvl w:ilvl="4" w:tplc="04070019" w:tentative="1">
      <w:start w:val="1"/>
      <w:numFmt w:val="lowerLetter"/>
      <w:lvlText w:val="%5."/>
      <w:lvlJc w:val="left"/>
      <w:pPr>
        <w:ind w:left="3958" w:hanging="360"/>
      </w:pPr>
    </w:lvl>
    <w:lvl w:ilvl="5" w:tplc="0407001B" w:tentative="1">
      <w:start w:val="1"/>
      <w:numFmt w:val="lowerRoman"/>
      <w:lvlText w:val="%6."/>
      <w:lvlJc w:val="right"/>
      <w:pPr>
        <w:ind w:left="4678" w:hanging="180"/>
      </w:pPr>
    </w:lvl>
    <w:lvl w:ilvl="6" w:tplc="0407000F" w:tentative="1">
      <w:start w:val="1"/>
      <w:numFmt w:val="decimal"/>
      <w:lvlText w:val="%7."/>
      <w:lvlJc w:val="left"/>
      <w:pPr>
        <w:ind w:left="5398" w:hanging="360"/>
      </w:pPr>
    </w:lvl>
    <w:lvl w:ilvl="7" w:tplc="04070019" w:tentative="1">
      <w:start w:val="1"/>
      <w:numFmt w:val="lowerLetter"/>
      <w:lvlText w:val="%8."/>
      <w:lvlJc w:val="left"/>
      <w:pPr>
        <w:ind w:left="6118" w:hanging="360"/>
      </w:pPr>
    </w:lvl>
    <w:lvl w:ilvl="8" w:tplc="0407001B" w:tentative="1">
      <w:start w:val="1"/>
      <w:numFmt w:val="lowerRoman"/>
      <w:lvlText w:val="%9."/>
      <w:lvlJc w:val="right"/>
      <w:pPr>
        <w:ind w:left="6838" w:hanging="180"/>
      </w:pPr>
    </w:lvl>
  </w:abstractNum>
  <w:abstractNum w:abstractNumId="12" w15:restartNumberingAfterBreak="0">
    <w:nsid w:val="072F468C"/>
    <w:multiLevelType w:val="hybridMultilevel"/>
    <w:tmpl w:val="551EE4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7A8769D"/>
    <w:multiLevelType w:val="hybridMultilevel"/>
    <w:tmpl w:val="4C84E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B3F3100"/>
    <w:multiLevelType w:val="hybridMultilevel"/>
    <w:tmpl w:val="0A5A5E50"/>
    <w:lvl w:ilvl="0" w:tplc="A570325C">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C12ACB"/>
    <w:multiLevelType w:val="hybridMultilevel"/>
    <w:tmpl w:val="C77C7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F4A3A49"/>
    <w:multiLevelType w:val="hybridMultilevel"/>
    <w:tmpl w:val="763EB46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5725B2B"/>
    <w:multiLevelType w:val="multilevel"/>
    <w:tmpl w:val="ABD470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16781FB5"/>
    <w:multiLevelType w:val="hybridMultilevel"/>
    <w:tmpl w:val="48542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6C95E72"/>
    <w:multiLevelType w:val="hybridMultilevel"/>
    <w:tmpl w:val="BD7A89AC"/>
    <w:lvl w:ilvl="0" w:tplc="01DA7FC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E164DC"/>
    <w:multiLevelType w:val="hybridMultilevel"/>
    <w:tmpl w:val="2D00D6DE"/>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CEB0F18"/>
    <w:multiLevelType w:val="hybridMultilevel"/>
    <w:tmpl w:val="6DF25CB8"/>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22" w15:restartNumberingAfterBreak="0">
    <w:nsid w:val="1D0B6BF0"/>
    <w:multiLevelType w:val="hybridMultilevel"/>
    <w:tmpl w:val="27986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E2C24B1"/>
    <w:multiLevelType w:val="hybridMultilevel"/>
    <w:tmpl w:val="9E8CF9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25422DC"/>
    <w:multiLevelType w:val="multilevel"/>
    <w:tmpl w:val="E9AAD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45C03C4"/>
    <w:multiLevelType w:val="hybridMultilevel"/>
    <w:tmpl w:val="5C42E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63D1C3D"/>
    <w:multiLevelType w:val="hybridMultilevel"/>
    <w:tmpl w:val="F27C05C2"/>
    <w:lvl w:ilvl="0" w:tplc="56D6CEA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A53298"/>
    <w:multiLevelType w:val="multilevel"/>
    <w:tmpl w:val="89D06B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073C63"/>
    <w:multiLevelType w:val="hybridMultilevel"/>
    <w:tmpl w:val="AA66AB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C586F9B"/>
    <w:multiLevelType w:val="hybridMultilevel"/>
    <w:tmpl w:val="D6704412"/>
    <w:lvl w:ilvl="0" w:tplc="10090009">
      <w:start w:val="1"/>
      <w:numFmt w:val="bullet"/>
      <w:lvlText w:val=""/>
      <w:lvlJc w:val="left"/>
      <w:pPr>
        <w:ind w:left="718" w:hanging="360"/>
      </w:pPr>
      <w:rPr>
        <w:rFonts w:ascii="Wingdings" w:hAnsi="Wingdings"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30" w15:restartNumberingAfterBreak="0">
    <w:nsid w:val="32454559"/>
    <w:multiLevelType w:val="hybridMultilevel"/>
    <w:tmpl w:val="2BF81638"/>
    <w:lvl w:ilvl="0" w:tplc="BC161EDE">
      <w:start w:val="1"/>
      <w:numFmt w:val="lowerLetter"/>
      <w:lvlText w:val="%1)"/>
      <w:lvlJc w:val="left"/>
      <w:pPr>
        <w:ind w:left="1080" w:hanging="360"/>
      </w:pPr>
      <w:rPr>
        <w:rFonts w:hint="default"/>
        <w:b/>
        <w:bCs/>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32595008"/>
    <w:multiLevelType w:val="hybridMultilevel"/>
    <w:tmpl w:val="2C66BDB4"/>
    <w:lvl w:ilvl="0" w:tplc="10090001">
      <w:start w:val="1"/>
      <w:numFmt w:val="bullet"/>
      <w:lvlText w:val=""/>
      <w:lvlJc w:val="left"/>
      <w:pPr>
        <w:ind w:left="720" w:hanging="360"/>
      </w:pPr>
      <w:rPr>
        <w:rFonts w:ascii="Symbol" w:hAnsi="Symbol" w:hint="default"/>
      </w:rPr>
    </w:lvl>
    <w:lvl w:ilvl="1" w:tplc="56D6CEA4">
      <w:numFmt w:val="bullet"/>
      <w:lvlText w:val="-"/>
      <w:lvlJc w:val="left"/>
      <w:pPr>
        <w:ind w:left="1440" w:hanging="360"/>
      </w:pPr>
      <w:rPr>
        <w:rFonts w:ascii="Calibri" w:eastAsiaTheme="minorEastAsia"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2CF6F6F"/>
    <w:multiLevelType w:val="hybridMultilevel"/>
    <w:tmpl w:val="8B8CF9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F70E03"/>
    <w:multiLevelType w:val="multilevel"/>
    <w:tmpl w:val="89D06B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9E0F9C"/>
    <w:multiLevelType w:val="hybridMultilevel"/>
    <w:tmpl w:val="2BF81638"/>
    <w:lvl w:ilvl="0" w:tplc="BC161EDE">
      <w:start w:val="1"/>
      <w:numFmt w:val="lowerLetter"/>
      <w:lvlText w:val="%1)"/>
      <w:lvlJc w:val="left"/>
      <w:pPr>
        <w:ind w:left="1080" w:hanging="360"/>
      </w:pPr>
      <w:rPr>
        <w:rFonts w:hint="default"/>
        <w:b/>
        <w:bCs/>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42F45577"/>
    <w:multiLevelType w:val="hybridMultilevel"/>
    <w:tmpl w:val="F12855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5FC19F6"/>
    <w:multiLevelType w:val="hybridMultilevel"/>
    <w:tmpl w:val="2DB603D6"/>
    <w:lvl w:ilvl="0" w:tplc="7484874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D97B1B"/>
    <w:multiLevelType w:val="hybridMultilevel"/>
    <w:tmpl w:val="236A1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9063500"/>
    <w:multiLevelType w:val="hybridMultilevel"/>
    <w:tmpl w:val="F37C6D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B280A24"/>
    <w:multiLevelType w:val="hybridMultilevel"/>
    <w:tmpl w:val="51EE8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8F3D6E"/>
    <w:multiLevelType w:val="hybridMultilevel"/>
    <w:tmpl w:val="CF5C721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220B23"/>
    <w:multiLevelType w:val="hybridMultilevel"/>
    <w:tmpl w:val="FBBCF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8B61632"/>
    <w:multiLevelType w:val="hybridMultilevel"/>
    <w:tmpl w:val="3C38C2B6"/>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43" w15:restartNumberingAfterBreak="0">
    <w:nsid w:val="5C7C3E3A"/>
    <w:multiLevelType w:val="hybridMultilevel"/>
    <w:tmpl w:val="D76265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EC32823"/>
    <w:multiLevelType w:val="hybridMultilevel"/>
    <w:tmpl w:val="1324A990"/>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45" w15:restartNumberingAfterBreak="0">
    <w:nsid w:val="60C706C8"/>
    <w:multiLevelType w:val="multilevel"/>
    <w:tmpl w:val="8D883BD8"/>
    <w:lvl w:ilvl="0">
      <w:start w:val="2"/>
      <w:numFmt w:val="decimal"/>
      <w:lvlText w:val="%1."/>
      <w:lvlJc w:val="left"/>
      <w:pPr>
        <w:ind w:left="720" w:hanging="360"/>
      </w:pPr>
      <w:rPr>
        <w:rFonts w:hint="default"/>
        <w:b w:val="0"/>
        <w:b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613F6906"/>
    <w:multiLevelType w:val="hybridMultilevel"/>
    <w:tmpl w:val="C39E190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17637A2"/>
    <w:multiLevelType w:val="multilevel"/>
    <w:tmpl w:val="E9AAD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8324C3"/>
    <w:multiLevelType w:val="hybridMultilevel"/>
    <w:tmpl w:val="0D1E921C"/>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49" w15:restartNumberingAfterBreak="0">
    <w:nsid w:val="6229136F"/>
    <w:multiLevelType w:val="hybridMultilevel"/>
    <w:tmpl w:val="F5C07174"/>
    <w:lvl w:ilvl="0" w:tplc="B888CA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5553A1B"/>
    <w:multiLevelType w:val="hybridMultilevel"/>
    <w:tmpl w:val="5FDAA02C"/>
    <w:lvl w:ilvl="0" w:tplc="A5D8FDFC">
      <w:start w:val="1"/>
      <w:numFmt w:val="upperLetter"/>
      <w:lvlText w:val="%1."/>
      <w:lvlJc w:val="left"/>
      <w:pPr>
        <w:ind w:left="720" w:hanging="36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E67460E"/>
    <w:multiLevelType w:val="hybridMultilevel"/>
    <w:tmpl w:val="A25665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F2F3CE3"/>
    <w:multiLevelType w:val="hybridMultilevel"/>
    <w:tmpl w:val="232A767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FF31ABC"/>
    <w:multiLevelType w:val="multilevel"/>
    <w:tmpl w:val="8D883BD8"/>
    <w:lvl w:ilvl="0">
      <w:start w:val="2"/>
      <w:numFmt w:val="decimal"/>
      <w:lvlText w:val="%1."/>
      <w:lvlJc w:val="left"/>
      <w:pPr>
        <w:ind w:left="720" w:hanging="360"/>
      </w:pPr>
      <w:rPr>
        <w:rFonts w:hint="default"/>
        <w:b w:val="0"/>
        <w:b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4" w15:restartNumberingAfterBreak="0">
    <w:nsid w:val="77F83DFE"/>
    <w:multiLevelType w:val="hybridMultilevel"/>
    <w:tmpl w:val="12FCC0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8BC0E29"/>
    <w:multiLevelType w:val="hybridMultilevel"/>
    <w:tmpl w:val="5896EEB2"/>
    <w:lvl w:ilvl="0" w:tplc="A570325C">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F05138"/>
    <w:multiLevelType w:val="hybridMultilevel"/>
    <w:tmpl w:val="BB181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334FC0"/>
    <w:multiLevelType w:val="hybridMultilevel"/>
    <w:tmpl w:val="929021B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FE25CB5"/>
    <w:multiLevelType w:val="multilevel"/>
    <w:tmpl w:val="E9AAD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38"/>
  </w:num>
  <w:num w:numId="3">
    <w:abstractNumId w:val="20"/>
  </w:num>
  <w:num w:numId="4">
    <w:abstractNumId w:val="37"/>
  </w:num>
  <w:num w:numId="5">
    <w:abstractNumId w:val="21"/>
  </w:num>
  <w:num w:numId="6">
    <w:abstractNumId w:val="15"/>
  </w:num>
  <w:num w:numId="7">
    <w:abstractNumId w:val="22"/>
  </w:num>
  <w:num w:numId="8">
    <w:abstractNumId w:val="48"/>
  </w:num>
  <w:num w:numId="9">
    <w:abstractNumId w:val="46"/>
  </w:num>
  <w:num w:numId="10">
    <w:abstractNumId w:val="40"/>
  </w:num>
  <w:num w:numId="11">
    <w:abstractNumId w:val="10"/>
  </w:num>
  <w:num w:numId="12">
    <w:abstractNumId w:val="29"/>
  </w:num>
  <w:num w:numId="13">
    <w:abstractNumId w:val="41"/>
  </w:num>
  <w:num w:numId="14">
    <w:abstractNumId w:val="9"/>
  </w:num>
  <w:num w:numId="15">
    <w:abstractNumId w:val="31"/>
  </w:num>
  <w:num w:numId="16">
    <w:abstractNumId w:val="39"/>
  </w:num>
  <w:num w:numId="17">
    <w:abstractNumId w:val="42"/>
  </w:num>
  <w:num w:numId="18">
    <w:abstractNumId w:val="18"/>
  </w:num>
  <w:num w:numId="19">
    <w:abstractNumId w:val="44"/>
  </w:num>
  <w:num w:numId="20">
    <w:abstractNumId w:val="2"/>
  </w:num>
  <w:num w:numId="21">
    <w:abstractNumId w:val="50"/>
  </w:num>
  <w:num w:numId="22">
    <w:abstractNumId w:val="54"/>
  </w:num>
  <w:num w:numId="23">
    <w:abstractNumId w:val="57"/>
  </w:num>
  <w:num w:numId="24">
    <w:abstractNumId w:val="16"/>
  </w:num>
  <w:num w:numId="25">
    <w:abstractNumId w:val="52"/>
  </w:num>
  <w:num w:numId="26">
    <w:abstractNumId w:val="43"/>
  </w:num>
  <w:num w:numId="27">
    <w:abstractNumId w:val="13"/>
  </w:num>
  <w:num w:numId="28">
    <w:abstractNumId w:val="56"/>
  </w:num>
  <w:num w:numId="29">
    <w:abstractNumId w:val="35"/>
  </w:num>
  <w:num w:numId="30">
    <w:abstractNumId w:val="26"/>
  </w:num>
  <w:num w:numId="31">
    <w:abstractNumId w:val="14"/>
  </w:num>
  <w:num w:numId="32">
    <w:abstractNumId w:val="55"/>
  </w:num>
  <w:num w:numId="33">
    <w:abstractNumId w:val="32"/>
  </w:num>
  <w:num w:numId="34">
    <w:abstractNumId w:val="51"/>
  </w:num>
  <w:num w:numId="35">
    <w:abstractNumId w:val="17"/>
  </w:num>
  <w:num w:numId="36">
    <w:abstractNumId w:val="47"/>
  </w:num>
  <w:num w:numId="37">
    <w:abstractNumId w:val="58"/>
  </w:num>
  <w:num w:numId="38">
    <w:abstractNumId w:val="24"/>
  </w:num>
  <w:num w:numId="39">
    <w:abstractNumId w:val="49"/>
  </w:num>
  <w:num w:numId="40">
    <w:abstractNumId w:val="19"/>
  </w:num>
  <w:num w:numId="41">
    <w:abstractNumId w:val="0"/>
  </w:num>
  <w:num w:numId="42">
    <w:abstractNumId w:val="1"/>
  </w:num>
  <w:num w:numId="43">
    <w:abstractNumId w:val="3"/>
  </w:num>
  <w:num w:numId="44">
    <w:abstractNumId w:val="4"/>
  </w:num>
  <w:num w:numId="45">
    <w:abstractNumId w:val="5"/>
  </w:num>
  <w:num w:numId="46">
    <w:abstractNumId w:val="6"/>
  </w:num>
  <w:num w:numId="47">
    <w:abstractNumId w:val="7"/>
  </w:num>
  <w:num w:numId="48">
    <w:abstractNumId w:val="8"/>
  </w:num>
  <w:num w:numId="49">
    <w:abstractNumId w:val="12"/>
  </w:num>
  <w:num w:numId="50">
    <w:abstractNumId w:val="53"/>
  </w:num>
  <w:num w:numId="51">
    <w:abstractNumId w:val="33"/>
  </w:num>
  <w:num w:numId="52">
    <w:abstractNumId w:val="28"/>
  </w:num>
  <w:num w:numId="53">
    <w:abstractNumId w:val="30"/>
  </w:num>
  <w:num w:numId="54">
    <w:abstractNumId w:val="34"/>
  </w:num>
  <w:num w:numId="55">
    <w:abstractNumId w:val="11"/>
  </w:num>
  <w:num w:numId="56">
    <w:abstractNumId w:val="25"/>
  </w:num>
  <w:num w:numId="57">
    <w:abstractNumId w:val="36"/>
  </w:num>
  <w:num w:numId="58">
    <w:abstractNumId w:val="27"/>
  </w:num>
  <w:num w:numId="5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7B"/>
    <w:rsid w:val="00004D5A"/>
    <w:rsid w:val="000073D1"/>
    <w:rsid w:val="00011887"/>
    <w:rsid w:val="00012401"/>
    <w:rsid w:val="00013BA9"/>
    <w:rsid w:val="000149B1"/>
    <w:rsid w:val="000204B4"/>
    <w:rsid w:val="000245A9"/>
    <w:rsid w:val="0002793A"/>
    <w:rsid w:val="000323C3"/>
    <w:rsid w:val="00032BFD"/>
    <w:rsid w:val="0003544D"/>
    <w:rsid w:val="00035D03"/>
    <w:rsid w:val="00035EAD"/>
    <w:rsid w:val="000361C5"/>
    <w:rsid w:val="000366AF"/>
    <w:rsid w:val="00036841"/>
    <w:rsid w:val="00042AFA"/>
    <w:rsid w:val="00045C1C"/>
    <w:rsid w:val="00051257"/>
    <w:rsid w:val="00053275"/>
    <w:rsid w:val="000572F5"/>
    <w:rsid w:val="00057950"/>
    <w:rsid w:val="00061C45"/>
    <w:rsid w:val="00066283"/>
    <w:rsid w:val="00067B19"/>
    <w:rsid w:val="00070FDA"/>
    <w:rsid w:val="000734B6"/>
    <w:rsid w:val="0007397B"/>
    <w:rsid w:val="00076CBC"/>
    <w:rsid w:val="00077B79"/>
    <w:rsid w:val="000828BE"/>
    <w:rsid w:val="0008440C"/>
    <w:rsid w:val="00084581"/>
    <w:rsid w:val="0008675B"/>
    <w:rsid w:val="000916BA"/>
    <w:rsid w:val="000974CC"/>
    <w:rsid w:val="000A17FC"/>
    <w:rsid w:val="000A2D12"/>
    <w:rsid w:val="000A45F9"/>
    <w:rsid w:val="000A5991"/>
    <w:rsid w:val="000A6380"/>
    <w:rsid w:val="000B5BD8"/>
    <w:rsid w:val="000B72DF"/>
    <w:rsid w:val="000C15FE"/>
    <w:rsid w:val="000D2818"/>
    <w:rsid w:val="000D51F6"/>
    <w:rsid w:val="000D5581"/>
    <w:rsid w:val="000E0EFE"/>
    <w:rsid w:val="000E2975"/>
    <w:rsid w:val="000E3555"/>
    <w:rsid w:val="000F2434"/>
    <w:rsid w:val="000F3C85"/>
    <w:rsid w:val="000F47BF"/>
    <w:rsid w:val="000F6665"/>
    <w:rsid w:val="000F67F5"/>
    <w:rsid w:val="000F7830"/>
    <w:rsid w:val="001014F6"/>
    <w:rsid w:val="00104586"/>
    <w:rsid w:val="00111C9D"/>
    <w:rsid w:val="00111F3B"/>
    <w:rsid w:val="00114CA0"/>
    <w:rsid w:val="00124A7F"/>
    <w:rsid w:val="00125770"/>
    <w:rsid w:val="001305C5"/>
    <w:rsid w:val="00131814"/>
    <w:rsid w:val="00131CCD"/>
    <w:rsid w:val="00134B6F"/>
    <w:rsid w:val="00135A0B"/>
    <w:rsid w:val="001440EE"/>
    <w:rsid w:val="0014597C"/>
    <w:rsid w:val="0015034A"/>
    <w:rsid w:val="00151BEA"/>
    <w:rsid w:val="00153F44"/>
    <w:rsid w:val="00154258"/>
    <w:rsid w:val="00160347"/>
    <w:rsid w:val="00161DD2"/>
    <w:rsid w:val="00170697"/>
    <w:rsid w:val="0017197E"/>
    <w:rsid w:val="00174A06"/>
    <w:rsid w:val="00175B18"/>
    <w:rsid w:val="00180221"/>
    <w:rsid w:val="0018046A"/>
    <w:rsid w:val="00183CF1"/>
    <w:rsid w:val="00193C3F"/>
    <w:rsid w:val="001942CB"/>
    <w:rsid w:val="001973EA"/>
    <w:rsid w:val="001A057B"/>
    <w:rsid w:val="001A0E8C"/>
    <w:rsid w:val="001A65F3"/>
    <w:rsid w:val="001A7F29"/>
    <w:rsid w:val="001A7F3E"/>
    <w:rsid w:val="001B027A"/>
    <w:rsid w:val="001B0A1E"/>
    <w:rsid w:val="001B78A6"/>
    <w:rsid w:val="001C1694"/>
    <w:rsid w:val="001C5C6A"/>
    <w:rsid w:val="001D0E1D"/>
    <w:rsid w:val="001D1290"/>
    <w:rsid w:val="001D1769"/>
    <w:rsid w:val="001D1CD8"/>
    <w:rsid w:val="001D2A53"/>
    <w:rsid w:val="001D3D78"/>
    <w:rsid w:val="001D4716"/>
    <w:rsid w:val="001E20A4"/>
    <w:rsid w:val="001F47FE"/>
    <w:rsid w:val="001F7A5E"/>
    <w:rsid w:val="0020017F"/>
    <w:rsid w:val="002010E9"/>
    <w:rsid w:val="00201936"/>
    <w:rsid w:val="00204ECF"/>
    <w:rsid w:val="00205178"/>
    <w:rsid w:val="00211A40"/>
    <w:rsid w:val="00212C58"/>
    <w:rsid w:val="0021310B"/>
    <w:rsid w:val="00213541"/>
    <w:rsid w:val="0021690A"/>
    <w:rsid w:val="00216E0F"/>
    <w:rsid w:val="00216EDB"/>
    <w:rsid w:val="002234AF"/>
    <w:rsid w:val="002272B6"/>
    <w:rsid w:val="002316E5"/>
    <w:rsid w:val="00231DC1"/>
    <w:rsid w:val="00231E0A"/>
    <w:rsid w:val="0023608D"/>
    <w:rsid w:val="00236726"/>
    <w:rsid w:val="00236733"/>
    <w:rsid w:val="002404A4"/>
    <w:rsid w:val="002416C8"/>
    <w:rsid w:val="0024192B"/>
    <w:rsid w:val="00242965"/>
    <w:rsid w:val="00243EF9"/>
    <w:rsid w:val="00244E55"/>
    <w:rsid w:val="00245101"/>
    <w:rsid w:val="00246EE3"/>
    <w:rsid w:val="00251E08"/>
    <w:rsid w:val="00251E1C"/>
    <w:rsid w:val="00257E91"/>
    <w:rsid w:val="00260AF7"/>
    <w:rsid w:val="002617BF"/>
    <w:rsid w:val="002629FB"/>
    <w:rsid w:val="002639EB"/>
    <w:rsid w:val="002647A5"/>
    <w:rsid w:val="0026725E"/>
    <w:rsid w:val="00275D5B"/>
    <w:rsid w:val="00280582"/>
    <w:rsid w:val="0028063D"/>
    <w:rsid w:val="0029366C"/>
    <w:rsid w:val="002940AE"/>
    <w:rsid w:val="00296905"/>
    <w:rsid w:val="00296A4A"/>
    <w:rsid w:val="002A0A01"/>
    <w:rsid w:val="002A181B"/>
    <w:rsid w:val="002A2C68"/>
    <w:rsid w:val="002A4809"/>
    <w:rsid w:val="002A50C6"/>
    <w:rsid w:val="002A5510"/>
    <w:rsid w:val="002A5608"/>
    <w:rsid w:val="002A5DD0"/>
    <w:rsid w:val="002A5F94"/>
    <w:rsid w:val="002A6E99"/>
    <w:rsid w:val="002B0376"/>
    <w:rsid w:val="002B110C"/>
    <w:rsid w:val="002B2C6C"/>
    <w:rsid w:val="002B302A"/>
    <w:rsid w:val="002B3351"/>
    <w:rsid w:val="002B5721"/>
    <w:rsid w:val="002B6235"/>
    <w:rsid w:val="002B6EB9"/>
    <w:rsid w:val="002B7AE6"/>
    <w:rsid w:val="002C0C78"/>
    <w:rsid w:val="002C38A7"/>
    <w:rsid w:val="002C49DF"/>
    <w:rsid w:val="002C5CE0"/>
    <w:rsid w:val="002D1CA2"/>
    <w:rsid w:val="002D270B"/>
    <w:rsid w:val="002D765B"/>
    <w:rsid w:val="002E0681"/>
    <w:rsid w:val="002E2414"/>
    <w:rsid w:val="002E5D1B"/>
    <w:rsid w:val="002F0F63"/>
    <w:rsid w:val="002F1FDE"/>
    <w:rsid w:val="002F2346"/>
    <w:rsid w:val="002F3F58"/>
    <w:rsid w:val="002F471D"/>
    <w:rsid w:val="002F7FA0"/>
    <w:rsid w:val="0030046C"/>
    <w:rsid w:val="0031005A"/>
    <w:rsid w:val="00310EBA"/>
    <w:rsid w:val="003120FC"/>
    <w:rsid w:val="00314886"/>
    <w:rsid w:val="0031577B"/>
    <w:rsid w:val="00320177"/>
    <w:rsid w:val="003206E8"/>
    <w:rsid w:val="00321EDC"/>
    <w:rsid w:val="00322BEC"/>
    <w:rsid w:val="00325D3F"/>
    <w:rsid w:val="00327F7B"/>
    <w:rsid w:val="00330B12"/>
    <w:rsid w:val="00333000"/>
    <w:rsid w:val="00336D96"/>
    <w:rsid w:val="0034174E"/>
    <w:rsid w:val="00341C57"/>
    <w:rsid w:val="0034407C"/>
    <w:rsid w:val="0034521E"/>
    <w:rsid w:val="003534FA"/>
    <w:rsid w:val="00353727"/>
    <w:rsid w:val="003558DA"/>
    <w:rsid w:val="00361E2E"/>
    <w:rsid w:val="00370D72"/>
    <w:rsid w:val="00371E62"/>
    <w:rsid w:val="0038156C"/>
    <w:rsid w:val="00381C98"/>
    <w:rsid w:val="003827AA"/>
    <w:rsid w:val="00383CF0"/>
    <w:rsid w:val="0038769A"/>
    <w:rsid w:val="00387AB7"/>
    <w:rsid w:val="003931CA"/>
    <w:rsid w:val="00394107"/>
    <w:rsid w:val="00397871"/>
    <w:rsid w:val="003A2003"/>
    <w:rsid w:val="003A6F51"/>
    <w:rsid w:val="003B4C8C"/>
    <w:rsid w:val="003B558C"/>
    <w:rsid w:val="003C0766"/>
    <w:rsid w:val="003C16C5"/>
    <w:rsid w:val="003C4A8A"/>
    <w:rsid w:val="003C74E5"/>
    <w:rsid w:val="003D27D8"/>
    <w:rsid w:val="003D76A2"/>
    <w:rsid w:val="003F212E"/>
    <w:rsid w:val="003F4E6C"/>
    <w:rsid w:val="003F6586"/>
    <w:rsid w:val="0040492D"/>
    <w:rsid w:val="0040495B"/>
    <w:rsid w:val="004051BD"/>
    <w:rsid w:val="00407902"/>
    <w:rsid w:val="00412970"/>
    <w:rsid w:val="0044165C"/>
    <w:rsid w:val="004416B8"/>
    <w:rsid w:val="004437E4"/>
    <w:rsid w:val="004512C6"/>
    <w:rsid w:val="00455150"/>
    <w:rsid w:val="004563ED"/>
    <w:rsid w:val="00461C0C"/>
    <w:rsid w:val="004620D6"/>
    <w:rsid w:val="00462CA2"/>
    <w:rsid w:val="004651C5"/>
    <w:rsid w:val="00465763"/>
    <w:rsid w:val="00467A69"/>
    <w:rsid w:val="00470E82"/>
    <w:rsid w:val="00473258"/>
    <w:rsid w:val="00474EC8"/>
    <w:rsid w:val="00480448"/>
    <w:rsid w:val="00482B89"/>
    <w:rsid w:val="004844C3"/>
    <w:rsid w:val="004933B8"/>
    <w:rsid w:val="004A0F10"/>
    <w:rsid w:val="004A40EF"/>
    <w:rsid w:val="004B3927"/>
    <w:rsid w:val="004B79E5"/>
    <w:rsid w:val="004C016E"/>
    <w:rsid w:val="004C0F99"/>
    <w:rsid w:val="004C52FE"/>
    <w:rsid w:val="004C625D"/>
    <w:rsid w:val="004C640F"/>
    <w:rsid w:val="004D164E"/>
    <w:rsid w:val="004D22ED"/>
    <w:rsid w:val="004D4172"/>
    <w:rsid w:val="004D439E"/>
    <w:rsid w:val="004D592A"/>
    <w:rsid w:val="004D6518"/>
    <w:rsid w:val="004E0129"/>
    <w:rsid w:val="004E1CCC"/>
    <w:rsid w:val="004E511D"/>
    <w:rsid w:val="004E5BCE"/>
    <w:rsid w:val="004E5EE1"/>
    <w:rsid w:val="004E758C"/>
    <w:rsid w:val="004F5654"/>
    <w:rsid w:val="004F6893"/>
    <w:rsid w:val="00500865"/>
    <w:rsid w:val="0050346B"/>
    <w:rsid w:val="00503A77"/>
    <w:rsid w:val="00505DAD"/>
    <w:rsid w:val="005068FC"/>
    <w:rsid w:val="00512D35"/>
    <w:rsid w:val="00514BAB"/>
    <w:rsid w:val="00520966"/>
    <w:rsid w:val="005213A6"/>
    <w:rsid w:val="005222CD"/>
    <w:rsid w:val="00532161"/>
    <w:rsid w:val="00532707"/>
    <w:rsid w:val="005366FA"/>
    <w:rsid w:val="00540FE7"/>
    <w:rsid w:val="00541D33"/>
    <w:rsid w:val="00544848"/>
    <w:rsid w:val="00546AD1"/>
    <w:rsid w:val="005477EF"/>
    <w:rsid w:val="00553AB3"/>
    <w:rsid w:val="00562429"/>
    <w:rsid w:val="00567956"/>
    <w:rsid w:val="00571173"/>
    <w:rsid w:val="00573445"/>
    <w:rsid w:val="00573598"/>
    <w:rsid w:val="00574602"/>
    <w:rsid w:val="00577E1D"/>
    <w:rsid w:val="005804C3"/>
    <w:rsid w:val="005810B3"/>
    <w:rsid w:val="005854FF"/>
    <w:rsid w:val="005942BD"/>
    <w:rsid w:val="0059510C"/>
    <w:rsid w:val="0059629C"/>
    <w:rsid w:val="005967D4"/>
    <w:rsid w:val="00596BF2"/>
    <w:rsid w:val="005A053B"/>
    <w:rsid w:val="005A10F6"/>
    <w:rsid w:val="005A2415"/>
    <w:rsid w:val="005A5C13"/>
    <w:rsid w:val="005A6F59"/>
    <w:rsid w:val="005A7F05"/>
    <w:rsid w:val="005B2D40"/>
    <w:rsid w:val="005B694A"/>
    <w:rsid w:val="005C072E"/>
    <w:rsid w:val="005C7BAF"/>
    <w:rsid w:val="005C7F28"/>
    <w:rsid w:val="005D2696"/>
    <w:rsid w:val="005D6B6D"/>
    <w:rsid w:val="005E262A"/>
    <w:rsid w:val="005E2E61"/>
    <w:rsid w:val="005E4208"/>
    <w:rsid w:val="005E5021"/>
    <w:rsid w:val="005F24E6"/>
    <w:rsid w:val="005F382E"/>
    <w:rsid w:val="00602308"/>
    <w:rsid w:val="0060413D"/>
    <w:rsid w:val="00605D5A"/>
    <w:rsid w:val="00611C8F"/>
    <w:rsid w:val="0061527A"/>
    <w:rsid w:val="006161B6"/>
    <w:rsid w:val="00623FAF"/>
    <w:rsid w:val="006324DD"/>
    <w:rsid w:val="0063326A"/>
    <w:rsid w:val="00643A27"/>
    <w:rsid w:val="00647C3E"/>
    <w:rsid w:val="00650769"/>
    <w:rsid w:val="006507F7"/>
    <w:rsid w:val="00650DB5"/>
    <w:rsid w:val="0065151B"/>
    <w:rsid w:val="00654975"/>
    <w:rsid w:val="00660972"/>
    <w:rsid w:val="00666058"/>
    <w:rsid w:val="00674043"/>
    <w:rsid w:val="00675559"/>
    <w:rsid w:val="00675C19"/>
    <w:rsid w:val="00677AEE"/>
    <w:rsid w:val="00680C47"/>
    <w:rsid w:val="0068529C"/>
    <w:rsid w:val="00692EBC"/>
    <w:rsid w:val="006933EB"/>
    <w:rsid w:val="00693849"/>
    <w:rsid w:val="00695E1D"/>
    <w:rsid w:val="006A0E1C"/>
    <w:rsid w:val="006A57E1"/>
    <w:rsid w:val="006A6B51"/>
    <w:rsid w:val="006A7C97"/>
    <w:rsid w:val="006B0315"/>
    <w:rsid w:val="006B1E26"/>
    <w:rsid w:val="006B2351"/>
    <w:rsid w:val="006B419E"/>
    <w:rsid w:val="006B7733"/>
    <w:rsid w:val="006C28D2"/>
    <w:rsid w:val="006C5DAC"/>
    <w:rsid w:val="006D5264"/>
    <w:rsid w:val="006E0205"/>
    <w:rsid w:val="006E039A"/>
    <w:rsid w:val="006E12F5"/>
    <w:rsid w:val="006E1B2A"/>
    <w:rsid w:val="006E43EC"/>
    <w:rsid w:val="006E594B"/>
    <w:rsid w:val="006E7A4B"/>
    <w:rsid w:val="006F0876"/>
    <w:rsid w:val="006F2374"/>
    <w:rsid w:val="006F5D76"/>
    <w:rsid w:val="006F770A"/>
    <w:rsid w:val="007025D0"/>
    <w:rsid w:val="00714F35"/>
    <w:rsid w:val="00723D7F"/>
    <w:rsid w:val="007317EA"/>
    <w:rsid w:val="007354AD"/>
    <w:rsid w:val="007364A7"/>
    <w:rsid w:val="00740373"/>
    <w:rsid w:val="00746882"/>
    <w:rsid w:val="007471E1"/>
    <w:rsid w:val="007561A1"/>
    <w:rsid w:val="007603FC"/>
    <w:rsid w:val="007623E1"/>
    <w:rsid w:val="00763C87"/>
    <w:rsid w:val="007670A7"/>
    <w:rsid w:val="007678E7"/>
    <w:rsid w:val="00771DD2"/>
    <w:rsid w:val="00771F42"/>
    <w:rsid w:val="00772F62"/>
    <w:rsid w:val="00773F5D"/>
    <w:rsid w:val="00774E64"/>
    <w:rsid w:val="00776178"/>
    <w:rsid w:val="0077793F"/>
    <w:rsid w:val="0078264D"/>
    <w:rsid w:val="00785852"/>
    <w:rsid w:val="00786A60"/>
    <w:rsid w:val="00791389"/>
    <w:rsid w:val="0079258D"/>
    <w:rsid w:val="007A197B"/>
    <w:rsid w:val="007A22AB"/>
    <w:rsid w:val="007A425D"/>
    <w:rsid w:val="007A55A2"/>
    <w:rsid w:val="007A5748"/>
    <w:rsid w:val="007A642D"/>
    <w:rsid w:val="007B089D"/>
    <w:rsid w:val="007B112F"/>
    <w:rsid w:val="007B3158"/>
    <w:rsid w:val="007B3998"/>
    <w:rsid w:val="007B50B8"/>
    <w:rsid w:val="007B5B7A"/>
    <w:rsid w:val="007B5BC1"/>
    <w:rsid w:val="007B7F32"/>
    <w:rsid w:val="007C1117"/>
    <w:rsid w:val="007C12E4"/>
    <w:rsid w:val="007C1EC2"/>
    <w:rsid w:val="007C2FE2"/>
    <w:rsid w:val="007C3249"/>
    <w:rsid w:val="007C3FC2"/>
    <w:rsid w:val="007C4A4B"/>
    <w:rsid w:val="007C4F04"/>
    <w:rsid w:val="007C7BD4"/>
    <w:rsid w:val="007D272B"/>
    <w:rsid w:val="007D283C"/>
    <w:rsid w:val="007D6022"/>
    <w:rsid w:val="007D6E76"/>
    <w:rsid w:val="007E7379"/>
    <w:rsid w:val="007F288F"/>
    <w:rsid w:val="007F29B3"/>
    <w:rsid w:val="007F3C79"/>
    <w:rsid w:val="007F60E8"/>
    <w:rsid w:val="0080179F"/>
    <w:rsid w:val="008106B1"/>
    <w:rsid w:val="0081258F"/>
    <w:rsid w:val="008133E9"/>
    <w:rsid w:val="00813859"/>
    <w:rsid w:val="00816A60"/>
    <w:rsid w:val="008174DB"/>
    <w:rsid w:val="00817804"/>
    <w:rsid w:val="00822FA5"/>
    <w:rsid w:val="00827A19"/>
    <w:rsid w:val="00836367"/>
    <w:rsid w:val="00837023"/>
    <w:rsid w:val="00837103"/>
    <w:rsid w:val="008414F3"/>
    <w:rsid w:val="00841B7C"/>
    <w:rsid w:val="00841DC0"/>
    <w:rsid w:val="0084507E"/>
    <w:rsid w:val="00845F2E"/>
    <w:rsid w:val="00845F43"/>
    <w:rsid w:val="00846C34"/>
    <w:rsid w:val="008528E0"/>
    <w:rsid w:val="008545CD"/>
    <w:rsid w:val="008657E3"/>
    <w:rsid w:val="00865E0C"/>
    <w:rsid w:val="0087016C"/>
    <w:rsid w:val="0087776F"/>
    <w:rsid w:val="00877FAD"/>
    <w:rsid w:val="008835AF"/>
    <w:rsid w:val="008837C2"/>
    <w:rsid w:val="00884E24"/>
    <w:rsid w:val="00885E57"/>
    <w:rsid w:val="00887C8E"/>
    <w:rsid w:val="00891F72"/>
    <w:rsid w:val="00892A20"/>
    <w:rsid w:val="00893657"/>
    <w:rsid w:val="00896EB9"/>
    <w:rsid w:val="008A11A3"/>
    <w:rsid w:val="008A227B"/>
    <w:rsid w:val="008A7A51"/>
    <w:rsid w:val="008B74DE"/>
    <w:rsid w:val="008C6985"/>
    <w:rsid w:val="008C6B55"/>
    <w:rsid w:val="008D019A"/>
    <w:rsid w:val="008D2228"/>
    <w:rsid w:val="008D3E98"/>
    <w:rsid w:val="008D5C21"/>
    <w:rsid w:val="008E0549"/>
    <w:rsid w:val="008E5168"/>
    <w:rsid w:val="008E530C"/>
    <w:rsid w:val="008F3623"/>
    <w:rsid w:val="008F4411"/>
    <w:rsid w:val="008F675E"/>
    <w:rsid w:val="00903086"/>
    <w:rsid w:val="0090795E"/>
    <w:rsid w:val="009104FE"/>
    <w:rsid w:val="009124C7"/>
    <w:rsid w:val="009125A7"/>
    <w:rsid w:val="009169E7"/>
    <w:rsid w:val="00916D93"/>
    <w:rsid w:val="009204F3"/>
    <w:rsid w:val="00920B49"/>
    <w:rsid w:val="00920CFA"/>
    <w:rsid w:val="00921FB5"/>
    <w:rsid w:val="0092468C"/>
    <w:rsid w:val="009251F5"/>
    <w:rsid w:val="009306C8"/>
    <w:rsid w:val="00935752"/>
    <w:rsid w:val="00936E49"/>
    <w:rsid w:val="00937DFA"/>
    <w:rsid w:val="009423FF"/>
    <w:rsid w:val="00942E72"/>
    <w:rsid w:val="009459E7"/>
    <w:rsid w:val="0095024A"/>
    <w:rsid w:val="00950BE9"/>
    <w:rsid w:val="00952612"/>
    <w:rsid w:val="009536F6"/>
    <w:rsid w:val="00954DFE"/>
    <w:rsid w:val="00956522"/>
    <w:rsid w:val="009574C9"/>
    <w:rsid w:val="0096171B"/>
    <w:rsid w:val="00963506"/>
    <w:rsid w:val="00963679"/>
    <w:rsid w:val="00963D45"/>
    <w:rsid w:val="009739A2"/>
    <w:rsid w:val="009763F7"/>
    <w:rsid w:val="00980AEC"/>
    <w:rsid w:val="00981230"/>
    <w:rsid w:val="0098363F"/>
    <w:rsid w:val="00983B52"/>
    <w:rsid w:val="00985649"/>
    <w:rsid w:val="00994D77"/>
    <w:rsid w:val="009950C8"/>
    <w:rsid w:val="009A2BAE"/>
    <w:rsid w:val="009A3626"/>
    <w:rsid w:val="009A5402"/>
    <w:rsid w:val="009B016C"/>
    <w:rsid w:val="009B0289"/>
    <w:rsid w:val="009B0950"/>
    <w:rsid w:val="009B1ADB"/>
    <w:rsid w:val="009B1F23"/>
    <w:rsid w:val="009B223A"/>
    <w:rsid w:val="009B23B9"/>
    <w:rsid w:val="009B7F02"/>
    <w:rsid w:val="009C03A7"/>
    <w:rsid w:val="009C0830"/>
    <w:rsid w:val="009C08D7"/>
    <w:rsid w:val="009C17B1"/>
    <w:rsid w:val="009C4C02"/>
    <w:rsid w:val="009C62F2"/>
    <w:rsid w:val="009D0986"/>
    <w:rsid w:val="009D0B36"/>
    <w:rsid w:val="009D7A5A"/>
    <w:rsid w:val="009D7E26"/>
    <w:rsid w:val="009E2EA2"/>
    <w:rsid w:val="009E3B5B"/>
    <w:rsid w:val="009E5920"/>
    <w:rsid w:val="009E59F6"/>
    <w:rsid w:val="009F062D"/>
    <w:rsid w:val="009F52C7"/>
    <w:rsid w:val="009F7603"/>
    <w:rsid w:val="00A005EC"/>
    <w:rsid w:val="00A014C8"/>
    <w:rsid w:val="00A01748"/>
    <w:rsid w:val="00A01D7F"/>
    <w:rsid w:val="00A028BF"/>
    <w:rsid w:val="00A06FAB"/>
    <w:rsid w:val="00A07804"/>
    <w:rsid w:val="00A116D1"/>
    <w:rsid w:val="00A12C6E"/>
    <w:rsid w:val="00A158A1"/>
    <w:rsid w:val="00A178C2"/>
    <w:rsid w:val="00A20CB4"/>
    <w:rsid w:val="00A22138"/>
    <w:rsid w:val="00A22C17"/>
    <w:rsid w:val="00A23D43"/>
    <w:rsid w:val="00A23F93"/>
    <w:rsid w:val="00A244AB"/>
    <w:rsid w:val="00A24B15"/>
    <w:rsid w:val="00A24EEB"/>
    <w:rsid w:val="00A25620"/>
    <w:rsid w:val="00A25B09"/>
    <w:rsid w:val="00A26900"/>
    <w:rsid w:val="00A31AAF"/>
    <w:rsid w:val="00A31E85"/>
    <w:rsid w:val="00A33C1E"/>
    <w:rsid w:val="00A34B3B"/>
    <w:rsid w:val="00A41C86"/>
    <w:rsid w:val="00A46F9E"/>
    <w:rsid w:val="00A54C6C"/>
    <w:rsid w:val="00A55F12"/>
    <w:rsid w:val="00A57CDD"/>
    <w:rsid w:val="00A6109E"/>
    <w:rsid w:val="00A67D9A"/>
    <w:rsid w:val="00A71296"/>
    <w:rsid w:val="00A74850"/>
    <w:rsid w:val="00A77301"/>
    <w:rsid w:val="00A80B9F"/>
    <w:rsid w:val="00A8157F"/>
    <w:rsid w:val="00A8173E"/>
    <w:rsid w:val="00A82743"/>
    <w:rsid w:val="00A84516"/>
    <w:rsid w:val="00A85B1B"/>
    <w:rsid w:val="00A87B85"/>
    <w:rsid w:val="00A9260C"/>
    <w:rsid w:val="00A93FE6"/>
    <w:rsid w:val="00A951D0"/>
    <w:rsid w:val="00A97443"/>
    <w:rsid w:val="00A9776F"/>
    <w:rsid w:val="00AA2EA8"/>
    <w:rsid w:val="00AA318F"/>
    <w:rsid w:val="00AA49AE"/>
    <w:rsid w:val="00AA501E"/>
    <w:rsid w:val="00AA5270"/>
    <w:rsid w:val="00AA6198"/>
    <w:rsid w:val="00AB5BA1"/>
    <w:rsid w:val="00AC0B9A"/>
    <w:rsid w:val="00AC1CB9"/>
    <w:rsid w:val="00AC5606"/>
    <w:rsid w:val="00AD3A44"/>
    <w:rsid w:val="00AD53C4"/>
    <w:rsid w:val="00AE4EF3"/>
    <w:rsid w:val="00AE5485"/>
    <w:rsid w:val="00AE5F79"/>
    <w:rsid w:val="00AE65F4"/>
    <w:rsid w:val="00AF44D7"/>
    <w:rsid w:val="00AF4BAB"/>
    <w:rsid w:val="00B012C6"/>
    <w:rsid w:val="00B03B4F"/>
    <w:rsid w:val="00B1028A"/>
    <w:rsid w:val="00B16730"/>
    <w:rsid w:val="00B17A76"/>
    <w:rsid w:val="00B17B90"/>
    <w:rsid w:val="00B20C2C"/>
    <w:rsid w:val="00B2274D"/>
    <w:rsid w:val="00B2648A"/>
    <w:rsid w:val="00B3430F"/>
    <w:rsid w:val="00B36261"/>
    <w:rsid w:val="00B37446"/>
    <w:rsid w:val="00B4149A"/>
    <w:rsid w:val="00B427E5"/>
    <w:rsid w:val="00B43CAD"/>
    <w:rsid w:val="00B44074"/>
    <w:rsid w:val="00B44985"/>
    <w:rsid w:val="00B57D1B"/>
    <w:rsid w:val="00B64395"/>
    <w:rsid w:val="00B70D09"/>
    <w:rsid w:val="00B77336"/>
    <w:rsid w:val="00B84BD4"/>
    <w:rsid w:val="00B84E88"/>
    <w:rsid w:val="00B86004"/>
    <w:rsid w:val="00B9390D"/>
    <w:rsid w:val="00BA004A"/>
    <w:rsid w:val="00BA048A"/>
    <w:rsid w:val="00BA065B"/>
    <w:rsid w:val="00BA2EC5"/>
    <w:rsid w:val="00BA43B0"/>
    <w:rsid w:val="00BA5C70"/>
    <w:rsid w:val="00BB185D"/>
    <w:rsid w:val="00BB4CB0"/>
    <w:rsid w:val="00BC07E6"/>
    <w:rsid w:val="00BC3FF6"/>
    <w:rsid w:val="00BC40E5"/>
    <w:rsid w:val="00BD386E"/>
    <w:rsid w:val="00BE0F31"/>
    <w:rsid w:val="00BE18C8"/>
    <w:rsid w:val="00BE3712"/>
    <w:rsid w:val="00BE5333"/>
    <w:rsid w:val="00BE61B7"/>
    <w:rsid w:val="00BE62AD"/>
    <w:rsid w:val="00BF387D"/>
    <w:rsid w:val="00BF38F9"/>
    <w:rsid w:val="00BF5977"/>
    <w:rsid w:val="00BF5BA1"/>
    <w:rsid w:val="00C003B3"/>
    <w:rsid w:val="00C00C11"/>
    <w:rsid w:val="00C02511"/>
    <w:rsid w:val="00C06289"/>
    <w:rsid w:val="00C14403"/>
    <w:rsid w:val="00C16048"/>
    <w:rsid w:val="00C16987"/>
    <w:rsid w:val="00C171FD"/>
    <w:rsid w:val="00C20986"/>
    <w:rsid w:val="00C21975"/>
    <w:rsid w:val="00C30A62"/>
    <w:rsid w:val="00C30FEB"/>
    <w:rsid w:val="00C32C5B"/>
    <w:rsid w:val="00C331A8"/>
    <w:rsid w:val="00C34F3E"/>
    <w:rsid w:val="00C356AE"/>
    <w:rsid w:val="00C37E61"/>
    <w:rsid w:val="00C3F160"/>
    <w:rsid w:val="00C40397"/>
    <w:rsid w:val="00C40798"/>
    <w:rsid w:val="00C47084"/>
    <w:rsid w:val="00C504BB"/>
    <w:rsid w:val="00C505D9"/>
    <w:rsid w:val="00C56EB7"/>
    <w:rsid w:val="00C57018"/>
    <w:rsid w:val="00C61989"/>
    <w:rsid w:val="00C6255C"/>
    <w:rsid w:val="00C62F1B"/>
    <w:rsid w:val="00C665BC"/>
    <w:rsid w:val="00C73952"/>
    <w:rsid w:val="00C74CB3"/>
    <w:rsid w:val="00C76087"/>
    <w:rsid w:val="00C77FE2"/>
    <w:rsid w:val="00C8325D"/>
    <w:rsid w:val="00C85293"/>
    <w:rsid w:val="00C877AE"/>
    <w:rsid w:val="00C9085F"/>
    <w:rsid w:val="00C9256D"/>
    <w:rsid w:val="00C938B1"/>
    <w:rsid w:val="00C969CF"/>
    <w:rsid w:val="00CA0CCA"/>
    <w:rsid w:val="00CA17A7"/>
    <w:rsid w:val="00CA62AB"/>
    <w:rsid w:val="00CB1D52"/>
    <w:rsid w:val="00CB3F69"/>
    <w:rsid w:val="00CB48A1"/>
    <w:rsid w:val="00CB7439"/>
    <w:rsid w:val="00CC02E3"/>
    <w:rsid w:val="00CC707B"/>
    <w:rsid w:val="00CD3B80"/>
    <w:rsid w:val="00CD4071"/>
    <w:rsid w:val="00CD5E94"/>
    <w:rsid w:val="00CD6EA7"/>
    <w:rsid w:val="00CE11E4"/>
    <w:rsid w:val="00CE21E6"/>
    <w:rsid w:val="00CE60DF"/>
    <w:rsid w:val="00CE6744"/>
    <w:rsid w:val="00CF0A53"/>
    <w:rsid w:val="00CF15CF"/>
    <w:rsid w:val="00CF2932"/>
    <w:rsid w:val="00CF6F01"/>
    <w:rsid w:val="00D029BF"/>
    <w:rsid w:val="00D06B8D"/>
    <w:rsid w:val="00D12099"/>
    <w:rsid w:val="00D128BC"/>
    <w:rsid w:val="00D12CB2"/>
    <w:rsid w:val="00D13DF2"/>
    <w:rsid w:val="00D2617F"/>
    <w:rsid w:val="00D26473"/>
    <w:rsid w:val="00D27FDF"/>
    <w:rsid w:val="00D339A0"/>
    <w:rsid w:val="00D36FF0"/>
    <w:rsid w:val="00D375D3"/>
    <w:rsid w:val="00D43306"/>
    <w:rsid w:val="00D43BF9"/>
    <w:rsid w:val="00D43D45"/>
    <w:rsid w:val="00D45F35"/>
    <w:rsid w:val="00D47011"/>
    <w:rsid w:val="00D51D54"/>
    <w:rsid w:val="00D57615"/>
    <w:rsid w:val="00D61A32"/>
    <w:rsid w:val="00D61EDE"/>
    <w:rsid w:val="00D65D77"/>
    <w:rsid w:val="00D65D96"/>
    <w:rsid w:val="00D67785"/>
    <w:rsid w:val="00D71CCF"/>
    <w:rsid w:val="00D722E3"/>
    <w:rsid w:val="00D73F31"/>
    <w:rsid w:val="00D76169"/>
    <w:rsid w:val="00D8001B"/>
    <w:rsid w:val="00D82ADE"/>
    <w:rsid w:val="00D84048"/>
    <w:rsid w:val="00D849D3"/>
    <w:rsid w:val="00D84A45"/>
    <w:rsid w:val="00D84F0B"/>
    <w:rsid w:val="00D87A31"/>
    <w:rsid w:val="00D9772E"/>
    <w:rsid w:val="00D97732"/>
    <w:rsid w:val="00DA1652"/>
    <w:rsid w:val="00DB5EC6"/>
    <w:rsid w:val="00DC0053"/>
    <w:rsid w:val="00DC1383"/>
    <w:rsid w:val="00DD05D2"/>
    <w:rsid w:val="00DD274C"/>
    <w:rsid w:val="00DD59CD"/>
    <w:rsid w:val="00DD6062"/>
    <w:rsid w:val="00DD73D1"/>
    <w:rsid w:val="00DE22FB"/>
    <w:rsid w:val="00DE24FF"/>
    <w:rsid w:val="00DE691F"/>
    <w:rsid w:val="00DF1BF8"/>
    <w:rsid w:val="00DF3168"/>
    <w:rsid w:val="00E00C9A"/>
    <w:rsid w:val="00E02264"/>
    <w:rsid w:val="00E0226E"/>
    <w:rsid w:val="00E04EAF"/>
    <w:rsid w:val="00E121F3"/>
    <w:rsid w:val="00E141B2"/>
    <w:rsid w:val="00E25F9E"/>
    <w:rsid w:val="00E30C15"/>
    <w:rsid w:val="00E30FFB"/>
    <w:rsid w:val="00E31B1E"/>
    <w:rsid w:val="00E3330F"/>
    <w:rsid w:val="00E34D76"/>
    <w:rsid w:val="00E35575"/>
    <w:rsid w:val="00E375CC"/>
    <w:rsid w:val="00E37DF7"/>
    <w:rsid w:val="00E4093D"/>
    <w:rsid w:val="00E411E0"/>
    <w:rsid w:val="00E44E7F"/>
    <w:rsid w:val="00E46CC4"/>
    <w:rsid w:val="00E503F8"/>
    <w:rsid w:val="00E52345"/>
    <w:rsid w:val="00E57D25"/>
    <w:rsid w:val="00E62DE1"/>
    <w:rsid w:val="00E673C7"/>
    <w:rsid w:val="00E67A89"/>
    <w:rsid w:val="00E70D06"/>
    <w:rsid w:val="00E71C6C"/>
    <w:rsid w:val="00E732F4"/>
    <w:rsid w:val="00E7403C"/>
    <w:rsid w:val="00E741C6"/>
    <w:rsid w:val="00E74333"/>
    <w:rsid w:val="00E80114"/>
    <w:rsid w:val="00E918E0"/>
    <w:rsid w:val="00E947F6"/>
    <w:rsid w:val="00EA03E2"/>
    <w:rsid w:val="00EA1261"/>
    <w:rsid w:val="00EA1D40"/>
    <w:rsid w:val="00EA613B"/>
    <w:rsid w:val="00EB4DEB"/>
    <w:rsid w:val="00EC116C"/>
    <w:rsid w:val="00EC1D6F"/>
    <w:rsid w:val="00EC2FC1"/>
    <w:rsid w:val="00EC5EF0"/>
    <w:rsid w:val="00ED2382"/>
    <w:rsid w:val="00ED3E5C"/>
    <w:rsid w:val="00ED408E"/>
    <w:rsid w:val="00ED552F"/>
    <w:rsid w:val="00ED6293"/>
    <w:rsid w:val="00EE1B4E"/>
    <w:rsid w:val="00EE56F0"/>
    <w:rsid w:val="00EE69D9"/>
    <w:rsid w:val="00EE791F"/>
    <w:rsid w:val="00EF4658"/>
    <w:rsid w:val="00F000B3"/>
    <w:rsid w:val="00F00989"/>
    <w:rsid w:val="00F0189C"/>
    <w:rsid w:val="00F02641"/>
    <w:rsid w:val="00F06F47"/>
    <w:rsid w:val="00F07870"/>
    <w:rsid w:val="00F07B62"/>
    <w:rsid w:val="00F138AB"/>
    <w:rsid w:val="00F171B3"/>
    <w:rsid w:val="00F23D87"/>
    <w:rsid w:val="00F24F5F"/>
    <w:rsid w:val="00F30DBD"/>
    <w:rsid w:val="00F33D1F"/>
    <w:rsid w:val="00F34644"/>
    <w:rsid w:val="00F34C03"/>
    <w:rsid w:val="00F374F7"/>
    <w:rsid w:val="00F37C6E"/>
    <w:rsid w:val="00F43835"/>
    <w:rsid w:val="00F43B2F"/>
    <w:rsid w:val="00F475DC"/>
    <w:rsid w:val="00F501B8"/>
    <w:rsid w:val="00F525E0"/>
    <w:rsid w:val="00F53FE9"/>
    <w:rsid w:val="00F54FB4"/>
    <w:rsid w:val="00F57D16"/>
    <w:rsid w:val="00F60753"/>
    <w:rsid w:val="00F634AE"/>
    <w:rsid w:val="00F64374"/>
    <w:rsid w:val="00F6663E"/>
    <w:rsid w:val="00F66CB4"/>
    <w:rsid w:val="00F66DD9"/>
    <w:rsid w:val="00F707ED"/>
    <w:rsid w:val="00F710AB"/>
    <w:rsid w:val="00F721F8"/>
    <w:rsid w:val="00F7241B"/>
    <w:rsid w:val="00F7261C"/>
    <w:rsid w:val="00F731B6"/>
    <w:rsid w:val="00F73592"/>
    <w:rsid w:val="00F82113"/>
    <w:rsid w:val="00F822C1"/>
    <w:rsid w:val="00F83D9A"/>
    <w:rsid w:val="00F84278"/>
    <w:rsid w:val="00F84F68"/>
    <w:rsid w:val="00F85137"/>
    <w:rsid w:val="00F856BF"/>
    <w:rsid w:val="00F92308"/>
    <w:rsid w:val="00F92E33"/>
    <w:rsid w:val="00FA120B"/>
    <w:rsid w:val="00FA30A4"/>
    <w:rsid w:val="00FB015E"/>
    <w:rsid w:val="00FB09CE"/>
    <w:rsid w:val="00FB2092"/>
    <w:rsid w:val="00FB27EA"/>
    <w:rsid w:val="00FB447B"/>
    <w:rsid w:val="00FB5D03"/>
    <w:rsid w:val="00FC4FCE"/>
    <w:rsid w:val="00FC64C0"/>
    <w:rsid w:val="00FC693E"/>
    <w:rsid w:val="00FD5E30"/>
    <w:rsid w:val="00FD662B"/>
    <w:rsid w:val="00FE0DF5"/>
    <w:rsid w:val="00FF2184"/>
    <w:rsid w:val="0157AC1D"/>
    <w:rsid w:val="018B8F7A"/>
    <w:rsid w:val="01F5A05C"/>
    <w:rsid w:val="026A4DB2"/>
    <w:rsid w:val="0349ED37"/>
    <w:rsid w:val="03AF7844"/>
    <w:rsid w:val="03BAE9A6"/>
    <w:rsid w:val="04F1C5C7"/>
    <w:rsid w:val="060AC30A"/>
    <w:rsid w:val="07A2C0C4"/>
    <w:rsid w:val="07E0FE47"/>
    <w:rsid w:val="07F9B769"/>
    <w:rsid w:val="089F3DB7"/>
    <w:rsid w:val="08B0F5CF"/>
    <w:rsid w:val="0ADE00D6"/>
    <w:rsid w:val="0C94DAC6"/>
    <w:rsid w:val="0CE084A3"/>
    <w:rsid w:val="0D279490"/>
    <w:rsid w:val="0DD7AF69"/>
    <w:rsid w:val="0E8376AC"/>
    <w:rsid w:val="0EEBBA9D"/>
    <w:rsid w:val="0F0ED9DF"/>
    <w:rsid w:val="0F27AA63"/>
    <w:rsid w:val="0FBFB1B1"/>
    <w:rsid w:val="10A7FB61"/>
    <w:rsid w:val="118507DE"/>
    <w:rsid w:val="1281EE25"/>
    <w:rsid w:val="13EE547F"/>
    <w:rsid w:val="156AAC52"/>
    <w:rsid w:val="15F0EC25"/>
    <w:rsid w:val="160F8DEC"/>
    <w:rsid w:val="1622886D"/>
    <w:rsid w:val="16DC1B43"/>
    <w:rsid w:val="178F79D3"/>
    <w:rsid w:val="1794A691"/>
    <w:rsid w:val="184DA797"/>
    <w:rsid w:val="18D8E44A"/>
    <w:rsid w:val="19E03E5B"/>
    <w:rsid w:val="1AD012E0"/>
    <w:rsid w:val="1B3F1FF9"/>
    <w:rsid w:val="1BBBDD57"/>
    <w:rsid w:val="1C0BE007"/>
    <w:rsid w:val="1C10315A"/>
    <w:rsid w:val="1CB6E00B"/>
    <w:rsid w:val="1D824B75"/>
    <w:rsid w:val="1D892FFF"/>
    <w:rsid w:val="1E3F1547"/>
    <w:rsid w:val="1F95471F"/>
    <w:rsid w:val="208BC17D"/>
    <w:rsid w:val="215809F2"/>
    <w:rsid w:val="2175676A"/>
    <w:rsid w:val="21B4EC95"/>
    <w:rsid w:val="22650DDF"/>
    <w:rsid w:val="2398F364"/>
    <w:rsid w:val="23FA2CD2"/>
    <w:rsid w:val="2404DBE4"/>
    <w:rsid w:val="24E67C48"/>
    <w:rsid w:val="255A998D"/>
    <w:rsid w:val="2568D2A7"/>
    <w:rsid w:val="25708296"/>
    <w:rsid w:val="26471CBD"/>
    <w:rsid w:val="26630D3A"/>
    <w:rsid w:val="26C6FACB"/>
    <w:rsid w:val="2825D7BF"/>
    <w:rsid w:val="29998694"/>
    <w:rsid w:val="2A6A10D8"/>
    <w:rsid w:val="2B9BFC1B"/>
    <w:rsid w:val="2C3561D2"/>
    <w:rsid w:val="2C61DED3"/>
    <w:rsid w:val="2D3C9543"/>
    <w:rsid w:val="2DF98E6F"/>
    <w:rsid w:val="2E58ADE5"/>
    <w:rsid w:val="2ECD03E8"/>
    <w:rsid w:val="2EE2DF76"/>
    <w:rsid w:val="2EF6E485"/>
    <w:rsid w:val="2EF745DB"/>
    <w:rsid w:val="2FCC3911"/>
    <w:rsid w:val="30639E0A"/>
    <w:rsid w:val="3064B689"/>
    <w:rsid w:val="3194504D"/>
    <w:rsid w:val="325E016F"/>
    <w:rsid w:val="328D1825"/>
    <w:rsid w:val="3319BFEB"/>
    <w:rsid w:val="3336294E"/>
    <w:rsid w:val="34231F0A"/>
    <w:rsid w:val="34583631"/>
    <w:rsid w:val="3622381C"/>
    <w:rsid w:val="374F8B24"/>
    <w:rsid w:val="38EB90DB"/>
    <w:rsid w:val="391EAAE3"/>
    <w:rsid w:val="393CA12A"/>
    <w:rsid w:val="393FABA2"/>
    <w:rsid w:val="3A2D0923"/>
    <w:rsid w:val="3A32A547"/>
    <w:rsid w:val="3A72AB3E"/>
    <w:rsid w:val="3A7FE618"/>
    <w:rsid w:val="3A850520"/>
    <w:rsid w:val="3ACC7D36"/>
    <w:rsid w:val="3AD3577D"/>
    <w:rsid w:val="3AEB2DBA"/>
    <w:rsid w:val="3BAC3260"/>
    <w:rsid w:val="3C98CAC8"/>
    <w:rsid w:val="3D563723"/>
    <w:rsid w:val="3FC355BF"/>
    <w:rsid w:val="403F750E"/>
    <w:rsid w:val="4049AB3F"/>
    <w:rsid w:val="410C252A"/>
    <w:rsid w:val="415DC326"/>
    <w:rsid w:val="41B221A7"/>
    <w:rsid w:val="41B7E323"/>
    <w:rsid w:val="42211EB6"/>
    <w:rsid w:val="4292438D"/>
    <w:rsid w:val="43ACAA3A"/>
    <w:rsid w:val="444ED842"/>
    <w:rsid w:val="44A265BC"/>
    <w:rsid w:val="44D0156B"/>
    <w:rsid w:val="44E02AA0"/>
    <w:rsid w:val="457E1069"/>
    <w:rsid w:val="458405E6"/>
    <w:rsid w:val="473E2BD6"/>
    <w:rsid w:val="4779061B"/>
    <w:rsid w:val="47A9C573"/>
    <w:rsid w:val="47FA3867"/>
    <w:rsid w:val="48EE1F71"/>
    <w:rsid w:val="4935EAF7"/>
    <w:rsid w:val="495C6490"/>
    <w:rsid w:val="496F77ED"/>
    <w:rsid w:val="49FD79B8"/>
    <w:rsid w:val="4A1902D0"/>
    <w:rsid w:val="4A38C08F"/>
    <w:rsid w:val="4AD54181"/>
    <w:rsid w:val="4B34D5AF"/>
    <w:rsid w:val="4C3FAF56"/>
    <w:rsid w:val="4D1008EF"/>
    <w:rsid w:val="4E6F6079"/>
    <w:rsid w:val="4EC6651C"/>
    <w:rsid w:val="4F82A3C2"/>
    <w:rsid w:val="51D99C22"/>
    <w:rsid w:val="51E742D2"/>
    <w:rsid w:val="51FCD3EC"/>
    <w:rsid w:val="5298BAFB"/>
    <w:rsid w:val="52A44450"/>
    <w:rsid w:val="54AF7F61"/>
    <w:rsid w:val="557EF4B6"/>
    <w:rsid w:val="55A0A20D"/>
    <w:rsid w:val="565BC525"/>
    <w:rsid w:val="56FC649B"/>
    <w:rsid w:val="57C90493"/>
    <w:rsid w:val="586B7866"/>
    <w:rsid w:val="5881A7E8"/>
    <w:rsid w:val="589BE064"/>
    <w:rsid w:val="58CD737C"/>
    <w:rsid w:val="5AC5F931"/>
    <w:rsid w:val="5B6DEE2F"/>
    <w:rsid w:val="5B7FE885"/>
    <w:rsid w:val="5CBDB457"/>
    <w:rsid w:val="5D167E93"/>
    <w:rsid w:val="5E6E2BF0"/>
    <w:rsid w:val="5F70FF5E"/>
    <w:rsid w:val="5FAF390E"/>
    <w:rsid w:val="6001B8E6"/>
    <w:rsid w:val="62E31ED2"/>
    <w:rsid w:val="638EB9CA"/>
    <w:rsid w:val="63DEE6EF"/>
    <w:rsid w:val="650813C3"/>
    <w:rsid w:val="651015B0"/>
    <w:rsid w:val="655D4B9F"/>
    <w:rsid w:val="67885F7F"/>
    <w:rsid w:val="680E5287"/>
    <w:rsid w:val="68B7EA95"/>
    <w:rsid w:val="68D222A0"/>
    <w:rsid w:val="692E4BDA"/>
    <w:rsid w:val="69368BCF"/>
    <w:rsid w:val="6A393DF1"/>
    <w:rsid w:val="6B91004E"/>
    <w:rsid w:val="6BAEB19B"/>
    <w:rsid w:val="6CEA4051"/>
    <w:rsid w:val="6D3662F3"/>
    <w:rsid w:val="6D6B6FA6"/>
    <w:rsid w:val="6DD7E9AA"/>
    <w:rsid w:val="6DF31833"/>
    <w:rsid w:val="6E3D6330"/>
    <w:rsid w:val="6E642D4F"/>
    <w:rsid w:val="701A00E3"/>
    <w:rsid w:val="705CAB87"/>
    <w:rsid w:val="70AD9188"/>
    <w:rsid w:val="715CDF54"/>
    <w:rsid w:val="71C43907"/>
    <w:rsid w:val="720DF1D0"/>
    <w:rsid w:val="734B22E4"/>
    <w:rsid w:val="739263BF"/>
    <w:rsid w:val="73ECC7A9"/>
    <w:rsid w:val="74C91A30"/>
    <w:rsid w:val="7519A8EC"/>
    <w:rsid w:val="76DB145D"/>
    <w:rsid w:val="7786EDFD"/>
    <w:rsid w:val="7793A9D8"/>
    <w:rsid w:val="78609064"/>
    <w:rsid w:val="797EDF69"/>
    <w:rsid w:val="798958FF"/>
    <w:rsid w:val="7A318442"/>
    <w:rsid w:val="7A9D1503"/>
    <w:rsid w:val="7BB3A8A9"/>
    <w:rsid w:val="7BF9FE9F"/>
    <w:rsid w:val="7C2096D1"/>
    <w:rsid w:val="7C2DAE5B"/>
    <w:rsid w:val="7C375EBA"/>
    <w:rsid w:val="7FB1B7F4"/>
    <w:rsid w:val="7FB3149D"/>
    <w:rsid w:val="7FD257B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E1570"/>
  <w15:chartTrackingRefBased/>
  <w15:docId w15:val="{F41FE74D-3DBD-4BA9-B33A-4ADC9290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86"/>
  </w:style>
  <w:style w:type="paragraph" w:styleId="Heading1">
    <w:name w:val="heading 1"/>
    <w:basedOn w:val="Normal"/>
    <w:next w:val="Normal"/>
    <w:link w:val="Heading1Char"/>
    <w:uiPriority w:val="9"/>
    <w:qFormat/>
    <w:rsid w:val="00FB27EA"/>
    <w:pPr>
      <w:keepNext/>
      <w:keepLines/>
      <w:spacing w:before="560" w:after="240" w:line="240"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9C4C02"/>
    <w:pPr>
      <w:keepNext/>
      <w:keepLines/>
      <w:spacing w:before="200" w:line="240" w:lineRule="auto"/>
      <w:outlineLvl w:val="1"/>
    </w:pPr>
    <w:rPr>
      <w:rFonts w:asciiTheme="majorHAnsi" w:eastAsiaTheme="majorEastAsia" w:hAnsiTheme="majorHAnsi" w:cstheme="majorBidi"/>
      <w:b/>
      <w:color w:val="404040" w:themeColor="text1" w:themeTint="BF"/>
      <w:sz w:val="28"/>
      <w:szCs w:val="28"/>
    </w:rPr>
  </w:style>
  <w:style w:type="paragraph" w:styleId="Heading3">
    <w:name w:val="heading 3"/>
    <w:basedOn w:val="Normal"/>
    <w:next w:val="Normal"/>
    <w:link w:val="Heading3Char"/>
    <w:uiPriority w:val="9"/>
    <w:unhideWhenUsed/>
    <w:qFormat/>
    <w:rsid w:val="00104586"/>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Heading4">
    <w:name w:val="heading 4"/>
    <w:basedOn w:val="Normal"/>
    <w:next w:val="Normal"/>
    <w:link w:val="Heading4Char"/>
    <w:uiPriority w:val="9"/>
    <w:semiHidden/>
    <w:unhideWhenUsed/>
    <w:qFormat/>
    <w:rsid w:val="0010458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4586"/>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Heading6">
    <w:name w:val="heading 6"/>
    <w:basedOn w:val="Normal"/>
    <w:next w:val="Normal"/>
    <w:link w:val="Heading6Char"/>
    <w:uiPriority w:val="9"/>
    <w:semiHidden/>
    <w:unhideWhenUsed/>
    <w:qFormat/>
    <w:rsid w:val="00104586"/>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Heading7">
    <w:name w:val="heading 7"/>
    <w:basedOn w:val="Normal"/>
    <w:next w:val="Normal"/>
    <w:link w:val="Heading7Char"/>
    <w:uiPriority w:val="9"/>
    <w:semiHidden/>
    <w:unhideWhenUsed/>
    <w:qFormat/>
    <w:rsid w:val="00104586"/>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Heading8">
    <w:name w:val="heading 8"/>
    <w:basedOn w:val="Normal"/>
    <w:next w:val="Normal"/>
    <w:link w:val="Heading8Char"/>
    <w:uiPriority w:val="9"/>
    <w:semiHidden/>
    <w:unhideWhenUsed/>
    <w:qFormat/>
    <w:rsid w:val="00104586"/>
    <w:pPr>
      <w:keepNext/>
      <w:keepLines/>
      <w:spacing w:before="40" w:after="0"/>
      <w:outlineLvl w:val="7"/>
    </w:pPr>
    <w:rPr>
      <w:rFonts w:asciiTheme="majorHAnsi" w:eastAsiaTheme="majorEastAsia" w:hAnsiTheme="majorHAnsi" w:cstheme="majorBidi"/>
      <w:b/>
      <w:bCs/>
      <w:color w:val="242852" w:themeColor="text2"/>
    </w:rPr>
  </w:style>
  <w:style w:type="paragraph" w:styleId="Heading9">
    <w:name w:val="heading 9"/>
    <w:basedOn w:val="Normal"/>
    <w:next w:val="Normal"/>
    <w:link w:val="Heading9Char"/>
    <w:uiPriority w:val="9"/>
    <w:semiHidden/>
    <w:unhideWhenUsed/>
    <w:qFormat/>
    <w:rsid w:val="00104586"/>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04586"/>
    <w:rPr>
      <w:b/>
      <w:bCs/>
    </w:rPr>
  </w:style>
  <w:style w:type="paragraph" w:styleId="ListParagraph">
    <w:name w:val="List Paragraph"/>
    <w:basedOn w:val="Normal"/>
    <w:uiPriority w:val="34"/>
    <w:qFormat/>
    <w:rsid w:val="00CC707B"/>
    <w:pPr>
      <w:ind w:left="720"/>
      <w:contextualSpacing/>
    </w:pPr>
  </w:style>
  <w:style w:type="character" w:styleId="CommentReference">
    <w:name w:val="annotation reference"/>
    <w:basedOn w:val="DefaultParagraphFont"/>
    <w:uiPriority w:val="99"/>
    <w:unhideWhenUsed/>
    <w:rsid w:val="0007397B"/>
    <w:rPr>
      <w:sz w:val="16"/>
      <w:szCs w:val="16"/>
    </w:rPr>
  </w:style>
  <w:style w:type="paragraph" w:styleId="CommentText">
    <w:name w:val="annotation text"/>
    <w:basedOn w:val="Normal"/>
    <w:link w:val="CommentTextChar"/>
    <w:uiPriority w:val="99"/>
    <w:unhideWhenUsed/>
    <w:rsid w:val="0007397B"/>
    <w:pPr>
      <w:spacing w:line="240" w:lineRule="auto"/>
    </w:pPr>
  </w:style>
  <w:style w:type="character" w:customStyle="1" w:styleId="CommentTextChar">
    <w:name w:val="Comment Text Char"/>
    <w:basedOn w:val="DefaultParagraphFont"/>
    <w:link w:val="CommentText"/>
    <w:uiPriority w:val="99"/>
    <w:rsid w:val="0007397B"/>
    <w:rPr>
      <w:sz w:val="20"/>
      <w:szCs w:val="20"/>
    </w:rPr>
  </w:style>
  <w:style w:type="paragraph" w:styleId="CommentSubject">
    <w:name w:val="annotation subject"/>
    <w:basedOn w:val="CommentText"/>
    <w:next w:val="CommentText"/>
    <w:link w:val="CommentSubjectChar"/>
    <w:uiPriority w:val="99"/>
    <w:semiHidden/>
    <w:unhideWhenUsed/>
    <w:rsid w:val="0007397B"/>
    <w:rPr>
      <w:b/>
      <w:bCs/>
    </w:rPr>
  </w:style>
  <w:style w:type="character" w:customStyle="1" w:styleId="CommentSubjectChar">
    <w:name w:val="Comment Subject Char"/>
    <w:basedOn w:val="CommentTextChar"/>
    <w:link w:val="CommentSubject"/>
    <w:uiPriority w:val="99"/>
    <w:semiHidden/>
    <w:rsid w:val="0007397B"/>
    <w:rPr>
      <w:b/>
      <w:bCs/>
      <w:sz w:val="20"/>
      <w:szCs w:val="20"/>
    </w:rPr>
  </w:style>
  <w:style w:type="paragraph" w:styleId="NormalWeb">
    <w:name w:val="Normal (Web)"/>
    <w:basedOn w:val="Normal"/>
    <w:uiPriority w:val="99"/>
    <w:unhideWhenUsed/>
    <w:rsid w:val="007F29B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fault">
    <w:name w:val="Default"/>
    <w:rsid w:val="00D82AD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7C7BD4"/>
    <w:pPr>
      <w:spacing w:after="0" w:line="240" w:lineRule="auto"/>
    </w:pPr>
  </w:style>
  <w:style w:type="character" w:customStyle="1" w:styleId="FootnoteTextChar">
    <w:name w:val="Footnote Text Char"/>
    <w:basedOn w:val="DefaultParagraphFont"/>
    <w:link w:val="FootnoteText"/>
    <w:uiPriority w:val="99"/>
    <w:rsid w:val="007C7BD4"/>
    <w:rPr>
      <w:sz w:val="20"/>
      <w:szCs w:val="20"/>
    </w:rPr>
  </w:style>
  <w:style w:type="character" w:styleId="FootnoteReference">
    <w:name w:val="footnote reference"/>
    <w:basedOn w:val="DefaultParagraphFont"/>
    <w:uiPriority w:val="99"/>
    <w:semiHidden/>
    <w:unhideWhenUsed/>
    <w:rsid w:val="007C7BD4"/>
    <w:rPr>
      <w:vertAlign w:val="superscript"/>
    </w:rPr>
  </w:style>
  <w:style w:type="paragraph" w:styleId="Header">
    <w:name w:val="header"/>
    <w:basedOn w:val="Normal"/>
    <w:link w:val="HeaderChar"/>
    <w:uiPriority w:val="99"/>
    <w:unhideWhenUsed/>
    <w:rsid w:val="00F6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4AE"/>
  </w:style>
  <w:style w:type="paragraph" w:styleId="Footer">
    <w:name w:val="footer"/>
    <w:basedOn w:val="Normal"/>
    <w:link w:val="FooterChar"/>
    <w:uiPriority w:val="99"/>
    <w:unhideWhenUsed/>
    <w:rsid w:val="00F6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4AE"/>
  </w:style>
  <w:style w:type="character" w:styleId="Hyperlink">
    <w:name w:val="Hyperlink"/>
    <w:basedOn w:val="DefaultParagraphFont"/>
    <w:uiPriority w:val="99"/>
    <w:unhideWhenUsed/>
    <w:rsid w:val="000916BA"/>
    <w:rPr>
      <w:color w:val="9454C3" w:themeColor="hyperlink"/>
      <w:u w:val="single"/>
    </w:rPr>
  </w:style>
  <w:style w:type="character" w:styleId="UnresolvedMention">
    <w:name w:val="Unresolved Mention"/>
    <w:basedOn w:val="DefaultParagraphFont"/>
    <w:uiPriority w:val="99"/>
    <w:semiHidden/>
    <w:unhideWhenUsed/>
    <w:rsid w:val="000916BA"/>
    <w:rPr>
      <w:color w:val="605E5C"/>
      <w:shd w:val="clear" w:color="auto" w:fill="E1DFDD"/>
    </w:rPr>
  </w:style>
  <w:style w:type="character" w:customStyle="1" w:styleId="Heading2Char">
    <w:name w:val="Heading 2 Char"/>
    <w:basedOn w:val="DefaultParagraphFont"/>
    <w:link w:val="Heading2"/>
    <w:uiPriority w:val="9"/>
    <w:rsid w:val="009C4C02"/>
    <w:rPr>
      <w:rFonts w:asciiTheme="majorHAnsi" w:eastAsiaTheme="majorEastAsia" w:hAnsiTheme="majorHAnsi" w:cstheme="majorBidi"/>
      <w:b/>
      <w:color w:val="404040" w:themeColor="text1" w:themeTint="BF"/>
      <w:sz w:val="28"/>
      <w:szCs w:val="28"/>
    </w:rPr>
  </w:style>
  <w:style w:type="character" w:customStyle="1" w:styleId="Heading3Char">
    <w:name w:val="Heading 3 Char"/>
    <w:basedOn w:val="DefaultParagraphFont"/>
    <w:link w:val="Heading3"/>
    <w:uiPriority w:val="9"/>
    <w:rsid w:val="00104586"/>
    <w:rPr>
      <w:rFonts w:asciiTheme="majorHAnsi" w:eastAsiaTheme="majorEastAsia" w:hAnsiTheme="majorHAnsi" w:cstheme="majorBidi"/>
      <w:color w:val="242852" w:themeColor="text2"/>
      <w:sz w:val="24"/>
      <w:szCs w:val="24"/>
    </w:rPr>
  </w:style>
  <w:style w:type="table" w:styleId="TableGrid">
    <w:name w:val="Table Grid"/>
    <w:basedOn w:val="TableNormal"/>
    <w:uiPriority w:val="39"/>
    <w:rsid w:val="00D9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7733"/>
    <w:pPr>
      <w:spacing w:after="0" w:line="240" w:lineRule="auto"/>
    </w:pPr>
  </w:style>
  <w:style w:type="character" w:styleId="Emphasis">
    <w:name w:val="Emphasis"/>
    <w:basedOn w:val="DefaultParagraphFont"/>
    <w:uiPriority w:val="20"/>
    <w:qFormat/>
    <w:rsid w:val="00104586"/>
    <w:rPr>
      <w:i/>
      <w:iCs/>
    </w:rPr>
  </w:style>
  <w:style w:type="character" w:customStyle="1" w:styleId="Heading4Char">
    <w:name w:val="Heading 4 Char"/>
    <w:basedOn w:val="DefaultParagraphFont"/>
    <w:link w:val="Heading4"/>
    <w:uiPriority w:val="9"/>
    <w:semiHidden/>
    <w:rsid w:val="00104586"/>
    <w:rPr>
      <w:rFonts w:asciiTheme="majorHAnsi" w:eastAsiaTheme="majorEastAsia" w:hAnsiTheme="majorHAnsi" w:cstheme="majorBidi"/>
      <w:sz w:val="22"/>
      <w:szCs w:val="22"/>
    </w:rPr>
  </w:style>
  <w:style w:type="paragraph" w:customStyle="1" w:styleId="TableContents">
    <w:name w:val="Table Contents"/>
    <w:basedOn w:val="Normal"/>
    <w:rsid w:val="00FB015E"/>
    <w:pPr>
      <w:suppressLineNumbers/>
      <w:suppressAutoHyphens/>
      <w:spacing w:after="0" w:line="240" w:lineRule="auto"/>
    </w:pPr>
    <w:rPr>
      <w:rFonts w:ascii="Liberation Serif" w:eastAsia="SimSun" w:hAnsi="Liberation Serif" w:cs="Arial"/>
      <w:kern w:val="1"/>
      <w:sz w:val="24"/>
      <w:szCs w:val="24"/>
      <w:lang w:val="en-US" w:eastAsia="zh-CN" w:bidi="hi-IN"/>
    </w:rPr>
  </w:style>
  <w:style w:type="character" w:customStyle="1" w:styleId="Heading1Char">
    <w:name w:val="Heading 1 Char"/>
    <w:basedOn w:val="DefaultParagraphFont"/>
    <w:link w:val="Heading1"/>
    <w:uiPriority w:val="9"/>
    <w:rsid w:val="00FB27EA"/>
    <w:rPr>
      <w:rFonts w:asciiTheme="majorHAnsi" w:eastAsiaTheme="majorEastAsia" w:hAnsiTheme="majorHAnsi" w:cstheme="majorBidi"/>
      <w:color w:val="374C80" w:themeColor="accent1" w:themeShade="BF"/>
      <w:sz w:val="32"/>
      <w:szCs w:val="32"/>
    </w:rPr>
  </w:style>
  <w:style w:type="character" w:customStyle="1" w:styleId="Heading5Char">
    <w:name w:val="Heading 5 Char"/>
    <w:basedOn w:val="DefaultParagraphFont"/>
    <w:link w:val="Heading5"/>
    <w:uiPriority w:val="9"/>
    <w:semiHidden/>
    <w:rsid w:val="00104586"/>
    <w:rPr>
      <w:rFonts w:asciiTheme="majorHAnsi" w:eastAsiaTheme="majorEastAsia" w:hAnsiTheme="majorHAnsi" w:cstheme="majorBidi"/>
      <w:color w:val="242852" w:themeColor="text2"/>
      <w:sz w:val="22"/>
      <w:szCs w:val="22"/>
    </w:rPr>
  </w:style>
  <w:style w:type="character" w:customStyle="1" w:styleId="Heading6Char">
    <w:name w:val="Heading 6 Char"/>
    <w:basedOn w:val="DefaultParagraphFont"/>
    <w:link w:val="Heading6"/>
    <w:uiPriority w:val="9"/>
    <w:semiHidden/>
    <w:rsid w:val="00104586"/>
    <w:rPr>
      <w:rFonts w:asciiTheme="majorHAnsi" w:eastAsiaTheme="majorEastAsia" w:hAnsiTheme="majorHAnsi" w:cstheme="majorBidi"/>
      <w:i/>
      <w:iCs/>
      <w:color w:val="242852" w:themeColor="text2"/>
      <w:sz w:val="21"/>
      <w:szCs w:val="21"/>
    </w:rPr>
  </w:style>
  <w:style w:type="character" w:customStyle="1" w:styleId="Heading7Char">
    <w:name w:val="Heading 7 Char"/>
    <w:basedOn w:val="DefaultParagraphFont"/>
    <w:link w:val="Heading7"/>
    <w:uiPriority w:val="9"/>
    <w:semiHidden/>
    <w:rsid w:val="00104586"/>
    <w:rPr>
      <w:rFonts w:asciiTheme="majorHAnsi" w:eastAsiaTheme="majorEastAsia" w:hAnsiTheme="majorHAnsi" w:cstheme="majorBidi"/>
      <w:i/>
      <w:iCs/>
      <w:color w:val="253356" w:themeColor="accent1" w:themeShade="80"/>
      <w:sz w:val="21"/>
      <w:szCs w:val="21"/>
    </w:rPr>
  </w:style>
  <w:style w:type="character" w:customStyle="1" w:styleId="Heading8Char">
    <w:name w:val="Heading 8 Char"/>
    <w:basedOn w:val="DefaultParagraphFont"/>
    <w:link w:val="Heading8"/>
    <w:uiPriority w:val="9"/>
    <w:semiHidden/>
    <w:rsid w:val="00104586"/>
    <w:rPr>
      <w:rFonts w:asciiTheme="majorHAnsi" w:eastAsiaTheme="majorEastAsia" w:hAnsiTheme="majorHAnsi" w:cstheme="majorBidi"/>
      <w:b/>
      <w:bCs/>
      <w:color w:val="242852" w:themeColor="text2"/>
    </w:rPr>
  </w:style>
  <w:style w:type="character" w:customStyle="1" w:styleId="Heading9Char">
    <w:name w:val="Heading 9 Char"/>
    <w:basedOn w:val="DefaultParagraphFont"/>
    <w:link w:val="Heading9"/>
    <w:uiPriority w:val="9"/>
    <w:semiHidden/>
    <w:rsid w:val="00104586"/>
    <w:rPr>
      <w:rFonts w:asciiTheme="majorHAnsi" w:eastAsiaTheme="majorEastAsia" w:hAnsiTheme="majorHAnsi" w:cstheme="majorBidi"/>
      <w:b/>
      <w:bCs/>
      <w:i/>
      <w:iCs/>
      <w:color w:val="242852" w:themeColor="text2"/>
    </w:rPr>
  </w:style>
  <w:style w:type="paragraph" w:styleId="Caption">
    <w:name w:val="caption"/>
    <w:basedOn w:val="Normal"/>
    <w:next w:val="Normal"/>
    <w:uiPriority w:val="35"/>
    <w:semiHidden/>
    <w:unhideWhenUsed/>
    <w:qFormat/>
    <w:rsid w:val="0010458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4586"/>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itleChar">
    <w:name w:val="Title Char"/>
    <w:basedOn w:val="DefaultParagraphFont"/>
    <w:link w:val="Title"/>
    <w:uiPriority w:val="10"/>
    <w:rsid w:val="00104586"/>
    <w:rPr>
      <w:rFonts w:asciiTheme="majorHAnsi" w:eastAsiaTheme="majorEastAsia" w:hAnsiTheme="majorHAnsi" w:cstheme="majorBidi"/>
      <w:color w:val="4A66AC" w:themeColor="accent1"/>
      <w:spacing w:val="-10"/>
      <w:sz w:val="56"/>
      <w:szCs w:val="56"/>
    </w:rPr>
  </w:style>
  <w:style w:type="paragraph" w:styleId="Subtitle">
    <w:name w:val="Subtitle"/>
    <w:basedOn w:val="Normal"/>
    <w:next w:val="Normal"/>
    <w:link w:val="SubtitleChar"/>
    <w:uiPriority w:val="11"/>
    <w:qFormat/>
    <w:rsid w:val="0010458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04586"/>
    <w:rPr>
      <w:rFonts w:asciiTheme="majorHAnsi" w:eastAsiaTheme="majorEastAsia" w:hAnsiTheme="majorHAnsi" w:cstheme="majorBidi"/>
      <w:sz w:val="24"/>
      <w:szCs w:val="24"/>
    </w:rPr>
  </w:style>
  <w:style w:type="paragraph" w:styleId="NoSpacing">
    <w:name w:val="No Spacing"/>
    <w:uiPriority w:val="1"/>
    <w:qFormat/>
    <w:rsid w:val="00104586"/>
    <w:pPr>
      <w:spacing w:after="0" w:line="240" w:lineRule="auto"/>
    </w:pPr>
  </w:style>
  <w:style w:type="paragraph" w:styleId="Quote">
    <w:name w:val="Quote"/>
    <w:basedOn w:val="Normal"/>
    <w:next w:val="Normal"/>
    <w:link w:val="QuoteChar"/>
    <w:uiPriority w:val="29"/>
    <w:qFormat/>
    <w:rsid w:val="0010458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4586"/>
    <w:rPr>
      <w:i/>
      <w:iCs/>
      <w:color w:val="404040" w:themeColor="text1" w:themeTint="BF"/>
    </w:rPr>
  </w:style>
  <w:style w:type="paragraph" w:styleId="IntenseQuote">
    <w:name w:val="Intense Quote"/>
    <w:basedOn w:val="Normal"/>
    <w:next w:val="Normal"/>
    <w:link w:val="IntenseQuoteChar"/>
    <w:uiPriority w:val="30"/>
    <w:qFormat/>
    <w:rsid w:val="00104586"/>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104586"/>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104586"/>
    <w:rPr>
      <w:i/>
      <w:iCs/>
      <w:color w:val="404040" w:themeColor="text1" w:themeTint="BF"/>
    </w:rPr>
  </w:style>
  <w:style w:type="character" w:styleId="IntenseEmphasis">
    <w:name w:val="Intense Emphasis"/>
    <w:basedOn w:val="DefaultParagraphFont"/>
    <w:uiPriority w:val="21"/>
    <w:qFormat/>
    <w:rsid w:val="00104586"/>
    <w:rPr>
      <w:b/>
      <w:bCs/>
      <w:i/>
      <w:iCs/>
    </w:rPr>
  </w:style>
  <w:style w:type="character" w:styleId="SubtleReference">
    <w:name w:val="Subtle Reference"/>
    <w:basedOn w:val="DefaultParagraphFont"/>
    <w:uiPriority w:val="31"/>
    <w:qFormat/>
    <w:rsid w:val="001045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4586"/>
    <w:rPr>
      <w:b/>
      <w:bCs/>
      <w:smallCaps/>
      <w:spacing w:val="5"/>
      <w:u w:val="single"/>
    </w:rPr>
  </w:style>
  <w:style w:type="character" w:styleId="BookTitle">
    <w:name w:val="Book Title"/>
    <w:basedOn w:val="DefaultParagraphFont"/>
    <w:uiPriority w:val="33"/>
    <w:qFormat/>
    <w:rsid w:val="00104586"/>
    <w:rPr>
      <w:b/>
      <w:bCs/>
      <w:smallCaps/>
    </w:rPr>
  </w:style>
  <w:style w:type="paragraph" w:styleId="TOCHeading">
    <w:name w:val="TOC Heading"/>
    <w:basedOn w:val="Heading1"/>
    <w:next w:val="Normal"/>
    <w:uiPriority w:val="39"/>
    <w:unhideWhenUsed/>
    <w:qFormat/>
    <w:rsid w:val="00104586"/>
    <w:pPr>
      <w:outlineLvl w:val="9"/>
    </w:pPr>
  </w:style>
  <w:style w:type="paragraph" w:styleId="TOC1">
    <w:name w:val="toc 1"/>
    <w:basedOn w:val="Normal"/>
    <w:next w:val="Normal"/>
    <w:autoRedefine/>
    <w:uiPriority w:val="39"/>
    <w:unhideWhenUsed/>
    <w:rsid w:val="00FB27EA"/>
    <w:pPr>
      <w:spacing w:after="100"/>
    </w:pPr>
  </w:style>
  <w:style w:type="paragraph" w:styleId="TOC3">
    <w:name w:val="toc 3"/>
    <w:basedOn w:val="Normal"/>
    <w:next w:val="Normal"/>
    <w:autoRedefine/>
    <w:uiPriority w:val="39"/>
    <w:unhideWhenUsed/>
    <w:rsid w:val="00FB27EA"/>
    <w:pPr>
      <w:spacing w:after="100"/>
      <w:ind w:left="400"/>
    </w:pPr>
  </w:style>
  <w:style w:type="paragraph" w:styleId="TOC2">
    <w:name w:val="toc 2"/>
    <w:basedOn w:val="Normal"/>
    <w:next w:val="Normal"/>
    <w:autoRedefine/>
    <w:uiPriority w:val="39"/>
    <w:unhideWhenUsed/>
    <w:rsid w:val="00FB27EA"/>
    <w:pPr>
      <w:spacing w:after="100"/>
      <w:ind w:left="200"/>
    </w:pPr>
  </w:style>
  <w:style w:type="character" w:customStyle="1" w:styleId="cf01">
    <w:name w:val="cf01"/>
    <w:basedOn w:val="DefaultParagraphFont"/>
    <w:rsid w:val="00D27FDF"/>
    <w:rPr>
      <w:rFonts w:ascii="Segoe UI" w:hAnsi="Segoe UI" w:cs="Segoe UI" w:hint="default"/>
      <w:sz w:val="18"/>
      <w:szCs w:val="18"/>
    </w:rPr>
  </w:style>
  <w:style w:type="paragraph" w:customStyle="1" w:styleId="ydp61d22b85yiv0876918039msonormal">
    <w:name w:val="ydp61d22b85yiv0876918039msonormal"/>
    <w:basedOn w:val="Normal"/>
    <w:rsid w:val="00EF4658"/>
    <w:pPr>
      <w:spacing w:before="100" w:beforeAutospacing="1" w:after="100" w:afterAutospacing="1" w:line="240" w:lineRule="auto"/>
    </w:pPr>
    <w:rPr>
      <w:rFonts w:ascii="Calibri" w:eastAsiaTheme="minorHAnsi" w:hAnsi="Calibri" w:cs="Calibri"/>
      <w:sz w:val="22"/>
      <w:szCs w:val="22"/>
      <w:lang w:eastAsia="en-CA"/>
    </w:rPr>
  </w:style>
  <w:style w:type="paragraph" w:customStyle="1" w:styleId="ydp61d22b85yiv0876918039msolistparagraph">
    <w:name w:val="ydp61d22b85yiv0876918039msolistparagraph"/>
    <w:basedOn w:val="Normal"/>
    <w:rsid w:val="00EF4658"/>
    <w:pPr>
      <w:spacing w:before="100" w:beforeAutospacing="1" w:after="100" w:afterAutospacing="1" w:line="240" w:lineRule="auto"/>
    </w:pPr>
    <w:rPr>
      <w:rFonts w:ascii="Calibri" w:eastAsiaTheme="minorHAnsi" w:hAnsi="Calibri" w:cs="Calibri"/>
      <w:sz w:val="22"/>
      <w:szCs w:val="22"/>
      <w:lang w:eastAsia="en-CA"/>
    </w:rPr>
  </w:style>
  <w:style w:type="character" w:customStyle="1" w:styleId="ydp61d22b85yiv0876918039apple-converted-space">
    <w:name w:val="ydp61d22b85yiv0876918039apple-converted-space"/>
    <w:basedOn w:val="DefaultParagraphFont"/>
    <w:rsid w:val="00EF4658"/>
  </w:style>
  <w:style w:type="paragraph" w:customStyle="1" w:styleId="ydp89e9c80ayiv8880331531ydp8eed7112yiv6338952100msolistparagraph">
    <w:name w:val="ydp89e9c80ayiv8880331531ydp8eed7112yiv6338952100msolistparagraph"/>
    <w:basedOn w:val="Normal"/>
    <w:rsid w:val="002A2C68"/>
    <w:pPr>
      <w:spacing w:before="100" w:beforeAutospacing="1" w:after="100" w:afterAutospacing="1" w:line="240" w:lineRule="auto"/>
    </w:pPr>
    <w:rPr>
      <w:rFonts w:ascii="Calibri" w:eastAsiaTheme="minorHAnsi" w:hAnsi="Calibri" w:cs="Calibri"/>
      <w:sz w:val="22"/>
      <w:szCs w:val="22"/>
      <w:lang w:eastAsia="en-CA"/>
    </w:rPr>
  </w:style>
  <w:style w:type="paragraph" w:customStyle="1" w:styleId="TableParagraph">
    <w:name w:val="Table Paragraph"/>
    <w:basedOn w:val="Normal"/>
    <w:uiPriority w:val="1"/>
    <w:qFormat/>
    <w:rsid w:val="00F07870"/>
    <w:pPr>
      <w:widowControl w:val="0"/>
      <w:autoSpaceDE w:val="0"/>
      <w:autoSpaceDN w:val="0"/>
      <w:spacing w:after="0" w:line="240" w:lineRule="auto"/>
    </w:pPr>
    <w:rPr>
      <w:rFonts w:ascii="Calibri" w:eastAsia="Calibri" w:hAnsi="Calibri" w:cs="Calibri"/>
      <w:sz w:val="22"/>
      <w:szCs w:val="22"/>
      <w:lang w:val="en-US"/>
    </w:rPr>
  </w:style>
  <w:style w:type="paragraph" w:customStyle="1" w:styleId="yiv7095161787ydpf2b3dd4fyiv2264243251msonormal">
    <w:name w:val="yiv7095161787ydpf2b3dd4fyiv2264243251msonormal"/>
    <w:basedOn w:val="Normal"/>
    <w:rsid w:val="00275D5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4z2avtcy">
    <w:name w:val="c4_z2avtcy"/>
    <w:basedOn w:val="DefaultParagraphFont"/>
    <w:rsid w:val="00275D5B"/>
  </w:style>
  <w:style w:type="paragraph" w:customStyle="1" w:styleId="yiv9887092205msonormal">
    <w:name w:val="yiv9887092205msonormal"/>
    <w:basedOn w:val="Normal"/>
    <w:rsid w:val="00275D5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yiv3208359506msonormal">
    <w:name w:val="yiv3208359506msonormal"/>
    <w:basedOn w:val="Normal"/>
    <w:rsid w:val="00275D5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ackground-details">
    <w:name w:val="background-details"/>
    <w:basedOn w:val="DefaultParagraphFont"/>
    <w:rsid w:val="00275D5B"/>
  </w:style>
  <w:style w:type="character" w:customStyle="1" w:styleId="A5">
    <w:name w:val="A5"/>
    <w:uiPriority w:val="99"/>
    <w:rsid w:val="00771DD2"/>
    <w:rPr>
      <w:i/>
      <w:iCs/>
      <w:color w:val="000000"/>
      <w:sz w:val="17"/>
      <w:szCs w:val="17"/>
    </w:rPr>
  </w:style>
  <w:style w:type="character" w:customStyle="1" w:styleId="acopre">
    <w:name w:val="acopre"/>
    <w:basedOn w:val="DefaultParagraphFont"/>
    <w:rsid w:val="00B70D09"/>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053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9666">
      <w:bodyDiv w:val="1"/>
      <w:marLeft w:val="0"/>
      <w:marRight w:val="0"/>
      <w:marTop w:val="0"/>
      <w:marBottom w:val="0"/>
      <w:divBdr>
        <w:top w:val="none" w:sz="0" w:space="0" w:color="auto"/>
        <w:left w:val="none" w:sz="0" w:space="0" w:color="auto"/>
        <w:bottom w:val="none" w:sz="0" w:space="0" w:color="auto"/>
        <w:right w:val="none" w:sz="0" w:space="0" w:color="auto"/>
      </w:divBdr>
    </w:div>
    <w:div w:id="122888485">
      <w:bodyDiv w:val="1"/>
      <w:marLeft w:val="0"/>
      <w:marRight w:val="0"/>
      <w:marTop w:val="0"/>
      <w:marBottom w:val="0"/>
      <w:divBdr>
        <w:top w:val="none" w:sz="0" w:space="0" w:color="auto"/>
        <w:left w:val="none" w:sz="0" w:space="0" w:color="auto"/>
        <w:bottom w:val="none" w:sz="0" w:space="0" w:color="auto"/>
        <w:right w:val="none" w:sz="0" w:space="0" w:color="auto"/>
      </w:divBdr>
    </w:div>
    <w:div w:id="170801095">
      <w:bodyDiv w:val="1"/>
      <w:marLeft w:val="0"/>
      <w:marRight w:val="0"/>
      <w:marTop w:val="0"/>
      <w:marBottom w:val="0"/>
      <w:divBdr>
        <w:top w:val="none" w:sz="0" w:space="0" w:color="auto"/>
        <w:left w:val="none" w:sz="0" w:space="0" w:color="auto"/>
        <w:bottom w:val="none" w:sz="0" w:space="0" w:color="auto"/>
        <w:right w:val="none" w:sz="0" w:space="0" w:color="auto"/>
      </w:divBdr>
    </w:div>
    <w:div w:id="268591603">
      <w:bodyDiv w:val="1"/>
      <w:marLeft w:val="0"/>
      <w:marRight w:val="0"/>
      <w:marTop w:val="0"/>
      <w:marBottom w:val="0"/>
      <w:divBdr>
        <w:top w:val="none" w:sz="0" w:space="0" w:color="auto"/>
        <w:left w:val="none" w:sz="0" w:space="0" w:color="auto"/>
        <w:bottom w:val="none" w:sz="0" w:space="0" w:color="auto"/>
        <w:right w:val="none" w:sz="0" w:space="0" w:color="auto"/>
      </w:divBdr>
    </w:div>
    <w:div w:id="371343135">
      <w:bodyDiv w:val="1"/>
      <w:marLeft w:val="0"/>
      <w:marRight w:val="0"/>
      <w:marTop w:val="0"/>
      <w:marBottom w:val="0"/>
      <w:divBdr>
        <w:top w:val="none" w:sz="0" w:space="0" w:color="auto"/>
        <w:left w:val="none" w:sz="0" w:space="0" w:color="auto"/>
        <w:bottom w:val="none" w:sz="0" w:space="0" w:color="auto"/>
        <w:right w:val="none" w:sz="0" w:space="0" w:color="auto"/>
      </w:divBdr>
    </w:div>
    <w:div w:id="707342843">
      <w:bodyDiv w:val="1"/>
      <w:marLeft w:val="0"/>
      <w:marRight w:val="0"/>
      <w:marTop w:val="0"/>
      <w:marBottom w:val="0"/>
      <w:divBdr>
        <w:top w:val="none" w:sz="0" w:space="0" w:color="auto"/>
        <w:left w:val="none" w:sz="0" w:space="0" w:color="auto"/>
        <w:bottom w:val="none" w:sz="0" w:space="0" w:color="auto"/>
        <w:right w:val="none" w:sz="0" w:space="0" w:color="auto"/>
      </w:divBdr>
    </w:div>
    <w:div w:id="754396802">
      <w:bodyDiv w:val="1"/>
      <w:marLeft w:val="0"/>
      <w:marRight w:val="0"/>
      <w:marTop w:val="0"/>
      <w:marBottom w:val="0"/>
      <w:divBdr>
        <w:top w:val="none" w:sz="0" w:space="0" w:color="auto"/>
        <w:left w:val="none" w:sz="0" w:space="0" w:color="auto"/>
        <w:bottom w:val="none" w:sz="0" w:space="0" w:color="auto"/>
        <w:right w:val="none" w:sz="0" w:space="0" w:color="auto"/>
      </w:divBdr>
    </w:div>
    <w:div w:id="904412231">
      <w:bodyDiv w:val="1"/>
      <w:marLeft w:val="0"/>
      <w:marRight w:val="0"/>
      <w:marTop w:val="0"/>
      <w:marBottom w:val="0"/>
      <w:divBdr>
        <w:top w:val="none" w:sz="0" w:space="0" w:color="auto"/>
        <w:left w:val="none" w:sz="0" w:space="0" w:color="auto"/>
        <w:bottom w:val="none" w:sz="0" w:space="0" w:color="auto"/>
        <w:right w:val="none" w:sz="0" w:space="0" w:color="auto"/>
      </w:divBdr>
    </w:div>
    <w:div w:id="970862283">
      <w:bodyDiv w:val="1"/>
      <w:marLeft w:val="0"/>
      <w:marRight w:val="0"/>
      <w:marTop w:val="0"/>
      <w:marBottom w:val="0"/>
      <w:divBdr>
        <w:top w:val="none" w:sz="0" w:space="0" w:color="auto"/>
        <w:left w:val="none" w:sz="0" w:space="0" w:color="auto"/>
        <w:bottom w:val="none" w:sz="0" w:space="0" w:color="auto"/>
        <w:right w:val="none" w:sz="0" w:space="0" w:color="auto"/>
      </w:divBdr>
    </w:div>
    <w:div w:id="1290550448">
      <w:bodyDiv w:val="1"/>
      <w:marLeft w:val="0"/>
      <w:marRight w:val="0"/>
      <w:marTop w:val="0"/>
      <w:marBottom w:val="0"/>
      <w:divBdr>
        <w:top w:val="none" w:sz="0" w:space="0" w:color="auto"/>
        <w:left w:val="none" w:sz="0" w:space="0" w:color="auto"/>
        <w:bottom w:val="none" w:sz="0" w:space="0" w:color="auto"/>
        <w:right w:val="none" w:sz="0" w:space="0" w:color="auto"/>
      </w:divBdr>
    </w:div>
    <w:div w:id="1525439225">
      <w:bodyDiv w:val="1"/>
      <w:marLeft w:val="0"/>
      <w:marRight w:val="0"/>
      <w:marTop w:val="0"/>
      <w:marBottom w:val="0"/>
      <w:divBdr>
        <w:top w:val="none" w:sz="0" w:space="0" w:color="auto"/>
        <w:left w:val="none" w:sz="0" w:space="0" w:color="auto"/>
        <w:bottom w:val="none" w:sz="0" w:space="0" w:color="auto"/>
        <w:right w:val="none" w:sz="0" w:space="0" w:color="auto"/>
      </w:divBdr>
    </w:div>
    <w:div w:id="1622371111">
      <w:bodyDiv w:val="1"/>
      <w:marLeft w:val="0"/>
      <w:marRight w:val="0"/>
      <w:marTop w:val="0"/>
      <w:marBottom w:val="0"/>
      <w:divBdr>
        <w:top w:val="none" w:sz="0" w:space="0" w:color="auto"/>
        <w:left w:val="none" w:sz="0" w:space="0" w:color="auto"/>
        <w:bottom w:val="none" w:sz="0" w:space="0" w:color="auto"/>
        <w:right w:val="none" w:sz="0" w:space="0" w:color="auto"/>
      </w:divBdr>
    </w:div>
    <w:div w:id="1651131563">
      <w:bodyDiv w:val="1"/>
      <w:marLeft w:val="0"/>
      <w:marRight w:val="0"/>
      <w:marTop w:val="0"/>
      <w:marBottom w:val="0"/>
      <w:divBdr>
        <w:top w:val="none" w:sz="0" w:space="0" w:color="auto"/>
        <w:left w:val="none" w:sz="0" w:space="0" w:color="auto"/>
        <w:bottom w:val="none" w:sz="0" w:space="0" w:color="auto"/>
        <w:right w:val="none" w:sz="0" w:space="0" w:color="auto"/>
      </w:divBdr>
    </w:div>
    <w:div w:id="1855144646">
      <w:bodyDiv w:val="1"/>
      <w:marLeft w:val="0"/>
      <w:marRight w:val="0"/>
      <w:marTop w:val="0"/>
      <w:marBottom w:val="0"/>
      <w:divBdr>
        <w:top w:val="none" w:sz="0" w:space="0" w:color="auto"/>
        <w:left w:val="none" w:sz="0" w:space="0" w:color="auto"/>
        <w:bottom w:val="none" w:sz="0" w:space="0" w:color="auto"/>
        <w:right w:val="none" w:sz="0" w:space="0" w:color="auto"/>
      </w:divBdr>
    </w:div>
    <w:div w:id="20245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sparkblue.org/GlobalprogrammeROLSHR/discussion/reflecting-undps-focus-rule-law-security-and-human-rights-what-has" TargetMode="External"/><Relationship Id="rId2" Type="http://schemas.openxmlformats.org/officeDocument/2006/relationships/hyperlink" Target="https://www.ohchr.org/EN/HRBodies/HRC/RegularSessions/Session45/Pages/ResDecStat.aspx" TargetMode="External"/><Relationship Id="rId1" Type="http://schemas.openxmlformats.org/officeDocument/2006/relationships/hyperlink" Target="https://www.un.org/disarmament/salient/" TargetMode="External"/><Relationship Id="rId5" Type="http://schemas.openxmlformats.org/officeDocument/2006/relationships/hyperlink" Target="https://www.state.gov/bureaus-offices/under-secretary-for-civilian-security-democracy-and-human-rights/bureau-of-international-narcotics-and-law-enforcement-affairs/" TargetMode="External"/><Relationship Id="rId4" Type="http://schemas.openxmlformats.org/officeDocument/2006/relationships/hyperlink" Target="https://www.un.org/peacebuilding/fund/documents/investments" TargetMode="External"/></Relationships>
</file>

<file path=word/documenttasks/documenttasks1.xml><?xml version="1.0" encoding="utf-8"?>
<t:Tasks xmlns:t="http://schemas.microsoft.com/office/tasks/2019/documenttasks" xmlns:oel="http://schemas.microsoft.com/office/2019/extlst">
  <t:Task id="{A5B140E1-B7B0-4CD6-854C-730009E15E7D}">
    <t:Anchor>
      <t:Comment id="100630870"/>
    </t:Anchor>
    <t:History>
      <t:Event id="{C304A076-0203-48F4-ACE2-6F410C467354}" time="2021-04-28T13:34:10Z">
        <t:Attribution userId="S::alexandra.meierhans@undp.org::a8c36f0e-5960-4bf8-9c83-f60c65027b71" userProvider="AD" userName="Alexandra Meierhans"/>
        <t:Anchor>
          <t:Comment id="100630870"/>
        </t:Anchor>
        <t:Create/>
      </t:Event>
      <t:Event id="{CD713EF1-6C95-41B7-82F2-748CFC29D953}" time="2021-04-28T13:34:10Z">
        <t:Attribution userId="S::alexandra.meierhans@undp.org::a8c36f0e-5960-4bf8-9c83-f60c65027b71" userProvider="AD" userName="Alexandra Meierhans"/>
        <t:Anchor>
          <t:Comment id="100630870"/>
        </t:Anchor>
        <t:Assign userId="S::ciara.diseta@undp.org::317c03bd-39f6-452e-ad50-0e0eacb547b8" userProvider="AD" userName="Ciara DiSeta"/>
      </t:Event>
      <t:Event id="{4DEA87C6-E22A-4B6D-8924-ADCEF389314F}" time="2021-04-28T13:34:10Z">
        <t:Attribution userId="S::alexandra.meierhans@undp.org::a8c36f0e-5960-4bf8-9c83-f60c65027b71" userProvider="AD" userName="Alexandra Meierhans"/>
        <t:Anchor>
          <t:Comment id="100630870"/>
        </t:Anchor>
        <t:SetTitle title="I@Ciara DiSeta please check this is correct."/>
      </t:Event>
    </t:History>
  </t:Task>
  <t:Task id="{99A45B1D-B0D4-455F-8F44-A9B49B5FCBE5}">
    <t:Anchor>
      <t:Comment id="1851035696"/>
    </t:Anchor>
    <t:History>
      <t:Event id="{B6EC27B1-051B-4967-9548-6FC5E8C2866E}" time="2021-04-28T21:30:51Z">
        <t:Attribution userId="S::alexandra.meierhans@undp.org::a8c36f0e-5960-4bf8-9c83-f60c65027b71" userProvider="AD" userName="Alexandra Meierhans"/>
        <t:Anchor>
          <t:Comment id="1851035696"/>
        </t:Anchor>
        <t:Create/>
      </t:Event>
      <t:Event id="{04292EA3-35C2-459C-84D4-56649BC6DCEF}" time="2021-04-28T21:30:51Z">
        <t:Attribution userId="S::alexandra.meierhans@undp.org::a8c36f0e-5960-4bf8-9c83-f60c65027b71" userProvider="AD" userName="Alexandra Meierhans"/>
        <t:Anchor>
          <t:Comment id="1851035696"/>
        </t:Anchor>
        <t:Assign userId="S::ciara.diseta@undp.org::317c03bd-39f6-452e-ad50-0e0eacb547b8" userProvider="AD" userName="Ciara DiSeta"/>
      </t:Event>
      <t:Event id="{B578F70D-6563-41C0-B18F-87591A1745C4}" time="2021-04-28T21:30:51Z">
        <t:Attribution userId="S::alexandra.meierhans@undp.org::a8c36f0e-5960-4bf8-9c83-f60c65027b71" userProvider="AD" userName="Alexandra Meierhans"/>
        <t:Anchor>
          <t:Comment id="1851035696"/>
        </t:Anchor>
        <t:SetTitle title="@Ciara DiSeta please verify"/>
      </t:Event>
    </t:History>
  </t:Task>
  <t:Task id="{643B857A-22EB-457B-98D2-9FE889011D9E}">
    <t:Anchor>
      <t:Comment id="937242377"/>
    </t:Anchor>
    <t:History>
      <t:Event id="{795ABF84-D53B-421B-9071-6D9A6A4176B4}" time="2021-05-04T18:40:13Z">
        <t:Attribution userId="S::sarah.rattray@undp.org::4ad6b14d-d760-4d9a-b44f-335c5b6c6a7c" userProvider="AD" userName="Sarah Rattray"/>
        <t:Anchor>
          <t:Comment id="937242377"/>
        </t:Anchor>
        <t:Create/>
      </t:Event>
      <t:Event id="{0004810E-BD27-4860-BF45-0AE624D2FEE9}" time="2021-05-04T18:40:13Z">
        <t:Attribution userId="S::sarah.rattray@undp.org::4ad6b14d-d760-4d9a-b44f-335c5b6c6a7c" userProvider="AD" userName="Sarah Rattray"/>
        <t:Anchor>
          <t:Comment id="937242377"/>
        </t:Anchor>
        <t:Assign userId="S::alexandra.meierhans@undp.org::a8c36f0e-5960-4bf8-9c83-f60c65027b71" userProvider="AD" userName="Alexandra Meierhans"/>
      </t:Event>
      <t:Event id="{FC1F07CB-2C96-43C7-9E0C-B19AA0AD84F1}" time="2021-05-04T18:40:13Z">
        <t:Attribution userId="S::sarah.rattray@undp.org::4ad6b14d-d760-4d9a-b44f-335c5b6c6a7c" userProvider="AD" userName="Sarah Rattray"/>
        <t:Anchor>
          <t:Comment id="937242377"/>
        </t:Anchor>
        <t:SetTitle title="@Alexandra Meierhans this seems like a strange conclusion. The pipeline request template has all sorts of information requirements including criteria (demonstrating jointness of programming etc). This may be a factual error to be corrected?"/>
      </t:Event>
      <t:Event id="{203DC387-54D4-47BE-A2E0-01D9EB33CE3D}" time="2021-05-27T02:43:13Z">
        <t:Attribution userId="S::sarah.rattray@undp.org::4ad6b14d-d760-4d9a-b44f-335c5b6c6a7c" userProvider="AD" userName="Sarah Rattray"/>
        <t:Progress percentComplete="0"/>
      </t:Event>
    </t:History>
  </t:Task>
  <t:Task id="{34FE035D-64D5-479F-8628-B7642FAA88DC}">
    <t:Anchor>
      <t:Comment id="95114873"/>
    </t:Anchor>
    <t:History>
      <t:Event id="{C84AC0E4-8C22-4E55-9914-C1CC7144332D}" time="2021-04-29T20:44:28Z">
        <t:Attribution userId="S::alexandra.meierhans@undp.org::a8c36f0e-5960-4bf8-9c83-f60c65027b71" userProvider="AD" userName="Alexandra Meierhans"/>
        <t:Anchor>
          <t:Comment id="95114873"/>
        </t:Anchor>
        <t:Create/>
      </t:Event>
      <t:Event id="{4F120C94-3D27-49FA-A093-2A40196F0BEE}" time="2021-04-29T20:44:28Z">
        <t:Attribution userId="S::alexandra.meierhans@undp.org::a8c36f0e-5960-4bf8-9c83-f60c65027b71" userProvider="AD" userName="Alexandra Meierhans"/>
        <t:Anchor>
          <t:Comment id="95114873"/>
        </t:Anchor>
        <t:Assign userId="S::ciara.diseta@undp.org::317c03bd-39f6-452e-ad50-0e0eacb547b8" userProvider="AD" userName="Ciara DiSeta"/>
      </t:Event>
      <t:Event id="{64DF437C-77F6-4B27-A172-867C1F5A4F44}" time="2021-04-29T20:44:28Z">
        <t:Attribution userId="S::alexandra.meierhans@undp.org::a8c36f0e-5960-4bf8-9c83-f60c65027b71" userProvider="AD" userName="Alexandra Meierhans"/>
        <t:Anchor>
          <t:Comment id="95114873"/>
        </t:Anchor>
        <t:SetTitle title="@Ciara DiSeta please check and update the info as needed to make sure it is correct."/>
      </t:Event>
    </t:History>
  </t:Task>
  <t:Task id="{E3CB95BC-0095-4C35-A106-726E04535939}">
    <t:Anchor>
      <t:Comment id="861521759"/>
    </t:Anchor>
    <t:History>
      <t:Event id="{43912BC2-46E1-4DBC-8D6A-43F95774293E}" time="2021-04-29T21:13:56Z">
        <t:Attribution userId="S::alexandra.meierhans@undp.org::a8c36f0e-5960-4bf8-9c83-f60c65027b71" userProvider="AD" userName="Alexandra Meierhans"/>
        <t:Anchor>
          <t:Comment id="861521759"/>
        </t:Anchor>
        <t:Create/>
      </t:Event>
      <t:Event id="{1DB81E04-E05D-45B5-869E-D79178D5287E}" time="2021-04-29T21:13:56Z">
        <t:Attribution userId="S::alexandra.meierhans@undp.org::a8c36f0e-5960-4bf8-9c83-f60c65027b71" userProvider="AD" userName="Alexandra Meierhans"/>
        <t:Anchor>
          <t:Comment id="861521759"/>
        </t:Anchor>
        <t:Assign userId="S::ciara.diseta@undp.org::317c03bd-39f6-452e-ad50-0e0eacb547b8" userProvider="AD" userName="Ciara DiSeta"/>
      </t:Event>
      <t:Event id="{06571EAA-A7C6-4794-AE71-766392F48C22}" time="2021-04-29T21:13:56Z">
        <t:Attribution userId="S::alexandra.meierhans@undp.org::a8c36f0e-5960-4bf8-9c83-f60c65027b71" userProvider="AD" userName="Alexandra Meierhans"/>
        <t:Anchor>
          <t:Comment id="861521759"/>
        </t:Anchor>
        <t:SetTitle title="@Ciara DiSeta please verify"/>
      </t:Event>
    </t:History>
  </t:Task>
  <t:Task id="{B683F153-AE01-4127-8FC3-C9EDB6CB839C}">
    <t:Anchor>
      <t:Comment id="1454524623"/>
    </t:Anchor>
    <t:History>
      <t:Event id="{00EAA6D3-02F4-4065-BCAC-B47C9AEE7F80}" time="2021-05-03T20:03:14Z">
        <t:Attribution userId="S::sarah.rattray@undp.org::4ad6b14d-d760-4d9a-b44f-335c5b6c6a7c" userProvider="AD" userName="Sarah Rattray"/>
        <t:Anchor>
          <t:Comment id="1699774043"/>
        </t:Anchor>
        <t:Create/>
      </t:Event>
      <t:Event id="{C366F27A-6077-451D-8E86-429D29CF4C76}" time="2021-05-03T20:03:14Z">
        <t:Attribution userId="S::sarah.rattray@undp.org::4ad6b14d-d760-4d9a-b44f-335c5b6c6a7c" userProvider="AD" userName="Sarah Rattray"/>
        <t:Anchor>
          <t:Comment id="1699774043"/>
        </t:Anchor>
        <t:Assign userId="S::alexandra.meierhans@undp.org::a8c36f0e-5960-4bf8-9c83-f60c65027b71" userProvider="AD" userName="Alexandra Meierhans"/>
      </t:Event>
      <t:Event id="{C18ED123-49D5-4CD0-B36C-8DD08F0F7A7B}" time="2021-05-03T20:03:14Z">
        <t:Attribution userId="S::sarah.rattray@undp.org::4ad6b14d-d760-4d9a-b44f-335c5b6c6a7c" userProvider="AD" userName="Sarah Rattray"/>
        <t:Anchor>
          <t:Comment id="1699774043"/>
        </t:Anchor>
        <t:SetTitle title="@Alexandra Meierhans this also needs to be clarified for non-pipeline funding. For non-pipeline funding such as the TPP we are not prioritizing conflict or fragile settings etc."/>
      </t:Event>
    </t:History>
  </t:Task>
  <t:Task id="{1C6BA8CC-7651-448D-9F87-9159DE5E7C02}">
    <t:Anchor>
      <t:Comment id="1477169212"/>
    </t:Anchor>
    <t:History>
      <t:Event id="{4172E6C6-7576-44F2-B723-E0B914CB8C2B}" time="2021-05-24T12:10:05Z">
        <t:Attribution userId="S::alexandra.meierhans@undp.org::a8c36f0e-5960-4bf8-9c83-f60c65027b71" userProvider="AD" userName="Alexandra Meierhans"/>
        <t:Anchor>
          <t:Comment id="1477169212"/>
        </t:Anchor>
        <t:Create/>
      </t:Event>
      <t:Event id="{C344454D-12BA-495F-8019-053C7564CEDC}" time="2021-05-24T12:10:05Z">
        <t:Attribution userId="S::alexandra.meierhans@undp.org::a8c36f0e-5960-4bf8-9c83-f60c65027b71" userProvider="AD" userName="Alexandra Meierhans"/>
        <t:Anchor>
          <t:Comment id="1477169212"/>
        </t:Anchor>
        <t:Assign userId="S::ciara.diseta@undp.org::317c03bd-39f6-452e-ad50-0e0eacb547b8" userProvider="AD" userName="Ciara DiSeta"/>
      </t:Event>
      <t:Event id="{B58903A4-4430-4815-B1CD-292C659443A4}" time="2021-05-24T12:10:05Z">
        <t:Attribution userId="S::alexandra.meierhans@undp.org::a8c36f0e-5960-4bf8-9c83-f60c65027b71" userProvider="AD" userName="Alexandra Meierhans"/>
        <t:Anchor>
          <t:Comment id="1477169212"/>
        </t:Anchor>
        <t:SetTitle title="@Ciara DiSeta Can you check if this is correct as Sarah and Melanie have different numbers."/>
      </t:Event>
    </t:History>
  </t:Task>
  <t:Task id="{553902AC-726D-4BD6-99EA-791091BA6BF3}">
    <t:Anchor>
      <t:Comment id="1593754977"/>
    </t:Anchor>
    <t:History>
      <t:Event id="{57FCF588-B721-414A-9EB6-62DCE0942A62}" time="2021-05-27T00:56:58Z">
        <t:Attribution userId="S::sarah.rattray@undp.org::4ad6b14d-d760-4d9a-b44f-335c5b6c6a7c" userProvider="AD" userName="Sarah Rattray"/>
        <t:Anchor>
          <t:Comment id="1593754977"/>
        </t:Anchor>
        <t:Create/>
      </t:Event>
      <t:Event id="{51AF1E4C-5D1B-4319-B065-E8D18F365CEC}" time="2021-05-27T00:56:58Z">
        <t:Attribution userId="S::sarah.rattray@undp.org::4ad6b14d-d760-4d9a-b44f-335c5b6c6a7c" userProvider="AD" userName="Sarah Rattray"/>
        <t:Anchor>
          <t:Comment id="1593754977"/>
        </t:Anchor>
        <t:Assign userId="S::alexandra.meierhans@undp.org::a8c36f0e-5960-4bf8-9c83-f60c65027b71" userProvider="AD" userName="Alexandra Meierhans"/>
      </t:Event>
      <t:Event id="{AA748B9D-13E2-4A20-8306-0139C837641C}" time="2021-05-27T00:56:58Z">
        <t:Attribution userId="S::sarah.rattray@undp.org::4ad6b14d-d760-4d9a-b44f-335c5b6c6a7c" userProvider="AD" userName="Sarah Rattray"/>
        <t:Anchor>
          <t:Comment id="1593754977"/>
        </t:Anchor>
        <t:SetTitle title="@Alexandra Meierhans to confirm. This doesn't seem factually accurate to me considering the proposals that the CO's have to complete for pipeline funding which have clear criteria in them and rationales etc for how the funds will be utilized for work …"/>
      </t:Event>
    </t:History>
  </t:Task>
</t:Tasks>
</file>

<file path=word/theme/theme1.xml><?xml version="1.0" encoding="utf-8"?>
<a:theme xmlns:a="http://schemas.openxmlformats.org/drawingml/2006/main" name="Sl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7A9A-8472-498E-8923-F5809E7F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44018</Words>
  <Characters>250908</Characters>
  <Application>Microsoft Office Word</Application>
  <DocSecurity>0</DocSecurity>
  <Lines>2090</Lines>
  <Paragraphs>588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294338</CharactersWithSpaces>
  <SharedDoc>false</SharedDoc>
  <HLinks>
    <vt:vector size="288" baseType="variant">
      <vt:variant>
        <vt:i4>1966128</vt:i4>
      </vt:variant>
      <vt:variant>
        <vt:i4>224</vt:i4>
      </vt:variant>
      <vt:variant>
        <vt:i4>0</vt:i4>
      </vt:variant>
      <vt:variant>
        <vt:i4>5</vt:i4>
      </vt:variant>
      <vt:variant>
        <vt:lpwstr/>
      </vt:variant>
      <vt:variant>
        <vt:lpwstr>_Toc71701911</vt:lpwstr>
      </vt:variant>
      <vt:variant>
        <vt:i4>2031664</vt:i4>
      </vt:variant>
      <vt:variant>
        <vt:i4>218</vt:i4>
      </vt:variant>
      <vt:variant>
        <vt:i4>0</vt:i4>
      </vt:variant>
      <vt:variant>
        <vt:i4>5</vt:i4>
      </vt:variant>
      <vt:variant>
        <vt:lpwstr/>
      </vt:variant>
      <vt:variant>
        <vt:lpwstr>_Toc71701910</vt:lpwstr>
      </vt:variant>
      <vt:variant>
        <vt:i4>1441841</vt:i4>
      </vt:variant>
      <vt:variant>
        <vt:i4>212</vt:i4>
      </vt:variant>
      <vt:variant>
        <vt:i4>0</vt:i4>
      </vt:variant>
      <vt:variant>
        <vt:i4>5</vt:i4>
      </vt:variant>
      <vt:variant>
        <vt:lpwstr/>
      </vt:variant>
      <vt:variant>
        <vt:lpwstr>_Toc71701909</vt:lpwstr>
      </vt:variant>
      <vt:variant>
        <vt:i4>1507377</vt:i4>
      </vt:variant>
      <vt:variant>
        <vt:i4>206</vt:i4>
      </vt:variant>
      <vt:variant>
        <vt:i4>0</vt:i4>
      </vt:variant>
      <vt:variant>
        <vt:i4>5</vt:i4>
      </vt:variant>
      <vt:variant>
        <vt:lpwstr/>
      </vt:variant>
      <vt:variant>
        <vt:lpwstr>_Toc71701908</vt:lpwstr>
      </vt:variant>
      <vt:variant>
        <vt:i4>1572913</vt:i4>
      </vt:variant>
      <vt:variant>
        <vt:i4>200</vt:i4>
      </vt:variant>
      <vt:variant>
        <vt:i4>0</vt:i4>
      </vt:variant>
      <vt:variant>
        <vt:i4>5</vt:i4>
      </vt:variant>
      <vt:variant>
        <vt:lpwstr/>
      </vt:variant>
      <vt:variant>
        <vt:lpwstr>_Toc71701907</vt:lpwstr>
      </vt:variant>
      <vt:variant>
        <vt:i4>1638449</vt:i4>
      </vt:variant>
      <vt:variant>
        <vt:i4>194</vt:i4>
      </vt:variant>
      <vt:variant>
        <vt:i4>0</vt:i4>
      </vt:variant>
      <vt:variant>
        <vt:i4>5</vt:i4>
      </vt:variant>
      <vt:variant>
        <vt:lpwstr/>
      </vt:variant>
      <vt:variant>
        <vt:lpwstr>_Toc71701906</vt:lpwstr>
      </vt:variant>
      <vt:variant>
        <vt:i4>1703985</vt:i4>
      </vt:variant>
      <vt:variant>
        <vt:i4>188</vt:i4>
      </vt:variant>
      <vt:variant>
        <vt:i4>0</vt:i4>
      </vt:variant>
      <vt:variant>
        <vt:i4>5</vt:i4>
      </vt:variant>
      <vt:variant>
        <vt:lpwstr/>
      </vt:variant>
      <vt:variant>
        <vt:lpwstr>_Toc71701905</vt:lpwstr>
      </vt:variant>
      <vt:variant>
        <vt:i4>1769521</vt:i4>
      </vt:variant>
      <vt:variant>
        <vt:i4>182</vt:i4>
      </vt:variant>
      <vt:variant>
        <vt:i4>0</vt:i4>
      </vt:variant>
      <vt:variant>
        <vt:i4>5</vt:i4>
      </vt:variant>
      <vt:variant>
        <vt:lpwstr/>
      </vt:variant>
      <vt:variant>
        <vt:lpwstr>_Toc71701904</vt:lpwstr>
      </vt:variant>
      <vt:variant>
        <vt:i4>1835057</vt:i4>
      </vt:variant>
      <vt:variant>
        <vt:i4>176</vt:i4>
      </vt:variant>
      <vt:variant>
        <vt:i4>0</vt:i4>
      </vt:variant>
      <vt:variant>
        <vt:i4>5</vt:i4>
      </vt:variant>
      <vt:variant>
        <vt:lpwstr/>
      </vt:variant>
      <vt:variant>
        <vt:lpwstr>_Toc71701903</vt:lpwstr>
      </vt:variant>
      <vt:variant>
        <vt:i4>1900593</vt:i4>
      </vt:variant>
      <vt:variant>
        <vt:i4>170</vt:i4>
      </vt:variant>
      <vt:variant>
        <vt:i4>0</vt:i4>
      </vt:variant>
      <vt:variant>
        <vt:i4>5</vt:i4>
      </vt:variant>
      <vt:variant>
        <vt:lpwstr/>
      </vt:variant>
      <vt:variant>
        <vt:lpwstr>_Toc71701902</vt:lpwstr>
      </vt:variant>
      <vt:variant>
        <vt:i4>1966129</vt:i4>
      </vt:variant>
      <vt:variant>
        <vt:i4>164</vt:i4>
      </vt:variant>
      <vt:variant>
        <vt:i4>0</vt:i4>
      </vt:variant>
      <vt:variant>
        <vt:i4>5</vt:i4>
      </vt:variant>
      <vt:variant>
        <vt:lpwstr/>
      </vt:variant>
      <vt:variant>
        <vt:lpwstr>_Toc71701901</vt:lpwstr>
      </vt:variant>
      <vt:variant>
        <vt:i4>2031665</vt:i4>
      </vt:variant>
      <vt:variant>
        <vt:i4>158</vt:i4>
      </vt:variant>
      <vt:variant>
        <vt:i4>0</vt:i4>
      </vt:variant>
      <vt:variant>
        <vt:i4>5</vt:i4>
      </vt:variant>
      <vt:variant>
        <vt:lpwstr/>
      </vt:variant>
      <vt:variant>
        <vt:lpwstr>_Toc71701900</vt:lpwstr>
      </vt:variant>
      <vt:variant>
        <vt:i4>1507384</vt:i4>
      </vt:variant>
      <vt:variant>
        <vt:i4>152</vt:i4>
      </vt:variant>
      <vt:variant>
        <vt:i4>0</vt:i4>
      </vt:variant>
      <vt:variant>
        <vt:i4>5</vt:i4>
      </vt:variant>
      <vt:variant>
        <vt:lpwstr/>
      </vt:variant>
      <vt:variant>
        <vt:lpwstr>_Toc71701899</vt:lpwstr>
      </vt:variant>
      <vt:variant>
        <vt:i4>1441848</vt:i4>
      </vt:variant>
      <vt:variant>
        <vt:i4>146</vt:i4>
      </vt:variant>
      <vt:variant>
        <vt:i4>0</vt:i4>
      </vt:variant>
      <vt:variant>
        <vt:i4>5</vt:i4>
      </vt:variant>
      <vt:variant>
        <vt:lpwstr/>
      </vt:variant>
      <vt:variant>
        <vt:lpwstr>_Toc71701898</vt:lpwstr>
      </vt:variant>
      <vt:variant>
        <vt:i4>1638456</vt:i4>
      </vt:variant>
      <vt:variant>
        <vt:i4>140</vt:i4>
      </vt:variant>
      <vt:variant>
        <vt:i4>0</vt:i4>
      </vt:variant>
      <vt:variant>
        <vt:i4>5</vt:i4>
      </vt:variant>
      <vt:variant>
        <vt:lpwstr/>
      </vt:variant>
      <vt:variant>
        <vt:lpwstr>_Toc71701897</vt:lpwstr>
      </vt:variant>
      <vt:variant>
        <vt:i4>1572920</vt:i4>
      </vt:variant>
      <vt:variant>
        <vt:i4>134</vt:i4>
      </vt:variant>
      <vt:variant>
        <vt:i4>0</vt:i4>
      </vt:variant>
      <vt:variant>
        <vt:i4>5</vt:i4>
      </vt:variant>
      <vt:variant>
        <vt:lpwstr/>
      </vt:variant>
      <vt:variant>
        <vt:lpwstr>_Toc71701896</vt:lpwstr>
      </vt:variant>
      <vt:variant>
        <vt:i4>1769528</vt:i4>
      </vt:variant>
      <vt:variant>
        <vt:i4>128</vt:i4>
      </vt:variant>
      <vt:variant>
        <vt:i4>0</vt:i4>
      </vt:variant>
      <vt:variant>
        <vt:i4>5</vt:i4>
      </vt:variant>
      <vt:variant>
        <vt:lpwstr/>
      </vt:variant>
      <vt:variant>
        <vt:lpwstr>_Toc71701895</vt:lpwstr>
      </vt:variant>
      <vt:variant>
        <vt:i4>1703992</vt:i4>
      </vt:variant>
      <vt:variant>
        <vt:i4>122</vt:i4>
      </vt:variant>
      <vt:variant>
        <vt:i4>0</vt:i4>
      </vt:variant>
      <vt:variant>
        <vt:i4>5</vt:i4>
      </vt:variant>
      <vt:variant>
        <vt:lpwstr/>
      </vt:variant>
      <vt:variant>
        <vt:lpwstr>_Toc71701894</vt:lpwstr>
      </vt:variant>
      <vt:variant>
        <vt:i4>1900600</vt:i4>
      </vt:variant>
      <vt:variant>
        <vt:i4>116</vt:i4>
      </vt:variant>
      <vt:variant>
        <vt:i4>0</vt:i4>
      </vt:variant>
      <vt:variant>
        <vt:i4>5</vt:i4>
      </vt:variant>
      <vt:variant>
        <vt:lpwstr/>
      </vt:variant>
      <vt:variant>
        <vt:lpwstr>_Toc71701893</vt:lpwstr>
      </vt:variant>
      <vt:variant>
        <vt:i4>1835064</vt:i4>
      </vt:variant>
      <vt:variant>
        <vt:i4>110</vt:i4>
      </vt:variant>
      <vt:variant>
        <vt:i4>0</vt:i4>
      </vt:variant>
      <vt:variant>
        <vt:i4>5</vt:i4>
      </vt:variant>
      <vt:variant>
        <vt:lpwstr/>
      </vt:variant>
      <vt:variant>
        <vt:lpwstr>_Toc71701892</vt:lpwstr>
      </vt:variant>
      <vt:variant>
        <vt:i4>2031672</vt:i4>
      </vt:variant>
      <vt:variant>
        <vt:i4>104</vt:i4>
      </vt:variant>
      <vt:variant>
        <vt:i4>0</vt:i4>
      </vt:variant>
      <vt:variant>
        <vt:i4>5</vt:i4>
      </vt:variant>
      <vt:variant>
        <vt:lpwstr/>
      </vt:variant>
      <vt:variant>
        <vt:lpwstr>_Toc71701891</vt:lpwstr>
      </vt:variant>
      <vt:variant>
        <vt:i4>1966136</vt:i4>
      </vt:variant>
      <vt:variant>
        <vt:i4>98</vt:i4>
      </vt:variant>
      <vt:variant>
        <vt:i4>0</vt:i4>
      </vt:variant>
      <vt:variant>
        <vt:i4>5</vt:i4>
      </vt:variant>
      <vt:variant>
        <vt:lpwstr/>
      </vt:variant>
      <vt:variant>
        <vt:lpwstr>_Toc71701890</vt:lpwstr>
      </vt:variant>
      <vt:variant>
        <vt:i4>1507385</vt:i4>
      </vt:variant>
      <vt:variant>
        <vt:i4>92</vt:i4>
      </vt:variant>
      <vt:variant>
        <vt:i4>0</vt:i4>
      </vt:variant>
      <vt:variant>
        <vt:i4>5</vt:i4>
      </vt:variant>
      <vt:variant>
        <vt:lpwstr/>
      </vt:variant>
      <vt:variant>
        <vt:lpwstr>_Toc71701889</vt:lpwstr>
      </vt:variant>
      <vt:variant>
        <vt:i4>1441849</vt:i4>
      </vt:variant>
      <vt:variant>
        <vt:i4>86</vt:i4>
      </vt:variant>
      <vt:variant>
        <vt:i4>0</vt:i4>
      </vt:variant>
      <vt:variant>
        <vt:i4>5</vt:i4>
      </vt:variant>
      <vt:variant>
        <vt:lpwstr/>
      </vt:variant>
      <vt:variant>
        <vt:lpwstr>_Toc71701888</vt:lpwstr>
      </vt:variant>
      <vt:variant>
        <vt:i4>1638457</vt:i4>
      </vt:variant>
      <vt:variant>
        <vt:i4>80</vt:i4>
      </vt:variant>
      <vt:variant>
        <vt:i4>0</vt:i4>
      </vt:variant>
      <vt:variant>
        <vt:i4>5</vt:i4>
      </vt:variant>
      <vt:variant>
        <vt:lpwstr/>
      </vt:variant>
      <vt:variant>
        <vt:lpwstr>_Toc71701887</vt:lpwstr>
      </vt:variant>
      <vt:variant>
        <vt:i4>1572921</vt:i4>
      </vt:variant>
      <vt:variant>
        <vt:i4>74</vt:i4>
      </vt:variant>
      <vt:variant>
        <vt:i4>0</vt:i4>
      </vt:variant>
      <vt:variant>
        <vt:i4>5</vt:i4>
      </vt:variant>
      <vt:variant>
        <vt:lpwstr/>
      </vt:variant>
      <vt:variant>
        <vt:lpwstr>_Toc71701886</vt:lpwstr>
      </vt:variant>
      <vt:variant>
        <vt:i4>1769529</vt:i4>
      </vt:variant>
      <vt:variant>
        <vt:i4>68</vt:i4>
      </vt:variant>
      <vt:variant>
        <vt:i4>0</vt:i4>
      </vt:variant>
      <vt:variant>
        <vt:i4>5</vt:i4>
      </vt:variant>
      <vt:variant>
        <vt:lpwstr/>
      </vt:variant>
      <vt:variant>
        <vt:lpwstr>_Toc71701885</vt:lpwstr>
      </vt:variant>
      <vt:variant>
        <vt:i4>1703993</vt:i4>
      </vt:variant>
      <vt:variant>
        <vt:i4>62</vt:i4>
      </vt:variant>
      <vt:variant>
        <vt:i4>0</vt:i4>
      </vt:variant>
      <vt:variant>
        <vt:i4>5</vt:i4>
      </vt:variant>
      <vt:variant>
        <vt:lpwstr/>
      </vt:variant>
      <vt:variant>
        <vt:lpwstr>_Toc71701884</vt:lpwstr>
      </vt:variant>
      <vt:variant>
        <vt:i4>1900601</vt:i4>
      </vt:variant>
      <vt:variant>
        <vt:i4>56</vt:i4>
      </vt:variant>
      <vt:variant>
        <vt:i4>0</vt:i4>
      </vt:variant>
      <vt:variant>
        <vt:i4>5</vt:i4>
      </vt:variant>
      <vt:variant>
        <vt:lpwstr/>
      </vt:variant>
      <vt:variant>
        <vt:lpwstr>_Toc71701883</vt:lpwstr>
      </vt:variant>
      <vt:variant>
        <vt:i4>1835065</vt:i4>
      </vt:variant>
      <vt:variant>
        <vt:i4>50</vt:i4>
      </vt:variant>
      <vt:variant>
        <vt:i4>0</vt:i4>
      </vt:variant>
      <vt:variant>
        <vt:i4>5</vt:i4>
      </vt:variant>
      <vt:variant>
        <vt:lpwstr/>
      </vt:variant>
      <vt:variant>
        <vt:lpwstr>_Toc71701882</vt:lpwstr>
      </vt:variant>
      <vt:variant>
        <vt:i4>2031673</vt:i4>
      </vt:variant>
      <vt:variant>
        <vt:i4>44</vt:i4>
      </vt:variant>
      <vt:variant>
        <vt:i4>0</vt:i4>
      </vt:variant>
      <vt:variant>
        <vt:i4>5</vt:i4>
      </vt:variant>
      <vt:variant>
        <vt:lpwstr/>
      </vt:variant>
      <vt:variant>
        <vt:lpwstr>_Toc71701881</vt:lpwstr>
      </vt:variant>
      <vt:variant>
        <vt:i4>1966137</vt:i4>
      </vt:variant>
      <vt:variant>
        <vt:i4>38</vt:i4>
      </vt:variant>
      <vt:variant>
        <vt:i4>0</vt:i4>
      </vt:variant>
      <vt:variant>
        <vt:i4>5</vt:i4>
      </vt:variant>
      <vt:variant>
        <vt:lpwstr/>
      </vt:variant>
      <vt:variant>
        <vt:lpwstr>_Toc71701880</vt:lpwstr>
      </vt:variant>
      <vt:variant>
        <vt:i4>1507382</vt:i4>
      </vt:variant>
      <vt:variant>
        <vt:i4>32</vt:i4>
      </vt:variant>
      <vt:variant>
        <vt:i4>0</vt:i4>
      </vt:variant>
      <vt:variant>
        <vt:i4>5</vt:i4>
      </vt:variant>
      <vt:variant>
        <vt:lpwstr/>
      </vt:variant>
      <vt:variant>
        <vt:lpwstr>_Toc71701879</vt:lpwstr>
      </vt:variant>
      <vt:variant>
        <vt:i4>1441846</vt:i4>
      </vt:variant>
      <vt:variant>
        <vt:i4>26</vt:i4>
      </vt:variant>
      <vt:variant>
        <vt:i4>0</vt:i4>
      </vt:variant>
      <vt:variant>
        <vt:i4>5</vt:i4>
      </vt:variant>
      <vt:variant>
        <vt:lpwstr/>
      </vt:variant>
      <vt:variant>
        <vt:lpwstr>_Toc71701878</vt:lpwstr>
      </vt:variant>
      <vt:variant>
        <vt:i4>1638454</vt:i4>
      </vt:variant>
      <vt:variant>
        <vt:i4>20</vt:i4>
      </vt:variant>
      <vt:variant>
        <vt:i4>0</vt:i4>
      </vt:variant>
      <vt:variant>
        <vt:i4>5</vt:i4>
      </vt:variant>
      <vt:variant>
        <vt:lpwstr/>
      </vt:variant>
      <vt:variant>
        <vt:lpwstr>_Toc71701877</vt:lpwstr>
      </vt:variant>
      <vt:variant>
        <vt:i4>1572918</vt:i4>
      </vt:variant>
      <vt:variant>
        <vt:i4>14</vt:i4>
      </vt:variant>
      <vt:variant>
        <vt:i4>0</vt:i4>
      </vt:variant>
      <vt:variant>
        <vt:i4>5</vt:i4>
      </vt:variant>
      <vt:variant>
        <vt:lpwstr/>
      </vt:variant>
      <vt:variant>
        <vt:lpwstr>_Toc71701876</vt:lpwstr>
      </vt:variant>
      <vt:variant>
        <vt:i4>1769526</vt:i4>
      </vt:variant>
      <vt:variant>
        <vt:i4>8</vt:i4>
      </vt:variant>
      <vt:variant>
        <vt:i4>0</vt:i4>
      </vt:variant>
      <vt:variant>
        <vt:i4>5</vt:i4>
      </vt:variant>
      <vt:variant>
        <vt:lpwstr/>
      </vt:variant>
      <vt:variant>
        <vt:lpwstr>_Toc71701875</vt:lpwstr>
      </vt:variant>
      <vt:variant>
        <vt:i4>1703990</vt:i4>
      </vt:variant>
      <vt:variant>
        <vt:i4>2</vt:i4>
      </vt:variant>
      <vt:variant>
        <vt:i4>0</vt:i4>
      </vt:variant>
      <vt:variant>
        <vt:i4>5</vt:i4>
      </vt:variant>
      <vt:variant>
        <vt:lpwstr/>
      </vt:variant>
      <vt:variant>
        <vt:lpwstr>_Toc71701874</vt:lpwstr>
      </vt:variant>
      <vt:variant>
        <vt:i4>4259931</vt:i4>
      </vt:variant>
      <vt:variant>
        <vt:i4>12</vt:i4>
      </vt:variant>
      <vt:variant>
        <vt:i4>0</vt:i4>
      </vt:variant>
      <vt:variant>
        <vt:i4>5</vt:i4>
      </vt:variant>
      <vt:variant>
        <vt:lpwstr>https://www.state.gov/bureaus-offices/under-secretary-for-civilian-security-democracy-and-human-rights/bureau-of-international-narcotics-and-law-enforcement-affairs/</vt:lpwstr>
      </vt:variant>
      <vt:variant>
        <vt:lpwstr/>
      </vt:variant>
      <vt:variant>
        <vt:i4>2097255</vt:i4>
      </vt:variant>
      <vt:variant>
        <vt:i4>9</vt:i4>
      </vt:variant>
      <vt:variant>
        <vt:i4>0</vt:i4>
      </vt:variant>
      <vt:variant>
        <vt:i4>5</vt:i4>
      </vt:variant>
      <vt:variant>
        <vt:lpwstr>https://www.un.org/peacebuilding/fund/documents/investments</vt:lpwstr>
      </vt:variant>
      <vt:variant>
        <vt:lpwstr/>
      </vt:variant>
      <vt:variant>
        <vt:i4>5374034</vt:i4>
      </vt:variant>
      <vt:variant>
        <vt:i4>6</vt:i4>
      </vt:variant>
      <vt:variant>
        <vt:i4>0</vt:i4>
      </vt:variant>
      <vt:variant>
        <vt:i4>5</vt:i4>
      </vt:variant>
      <vt:variant>
        <vt:lpwstr>https://www.sparkblue.org/GlobalprogrammeROLSHR/discussion/reflecting-undps-focus-rule-law-security-and-human-rights-what-has</vt:lpwstr>
      </vt:variant>
      <vt:variant>
        <vt:lpwstr/>
      </vt:variant>
      <vt:variant>
        <vt:i4>5177356</vt:i4>
      </vt:variant>
      <vt:variant>
        <vt:i4>3</vt:i4>
      </vt:variant>
      <vt:variant>
        <vt:i4>0</vt:i4>
      </vt:variant>
      <vt:variant>
        <vt:i4>5</vt:i4>
      </vt:variant>
      <vt:variant>
        <vt:lpwstr>https://www.ohchr.org/EN/HRBodies/HRC/RegularSessions/Session45/Pages/ResDecStat.aspx</vt:lpwstr>
      </vt:variant>
      <vt:variant>
        <vt:lpwstr/>
      </vt:variant>
      <vt:variant>
        <vt:i4>3473513</vt:i4>
      </vt:variant>
      <vt:variant>
        <vt:i4>0</vt:i4>
      </vt:variant>
      <vt:variant>
        <vt:i4>0</vt:i4>
      </vt:variant>
      <vt:variant>
        <vt:i4>5</vt:i4>
      </vt:variant>
      <vt:variant>
        <vt:lpwstr>https://www.un.org/disarmament/salient/</vt:lpwstr>
      </vt:variant>
      <vt:variant>
        <vt:lpwstr/>
      </vt:variant>
      <vt:variant>
        <vt:i4>3407967</vt:i4>
      </vt:variant>
      <vt:variant>
        <vt:i4>12</vt:i4>
      </vt:variant>
      <vt:variant>
        <vt:i4>0</vt:i4>
      </vt:variant>
      <vt:variant>
        <vt:i4>5</vt:i4>
      </vt:variant>
      <vt:variant>
        <vt:lpwstr>mailto:ciara.diseta@undp.org</vt:lpwstr>
      </vt:variant>
      <vt:variant>
        <vt:lpwstr/>
      </vt:variant>
      <vt:variant>
        <vt:i4>2818139</vt:i4>
      </vt:variant>
      <vt:variant>
        <vt:i4>9</vt:i4>
      </vt:variant>
      <vt:variant>
        <vt:i4>0</vt:i4>
      </vt:variant>
      <vt:variant>
        <vt:i4>5</vt:i4>
      </vt:variant>
      <vt:variant>
        <vt:lpwstr>mailto:alexandra.meierhans@undp.org</vt:lpwstr>
      </vt:variant>
      <vt:variant>
        <vt:lpwstr/>
      </vt:variant>
      <vt:variant>
        <vt:i4>3407967</vt:i4>
      </vt:variant>
      <vt:variant>
        <vt:i4>6</vt:i4>
      </vt:variant>
      <vt:variant>
        <vt:i4>0</vt:i4>
      </vt:variant>
      <vt:variant>
        <vt:i4>5</vt:i4>
      </vt:variant>
      <vt:variant>
        <vt:lpwstr>mailto:ciara.diseta@undp.org</vt:lpwstr>
      </vt:variant>
      <vt:variant>
        <vt:lpwstr/>
      </vt:variant>
      <vt:variant>
        <vt:i4>5177356</vt:i4>
      </vt:variant>
      <vt:variant>
        <vt:i4>3</vt:i4>
      </vt:variant>
      <vt:variant>
        <vt:i4>0</vt:i4>
      </vt:variant>
      <vt:variant>
        <vt:i4>5</vt:i4>
      </vt:variant>
      <vt:variant>
        <vt:lpwstr>https://www.ohchr.org/EN/HRBodies/HRC/RegularSessions/Session45/Pages/ResDecStat.aspx</vt:lpwstr>
      </vt:variant>
      <vt:variant>
        <vt:lpwstr/>
      </vt:variant>
      <vt:variant>
        <vt:i4>2752618</vt:i4>
      </vt:variant>
      <vt:variant>
        <vt:i4>0</vt:i4>
      </vt:variant>
      <vt:variant>
        <vt:i4>0</vt:i4>
      </vt:variant>
      <vt:variant>
        <vt:i4>5</vt:i4>
      </vt:variant>
      <vt:variant>
        <vt:lpwstr>https://www.undp.org/content/undp/en/home/2030-agenda-for-sustainable-development/peace/rule-of-law--justice--security-and-human-rights/global-focal-point-for-rule-of-law.html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Reimer;Craig Naumann</dc:creator>
  <cp:keywords/>
  <dc:description/>
  <cp:lastModifiedBy>Margaret Chi</cp:lastModifiedBy>
  <cp:revision>2</cp:revision>
  <dcterms:created xsi:type="dcterms:W3CDTF">2021-07-31T02:46:00Z</dcterms:created>
  <dcterms:modified xsi:type="dcterms:W3CDTF">2021-07-31T02:46:00Z</dcterms:modified>
</cp:coreProperties>
</file>